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eastAsia="方正小标宋_GBK"/>
          <w:sz w:val="72"/>
          <w:szCs w:val="72"/>
        </w:rPr>
      </w:pPr>
    </w:p>
    <w:p>
      <w:pPr>
        <w:spacing w:line="360" w:lineRule="auto"/>
        <w:jc w:val="center"/>
        <w:rPr>
          <w:rFonts w:eastAsia="方正小标宋_GBK"/>
          <w:sz w:val="72"/>
          <w:szCs w:val="72"/>
        </w:rPr>
      </w:pPr>
    </w:p>
    <w:p>
      <w:pPr>
        <w:spacing w:line="360" w:lineRule="auto"/>
        <w:jc w:val="center"/>
        <w:rPr>
          <w:rFonts w:eastAsia="方正小标宋_GBK"/>
          <w:sz w:val="72"/>
          <w:szCs w:val="72"/>
        </w:rPr>
      </w:pPr>
      <w:r>
        <w:rPr>
          <w:rFonts w:eastAsia="方正小标宋_GBK"/>
          <w:sz w:val="72"/>
          <w:szCs w:val="72"/>
        </w:rPr>
        <w:t>建设项目环境影响报告表</w:t>
      </w:r>
    </w:p>
    <w:p>
      <w:pPr>
        <w:jc w:val="center"/>
        <w:rPr>
          <w:rFonts w:eastAsia="楷体"/>
          <w:sz w:val="48"/>
          <w:szCs w:val="48"/>
        </w:rPr>
      </w:pPr>
      <w:r>
        <w:rPr>
          <w:rFonts w:eastAsia="楷体"/>
          <w:sz w:val="48"/>
          <w:szCs w:val="48"/>
        </w:rPr>
        <w:t>（污染影响类）</w:t>
      </w:r>
    </w:p>
    <w:p>
      <w:pPr>
        <w:spacing w:line="360" w:lineRule="auto"/>
        <w:jc w:val="center"/>
        <w:rPr>
          <w:rFonts w:ascii="仿宋" w:hAnsi="仿宋" w:eastAsia="仿宋"/>
          <w:sz w:val="36"/>
          <w:szCs w:val="36"/>
        </w:rPr>
      </w:pPr>
      <w:r>
        <w:rPr>
          <w:rFonts w:hint="eastAsia" w:ascii="仿宋" w:hAnsi="仿宋" w:eastAsia="仿宋"/>
          <w:sz w:val="36"/>
          <w:szCs w:val="36"/>
        </w:rPr>
        <w:t>（</w:t>
      </w:r>
      <w:r>
        <w:rPr>
          <w:rFonts w:hint="eastAsia" w:ascii="仿宋" w:hAnsi="仿宋" w:eastAsia="仿宋"/>
          <w:sz w:val="36"/>
          <w:szCs w:val="36"/>
          <w:lang w:eastAsia="zh-CN"/>
        </w:rPr>
        <w:t>公示</w:t>
      </w:r>
      <w:r>
        <w:rPr>
          <w:rFonts w:hint="eastAsia" w:ascii="仿宋" w:hAnsi="仿宋" w:eastAsia="仿宋"/>
          <w:sz w:val="36"/>
          <w:szCs w:val="36"/>
        </w:rPr>
        <w:t>本）</w:t>
      </w:r>
    </w:p>
    <w:p>
      <w:pPr>
        <w:spacing w:line="360" w:lineRule="auto"/>
        <w:rPr>
          <w:rFonts w:eastAsia="仿宋"/>
          <w:b/>
          <w:sz w:val="36"/>
          <w:szCs w:val="36"/>
        </w:rPr>
      </w:pPr>
    </w:p>
    <w:p>
      <w:pPr>
        <w:spacing w:line="360" w:lineRule="auto"/>
        <w:rPr>
          <w:rFonts w:eastAsia="仿宋"/>
          <w:b/>
          <w:sz w:val="36"/>
          <w:szCs w:val="36"/>
        </w:rPr>
      </w:pPr>
    </w:p>
    <w:p>
      <w:pPr>
        <w:pStyle w:val="2"/>
        <w:ind w:left="960" w:hanging="480"/>
      </w:pPr>
    </w:p>
    <w:p/>
    <w:p>
      <w:pPr>
        <w:pStyle w:val="2"/>
        <w:ind w:left="960" w:hanging="480"/>
      </w:pPr>
    </w:p>
    <w:p/>
    <w:p>
      <w:pPr>
        <w:pStyle w:val="2"/>
        <w:ind w:left="960" w:hanging="480"/>
      </w:pPr>
    </w:p>
    <w:p/>
    <w:p>
      <w:pPr>
        <w:pStyle w:val="2"/>
        <w:ind w:left="960" w:hanging="480"/>
      </w:pPr>
    </w:p>
    <w:p>
      <w:pPr>
        <w:spacing w:line="360" w:lineRule="auto"/>
        <w:rPr>
          <w:rFonts w:eastAsia="仿宋"/>
          <w:b/>
          <w:sz w:val="36"/>
          <w:szCs w:val="36"/>
        </w:rPr>
      </w:pPr>
    </w:p>
    <w:p>
      <w:pPr>
        <w:spacing w:line="360" w:lineRule="auto"/>
        <w:ind w:left="3240" w:leftChars="150" w:hanging="2880" w:hangingChars="800"/>
        <w:rPr>
          <w:rFonts w:eastAsia="仿宋"/>
          <w:sz w:val="36"/>
          <w:szCs w:val="36"/>
          <w:u w:val="single"/>
        </w:rPr>
      </w:pPr>
      <w:r>
        <w:rPr>
          <w:rFonts w:eastAsia="仿宋"/>
          <w:sz w:val="36"/>
          <w:szCs w:val="36"/>
        </w:rPr>
        <w:t>项目名称：</w:t>
      </w:r>
      <w:r>
        <w:rPr>
          <w:rFonts w:eastAsia="仿宋"/>
          <w:sz w:val="36"/>
          <w:szCs w:val="36"/>
          <w:u w:val="single"/>
        </w:rPr>
        <w:t xml:space="preserve">   年产 9 万方砂石加工厂项目  </w:t>
      </w:r>
    </w:p>
    <w:p>
      <w:pPr>
        <w:spacing w:line="360" w:lineRule="auto"/>
        <w:ind w:left="3600" w:leftChars="150" w:hanging="3240" w:hangingChars="900"/>
        <w:rPr>
          <w:rFonts w:eastAsia="仿宋"/>
          <w:sz w:val="36"/>
          <w:szCs w:val="36"/>
          <w:u w:val="single"/>
        </w:rPr>
      </w:pPr>
      <w:r>
        <w:rPr>
          <w:rFonts w:eastAsia="仿宋"/>
          <w:sz w:val="36"/>
          <w:szCs w:val="36"/>
        </w:rPr>
        <w:t>建设单位（盖章）：</w:t>
      </w:r>
      <w:r>
        <w:rPr>
          <w:rFonts w:eastAsia="仿宋"/>
          <w:sz w:val="36"/>
          <w:szCs w:val="36"/>
          <w:u w:val="single"/>
        </w:rPr>
        <w:t xml:space="preserve">  宣汉县中诺建材有限公司  </w:t>
      </w:r>
    </w:p>
    <w:p>
      <w:pPr>
        <w:spacing w:line="360" w:lineRule="auto"/>
        <w:ind w:firstLine="360" w:firstLineChars="100"/>
        <w:rPr>
          <w:rFonts w:eastAsia="仿宋"/>
          <w:sz w:val="36"/>
          <w:szCs w:val="36"/>
        </w:rPr>
      </w:pPr>
      <w:r>
        <w:rPr>
          <w:rFonts w:eastAsia="仿宋"/>
          <w:sz w:val="36"/>
          <w:szCs w:val="36"/>
        </w:rPr>
        <w:t>编制日期：</w:t>
      </w:r>
      <w:r>
        <w:rPr>
          <w:rFonts w:eastAsia="仿宋"/>
          <w:sz w:val="36"/>
          <w:szCs w:val="36"/>
          <w:u w:val="single"/>
        </w:rPr>
        <w:t xml:space="preserve">   2024年</w:t>
      </w:r>
      <w:r>
        <w:rPr>
          <w:rFonts w:hint="eastAsia" w:eastAsia="仿宋"/>
          <w:sz w:val="36"/>
          <w:szCs w:val="36"/>
          <w:u w:val="single"/>
          <w:lang w:val="en-US" w:eastAsia="zh-CN"/>
        </w:rPr>
        <w:t>8</w:t>
      </w:r>
      <w:r>
        <w:rPr>
          <w:rFonts w:eastAsia="仿宋"/>
          <w:sz w:val="36"/>
          <w:szCs w:val="36"/>
          <w:u w:val="single"/>
        </w:rPr>
        <w:t xml:space="preserve">月   </w:t>
      </w:r>
    </w:p>
    <w:p>
      <w:pPr>
        <w:spacing w:line="360" w:lineRule="auto"/>
        <w:rPr>
          <w:rFonts w:eastAsia="仿宋"/>
          <w:sz w:val="36"/>
          <w:szCs w:val="36"/>
        </w:rPr>
      </w:pPr>
    </w:p>
    <w:p>
      <w:pPr>
        <w:spacing w:line="360" w:lineRule="auto"/>
        <w:rPr>
          <w:rFonts w:eastAsia="仿宋"/>
          <w:sz w:val="36"/>
          <w:szCs w:val="36"/>
        </w:rPr>
      </w:pPr>
    </w:p>
    <w:p>
      <w:pPr>
        <w:pStyle w:val="2"/>
        <w:ind w:left="960" w:hanging="480"/>
      </w:pPr>
    </w:p>
    <w:p>
      <w:pPr>
        <w:spacing w:line="360" w:lineRule="auto"/>
        <w:rPr>
          <w:rFonts w:eastAsia="仿宋"/>
          <w:sz w:val="36"/>
          <w:szCs w:val="36"/>
        </w:rPr>
      </w:pPr>
    </w:p>
    <w:p>
      <w:pPr>
        <w:spacing w:line="360" w:lineRule="auto"/>
        <w:jc w:val="center"/>
        <w:rPr>
          <w:rFonts w:eastAsia="楷体"/>
          <w:sz w:val="36"/>
          <w:szCs w:val="36"/>
        </w:rPr>
      </w:pPr>
      <w:r>
        <w:rPr>
          <w:rFonts w:eastAsia="楷体"/>
          <w:sz w:val="36"/>
          <w:szCs w:val="36"/>
        </w:rPr>
        <w:t>中华人民共和国生态环境部制</w:t>
      </w:r>
    </w:p>
    <w:p>
      <w:pPr>
        <w:spacing w:line="360" w:lineRule="auto"/>
        <w:rPr>
          <w:sz w:val="28"/>
          <w:szCs w:val="28"/>
        </w:rPr>
      </w:pPr>
    </w:p>
    <w:p>
      <w:pPr>
        <w:spacing w:line="360" w:lineRule="auto"/>
        <w:rPr>
          <w:b/>
          <w:sz w:val="28"/>
          <w:szCs w:val="28"/>
        </w:rPr>
        <w:sectPr>
          <w:pgSz w:w="11906" w:h="16838"/>
          <w:pgMar w:top="1134" w:right="1134" w:bottom="1134" w:left="1418" w:header="851" w:footer="992" w:gutter="0"/>
          <w:cols w:space="720" w:num="1"/>
          <w:docGrid w:type="lines" w:linePitch="312" w:charSpace="0"/>
        </w:sectPr>
      </w:pPr>
    </w:p>
    <w:p>
      <w:pPr>
        <w:pStyle w:val="5"/>
        <w:spacing w:after="0" w:line="360" w:lineRule="auto"/>
        <w:jc w:val="center"/>
        <w:outlineLvl w:val="0"/>
        <w:rPr>
          <w:rFonts w:eastAsia="黑体"/>
          <w:color w:val="000000" w:themeColor="text1"/>
          <w:sz w:val="30"/>
          <w:szCs w:val="30"/>
          <w14:textFill>
            <w14:solidFill>
              <w14:schemeClr w14:val="tx1"/>
            </w14:solidFill>
          </w14:textFill>
        </w:rPr>
      </w:pPr>
      <w:r>
        <w:rPr>
          <w:rFonts w:eastAsia="黑体"/>
          <w:color w:val="000000" w:themeColor="text1"/>
          <w:sz w:val="30"/>
          <w:szCs w:val="30"/>
          <w14:textFill>
            <w14:solidFill>
              <w14:schemeClr w14:val="tx1"/>
            </w14:solidFill>
          </w14:textFill>
        </w:rPr>
        <w:t>一、建设项目基本情况</w:t>
      </w:r>
    </w:p>
    <w:tbl>
      <w:tblPr>
        <w:tblStyle w:val="16"/>
        <w:tblW w:w="48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2"/>
        <w:gridCol w:w="2102"/>
        <w:gridCol w:w="2145"/>
        <w:gridCol w:w="3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Align w:val="center"/>
          </w:tcPr>
          <w:p>
            <w:pPr>
              <w:spacing w:line="360" w:lineRule="auto"/>
              <w:jc w:val="center"/>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建设项目名称</w:t>
            </w:r>
          </w:p>
        </w:tc>
        <w:tc>
          <w:tcPr>
            <w:tcW w:w="3763" w:type="pct"/>
            <w:gridSpan w:val="3"/>
            <w:vAlign w:val="center"/>
          </w:tcPr>
          <w:p>
            <w:pPr>
              <w:pStyle w:val="5"/>
              <w:spacing w:after="0" w:line="360" w:lineRule="auto"/>
              <w:jc w:val="center"/>
              <w:rPr>
                <w:color w:val="000000" w:themeColor="text1"/>
                <w:szCs w:val="36"/>
                <w14:textFill>
                  <w14:solidFill>
                    <w14:schemeClr w14:val="tx1"/>
                  </w14:solidFill>
                </w14:textFill>
              </w:rPr>
            </w:pPr>
            <w:r>
              <w:rPr>
                <w:rFonts w:hint="eastAsia"/>
              </w:rPr>
              <w:t>年产 9 万方砂石加工厂项目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237" w:type="pct"/>
            <w:vAlign w:val="center"/>
          </w:tcPr>
          <w:p>
            <w:pPr>
              <w:spacing w:line="360" w:lineRule="auto"/>
              <w:jc w:val="center"/>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项目代码</w:t>
            </w:r>
          </w:p>
        </w:tc>
        <w:tc>
          <w:tcPr>
            <w:tcW w:w="3763" w:type="pct"/>
            <w:gridSpan w:val="3"/>
            <w:vAlign w:val="center"/>
          </w:tcPr>
          <w:p>
            <w:pPr>
              <w:pStyle w:val="5"/>
              <w:spacing w:after="0" w:line="360" w:lineRule="auto"/>
              <w:jc w:val="center"/>
              <w:rPr>
                <w:color w:val="000000" w:themeColor="text1"/>
                <w:szCs w:val="36"/>
                <w14:textFill>
                  <w14:solidFill>
                    <w14:schemeClr w14:val="tx1"/>
                  </w14:solidFill>
                </w14:textFill>
              </w:rPr>
            </w:pPr>
            <w:r>
              <w:rPr>
                <w:color w:val="000000" w:themeColor="text1"/>
                <w:szCs w:val="36"/>
                <w14:textFill>
                  <w14:solidFill>
                    <w14:schemeClr w14:val="tx1"/>
                  </w14:solidFill>
                </w14:textFill>
              </w:rPr>
              <w:t>2403-511722-04-01-961043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7" w:type="pct"/>
            <w:vAlign w:val="center"/>
          </w:tcPr>
          <w:p>
            <w:pPr>
              <w:spacing w:line="360" w:lineRule="auto"/>
              <w:jc w:val="center"/>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建设单位联系人</w:t>
            </w:r>
          </w:p>
        </w:tc>
        <w:tc>
          <w:tcPr>
            <w:tcW w:w="1078" w:type="pct"/>
            <w:vAlign w:val="center"/>
          </w:tcPr>
          <w:p>
            <w:pPr>
              <w:spacing w:line="360" w:lineRule="auto"/>
              <w:jc w:val="center"/>
              <w:rPr>
                <w:color w:val="000000" w:themeColor="text1"/>
                <w:kern w:val="0"/>
                <w:szCs w:val="24"/>
                <w14:textFill>
                  <w14:solidFill>
                    <w14:schemeClr w14:val="tx1"/>
                  </w14:solidFill>
                </w14:textFill>
              </w:rPr>
            </w:pPr>
            <w:r>
              <w:rPr>
                <w:rFonts w:hint="eastAsia"/>
                <w:szCs w:val="24"/>
              </w:rPr>
              <w:t>蒋吉萍</w:t>
            </w:r>
          </w:p>
        </w:tc>
        <w:tc>
          <w:tcPr>
            <w:tcW w:w="1100" w:type="pct"/>
            <w:vAlign w:val="center"/>
          </w:tcPr>
          <w:p>
            <w:pPr>
              <w:spacing w:line="360" w:lineRule="auto"/>
              <w:jc w:val="center"/>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联系方式</w:t>
            </w:r>
          </w:p>
        </w:tc>
        <w:tc>
          <w:tcPr>
            <w:tcW w:w="1585" w:type="pct"/>
            <w:vAlign w:val="center"/>
          </w:tcPr>
          <w:p>
            <w:pPr>
              <w:spacing w:line="360" w:lineRule="auto"/>
              <w:jc w:val="center"/>
              <w:rPr>
                <w:color w:val="000000" w:themeColor="text1"/>
                <w:kern w:val="0"/>
                <w:szCs w:val="24"/>
                <w14:textFill>
                  <w14:solidFill>
                    <w14:schemeClr w14:val="tx1"/>
                  </w14:solidFill>
                </w14:textFill>
              </w:rPr>
            </w:pPr>
            <w:r>
              <w:rPr>
                <w:rFonts w:hAnsi="宋体"/>
                <w:szCs w:val="24"/>
              </w:rPr>
              <w:t>18784857778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7" w:type="pct"/>
            <w:vAlign w:val="center"/>
          </w:tcPr>
          <w:p>
            <w:pPr>
              <w:spacing w:line="360" w:lineRule="auto"/>
              <w:jc w:val="center"/>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建设地点</w:t>
            </w:r>
          </w:p>
        </w:tc>
        <w:tc>
          <w:tcPr>
            <w:tcW w:w="3763" w:type="pct"/>
            <w:gridSpan w:val="3"/>
            <w:vAlign w:val="center"/>
          </w:tcPr>
          <w:p>
            <w:pPr>
              <w:spacing w:line="360" w:lineRule="auto"/>
              <w:jc w:val="center"/>
              <w:rPr>
                <w:color w:val="000000" w:themeColor="text1"/>
                <w:kern w:val="0"/>
                <w:szCs w:val="24"/>
                <w14:textFill>
                  <w14:solidFill>
                    <w14:schemeClr w14:val="tx1"/>
                  </w14:solidFill>
                </w14:textFill>
              </w:rPr>
            </w:pPr>
            <w:r>
              <w:rPr>
                <w:rFonts w:hint="eastAsia"/>
                <w:szCs w:val="24"/>
              </w:rPr>
              <w:t>四川省达州市宣汉县南坝镇天台村三组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Align w:val="center"/>
          </w:tcPr>
          <w:p>
            <w:pPr>
              <w:spacing w:line="360" w:lineRule="auto"/>
              <w:jc w:val="center"/>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地理坐标</w:t>
            </w:r>
          </w:p>
        </w:tc>
        <w:tc>
          <w:tcPr>
            <w:tcW w:w="3763" w:type="pct"/>
            <w:gridSpan w:val="3"/>
            <w:vAlign w:val="center"/>
          </w:tcPr>
          <w:p>
            <w:pPr>
              <w:spacing w:line="360" w:lineRule="auto"/>
              <w:jc w:val="center"/>
              <w:rPr>
                <w:color w:val="000000" w:themeColor="text1"/>
                <w:kern w:val="0"/>
                <w:szCs w:val="24"/>
                <w14:textFill>
                  <w14:solidFill>
                    <w14:schemeClr w14:val="tx1"/>
                  </w14:solidFill>
                </w14:textFill>
              </w:rPr>
            </w:pPr>
            <w:r>
              <w:rPr>
                <w:kern w:val="21"/>
              </w:rPr>
              <w:t>（</w:t>
            </w:r>
            <w:r>
              <w:rPr>
                <w:kern w:val="21"/>
                <w:u w:val="single"/>
              </w:rPr>
              <w:t xml:space="preserve"> 108 </w:t>
            </w:r>
            <w:r>
              <w:rPr>
                <w:kern w:val="21"/>
              </w:rPr>
              <w:t>度</w:t>
            </w:r>
            <w:r>
              <w:rPr>
                <w:kern w:val="21"/>
                <w:u w:val="single"/>
              </w:rPr>
              <w:t xml:space="preserve"> 4 </w:t>
            </w:r>
            <w:r>
              <w:rPr>
                <w:kern w:val="21"/>
              </w:rPr>
              <w:t>分</w:t>
            </w:r>
            <w:r>
              <w:rPr>
                <w:kern w:val="21"/>
                <w:u w:val="single"/>
              </w:rPr>
              <w:t xml:space="preserve"> 35.342 </w:t>
            </w:r>
            <w:r>
              <w:rPr>
                <w:kern w:val="21"/>
              </w:rPr>
              <w:t>秒，</w:t>
            </w:r>
            <w:r>
              <w:rPr>
                <w:kern w:val="21"/>
                <w:u w:val="single"/>
              </w:rPr>
              <w:t xml:space="preserve"> 31 </w:t>
            </w:r>
            <w:r>
              <w:rPr>
                <w:kern w:val="21"/>
              </w:rPr>
              <w:t>度</w:t>
            </w:r>
            <w:r>
              <w:rPr>
                <w:kern w:val="21"/>
                <w:u w:val="single"/>
              </w:rPr>
              <w:t xml:space="preserve"> 25 </w:t>
            </w:r>
            <w:r>
              <w:rPr>
                <w:kern w:val="21"/>
              </w:rPr>
              <w:t>分</w:t>
            </w:r>
            <w:r>
              <w:rPr>
                <w:kern w:val="21"/>
                <w:u w:val="single"/>
              </w:rPr>
              <w:t xml:space="preserve"> 21.750 </w:t>
            </w:r>
            <w:r>
              <w:rPr>
                <w:kern w:val="21"/>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Align w:val="center"/>
          </w:tcPr>
          <w:p>
            <w:pPr>
              <w:spacing w:line="360" w:lineRule="auto"/>
              <w:jc w:val="center"/>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国民经济行业类别</w:t>
            </w:r>
          </w:p>
        </w:tc>
        <w:tc>
          <w:tcPr>
            <w:tcW w:w="1078" w:type="pct"/>
            <w:vAlign w:val="center"/>
          </w:tcPr>
          <w:p>
            <w:pPr>
              <w:spacing w:line="312" w:lineRule="auto"/>
              <w:jc w:val="center"/>
              <w:rPr>
                <w:szCs w:val="24"/>
              </w:rPr>
            </w:pPr>
            <w:r>
              <w:rPr>
                <w:szCs w:val="24"/>
              </w:rPr>
              <w:t>C3039其他建筑</w:t>
            </w:r>
          </w:p>
          <w:p>
            <w:pPr>
              <w:spacing w:line="312" w:lineRule="auto"/>
              <w:jc w:val="center"/>
              <w:rPr>
                <w:color w:val="000000" w:themeColor="text1"/>
                <w:kern w:val="0"/>
                <w:szCs w:val="24"/>
                <w14:textFill>
                  <w14:solidFill>
                    <w14:schemeClr w14:val="tx1"/>
                  </w14:solidFill>
                </w14:textFill>
              </w:rPr>
            </w:pPr>
            <w:r>
              <w:rPr>
                <w:szCs w:val="24"/>
              </w:rPr>
              <w:t>材料制造</w:t>
            </w:r>
          </w:p>
        </w:tc>
        <w:tc>
          <w:tcPr>
            <w:tcW w:w="1100" w:type="pct"/>
            <w:vAlign w:val="center"/>
          </w:tcPr>
          <w:p>
            <w:pPr>
              <w:spacing w:line="312" w:lineRule="auto"/>
              <w:jc w:val="center"/>
              <w:rPr>
                <w:szCs w:val="24"/>
              </w:rPr>
            </w:pPr>
            <w:r>
              <w:rPr>
                <w:szCs w:val="24"/>
              </w:rPr>
              <w:t>建设项目</w:t>
            </w:r>
          </w:p>
          <w:p>
            <w:pPr>
              <w:spacing w:line="312" w:lineRule="auto"/>
              <w:jc w:val="center"/>
              <w:rPr>
                <w:color w:val="000000" w:themeColor="text1"/>
                <w:kern w:val="0"/>
                <w:szCs w:val="24"/>
                <w14:textFill>
                  <w14:solidFill>
                    <w14:schemeClr w14:val="tx1"/>
                  </w14:solidFill>
                </w14:textFill>
              </w:rPr>
            </w:pPr>
            <w:r>
              <w:rPr>
                <w:szCs w:val="24"/>
              </w:rPr>
              <w:t>行业类别</w:t>
            </w:r>
          </w:p>
        </w:tc>
        <w:tc>
          <w:tcPr>
            <w:tcW w:w="1585" w:type="pct"/>
            <w:vAlign w:val="center"/>
          </w:tcPr>
          <w:p>
            <w:pPr>
              <w:spacing w:line="312" w:lineRule="auto"/>
              <w:jc w:val="center"/>
              <w:rPr>
                <w:color w:val="000000" w:themeColor="text1"/>
                <w:kern w:val="0"/>
                <w:szCs w:val="24"/>
                <w14:textFill>
                  <w14:solidFill>
                    <w14:schemeClr w14:val="tx1"/>
                  </w14:solidFill>
                </w14:textFill>
              </w:rPr>
            </w:pPr>
            <w:r>
              <w:rPr>
                <w:szCs w:val="24"/>
              </w:rPr>
              <w:t>56砖瓦、石材等建筑材料制造303（其他建筑材料制造）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Align w:val="center"/>
          </w:tcPr>
          <w:p>
            <w:pPr>
              <w:spacing w:line="360" w:lineRule="auto"/>
              <w:jc w:val="center"/>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建设性质</w:t>
            </w:r>
          </w:p>
        </w:tc>
        <w:tc>
          <w:tcPr>
            <w:tcW w:w="1078" w:type="pct"/>
            <w:vAlign w:val="center"/>
          </w:tcPr>
          <w:p>
            <w:pPr>
              <w:rPr>
                <w:szCs w:val="24"/>
              </w:rPr>
            </w:pPr>
            <w:r>
              <w:rPr>
                <w:szCs w:val="24"/>
              </w:rPr>
              <w:sym w:font="Wingdings 2" w:char="00A3"/>
            </w:r>
            <w:r>
              <w:rPr>
                <w:szCs w:val="24"/>
              </w:rPr>
              <w:t>新建</w:t>
            </w:r>
          </w:p>
          <w:p>
            <w:pPr>
              <w:rPr>
                <w:szCs w:val="24"/>
              </w:rPr>
            </w:pPr>
            <w:r>
              <w:rPr>
                <w:szCs w:val="24"/>
              </w:rPr>
              <w:sym w:font="Wingdings 2" w:char="00A3"/>
            </w:r>
            <w:r>
              <w:rPr>
                <w:szCs w:val="24"/>
              </w:rPr>
              <w:t>改建</w:t>
            </w:r>
          </w:p>
          <w:p>
            <w:pPr>
              <w:rPr>
                <w:szCs w:val="24"/>
              </w:rPr>
            </w:pPr>
            <w:r>
              <w:rPr>
                <w:szCs w:val="24"/>
              </w:rPr>
              <w:sym w:font="Wingdings 2" w:char="0052"/>
            </w:r>
            <w:r>
              <w:rPr>
                <w:szCs w:val="24"/>
              </w:rPr>
              <w:t>扩建</w:t>
            </w:r>
          </w:p>
          <w:p>
            <w:pPr>
              <w:rPr>
                <w:color w:val="000000" w:themeColor="text1"/>
                <w:kern w:val="0"/>
                <w:szCs w:val="36"/>
                <w14:textFill>
                  <w14:solidFill>
                    <w14:schemeClr w14:val="tx1"/>
                  </w14:solidFill>
                </w14:textFill>
              </w:rPr>
            </w:pPr>
            <w:r>
              <w:rPr>
                <w:szCs w:val="24"/>
              </w:rPr>
              <w:sym w:font="Wingdings 2" w:char="00A3"/>
            </w:r>
            <w:r>
              <w:rPr>
                <w:szCs w:val="24"/>
              </w:rPr>
              <w:t>技术改造</w:t>
            </w:r>
          </w:p>
        </w:tc>
        <w:tc>
          <w:tcPr>
            <w:tcW w:w="1100" w:type="pct"/>
            <w:vAlign w:val="center"/>
          </w:tcPr>
          <w:p>
            <w:pPr>
              <w:jc w:val="center"/>
              <w:rPr>
                <w:szCs w:val="24"/>
              </w:rPr>
            </w:pPr>
            <w:r>
              <w:rPr>
                <w:szCs w:val="24"/>
              </w:rPr>
              <w:t>建设项目</w:t>
            </w:r>
          </w:p>
          <w:p>
            <w:pPr>
              <w:jc w:val="center"/>
              <w:rPr>
                <w:color w:val="000000" w:themeColor="text1"/>
                <w:kern w:val="0"/>
                <w:szCs w:val="36"/>
                <w14:textFill>
                  <w14:solidFill>
                    <w14:schemeClr w14:val="tx1"/>
                  </w14:solidFill>
                </w14:textFill>
              </w:rPr>
            </w:pPr>
            <w:r>
              <w:rPr>
                <w:szCs w:val="24"/>
              </w:rPr>
              <w:t>申报情形</w:t>
            </w:r>
          </w:p>
        </w:tc>
        <w:tc>
          <w:tcPr>
            <w:tcW w:w="1585" w:type="pct"/>
            <w:vAlign w:val="center"/>
          </w:tcPr>
          <w:p>
            <w:pPr>
              <w:rPr>
                <w:szCs w:val="24"/>
              </w:rPr>
            </w:pPr>
            <w:r>
              <w:rPr>
                <w:szCs w:val="24"/>
              </w:rPr>
              <w:sym w:font="Wingdings 2" w:char="0052"/>
            </w:r>
            <w:r>
              <w:rPr>
                <w:szCs w:val="24"/>
              </w:rPr>
              <w:t>首次申报项目</w:t>
            </w:r>
          </w:p>
          <w:p>
            <w:pPr>
              <w:rPr>
                <w:szCs w:val="24"/>
              </w:rPr>
            </w:pPr>
            <w:r>
              <w:rPr>
                <w:szCs w:val="24"/>
              </w:rPr>
              <w:sym w:font="Wingdings 2" w:char="00A3"/>
            </w:r>
            <w:r>
              <w:rPr>
                <w:szCs w:val="24"/>
              </w:rPr>
              <w:t>不予批准后再次申报项目</w:t>
            </w:r>
          </w:p>
          <w:p>
            <w:pPr>
              <w:rPr>
                <w:szCs w:val="24"/>
              </w:rPr>
            </w:pPr>
            <w:r>
              <w:rPr>
                <w:szCs w:val="24"/>
              </w:rPr>
              <w:sym w:font="Wingdings 2" w:char="00A3"/>
            </w:r>
            <w:r>
              <w:rPr>
                <w:szCs w:val="24"/>
              </w:rPr>
              <w:t>超五年重新审核项目</w:t>
            </w:r>
          </w:p>
          <w:p>
            <w:pPr>
              <w:rPr>
                <w:color w:val="000000" w:themeColor="text1"/>
                <w:kern w:val="0"/>
                <w:szCs w:val="36"/>
                <w14:textFill>
                  <w14:solidFill>
                    <w14:schemeClr w14:val="tx1"/>
                  </w14:solidFill>
                </w14:textFill>
              </w:rPr>
            </w:pPr>
            <w:r>
              <w:rPr>
                <w:szCs w:val="24"/>
              </w:rPr>
              <w:sym w:font="Wingdings 2" w:char="00A3"/>
            </w:r>
            <w:r>
              <w:rPr>
                <w:szCs w:val="24"/>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Align w:val="center"/>
          </w:tcPr>
          <w:p>
            <w:pPr>
              <w:spacing w:line="360" w:lineRule="auto"/>
              <w:jc w:val="center"/>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项目审批（核准/备案）部门（选填）</w:t>
            </w:r>
          </w:p>
        </w:tc>
        <w:tc>
          <w:tcPr>
            <w:tcW w:w="1078" w:type="pct"/>
            <w:vAlign w:val="center"/>
          </w:tcPr>
          <w:p>
            <w:pPr>
              <w:pStyle w:val="5"/>
              <w:spacing w:after="0" w:line="360" w:lineRule="auto"/>
              <w:jc w:val="center"/>
              <w:rPr>
                <w:color w:val="000000" w:themeColor="text1"/>
                <w:szCs w:val="36"/>
                <w14:textFill>
                  <w14:solidFill>
                    <w14:schemeClr w14:val="tx1"/>
                  </w14:solidFill>
                </w14:textFill>
              </w:rPr>
            </w:pPr>
            <w:r>
              <w:rPr>
                <w:rFonts w:hint="eastAsia"/>
                <w:color w:val="000000" w:themeColor="text1"/>
                <w:szCs w:val="36"/>
                <w14:textFill>
                  <w14:solidFill>
                    <w14:schemeClr w14:val="tx1"/>
                  </w14:solidFill>
                </w14:textFill>
              </w:rPr>
              <w:t>/</w:t>
            </w:r>
          </w:p>
        </w:tc>
        <w:tc>
          <w:tcPr>
            <w:tcW w:w="1100" w:type="pct"/>
            <w:vAlign w:val="center"/>
          </w:tcPr>
          <w:p>
            <w:pPr>
              <w:spacing w:line="360" w:lineRule="auto"/>
              <w:jc w:val="center"/>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项目审批（核准/</w:t>
            </w:r>
          </w:p>
          <w:p>
            <w:pPr>
              <w:spacing w:line="360" w:lineRule="auto"/>
              <w:jc w:val="center"/>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备案）文号（选填）</w:t>
            </w:r>
          </w:p>
        </w:tc>
        <w:tc>
          <w:tcPr>
            <w:tcW w:w="1585" w:type="pct"/>
            <w:vAlign w:val="center"/>
          </w:tcPr>
          <w:p>
            <w:pPr>
              <w:spacing w:line="360" w:lineRule="auto"/>
              <w:jc w:val="center"/>
              <w:rPr>
                <w:color w:val="000000" w:themeColor="text1"/>
                <w:kern w:val="0"/>
                <w:szCs w:val="24"/>
                <w14:textFill>
                  <w14:solidFill>
                    <w14:schemeClr w14:val="tx1"/>
                  </w14:solidFill>
                </w14:textFill>
              </w:rPr>
            </w:pPr>
            <w:r>
              <w:rPr>
                <w:rFonts w:hint="eastAsia"/>
                <w:color w:val="000000" w:themeColor="text1"/>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Align w:val="center"/>
          </w:tcPr>
          <w:p>
            <w:pPr>
              <w:spacing w:line="360" w:lineRule="auto"/>
              <w:jc w:val="center"/>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总投资（万元）</w:t>
            </w:r>
          </w:p>
        </w:tc>
        <w:tc>
          <w:tcPr>
            <w:tcW w:w="1078" w:type="pct"/>
            <w:vAlign w:val="center"/>
          </w:tcPr>
          <w:p>
            <w:pPr>
              <w:spacing w:line="312" w:lineRule="auto"/>
              <w:jc w:val="center"/>
              <w:rPr>
                <w:color w:val="000000" w:themeColor="text1"/>
                <w:szCs w:val="36"/>
                <w14:textFill>
                  <w14:solidFill>
                    <w14:schemeClr w14:val="tx1"/>
                  </w14:solidFill>
                </w14:textFill>
              </w:rPr>
            </w:pPr>
            <w:r>
              <w:rPr>
                <w:rFonts w:hint="eastAsia"/>
                <w:szCs w:val="24"/>
              </w:rPr>
              <w:t>180</w:t>
            </w:r>
          </w:p>
        </w:tc>
        <w:tc>
          <w:tcPr>
            <w:tcW w:w="1100" w:type="pct"/>
            <w:vAlign w:val="center"/>
          </w:tcPr>
          <w:p>
            <w:pPr>
              <w:spacing w:line="312" w:lineRule="auto"/>
              <w:jc w:val="center"/>
              <w:rPr>
                <w:szCs w:val="24"/>
              </w:rPr>
            </w:pPr>
            <w:r>
              <w:rPr>
                <w:szCs w:val="24"/>
              </w:rPr>
              <w:t>环保投资</w:t>
            </w:r>
          </w:p>
          <w:p>
            <w:pPr>
              <w:spacing w:line="312" w:lineRule="auto"/>
              <w:jc w:val="center"/>
              <w:rPr>
                <w:color w:val="000000" w:themeColor="text1"/>
                <w:kern w:val="0"/>
                <w:szCs w:val="24"/>
                <w14:textFill>
                  <w14:solidFill>
                    <w14:schemeClr w14:val="tx1"/>
                  </w14:solidFill>
                </w14:textFill>
              </w:rPr>
            </w:pPr>
            <w:r>
              <w:rPr>
                <w:szCs w:val="24"/>
              </w:rPr>
              <w:t>（万元）</w:t>
            </w:r>
          </w:p>
        </w:tc>
        <w:tc>
          <w:tcPr>
            <w:tcW w:w="1585" w:type="pct"/>
            <w:vAlign w:val="center"/>
          </w:tcPr>
          <w:p>
            <w:pPr>
              <w:spacing w:line="312" w:lineRule="auto"/>
              <w:jc w:val="center"/>
              <w:rPr>
                <w:color w:val="000000" w:themeColor="text1"/>
                <w:szCs w:val="36"/>
                <w14:textFill>
                  <w14:solidFill>
                    <w14:schemeClr w14:val="tx1"/>
                  </w14:solidFill>
                </w14:textFill>
              </w:rPr>
            </w:pPr>
            <w:r>
              <w:rPr>
                <w:rFonts w:hint="eastAsia"/>
                <w:color w:val="000000" w:themeColor="text1"/>
                <w:szCs w:val="36"/>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Align w:val="center"/>
          </w:tcPr>
          <w:p>
            <w:pPr>
              <w:spacing w:line="360" w:lineRule="auto"/>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环保投资占比（%）</w:t>
            </w:r>
          </w:p>
        </w:tc>
        <w:tc>
          <w:tcPr>
            <w:tcW w:w="1078" w:type="pct"/>
            <w:vAlign w:val="center"/>
          </w:tcPr>
          <w:p>
            <w:pPr>
              <w:spacing w:line="312" w:lineRule="auto"/>
              <w:jc w:val="center"/>
              <w:rPr>
                <w:color w:val="000000" w:themeColor="text1"/>
                <w:szCs w:val="36"/>
                <w14:textFill>
                  <w14:solidFill>
                    <w14:schemeClr w14:val="tx1"/>
                  </w14:solidFill>
                </w14:textFill>
              </w:rPr>
            </w:pPr>
            <w:r>
              <w:rPr>
                <w:rFonts w:hint="eastAsia"/>
                <w:color w:val="000000" w:themeColor="text1"/>
                <w:szCs w:val="36"/>
                <w14:textFill>
                  <w14:solidFill>
                    <w14:schemeClr w14:val="tx1"/>
                  </w14:solidFill>
                </w14:textFill>
              </w:rPr>
              <w:t>25</w:t>
            </w:r>
          </w:p>
        </w:tc>
        <w:tc>
          <w:tcPr>
            <w:tcW w:w="1100" w:type="pct"/>
            <w:vAlign w:val="center"/>
          </w:tcPr>
          <w:p>
            <w:pPr>
              <w:spacing w:line="312" w:lineRule="auto"/>
              <w:jc w:val="center"/>
              <w:rPr>
                <w:color w:val="000000" w:themeColor="text1"/>
                <w:kern w:val="0"/>
                <w:szCs w:val="24"/>
                <w14:textFill>
                  <w14:solidFill>
                    <w14:schemeClr w14:val="tx1"/>
                  </w14:solidFill>
                </w14:textFill>
              </w:rPr>
            </w:pPr>
            <w:r>
              <w:rPr>
                <w:szCs w:val="24"/>
              </w:rPr>
              <w:t>施工工期</w:t>
            </w:r>
          </w:p>
        </w:tc>
        <w:tc>
          <w:tcPr>
            <w:tcW w:w="1585" w:type="pct"/>
            <w:vAlign w:val="center"/>
          </w:tcPr>
          <w:p>
            <w:pPr>
              <w:spacing w:line="312" w:lineRule="auto"/>
              <w:jc w:val="center"/>
              <w:rPr>
                <w:color w:val="000000" w:themeColor="text1"/>
                <w:szCs w:val="36"/>
                <w14:textFill>
                  <w14:solidFill>
                    <w14:schemeClr w14:val="tx1"/>
                  </w14:solidFill>
                </w14:textFill>
              </w:rPr>
            </w:pPr>
            <w:r>
              <w:rPr>
                <w:rFonts w:hint="eastAsia"/>
                <w:szCs w:val="24"/>
              </w:rPr>
              <w:t>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Align w:val="center"/>
          </w:tcPr>
          <w:p>
            <w:pPr>
              <w:spacing w:line="360" w:lineRule="auto"/>
              <w:jc w:val="center"/>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是否开工建设</w:t>
            </w:r>
          </w:p>
        </w:tc>
        <w:tc>
          <w:tcPr>
            <w:tcW w:w="1078" w:type="pct"/>
            <w:vAlign w:val="center"/>
          </w:tcPr>
          <w:p>
            <w:pPr>
              <w:spacing w:line="312" w:lineRule="auto"/>
              <w:rPr>
                <w:szCs w:val="24"/>
              </w:rPr>
            </w:pPr>
            <w:r>
              <w:rPr>
                <w:szCs w:val="24"/>
              </w:rPr>
              <w:sym w:font="Wingdings 2" w:char="00A3"/>
            </w:r>
            <w:r>
              <w:rPr>
                <w:szCs w:val="24"/>
              </w:rPr>
              <w:t>否</w:t>
            </w:r>
          </w:p>
          <w:p>
            <w:pPr>
              <w:rPr>
                <w:color w:val="000000" w:themeColor="text1"/>
                <w:szCs w:val="36"/>
                <w14:textFill>
                  <w14:solidFill>
                    <w14:schemeClr w14:val="tx1"/>
                  </w14:solidFill>
                </w14:textFill>
              </w:rPr>
            </w:pPr>
            <w:r>
              <w:rPr>
                <w:szCs w:val="24"/>
              </w:rPr>
              <w:sym w:font="Wingdings 2" w:char="0052"/>
            </w:r>
            <w:r>
              <w:rPr>
                <w:szCs w:val="24"/>
              </w:rPr>
              <w:t>是：</w:t>
            </w:r>
            <w:r>
              <w:rPr>
                <w:spacing w:val="1"/>
                <w:u w:val="single"/>
              </w:rPr>
              <w:t>项目已于</w:t>
            </w:r>
            <w:r>
              <w:rPr>
                <w:u w:val="single"/>
              </w:rPr>
              <w:t xml:space="preserve"> </w:t>
            </w:r>
            <w:r>
              <w:rPr>
                <w:rFonts w:eastAsia="Times New Roman"/>
                <w:spacing w:val="-3"/>
                <w:u w:val="single"/>
              </w:rPr>
              <w:t>2023</w:t>
            </w:r>
            <w:r>
              <w:rPr>
                <w:rFonts w:eastAsia="Times New Roman"/>
                <w:spacing w:val="20"/>
                <w:u w:val="single"/>
              </w:rPr>
              <w:t xml:space="preserve"> </w:t>
            </w:r>
            <w:r>
              <w:rPr>
                <w:spacing w:val="-3"/>
                <w:u w:val="single"/>
              </w:rPr>
              <w:t>年</w:t>
            </w:r>
            <w:r>
              <w:rPr>
                <w:spacing w:val="-36"/>
                <w:u w:val="single"/>
              </w:rPr>
              <w:t xml:space="preserve"> </w:t>
            </w:r>
            <w:r>
              <w:rPr>
                <w:rFonts w:eastAsia="Times New Roman"/>
                <w:spacing w:val="-3"/>
                <w:u w:val="single"/>
              </w:rPr>
              <w:t>2</w:t>
            </w:r>
            <w:r>
              <w:rPr>
                <w:rFonts w:eastAsia="Times New Roman"/>
                <w:spacing w:val="24"/>
                <w:w w:val="101"/>
                <w:u w:val="single"/>
              </w:rPr>
              <w:t xml:space="preserve"> </w:t>
            </w:r>
            <w:r>
              <w:rPr>
                <w:spacing w:val="-3"/>
                <w:u w:val="single"/>
              </w:rPr>
              <w:t>月动工</w:t>
            </w:r>
            <w:r>
              <w:rPr>
                <w:u w:val="single"/>
              </w:rPr>
              <w:t xml:space="preserve"> </w:t>
            </w:r>
            <w:r>
              <w:rPr>
                <w:spacing w:val="15"/>
                <w:u w:val="single"/>
              </w:rPr>
              <w:t>建设，</w:t>
            </w:r>
            <w:r>
              <w:rPr>
                <w:rFonts w:hint="eastAsia"/>
                <w:spacing w:val="15"/>
                <w:u w:val="single"/>
              </w:rPr>
              <w:t>在原有砂石厂进行了扩能建设，但未办理环评手续</w:t>
            </w:r>
            <w:r>
              <w:rPr>
                <w:spacing w:val="7"/>
                <w:u w:val="single"/>
              </w:rPr>
              <w:t>。项目涉嫌未</w:t>
            </w:r>
            <w:r>
              <w:rPr>
                <w:spacing w:val="15"/>
                <w:u w:val="single"/>
              </w:rPr>
              <w:t>批先建违法，达州市生态环境局以《行政处罚</w:t>
            </w:r>
            <w:r>
              <w:rPr>
                <w:rFonts w:hint="eastAsia"/>
                <w:spacing w:val="15"/>
                <w:u w:val="single"/>
              </w:rPr>
              <w:t>事先告知书</w:t>
            </w:r>
            <w:r>
              <w:rPr>
                <w:spacing w:val="9"/>
                <w:u w:val="single"/>
              </w:rPr>
              <w:t>》</w:t>
            </w:r>
            <w:r>
              <w:rPr>
                <w:spacing w:val="-79"/>
                <w:u w:val="single"/>
              </w:rPr>
              <w:t xml:space="preserve"> </w:t>
            </w:r>
            <w:r>
              <w:rPr>
                <w:spacing w:val="9"/>
                <w:u w:val="single"/>
              </w:rPr>
              <w:t>（达市环</w:t>
            </w:r>
            <w:r>
              <w:rPr>
                <w:spacing w:val="-6"/>
                <w:u w:val="single"/>
              </w:rPr>
              <w:t>罚</w:t>
            </w:r>
            <w:r>
              <w:rPr>
                <w:rFonts w:hint="eastAsia"/>
                <w:spacing w:val="-6"/>
                <w:u w:val="single"/>
              </w:rPr>
              <w:t>告</w:t>
            </w:r>
            <w:r>
              <w:rPr>
                <w:spacing w:val="-34"/>
                <w:u w:val="single"/>
              </w:rPr>
              <w:t xml:space="preserve"> </w:t>
            </w:r>
            <w:r>
              <w:rPr>
                <w:spacing w:val="-6"/>
                <w:u w:val="single"/>
              </w:rPr>
              <w:t>〔</w:t>
            </w:r>
            <w:r>
              <w:rPr>
                <w:spacing w:val="-22"/>
                <w:u w:val="single"/>
              </w:rPr>
              <w:t xml:space="preserve"> </w:t>
            </w:r>
            <w:r>
              <w:rPr>
                <w:spacing w:val="-6"/>
                <w:u w:val="single"/>
              </w:rPr>
              <w:t>2023</w:t>
            </w:r>
            <w:r>
              <w:rPr>
                <w:spacing w:val="-31"/>
                <w:u w:val="single"/>
              </w:rPr>
              <w:t xml:space="preserve"> </w:t>
            </w:r>
            <w:r>
              <w:rPr>
                <w:spacing w:val="-6"/>
                <w:u w:val="single"/>
              </w:rPr>
              <w:t>〕</w:t>
            </w:r>
            <w:r>
              <w:rPr>
                <w:spacing w:val="-11"/>
                <w:u w:val="single"/>
              </w:rPr>
              <w:t>195号</w:t>
            </w:r>
            <w:r>
              <w:rPr>
                <w:spacing w:val="-52"/>
                <w:u w:val="single"/>
              </w:rPr>
              <w:t xml:space="preserve"> </w:t>
            </w:r>
            <w:r>
              <w:rPr>
                <w:spacing w:val="-11"/>
                <w:u w:val="single"/>
              </w:rPr>
              <w:t>）进</w:t>
            </w:r>
            <w:r>
              <w:rPr>
                <w:spacing w:val="-71"/>
                <w:u w:val="single"/>
              </w:rPr>
              <w:t xml:space="preserve"> </w:t>
            </w:r>
            <w:r>
              <w:rPr>
                <w:spacing w:val="-11"/>
                <w:u w:val="single"/>
              </w:rPr>
              <w:t>行了</w:t>
            </w:r>
            <w:r>
              <w:rPr>
                <w:spacing w:val="6"/>
                <w:u w:val="single"/>
              </w:rPr>
              <w:t>行政处罚</w:t>
            </w:r>
            <w:r>
              <w:rPr>
                <w:spacing w:val="-64"/>
                <w:u w:val="single"/>
              </w:rPr>
              <w:t xml:space="preserve"> </w:t>
            </w:r>
            <w:r>
              <w:rPr>
                <w:spacing w:val="6"/>
                <w:u w:val="single"/>
              </w:rPr>
              <w:t>。建设</w:t>
            </w:r>
            <w:r>
              <w:rPr>
                <w:spacing w:val="14"/>
                <w:u w:val="single"/>
              </w:rPr>
              <w:t>单位已如数缴纳了罚款，完善了</w:t>
            </w:r>
            <w:r>
              <w:rPr>
                <w:spacing w:val="3"/>
                <w:u w:val="single"/>
              </w:rPr>
              <w:t>处罚手续。</w:t>
            </w:r>
          </w:p>
        </w:tc>
        <w:tc>
          <w:tcPr>
            <w:tcW w:w="1100" w:type="pct"/>
            <w:vAlign w:val="center"/>
          </w:tcPr>
          <w:p>
            <w:pPr>
              <w:spacing w:line="312" w:lineRule="auto"/>
              <w:jc w:val="center"/>
              <w:rPr>
                <w:szCs w:val="24"/>
              </w:rPr>
            </w:pPr>
            <w:r>
              <w:rPr>
                <w:szCs w:val="24"/>
              </w:rPr>
              <w:t>用地（用海）</w:t>
            </w:r>
          </w:p>
          <w:p>
            <w:pPr>
              <w:spacing w:line="312" w:lineRule="auto"/>
              <w:jc w:val="center"/>
              <w:rPr>
                <w:color w:val="000000" w:themeColor="text1"/>
                <w:kern w:val="0"/>
                <w:szCs w:val="24"/>
                <w14:textFill>
                  <w14:solidFill>
                    <w14:schemeClr w14:val="tx1"/>
                  </w14:solidFill>
                </w14:textFill>
              </w:rPr>
            </w:pPr>
            <w:r>
              <w:rPr>
                <w:szCs w:val="24"/>
              </w:rPr>
              <w:t>面积（m</w:t>
            </w:r>
            <w:r>
              <w:rPr>
                <w:szCs w:val="24"/>
                <w:vertAlign w:val="superscript"/>
              </w:rPr>
              <w:t>2</w:t>
            </w:r>
            <w:r>
              <w:rPr>
                <w:szCs w:val="24"/>
              </w:rPr>
              <w:t>）</w:t>
            </w:r>
          </w:p>
        </w:tc>
        <w:tc>
          <w:tcPr>
            <w:tcW w:w="1585" w:type="pct"/>
            <w:vAlign w:val="center"/>
          </w:tcPr>
          <w:p>
            <w:pPr>
              <w:spacing w:line="312" w:lineRule="auto"/>
              <w:jc w:val="center"/>
              <w:rPr>
                <w:color w:val="000000" w:themeColor="text1"/>
                <w:szCs w:val="36"/>
                <w14:textFill>
                  <w14:solidFill>
                    <w14:schemeClr w14:val="tx1"/>
                  </w14:solidFill>
                </w14:textFill>
              </w:rPr>
            </w:pPr>
            <w:r>
              <w:rPr>
                <w:szCs w:val="24"/>
              </w:rPr>
              <w:t>40</w:t>
            </w:r>
            <w:r>
              <w:rPr>
                <w:rFonts w:hint="eastAsia"/>
                <w:szCs w:val="24"/>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Align w:val="center"/>
          </w:tcPr>
          <w:p>
            <w:pPr>
              <w:spacing w:line="360" w:lineRule="auto"/>
              <w:jc w:val="center"/>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专项评价设置情况</w:t>
            </w:r>
          </w:p>
        </w:tc>
        <w:tc>
          <w:tcPr>
            <w:tcW w:w="3763" w:type="pct"/>
            <w:gridSpan w:val="3"/>
          </w:tcPr>
          <w:p>
            <w:pPr>
              <w:pStyle w:val="5"/>
              <w:spacing w:after="0" w:line="360" w:lineRule="auto"/>
              <w:ind w:firstLine="482" w:firstLineChars="200"/>
              <w:rPr>
                <w:b/>
                <w:bCs/>
                <w:color w:val="000000" w:themeColor="text1"/>
                <w:szCs w:val="36"/>
                <w14:textFill>
                  <w14:solidFill>
                    <w14:schemeClr w14:val="tx1"/>
                  </w14:solidFill>
                </w14:textFill>
              </w:rPr>
            </w:pPr>
            <w:r>
              <w:rPr>
                <w:rFonts w:hint="eastAsia"/>
                <w:b/>
                <w:bCs/>
                <w:color w:val="000000" w:themeColor="text1"/>
                <w:szCs w:val="36"/>
                <w14:textFill>
                  <w14:solidFill>
                    <w14:schemeClr w14:val="tx1"/>
                  </w14:solidFill>
                </w14:textFill>
              </w:rPr>
              <w:t>无。</w:t>
            </w:r>
          </w:p>
          <w:p>
            <w:pPr>
              <w:pStyle w:val="5"/>
              <w:spacing w:after="0" w:line="360" w:lineRule="auto"/>
              <w:ind w:firstLine="480" w:firstLineChars="200"/>
              <w:rPr>
                <w:color w:val="000000" w:themeColor="text1"/>
                <w:szCs w:val="36"/>
                <w14:textFill>
                  <w14:solidFill>
                    <w14:schemeClr w14:val="tx1"/>
                  </w14:solidFill>
                </w14:textFill>
              </w:rPr>
            </w:pPr>
            <w:r>
              <w:rPr>
                <w:rFonts w:hint="eastAsia"/>
                <w:color w:val="000000" w:themeColor="text1"/>
                <w:szCs w:val="36"/>
                <w14:textFill>
                  <w14:solidFill>
                    <w14:schemeClr w14:val="tx1"/>
                  </w14:solidFill>
                </w14:textFill>
              </w:rPr>
              <w:t>本项目专项评价设置情况见下表。</w:t>
            </w:r>
          </w:p>
          <w:p>
            <w:pPr>
              <w:autoSpaceDE w:val="0"/>
              <w:autoSpaceDN w:val="0"/>
              <w:adjustRightInd w:val="0"/>
              <w:snapToGrid w:val="0"/>
              <w:spacing w:line="360" w:lineRule="auto"/>
              <w:jc w:val="center"/>
              <w:rPr>
                <w:rFonts w:eastAsia="黑体"/>
                <w:b/>
                <w:bCs/>
                <w:color w:val="000000" w:themeColor="text1"/>
                <w:kern w:val="0"/>
                <w:sz w:val="20"/>
                <w14:textFill>
                  <w14:solidFill>
                    <w14:schemeClr w14:val="tx1"/>
                  </w14:solidFill>
                </w14:textFill>
              </w:rPr>
            </w:pPr>
            <w:r>
              <w:rPr>
                <w:rFonts w:hint="eastAsia" w:eastAsia="黑体"/>
                <w:b/>
                <w:bCs/>
                <w:color w:val="000000" w:themeColor="text1"/>
                <w:kern w:val="0"/>
                <w:sz w:val="20"/>
                <w14:textFill>
                  <w14:solidFill>
                    <w14:schemeClr w14:val="tx1"/>
                  </w14:solidFill>
                </w14:textFill>
              </w:rPr>
              <w:t>表1 本项目专项评价设置情况</w:t>
            </w:r>
          </w:p>
          <w:tbl>
            <w:tblPr>
              <w:tblStyle w:val="15"/>
              <w:tblW w:w="7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3068"/>
              <w:gridCol w:w="2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jc w:val="center"/>
              </w:trPr>
              <w:tc>
                <w:tcPr>
                  <w:tcW w:w="787" w:type="pct"/>
                  <w:vAlign w:val="center"/>
                </w:tcPr>
                <w:p>
                  <w:pPr>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专项</w:t>
                  </w:r>
                  <w:r>
                    <w:rPr>
                      <w:b/>
                      <w:bCs/>
                      <w:color w:val="000000" w:themeColor="text1"/>
                      <w:sz w:val="21"/>
                      <w14:textFill>
                        <w14:solidFill>
                          <w14:schemeClr w14:val="tx1"/>
                        </w14:solidFill>
                      </w14:textFill>
                    </w:rPr>
                    <w:t>评价的类别</w:t>
                  </w:r>
                </w:p>
              </w:tc>
              <w:tc>
                <w:tcPr>
                  <w:tcW w:w="2132" w:type="pct"/>
                  <w:vAlign w:val="center"/>
                </w:tcPr>
                <w:p>
                  <w:pPr>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设置原则</w:t>
                  </w:r>
                </w:p>
              </w:tc>
              <w:tc>
                <w:tcPr>
                  <w:tcW w:w="2080" w:type="pct"/>
                  <w:vAlign w:val="center"/>
                </w:tcPr>
                <w:p>
                  <w:pPr>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本项目</w:t>
                  </w:r>
                  <w:r>
                    <w:rPr>
                      <w:b/>
                      <w:bCs/>
                      <w:color w:val="000000" w:themeColor="text1"/>
                      <w:sz w:val="21"/>
                      <w14:textFill>
                        <w14:solidFill>
                          <w14:schemeClr w14:val="tx1"/>
                        </w14:solidFill>
                      </w14:textFill>
                    </w:rPr>
                    <w:t>设置情况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7"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大气</w:t>
                  </w:r>
                </w:p>
              </w:tc>
              <w:tc>
                <w:tcPr>
                  <w:tcW w:w="2132"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排放</w:t>
                  </w:r>
                  <w:r>
                    <w:rPr>
                      <w:color w:val="000000" w:themeColor="text1"/>
                      <w:sz w:val="21"/>
                      <w14:textFill>
                        <w14:solidFill>
                          <w14:schemeClr w14:val="tx1"/>
                        </w14:solidFill>
                      </w14:textFill>
                    </w:rPr>
                    <w:t>废气含</w:t>
                  </w:r>
                  <w:r>
                    <w:rPr>
                      <w:rFonts w:hint="eastAsia"/>
                      <w:color w:val="000000" w:themeColor="text1"/>
                      <w:sz w:val="21"/>
                      <w14:textFill>
                        <w14:solidFill>
                          <w14:schemeClr w14:val="tx1"/>
                        </w14:solidFill>
                      </w14:textFill>
                    </w:rPr>
                    <w:t>有毒有害</w:t>
                  </w:r>
                  <w:r>
                    <w:rPr>
                      <w:color w:val="000000" w:themeColor="text1"/>
                      <w:sz w:val="21"/>
                      <w14:textFill>
                        <w14:solidFill>
                          <w14:schemeClr w14:val="tx1"/>
                        </w14:solidFill>
                      </w14:textFill>
                    </w:rPr>
                    <w:t>污染物</w:t>
                  </w:r>
                  <w:r>
                    <w:rPr>
                      <w:rFonts w:hint="eastAsia"/>
                      <w:color w:val="000000" w:themeColor="text1"/>
                      <w:sz w:val="21"/>
                      <w:vertAlign w:val="superscript"/>
                      <w14:textFill>
                        <w14:solidFill>
                          <w14:schemeClr w14:val="tx1"/>
                        </w14:solidFill>
                      </w14:textFill>
                    </w:rPr>
                    <w:t>1</w:t>
                  </w:r>
                  <w:r>
                    <w:rPr>
                      <w:color w:val="000000" w:themeColor="text1"/>
                      <w:sz w:val="21"/>
                      <w14:textFill>
                        <w14:solidFill>
                          <w14:schemeClr w14:val="tx1"/>
                        </w14:solidFill>
                      </w14:textFill>
                    </w:rPr>
                    <w:t>、二噁英、苯并</w:t>
                  </w:r>
                  <w:r>
                    <w:rPr>
                      <w:rFonts w:hint="eastAsia"/>
                      <w:color w:val="000000" w:themeColor="text1"/>
                      <w:sz w:val="21"/>
                      <w14:textFill>
                        <w14:solidFill>
                          <w14:schemeClr w14:val="tx1"/>
                        </w14:solidFill>
                      </w14:textFill>
                    </w:rPr>
                    <w:t>〔</w:t>
                  </w:r>
                  <w:r>
                    <w:rPr>
                      <w:color w:val="000000" w:themeColor="text1"/>
                      <w:sz w:val="21"/>
                      <w14:textFill>
                        <w14:solidFill>
                          <w14:schemeClr w14:val="tx1"/>
                        </w14:solidFill>
                      </w14:textFill>
                    </w:rPr>
                    <w:t>a</w:t>
                  </w:r>
                  <w:r>
                    <w:rPr>
                      <w:rFonts w:hint="eastAsia"/>
                      <w:color w:val="000000" w:themeColor="text1"/>
                      <w:sz w:val="21"/>
                      <w14:textFill>
                        <w14:solidFill>
                          <w14:schemeClr w14:val="tx1"/>
                        </w14:solidFill>
                      </w14:textFill>
                    </w:rPr>
                    <w:t>〕</w:t>
                  </w:r>
                  <w:r>
                    <w:rPr>
                      <w:color w:val="000000" w:themeColor="text1"/>
                      <w:sz w:val="21"/>
                      <w14:textFill>
                        <w14:solidFill>
                          <w14:schemeClr w14:val="tx1"/>
                        </w14:solidFill>
                      </w14:textFill>
                    </w:rPr>
                    <w:t>芘</w:t>
                  </w:r>
                  <w:r>
                    <w:rPr>
                      <w:rFonts w:hint="eastAsia"/>
                      <w:color w:val="000000" w:themeColor="text1"/>
                      <w:sz w:val="21"/>
                      <w14:textFill>
                        <w14:solidFill>
                          <w14:schemeClr w14:val="tx1"/>
                        </w14:solidFill>
                      </w14:textFill>
                    </w:rPr>
                    <w:t>、氰化物</w:t>
                  </w:r>
                  <w:r>
                    <w:rPr>
                      <w:color w:val="000000" w:themeColor="text1"/>
                      <w:sz w:val="21"/>
                      <w14:textFill>
                        <w14:solidFill>
                          <w14:schemeClr w14:val="tx1"/>
                        </w14:solidFill>
                      </w14:textFill>
                    </w:rPr>
                    <w:t>、氯气且厂界外</w:t>
                  </w:r>
                  <w:r>
                    <w:rPr>
                      <w:rFonts w:hint="eastAsia"/>
                      <w:color w:val="000000" w:themeColor="text1"/>
                      <w:sz w:val="21"/>
                      <w14:textFill>
                        <w14:solidFill>
                          <w14:schemeClr w14:val="tx1"/>
                        </w14:solidFill>
                      </w14:textFill>
                    </w:rPr>
                    <w:t>500米</w:t>
                  </w:r>
                  <w:r>
                    <w:rPr>
                      <w:color w:val="000000" w:themeColor="text1"/>
                      <w:sz w:val="21"/>
                      <w14:textFill>
                        <w14:solidFill>
                          <w14:schemeClr w14:val="tx1"/>
                        </w14:solidFill>
                      </w14:textFill>
                    </w:rPr>
                    <w:t>范围内</w:t>
                  </w:r>
                  <w:r>
                    <w:rPr>
                      <w:rFonts w:hint="eastAsia"/>
                      <w:color w:val="000000" w:themeColor="text1"/>
                      <w:sz w:val="21"/>
                      <w14:textFill>
                        <w14:solidFill>
                          <w14:schemeClr w14:val="tx1"/>
                        </w14:solidFill>
                      </w14:textFill>
                    </w:rPr>
                    <w:t>有</w:t>
                  </w:r>
                  <w:r>
                    <w:rPr>
                      <w:color w:val="000000" w:themeColor="text1"/>
                      <w:sz w:val="21"/>
                      <w14:textFill>
                        <w14:solidFill>
                          <w14:schemeClr w14:val="tx1"/>
                        </w14:solidFill>
                      </w14:textFill>
                    </w:rPr>
                    <w:t>环境空气保护目标</w:t>
                  </w:r>
                  <w:r>
                    <w:rPr>
                      <w:rFonts w:hint="eastAsia"/>
                      <w:color w:val="000000" w:themeColor="text1"/>
                      <w:sz w:val="21"/>
                      <w:vertAlign w:val="superscript"/>
                      <w14:textFill>
                        <w14:solidFill>
                          <w14:schemeClr w14:val="tx1"/>
                        </w14:solidFill>
                      </w14:textFill>
                    </w:rPr>
                    <w:t>2</w:t>
                  </w:r>
                  <w:r>
                    <w:rPr>
                      <w:color w:val="000000" w:themeColor="text1"/>
                      <w:sz w:val="21"/>
                      <w14:textFill>
                        <w14:solidFill>
                          <w14:schemeClr w14:val="tx1"/>
                        </w14:solidFill>
                      </w14:textFill>
                    </w:rPr>
                    <w:t>的建设项目</w:t>
                  </w:r>
                </w:p>
              </w:tc>
              <w:tc>
                <w:tcPr>
                  <w:tcW w:w="2080"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本项目</w:t>
                  </w:r>
                  <w:r>
                    <w:rPr>
                      <w:color w:val="000000" w:themeColor="text1"/>
                      <w:sz w:val="21"/>
                      <w14:textFill>
                        <w14:solidFill>
                          <w14:schemeClr w14:val="tx1"/>
                        </w14:solidFill>
                      </w14:textFill>
                    </w:rPr>
                    <w:t>不涉及</w:t>
                  </w:r>
                  <w:r>
                    <w:rPr>
                      <w:rFonts w:hint="eastAsia"/>
                      <w:color w:val="000000" w:themeColor="text1"/>
                      <w:sz w:val="21"/>
                      <w14:textFill>
                        <w14:solidFill>
                          <w14:schemeClr w14:val="tx1"/>
                        </w14:solidFill>
                      </w14:textFill>
                    </w:rPr>
                    <w:t>有毒有害</w:t>
                  </w:r>
                  <w:r>
                    <w:rPr>
                      <w:color w:val="000000" w:themeColor="text1"/>
                      <w:sz w:val="21"/>
                      <w14:textFill>
                        <w14:solidFill>
                          <w14:schemeClr w14:val="tx1"/>
                        </w14:solidFill>
                      </w14:textFill>
                    </w:rPr>
                    <w:t>污染物、二噁英、苯并</w:t>
                  </w:r>
                  <w:r>
                    <w:rPr>
                      <w:rFonts w:hint="eastAsia"/>
                      <w:color w:val="000000" w:themeColor="text1"/>
                      <w:sz w:val="21"/>
                      <w14:textFill>
                        <w14:solidFill>
                          <w14:schemeClr w14:val="tx1"/>
                        </w14:solidFill>
                      </w14:textFill>
                    </w:rPr>
                    <w:t>〔</w:t>
                  </w:r>
                  <w:r>
                    <w:rPr>
                      <w:color w:val="000000" w:themeColor="text1"/>
                      <w:sz w:val="21"/>
                      <w14:textFill>
                        <w14:solidFill>
                          <w14:schemeClr w14:val="tx1"/>
                        </w14:solidFill>
                      </w14:textFill>
                    </w:rPr>
                    <w:t>a</w:t>
                  </w:r>
                  <w:r>
                    <w:rPr>
                      <w:rFonts w:hint="eastAsia"/>
                      <w:color w:val="000000" w:themeColor="text1"/>
                      <w:sz w:val="21"/>
                      <w14:textFill>
                        <w14:solidFill>
                          <w14:schemeClr w14:val="tx1"/>
                        </w14:solidFill>
                      </w14:textFill>
                    </w:rPr>
                    <w:t>〕</w:t>
                  </w:r>
                  <w:r>
                    <w:rPr>
                      <w:color w:val="000000" w:themeColor="text1"/>
                      <w:sz w:val="21"/>
                      <w14:textFill>
                        <w14:solidFill>
                          <w14:schemeClr w14:val="tx1"/>
                        </w14:solidFill>
                      </w14:textFill>
                    </w:rPr>
                    <w:t>芘</w:t>
                  </w:r>
                  <w:r>
                    <w:rPr>
                      <w:rFonts w:hint="eastAsia"/>
                      <w:color w:val="000000" w:themeColor="text1"/>
                      <w:sz w:val="21"/>
                      <w14:textFill>
                        <w14:solidFill>
                          <w14:schemeClr w14:val="tx1"/>
                        </w14:solidFill>
                      </w14:textFill>
                    </w:rPr>
                    <w:t>、氰化物</w:t>
                  </w:r>
                  <w:r>
                    <w:rPr>
                      <w:color w:val="000000" w:themeColor="text1"/>
                      <w:sz w:val="21"/>
                      <w14:textFill>
                        <w14:solidFill>
                          <w14:schemeClr w14:val="tx1"/>
                        </w14:solidFill>
                      </w14:textFill>
                    </w:rPr>
                    <w:t>、氯气</w:t>
                  </w:r>
                  <w:r>
                    <w:rPr>
                      <w:rFonts w:hint="eastAsia"/>
                      <w:color w:val="000000" w:themeColor="text1"/>
                      <w:sz w:val="21"/>
                      <w14:textFill>
                        <w14:solidFill>
                          <w14:schemeClr w14:val="tx1"/>
                        </w14:solidFill>
                      </w14:textFill>
                    </w:rPr>
                    <w:t>的</w:t>
                  </w:r>
                  <w:r>
                    <w:rPr>
                      <w:color w:val="000000" w:themeColor="text1"/>
                      <w:sz w:val="21"/>
                      <w14:textFill>
                        <w14:solidFill>
                          <w14:schemeClr w14:val="tx1"/>
                        </w14:solidFill>
                      </w14:textFill>
                    </w:rPr>
                    <w:t>排放</w:t>
                  </w:r>
                  <w:r>
                    <w:rPr>
                      <w:rFonts w:hint="eastAsia"/>
                      <w:color w:val="000000" w:themeColor="text1"/>
                      <w:sz w:val="21"/>
                      <w14:textFill>
                        <w14:solidFill>
                          <w14:schemeClr w14:val="tx1"/>
                        </w14:solidFill>
                      </w14:textFill>
                    </w:rPr>
                    <w:t>，</w:t>
                  </w:r>
                  <w:r>
                    <w:rPr>
                      <w:color w:val="000000" w:themeColor="text1"/>
                      <w:sz w:val="21"/>
                      <w14:textFill>
                        <w14:solidFill>
                          <w14:schemeClr w14:val="tx1"/>
                        </w14:solidFill>
                      </w14:textFill>
                    </w:rPr>
                    <w:t>因此不设置大气专项评价</w:t>
                  </w:r>
                  <w:r>
                    <w:rPr>
                      <w:rFonts w:hint="eastAsia"/>
                      <w:color w:val="000000" w:themeColor="text1"/>
                      <w:sz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7"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地表水</w:t>
                  </w:r>
                </w:p>
              </w:tc>
              <w:tc>
                <w:tcPr>
                  <w:tcW w:w="2132"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新增工业</w:t>
                  </w:r>
                  <w:r>
                    <w:rPr>
                      <w:color w:val="000000" w:themeColor="text1"/>
                      <w:sz w:val="21"/>
                      <w14:textFill>
                        <w14:solidFill>
                          <w14:schemeClr w14:val="tx1"/>
                        </w14:solidFill>
                      </w14:textFill>
                    </w:rPr>
                    <w:t>废水直</w:t>
                  </w:r>
                  <w:r>
                    <w:rPr>
                      <w:rFonts w:hint="eastAsia"/>
                      <w:color w:val="000000" w:themeColor="text1"/>
                      <w:sz w:val="21"/>
                      <w14:textFill>
                        <w14:solidFill>
                          <w14:schemeClr w14:val="tx1"/>
                        </w14:solidFill>
                      </w14:textFill>
                    </w:rPr>
                    <w:t>排</w:t>
                  </w:r>
                  <w:r>
                    <w:rPr>
                      <w:color w:val="000000" w:themeColor="text1"/>
                      <w:sz w:val="21"/>
                      <w14:textFill>
                        <w14:solidFill>
                          <w14:schemeClr w14:val="tx1"/>
                        </w14:solidFill>
                      </w14:textFill>
                    </w:rPr>
                    <w:t>建设项目（</w:t>
                  </w:r>
                  <w:r>
                    <w:rPr>
                      <w:rFonts w:hint="eastAsia"/>
                      <w:color w:val="000000" w:themeColor="text1"/>
                      <w:sz w:val="21"/>
                      <w14:textFill>
                        <w14:solidFill>
                          <w14:schemeClr w14:val="tx1"/>
                        </w14:solidFill>
                      </w14:textFill>
                    </w:rPr>
                    <w:t>槽罐车</w:t>
                  </w:r>
                  <w:r>
                    <w:rPr>
                      <w:color w:val="000000" w:themeColor="text1"/>
                      <w:sz w:val="21"/>
                      <w14:textFill>
                        <w14:solidFill>
                          <w14:schemeClr w14:val="tx1"/>
                        </w14:solidFill>
                      </w14:textFill>
                    </w:rPr>
                    <w:t>外送污水处理厂的除外）</w:t>
                  </w:r>
                  <w:r>
                    <w:rPr>
                      <w:rFonts w:hint="eastAsia"/>
                      <w:color w:val="000000" w:themeColor="text1"/>
                      <w:sz w:val="21"/>
                      <w14:textFill>
                        <w14:solidFill>
                          <w14:schemeClr w14:val="tx1"/>
                        </w14:solidFill>
                      </w14:textFill>
                    </w:rPr>
                    <w:t>；</w:t>
                  </w:r>
                  <w:r>
                    <w:rPr>
                      <w:color w:val="000000" w:themeColor="text1"/>
                      <w:sz w:val="21"/>
                      <w14:textFill>
                        <w14:solidFill>
                          <w14:schemeClr w14:val="tx1"/>
                        </w14:solidFill>
                      </w14:textFill>
                    </w:rPr>
                    <w:t>新增废水直排的污水集中处理厂</w:t>
                  </w:r>
                </w:p>
              </w:tc>
              <w:tc>
                <w:tcPr>
                  <w:tcW w:w="2080"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项目生产废水经废水处理装置处理后全部循环使用，不外排，因此不设置地表水专项评价</w:t>
                  </w:r>
                  <w:r>
                    <w:rPr>
                      <w:color w:val="000000" w:themeColor="text1"/>
                      <w:sz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7"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环境</w:t>
                  </w:r>
                  <w:r>
                    <w:rPr>
                      <w:color w:val="000000" w:themeColor="text1"/>
                      <w:sz w:val="21"/>
                      <w14:textFill>
                        <w14:solidFill>
                          <w14:schemeClr w14:val="tx1"/>
                        </w14:solidFill>
                      </w14:textFill>
                    </w:rPr>
                    <w:t>风险</w:t>
                  </w:r>
                </w:p>
              </w:tc>
              <w:tc>
                <w:tcPr>
                  <w:tcW w:w="2132"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有毒有害</w:t>
                  </w:r>
                  <w:r>
                    <w:rPr>
                      <w:color w:val="000000" w:themeColor="text1"/>
                      <w:sz w:val="21"/>
                      <w14:textFill>
                        <w14:solidFill>
                          <w14:schemeClr w14:val="tx1"/>
                        </w14:solidFill>
                      </w14:textFill>
                    </w:rPr>
                    <w:t>和易燃易爆危险物质存储量超过临界值的建设项目</w:t>
                  </w:r>
                </w:p>
              </w:tc>
              <w:tc>
                <w:tcPr>
                  <w:tcW w:w="2080" w:type="pct"/>
                  <w:vAlign w:val="center"/>
                </w:tcPr>
                <w:p>
                  <w:pPr>
                    <w:autoSpaceDE w:val="0"/>
                    <w:autoSpaceDN w:val="0"/>
                    <w:adjustRightInd w:val="0"/>
                    <w:snapToGrid w:val="0"/>
                    <w:jc w:val="center"/>
                    <w:rPr>
                      <w:color w:val="000000" w:themeColor="text1"/>
                      <w:sz w:val="21"/>
                      <w14:textFill>
                        <w14:solidFill>
                          <w14:schemeClr w14:val="tx1"/>
                        </w14:solidFill>
                      </w14:textFill>
                    </w:rPr>
                  </w:pPr>
                  <w:r>
                    <w:rPr>
                      <w:rFonts w:hint="eastAsia"/>
                      <w:color w:val="000000" w:themeColor="text1"/>
                      <w:kern w:val="21"/>
                      <w:sz w:val="21"/>
                      <w14:textFill>
                        <w14:solidFill>
                          <w14:schemeClr w14:val="tx1"/>
                        </w14:solidFill>
                      </w14:textFill>
                    </w:rPr>
                    <w:t>项目不涉及储存有毒有害和易燃 易爆危险物质，无需开展环境风险专项评价。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7"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生态</w:t>
                  </w:r>
                </w:p>
              </w:tc>
              <w:tc>
                <w:tcPr>
                  <w:tcW w:w="2132"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取水口</w:t>
                  </w:r>
                  <w:r>
                    <w:rPr>
                      <w:color w:val="000000" w:themeColor="text1"/>
                      <w:sz w:val="21"/>
                      <w14:textFill>
                        <w14:solidFill>
                          <w14:schemeClr w14:val="tx1"/>
                        </w14:solidFill>
                      </w14:textFill>
                    </w:rPr>
                    <w:t>下游</w:t>
                  </w:r>
                  <w:r>
                    <w:rPr>
                      <w:rFonts w:hint="eastAsia"/>
                      <w:color w:val="000000" w:themeColor="text1"/>
                      <w:sz w:val="21"/>
                      <w14:textFill>
                        <w14:solidFill>
                          <w14:schemeClr w14:val="tx1"/>
                        </w14:solidFill>
                      </w14:textFill>
                    </w:rPr>
                    <w:t>500米</w:t>
                  </w:r>
                  <w:r>
                    <w:rPr>
                      <w:color w:val="000000" w:themeColor="text1"/>
                      <w:sz w:val="21"/>
                      <w14:textFill>
                        <w14:solidFill>
                          <w14:schemeClr w14:val="tx1"/>
                        </w14:solidFill>
                      </w14:textFill>
                    </w:rPr>
                    <w:t>范围内有重要水生生物的自然产卵场、索饵场、越冬场和洄游通道的新增河道取水的污染类建设项目</w:t>
                  </w:r>
                </w:p>
              </w:tc>
              <w:tc>
                <w:tcPr>
                  <w:tcW w:w="2080"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项目生产用补充水取自南面丁家坝河，但取水点下游 500m 米范  围不涉及重要水生生物的自然产 卵场、索饵场、越冬场和洄游通 道，故无需开展生态专项评价。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7"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海洋</w:t>
                  </w:r>
                </w:p>
              </w:tc>
              <w:tc>
                <w:tcPr>
                  <w:tcW w:w="2132"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直接</w:t>
                  </w:r>
                  <w:r>
                    <w:rPr>
                      <w:color w:val="000000" w:themeColor="text1"/>
                      <w:sz w:val="21"/>
                      <w14:textFill>
                        <w14:solidFill>
                          <w14:schemeClr w14:val="tx1"/>
                        </w14:solidFill>
                      </w14:textFill>
                    </w:rPr>
                    <w:t>向海排放污染物的海洋工程建设项目</w:t>
                  </w:r>
                </w:p>
              </w:tc>
              <w:tc>
                <w:tcPr>
                  <w:tcW w:w="2080"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本项目不涉及海洋，不设置海洋专项评价</w:t>
                  </w:r>
                  <w:r>
                    <w:rPr>
                      <w:color w:val="000000" w:themeColor="text1"/>
                      <w:sz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000" w:type="pct"/>
                  <w:gridSpan w:val="3"/>
                  <w:vAlign w:val="center"/>
                </w:tcPr>
                <w:p>
                  <w:pP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注</w:t>
                  </w:r>
                  <w:r>
                    <w:rPr>
                      <w:color w:val="000000" w:themeColor="text1"/>
                      <w:sz w:val="21"/>
                      <w14:textFill>
                        <w14:solidFill>
                          <w14:schemeClr w14:val="tx1"/>
                        </w14:solidFill>
                      </w14:textFill>
                    </w:rPr>
                    <w:t>：</w:t>
                  </w:r>
                </w:p>
                <w:p>
                  <w:pP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1.废气中有毒有害污染物指纳入《有毒有害大气污染物名录》的污染物（不包括无排放标准的污染物）。</w:t>
                  </w:r>
                </w:p>
                <w:p>
                  <w:pP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2.环境空气保护目标指自然保护区、风景名胜区、居住区、文化区和农村地区中人群较集中的区域。</w:t>
                  </w:r>
                </w:p>
                <w:p>
                  <w:pP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3.临界量及其计算方法可参考《建设项目环境风险评价技术导则》（HJ 169）附录B、附录C。</w:t>
                  </w:r>
                </w:p>
              </w:tc>
            </w:tr>
          </w:tbl>
          <w:p>
            <w:pPr>
              <w:pStyle w:val="5"/>
              <w:spacing w:after="0" w:line="360" w:lineRule="auto"/>
              <w:ind w:firstLine="480" w:firstLineChars="200"/>
              <w:rPr>
                <w:rFonts w:eastAsia="黑体"/>
                <w:color w:val="000000" w:themeColor="text1"/>
                <w:szCs w:val="36"/>
                <w14:textFill>
                  <w14:solidFill>
                    <w14:schemeClr w14:val="tx1"/>
                  </w14:solidFill>
                </w14:textFill>
              </w:rPr>
            </w:pPr>
            <w:r>
              <w:rPr>
                <w:rFonts w:hint="eastAsia"/>
                <w:color w:val="000000" w:themeColor="text1"/>
                <w:lang w:bidi="en-US"/>
                <w14:textFill>
                  <w14:solidFill>
                    <w14:schemeClr w14:val="tx1"/>
                  </w14:solidFill>
                </w14:textFill>
              </w:rPr>
              <w:t>由上表可知</w:t>
            </w:r>
            <w:r>
              <w:rPr>
                <w:color w:val="000000" w:themeColor="text1"/>
                <w:lang w:bidi="en-US"/>
                <w14:textFill>
                  <w14:solidFill>
                    <w14:schemeClr w14:val="tx1"/>
                  </w14:solidFill>
                </w14:textFill>
              </w:rPr>
              <w:t>，</w:t>
            </w:r>
            <w:r>
              <w:rPr>
                <w:rFonts w:hint="eastAsia"/>
                <w:color w:val="000000" w:themeColor="text1"/>
                <w:lang w:bidi="en-US"/>
                <w14:textFill>
                  <w14:solidFill>
                    <w14:schemeClr w14:val="tx1"/>
                  </w14:solidFill>
                </w14:textFill>
              </w:rPr>
              <w:t>本项目</w:t>
            </w:r>
            <w:r>
              <w:rPr>
                <w:color w:val="000000" w:themeColor="text1"/>
                <w:lang w:bidi="en-US"/>
                <w14:textFill>
                  <w14:solidFill>
                    <w14:schemeClr w14:val="tx1"/>
                  </w14:solidFill>
                </w14:textFill>
              </w:rPr>
              <w:t>不</w:t>
            </w:r>
            <w:r>
              <w:rPr>
                <w:rFonts w:hint="eastAsia"/>
                <w:color w:val="000000" w:themeColor="text1"/>
                <w:lang w:bidi="en-US"/>
                <w14:textFill>
                  <w14:solidFill>
                    <w14:schemeClr w14:val="tx1"/>
                  </w14:solidFill>
                </w14:textFill>
              </w:rPr>
              <w:t>需</w:t>
            </w:r>
            <w:r>
              <w:rPr>
                <w:color w:val="000000" w:themeColor="text1"/>
                <w:lang w:bidi="en-US"/>
                <w14:textFill>
                  <w14:solidFill>
                    <w14:schemeClr w14:val="tx1"/>
                  </w14:solidFill>
                </w14:textFill>
              </w:rPr>
              <w:t>设置</w:t>
            </w:r>
            <w:r>
              <w:rPr>
                <w:rFonts w:hint="eastAsia"/>
                <w:color w:val="000000" w:themeColor="text1"/>
                <w:lang w:bidi="en-US"/>
                <w14:textFill>
                  <w14:solidFill>
                    <w14:schemeClr w14:val="tx1"/>
                  </w14:solidFill>
                </w14:textFill>
              </w:rPr>
              <w:t>专项</w:t>
            </w:r>
            <w:r>
              <w:rPr>
                <w:color w:val="000000" w:themeColor="text1"/>
                <w:lang w:bidi="en-US"/>
                <w14:textFill>
                  <w14:solidFill>
                    <w14:schemeClr w14:val="tx1"/>
                  </w14:solidFill>
                </w14:textFill>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Align w:val="center"/>
          </w:tcPr>
          <w:p>
            <w:pPr>
              <w:spacing w:line="360" w:lineRule="auto"/>
              <w:jc w:val="center"/>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规划情况</w:t>
            </w:r>
          </w:p>
        </w:tc>
        <w:tc>
          <w:tcPr>
            <w:tcW w:w="3763" w:type="pct"/>
            <w:gridSpan w:val="3"/>
            <w:vAlign w:val="center"/>
          </w:tcPr>
          <w:p>
            <w:pPr>
              <w:spacing w:line="360" w:lineRule="auto"/>
              <w:jc w:val="center"/>
              <w:rPr>
                <w:color w:val="000000" w:themeColor="text1"/>
                <w:kern w:val="0"/>
                <w:szCs w:val="24"/>
                <w14:textFill>
                  <w14:solidFill>
                    <w14:schemeClr w14:val="tx1"/>
                  </w14:solidFill>
                </w14:textFill>
              </w:rPr>
            </w:pPr>
            <w:r>
              <w:rPr>
                <w:rFonts w:hint="eastAsia"/>
                <w:color w:val="000000" w:themeColor="text1"/>
                <w:kern w:val="0"/>
                <w:szCs w:val="24"/>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237" w:type="pct"/>
            <w:vAlign w:val="center"/>
          </w:tcPr>
          <w:p>
            <w:pPr>
              <w:spacing w:line="360" w:lineRule="auto"/>
              <w:jc w:val="center"/>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规划环境影响</w:t>
            </w:r>
          </w:p>
          <w:p>
            <w:pPr>
              <w:spacing w:line="360" w:lineRule="auto"/>
              <w:jc w:val="center"/>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评价情况</w:t>
            </w:r>
          </w:p>
        </w:tc>
        <w:tc>
          <w:tcPr>
            <w:tcW w:w="3763" w:type="pct"/>
            <w:gridSpan w:val="3"/>
            <w:vAlign w:val="center"/>
          </w:tcPr>
          <w:p>
            <w:pPr>
              <w:spacing w:line="360" w:lineRule="auto"/>
              <w:jc w:val="center"/>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Align w:val="center"/>
          </w:tcPr>
          <w:p>
            <w:pPr>
              <w:spacing w:line="360" w:lineRule="auto"/>
              <w:jc w:val="center"/>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规划及规划环境</w:t>
            </w:r>
          </w:p>
          <w:p>
            <w:pPr>
              <w:spacing w:line="360" w:lineRule="auto"/>
              <w:jc w:val="center"/>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影响评价符合性分析</w:t>
            </w:r>
          </w:p>
        </w:tc>
        <w:tc>
          <w:tcPr>
            <w:tcW w:w="3763" w:type="pct"/>
            <w:gridSpan w:val="3"/>
            <w:vAlign w:val="center"/>
          </w:tcPr>
          <w:p>
            <w:pPr>
              <w:spacing w:line="360" w:lineRule="auto"/>
              <w:jc w:val="center"/>
              <w:rPr>
                <w:color w:val="000000" w:themeColor="text1"/>
                <w:kern w:val="0"/>
                <w:szCs w:val="24"/>
                <w14:textFill>
                  <w14:solidFill>
                    <w14:schemeClr w14:val="tx1"/>
                  </w14:solidFill>
                </w14:textFill>
              </w:rPr>
            </w:pPr>
            <w:r>
              <w:rPr>
                <w:rFonts w:hint="eastAsia"/>
                <w:color w:val="000000" w:themeColor="text1"/>
                <w:kern w:val="0"/>
                <w:szCs w:val="24"/>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37" w:type="pct"/>
            <w:vAlign w:val="center"/>
          </w:tcPr>
          <w:p>
            <w:pPr>
              <w:autoSpaceDE w:val="0"/>
              <w:autoSpaceDN w:val="0"/>
              <w:adjustRightInd w:val="0"/>
              <w:snapToGrid w:val="0"/>
              <w:spacing w:line="36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其他符合性分析</w:t>
            </w:r>
          </w:p>
        </w:tc>
        <w:tc>
          <w:tcPr>
            <w:tcW w:w="3763" w:type="pct"/>
            <w:gridSpan w:val="3"/>
            <w:vAlign w:val="center"/>
          </w:tcPr>
          <w:p>
            <w:pPr>
              <w:spacing w:line="360" w:lineRule="auto"/>
              <w:rPr>
                <w:b/>
              </w:rPr>
            </w:pPr>
            <w:r>
              <w:rPr>
                <w:b/>
              </w:rPr>
              <w:t>1、产业政策符合性分析</w:t>
            </w:r>
          </w:p>
          <w:p>
            <w:pPr>
              <w:pStyle w:val="34"/>
              <w:spacing w:before="108" w:line="360" w:lineRule="auto"/>
              <w:ind w:right="102" w:firstLine="544" w:firstLineChars="200"/>
              <w:jc w:val="both"/>
              <w:rPr>
                <w:lang w:eastAsia="zh-CN"/>
              </w:rPr>
            </w:pPr>
            <w:r>
              <w:rPr>
                <w:spacing w:val="16"/>
                <w:lang w:eastAsia="zh-CN"/>
              </w:rPr>
              <w:t>本项目为</w:t>
            </w:r>
            <w:r>
              <w:rPr>
                <w:rFonts w:hint="eastAsia"/>
                <w:spacing w:val="16"/>
                <w:lang w:eastAsia="zh-CN"/>
              </w:rPr>
              <w:t>砂石加工</w:t>
            </w:r>
            <w:r>
              <w:rPr>
                <w:spacing w:val="16"/>
                <w:lang w:eastAsia="zh-CN"/>
              </w:rPr>
              <w:t>项目，根据《国民经济行业分</w:t>
            </w:r>
            <w:r>
              <w:rPr>
                <w:lang w:eastAsia="zh-CN"/>
              </w:rPr>
              <w:t>类</w:t>
            </w:r>
            <w:r>
              <w:rPr>
                <w:spacing w:val="-42"/>
                <w:lang w:eastAsia="zh-CN"/>
              </w:rPr>
              <w:t xml:space="preserve"> </w:t>
            </w:r>
            <w:r>
              <w:rPr>
                <w:lang w:eastAsia="zh-CN"/>
              </w:rPr>
              <w:t>》（</w:t>
            </w:r>
            <w:r>
              <w:rPr>
                <w:rFonts w:ascii="Times New Roman" w:hAnsi="Times New Roman" w:eastAsia="Times New Roman" w:cs="Times New Roman"/>
                <w:lang w:eastAsia="zh-CN"/>
              </w:rPr>
              <w:t>GB/T4754-2017</w:t>
            </w:r>
            <w:r>
              <w:rPr>
                <w:spacing w:val="-32"/>
                <w:lang w:eastAsia="zh-CN"/>
              </w:rPr>
              <w:t>）（</w:t>
            </w:r>
            <w:r>
              <w:rPr>
                <w:rFonts w:ascii="Times New Roman" w:hAnsi="Times New Roman" w:eastAsia="Times New Roman" w:cs="Times New Roman"/>
                <w:lang w:eastAsia="zh-CN"/>
              </w:rPr>
              <w:t>2019</w:t>
            </w:r>
            <w:r>
              <w:rPr>
                <w:spacing w:val="-1"/>
                <w:lang w:eastAsia="zh-CN"/>
              </w:rPr>
              <w:t>修改版</w:t>
            </w:r>
            <w:r>
              <w:rPr>
                <w:spacing w:val="-32"/>
                <w:lang w:eastAsia="zh-CN"/>
              </w:rPr>
              <w:t>）</w:t>
            </w:r>
            <w:r>
              <w:rPr>
                <w:spacing w:val="-39"/>
                <w:lang w:eastAsia="zh-CN"/>
              </w:rPr>
              <w:t xml:space="preserve"> </w:t>
            </w:r>
            <w:r>
              <w:rPr>
                <w:spacing w:val="-32"/>
                <w:lang w:eastAsia="zh-CN"/>
              </w:rPr>
              <w:t>，</w:t>
            </w:r>
            <w:r>
              <w:rPr>
                <w:spacing w:val="-51"/>
                <w:lang w:eastAsia="zh-CN"/>
              </w:rPr>
              <w:t xml:space="preserve"> </w:t>
            </w:r>
            <w:r>
              <w:rPr>
                <w:spacing w:val="-1"/>
                <w:lang w:eastAsia="zh-CN"/>
              </w:rPr>
              <w:t>项目属于</w:t>
            </w:r>
            <w:r>
              <w:rPr>
                <w:lang w:eastAsia="zh-CN"/>
              </w:rPr>
              <w:t xml:space="preserve"> </w:t>
            </w:r>
            <w:r>
              <w:rPr>
                <w:spacing w:val="4"/>
                <w:lang w:eastAsia="zh-CN"/>
              </w:rPr>
              <w:t>“</w:t>
            </w:r>
            <w:r>
              <w:rPr>
                <w:rFonts w:ascii="Times New Roman" w:hAnsi="Times New Roman" w:eastAsia="Times New Roman" w:cs="Times New Roman"/>
                <w:spacing w:val="4"/>
                <w:lang w:eastAsia="zh-CN"/>
              </w:rPr>
              <w:t>C3039</w:t>
            </w:r>
            <w:r>
              <w:rPr>
                <w:rFonts w:ascii="Times New Roman" w:hAnsi="Times New Roman" w:eastAsia="Times New Roman" w:cs="Times New Roman"/>
                <w:spacing w:val="18"/>
                <w:lang w:eastAsia="zh-CN"/>
              </w:rPr>
              <w:t xml:space="preserve"> </w:t>
            </w:r>
            <w:r>
              <w:rPr>
                <w:spacing w:val="4"/>
                <w:lang w:eastAsia="zh-CN"/>
              </w:rPr>
              <w:t>其他建筑材料制造”。根据《产业结构调整指导目</w:t>
            </w:r>
            <w:r>
              <w:rPr>
                <w:spacing w:val="6"/>
                <w:lang w:eastAsia="zh-CN"/>
              </w:rPr>
              <w:t>录（2024</w:t>
            </w:r>
            <w:r>
              <w:rPr>
                <w:spacing w:val="-36"/>
                <w:lang w:eastAsia="zh-CN"/>
              </w:rPr>
              <w:t xml:space="preserve"> </w:t>
            </w:r>
            <w:r>
              <w:rPr>
                <w:spacing w:val="6"/>
                <w:lang w:eastAsia="zh-CN"/>
              </w:rPr>
              <w:t>年本）》</w:t>
            </w:r>
            <w:r>
              <w:rPr>
                <w:spacing w:val="11"/>
                <w:lang w:eastAsia="zh-CN"/>
              </w:rPr>
              <w:t>，</w:t>
            </w:r>
            <w:r>
              <w:rPr>
                <w:spacing w:val="2"/>
                <w:lang w:eastAsia="zh-CN"/>
              </w:rPr>
              <w:t>本项目不属于鼓励类、限制类或禁止</w:t>
            </w:r>
            <w:r>
              <w:rPr>
                <w:spacing w:val="5"/>
                <w:lang w:eastAsia="zh-CN"/>
              </w:rPr>
              <w:t>类。根据《促进产业结构调整暂行规定》（国</w:t>
            </w:r>
            <w:r>
              <w:rPr>
                <w:spacing w:val="4"/>
                <w:lang w:eastAsia="zh-CN"/>
              </w:rPr>
              <w:t>发［2005］40</w:t>
            </w:r>
            <w:r>
              <w:rPr>
                <w:lang w:eastAsia="zh-CN"/>
              </w:rPr>
              <w:t xml:space="preserve"> </w:t>
            </w:r>
            <w:r>
              <w:rPr>
                <w:spacing w:val="5"/>
                <w:lang w:eastAsia="zh-CN"/>
              </w:rPr>
              <w:t>号，本项目应属于允许类项目。项目生产过程中不使用国家明令禁止的淘汰类和限制类的设备和工艺。建设单位已在全国投资项目在线审批监管平台填报了《四川省</w:t>
            </w:r>
            <w:r>
              <w:rPr>
                <w:rFonts w:hint="eastAsia"/>
                <w:spacing w:val="5"/>
                <w:lang w:eastAsia="zh-CN"/>
              </w:rPr>
              <w:t>固定资产投资</w:t>
            </w:r>
            <w:r>
              <w:rPr>
                <w:spacing w:val="12"/>
                <w:lang w:eastAsia="zh-CN"/>
              </w:rPr>
              <w:t>项目备案表》</w:t>
            </w:r>
            <w:r>
              <w:rPr>
                <w:spacing w:val="-28"/>
                <w:lang w:eastAsia="zh-CN"/>
              </w:rPr>
              <w:t xml:space="preserve"> </w:t>
            </w:r>
            <w:r>
              <w:rPr>
                <w:spacing w:val="12"/>
                <w:lang w:eastAsia="zh-CN"/>
              </w:rPr>
              <w:t>，完成了备案</w:t>
            </w:r>
            <w:r>
              <w:rPr>
                <w:spacing w:val="-70"/>
                <w:lang w:eastAsia="zh-CN"/>
              </w:rPr>
              <w:t xml:space="preserve"> </w:t>
            </w:r>
            <w:r>
              <w:rPr>
                <w:spacing w:val="12"/>
                <w:lang w:eastAsia="zh-CN"/>
              </w:rPr>
              <w:t>，备案号：</w:t>
            </w:r>
            <w:r>
              <w:rPr>
                <w:rFonts w:hint="eastAsia"/>
                <w:spacing w:val="12"/>
                <w:lang w:eastAsia="zh-CN"/>
              </w:rPr>
              <w:t>川投资备【2403-511722-04-01-961043】FGQB-0121号</w:t>
            </w:r>
            <w:r>
              <w:rPr>
                <w:spacing w:val="-1"/>
                <w:lang w:eastAsia="zh-CN"/>
              </w:rPr>
              <w:t>。</w:t>
            </w:r>
          </w:p>
          <w:p>
            <w:pPr>
              <w:spacing w:line="360" w:lineRule="auto"/>
              <w:ind w:firstLine="472" w:firstLineChars="200"/>
            </w:pPr>
            <w:r>
              <w:rPr>
                <w:spacing w:val="-2"/>
              </w:rPr>
              <w:t>因此，本项目与国家现行产业政策是相符的。</w:t>
            </w:r>
          </w:p>
          <w:p>
            <w:pPr>
              <w:spacing w:line="360" w:lineRule="auto"/>
              <w:rPr>
                <w:b/>
              </w:rPr>
            </w:pPr>
            <w:r>
              <w:rPr>
                <w:b/>
              </w:rPr>
              <w:t>2、用地规划符合性</w:t>
            </w:r>
          </w:p>
          <w:p>
            <w:pPr>
              <w:spacing w:line="360" w:lineRule="auto"/>
              <w:ind w:firstLine="496" w:firstLineChars="200"/>
            </w:pPr>
            <w:r>
              <w:rPr>
                <w:spacing w:val="4"/>
              </w:rPr>
              <w:t>本项目占地为租用位于</w:t>
            </w:r>
            <w:r>
              <w:rPr>
                <w:rFonts w:hint="eastAsia"/>
                <w:szCs w:val="24"/>
              </w:rPr>
              <w:t>达州市宣汉县南坝镇天台村三组</w:t>
            </w:r>
            <w:r>
              <w:rPr>
                <w:spacing w:val="4"/>
              </w:rPr>
              <w:t>的</w:t>
            </w:r>
            <w:r>
              <w:rPr>
                <w:rFonts w:hint="eastAsia"/>
                <w:spacing w:val="4"/>
              </w:rPr>
              <w:t>丁家坝上坝的原堆码场</w:t>
            </w:r>
            <w:r>
              <w:rPr>
                <w:spacing w:val="22"/>
              </w:rPr>
              <w:t>的非耕地（租赁协议见附件）</w:t>
            </w:r>
            <w:r>
              <w:rPr>
                <w:spacing w:val="-33"/>
              </w:rPr>
              <w:t xml:space="preserve"> </w:t>
            </w:r>
            <w:r>
              <w:rPr>
                <w:spacing w:val="22"/>
              </w:rPr>
              <w:t>。根据《土地利用审查</w:t>
            </w:r>
            <w:r>
              <w:rPr>
                <w:spacing w:val="5"/>
              </w:rPr>
              <w:t>图》，项目占地区域不占用永久基本农田，不占用生态保护红线，为允许建设区域用地。</w:t>
            </w:r>
            <w:r>
              <w:rPr>
                <w:rFonts w:hint="eastAsia"/>
              </w:rPr>
              <w:t>根据调查，项目选址未在场镇规划区内、不涉及基本农田，不占用河道，加工区范围内无重要水利工程设施，不在饮用水水源保护区内。</w:t>
            </w:r>
          </w:p>
          <w:p>
            <w:pPr>
              <w:spacing w:line="360" w:lineRule="auto"/>
              <w:ind w:firstLine="480" w:firstLineChars="200"/>
            </w:pPr>
            <w:r>
              <w:rPr>
                <w:rFonts w:hint="eastAsia"/>
              </w:rPr>
              <w:t>因此，项目建设符合当地用地规划。</w:t>
            </w:r>
          </w:p>
          <w:p>
            <w:pPr>
              <w:spacing w:line="360" w:lineRule="auto"/>
              <w:rPr>
                <w:b/>
              </w:rPr>
            </w:pPr>
            <w:r>
              <w:rPr>
                <w:rFonts w:hint="eastAsia"/>
                <w:b/>
              </w:rPr>
              <w:t>3</w:t>
            </w:r>
            <w:r>
              <w:rPr>
                <w:b/>
              </w:rPr>
              <w:t>、与“三线一单”符合性</w:t>
            </w:r>
          </w:p>
          <w:p>
            <w:pPr>
              <w:spacing w:line="360" w:lineRule="auto"/>
              <w:ind w:firstLine="480" w:firstLineChars="200"/>
            </w:pPr>
            <w:r>
              <w:rPr>
                <w:rFonts w:hint="eastAsia"/>
              </w:rPr>
              <w:t>根据四川省生态环境厅办公室关于印发《项目环评“三线一单”符合性分析技术要点（试行）》（川环办函〔2021〕469号）的通知，建设项目环境影响评价分为污染类建设项目及生态类建设项目，其中污染类建设项目可分为园区外项目和园区内项目。不同类型项目环评中“三线一单”符合性分析结构示意图如下所示：</w:t>
            </w:r>
          </w:p>
          <w:p>
            <w:pPr>
              <w:pStyle w:val="21"/>
              <w:jc w:val="center"/>
            </w:pPr>
            <w:r>
              <w:drawing>
                <wp:inline distT="0" distB="0" distL="114300" distR="114300">
                  <wp:extent cx="4612640" cy="3124835"/>
                  <wp:effectExtent l="0" t="0" r="16510" b="184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
                          <a:srcRect t="5807" b="2904"/>
                          <a:stretch>
                            <a:fillRect/>
                          </a:stretch>
                        </pic:blipFill>
                        <pic:spPr>
                          <a:xfrm>
                            <a:off x="0" y="0"/>
                            <a:ext cx="4612640" cy="3124835"/>
                          </a:xfrm>
                          <a:prstGeom prst="rect">
                            <a:avLst/>
                          </a:prstGeom>
                          <a:noFill/>
                          <a:ln>
                            <a:noFill/>
                          </a:ln>
                        </pic:spPr>
                      </pic:pic>
                    </a:graphicData>
                  </a:graphic>
                </wp:inline>
              </w:drawing>
            </w:r>
          </w:p>
          <w:p>
            <w:pPr>
              <w:autoSpaceDE w:val="0"/>
              <w:autoSpaceDN w:val="0"/>
              <w:adjustRightInd w:val="0"/>
              <w:snapToGrid w:val="0"/>
              <w:spacing w:line="360" w:lineRule="auto"/>
              <w:jc w:val="center"/>
              <w:rPr>
                <w:rFonts w:eastAsia="黑体"/>
                <w:b/>
                <w:bCs/>
                <w:color w:val="000000" w:themeColor="text1"/>
                <w:kern w:val="0"/>
                <w:sz w:val="20"/>
                <w14:textFill>
                  <w14:solidFill>
                    <w14:schemeClr w14:val="tx1"/>
                  </w14:solidFill>
                </w14:textFill>
              </w:rPr>
            </w:pPr>
            <w:r>
              <w:rPr>
                <w:rFonts w:hint="eastAsia" w:eastAsia="黑体"/>
                <w:b/>
                <w:bCs/>
                <w:color w:val="000000" w:themeColor="text1"/>
                <w:kern w:val="0"/>
                <w:sz w:val="20"/>
                <w14:textFill>
                  <w14:solidFill>
                    <w14:schemeClr w14:val="tx1"/>
                  </w14:solidFill>
                </w14:textFill>
              </w:rPr>
              <w:t>图1-1 建设项目环境影响评价中“三线一单”符合性分析结构示意图</w:t>
            </w:r>
          </w:p>
          <w:p>
            <w:pPr>
              <w:spacing w:line="360" w:lineRule="auto"/>
              <w:ind w:firstLine="480" w:firstLineChars="200"/>
            </w:pPr>
            <w:r>
              <w:t>本项目</w:t>
            </w:r>
            <w:r>
              <w:rPr>
                <w:rFonts w:hint="eastAsia"/>
              </w:rPr>
              <w:t>为砖瓦、石材等建筑材料制造业中其他建筑材料制造业，属污染类建设项目，且</w:t>
            </w:r>
            <w:r>
              <w:t>位于</w:t>
            </w:r>
            <w:r>
              <w:rPr>
                <w:rFonts w:hint="eastAsia"/>
                <w:szCs w:val="24"/>
              </w:rPr>
              <w:t>达州市宣汉县南坝镇天台村三组</w:t>
            </w:r>
            <w:r>
              <w:t>，不在产业园区内</w:t>
            </w:r>
            <w:r>
              <w:rPr>
                <w:rFonts w:hint="eastAsia"/>
              </w:rPr>
              <w:t>，</w:t>
            </w:r>
            <w:r>
              <w:t>属于园区外项目</w:t>
            </w:r>
            <w:r>
              <w:rPr>
                <w:rFonts w:hint="eastAsia"/>
              </w:rPr>
              <w:t>，因此先对其进行空间符合性分析，再对其进行管控要求符合性分析。</w:t>
            </w:r>
          </w:p>
          <w:p>
            <w:pPr>
              <w:autoSpaceDE w:val="0"/>
              <w:autoSpaceDN w:val="0"/>
              <w:adjustRightInd w:val="0"/>
              <w:snapToGrid w:val="0"/>
              <w:spacing w:line="360" w:lineRule="auto"/>
              <w:ind w:firstLine="480" w:firstLineChars="200"/>
            </w:pPr>
            <w:r>
              <w:rPr>
                <w:rFonts w:hint="eastAsia"/>
              </w:rPr>
              <w:t>（1）与“三线一单”空间符合性分析</w:t>
            </w:r>
          </w:p>
          <w:p>
            <w:pPr>
              <w:autoSpaceDE w:val="0"/>
              <w:autoSpaceDN w:val="0"/>
              <w:adjustRightInd w:val="0"/>
              <w:snapToGrid w:val="0"/>
              <w:spacing w:line="360" w:lineRule="auto"/>
              <w:ind w:firstLine="480" w:firstLineChars="200"/>
              <w:jc w:val="left"/>
            </w:pPr>
            <w:r>
              <w:rPr>
                <w:rFonts w:hint="eastAsia"/>
              </w:rPr>
              <w:t>根据《长江经济带战略环境评价四川省达州市“三线一单”生态环境分区管控优化完善研究报告》，达州市生态保护红线面积1214.56km</w:t>
            </w:r>
            <w:r>
              <w:rPr>
                <w:rFonts w:hint="eastAsia"/>
                <w:vertAlign w:val="superscript"/>
              </w:rPr>
              <w:t>2</w:t>
            </w:r>
            <w:r>
              <w:rPr>
                <w:rFonts w:hint="eastAsia"/>
              </w:rPr>
              <w:t>，占达州市国土面积比例的7.33%，</w:t>
            </w:r>
            <w:r>
              <w:t>与原2018年相比，面积减少了42.40km</w:t>
            </w:r>
            <w:r>
              <w:rPr>
                <w:vertAlign w:val="superscript"/>
              </w:rPr>
              <w:t>2</w:t>
            </w:r>
            <w:r>
              <w:t>，其中调入红线 287.98km</w:t>
            </w:r>
            <w:r>
              <w:rPr>
                <w:vertAlign w:val="superscript"/>
              </w:rPr>
              <w:t>2</w:t>
            </w:r>
            <w:r>
              <w:t>，调出红线330.38km</w:t>
            </w:r>
            <w:r>
              <w:rPr>
                <w:vertAlign w:val="superscript"/>
              </w:rPr>
              <w:t>2</w:t>
            </w:r>
            <w:r>
              <w:t>。达州市生态保护红线主要分布在大巴山和盆地区域，涉及大巴山生物多样性维护—水源涵养生态保护红线、盆中城市饮用水源—水土保持生态保护红线</w:t>
            </w:r>
            <w:r>
              <w:rPr>
                <w:rFonts w:hint="eastAsia"/>
              </w:rPr>
              <w:t>。</w:t>
            </w:r>
            <w:r>
              <w:t>达州市生态保护红线分布图见下图</w:t>
            </w:r>
            <w:r>
              <w:rPr>
                <w:rFonts w:hint="eastAsia"/>
              </w:rPr>
              <w:t>1-2</w:t>
            </w:r>
            <w:r>
              <w:t>，达州市生态空间分布图见下图</w:t>
            </w:r>
            <w:r>
              <w:rPr>
                <w:rFonts w:hint="eastAsia"/>
              </w:rPr>
              <w:t>1-3</w:t>
            </w:r>
            <w:r>
              <w:t>。</w:t>
            </w:r>
          </w:p>
          <w:p>
            <w:pPr>
              <w:autoSpaceDE w:val="0"/>
              <w:autoSpaceDN w:val="0"/>
              <w:adjustRightInd w:val="0"/>
              <w:snapToGrid w:val="0"/>
              <w:jc w:val="center"/>
            </w:pPr>
            <w:r>
              <mc:AlternateContent>
                <mc:Choice Requires="wps">
                  <w:drawing>
                    <wp:anchor distT="0" distB="0" distL="114300" distR="114300" simplePos="0" relativeHeight="251660288" behindDoc="0" locked="0" layoutInCell="1" allowOverlap="1">
                      <wp:simplePos x="0" y="0"/>
                      <wp:positionH relativeFrom="column">
                        <wp:posOffset>1089025</wp:posOffset>
                      </wp:positionH>
                      <wp:positionV relativeFrom="paragraph">
                        <wp:posOffset>1828800</wp:posOffset>
                      </wp:positionV>
                      <wp:extent cx="1066800" cy="323850"/>
                      <wp:effectExtent l="0" t="247650" r="95250" b="57150"/>
                      <wp:wrapNone/>
                      <wp:docPr id="10" name="圆角矩形标注 10"/>
                      <wp:cNvGraphicFramePr/>
                      <a:graphic xmlns:a="http://schemas.openxmlformats.org/drawingml/2006/main">
                        <a:graphicData uri="http://schemas.microsoft.com/office/word/2010/wordprocessingShape">
                          <wps:wsp>
                            <wps:cNvSpPr/>
                            <wps:spPr>
                              <a:xfrm>
                                <a:off x="0" y="0"/>
                                <a:ext cx="1066800" cy="323850"/>
                              </a:xfrm>
                              <a:prstGeom prst="wedgeRoundRectCallout">
                                <a:avLst>
                                  <a:gd name="adj1" fmla="val 55863"/>
                                  <a:gd name="adj2" fmla="val -126022"/>
                                  <a:gd name="adj3" fmla="val 16667"/>
                                </a:avLst>
                              </a:prstGeom>
                              <a:solidFill>
                                <a:srgbClr val="FFFFFF"/>
                              </a:solidFill>
                              <a:ln w="9525" cap="flat" cmpd="sng">
                                <a:solidFill>
                                  <a:srgbClr val="FF0000"/>
                                </a:solidFill>
                                <a:prstDash val="solid"/>
                                <a:round/>
                                <a:headEnd type="none" w="med" len="med"/>
                                <a:tailEnd type="none" w="med" len="med"/>
                              </a:ln>
                              <a:effectLst>
                                <a:outerShdw dist="20000" dir="5400000" rotWithShape="0">
                                  <a:srgbClr val="000000">
                                    <a:alpha val="37999"/>
                                  </a:srgbClr>
                                </a:outerShdw>
                              </a:effectLst>
                            </wps:spPr>
                            <wps:txbx>
                              <w:txbxContent>
                                <w:p>
                                  <w:pPr>
                                    <w:jc w:val="center"/>
                                    <w:rPr>
                                      <w:szCs w:val="24"/>
                                    </w:rPr>
                                  </w:pPr>
                                  <w:r>
                                    <w:rPr>
                                      <w:rFonts w:hint="eastAsia"/>
                                      <w:b/>
                                      <w:szCs w:val="24"/>
                                    </w:rPr>
                                    <w:t>项目所在地</w:t>
                                  </w:r>
                                </w:p>
                              </w:txbxContent>
                            </wps:txbx>
                            <wps:bodyPr wrap="square" anchor="ctr" anchorCtr="0" upright="1">
                              <a:noAutofit/>
                            </wps:bodyPr>
                          </wps:wsp>
                        </a:graphicData>
                      </a:graphic>
                    </wp:anchor>
                  </w:drawing>
                </mc:Choice>
                <mc:Fallback>
                  <w:pict>
                    <v:shape id="_x0000_s1026" o:spid="_x0000_s1026" o:spt="62" type="#_x0000_t62" style="position:absolute;left:0pt;margin-left:85.75pt;margin-top:144pt;height:25.5pt;width:84pt;z-index:251660288;v-text-anchor:middle;mso-width-relative:page;mso-height-relative:page;" fillcolor="#FFFFFF" filled="t" stroked="t" coordsize="21600,21600" o:gfxdata="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KIKspLXAAAACwEAAA8AAAAAAAAAAQAgAAAA&#10;IgAAAGRycy9kb3ducmV2LnhtbFBLAQIUABQAAAAIAIdO4kCQofBntwIAAJ4FAAAOAAAAAAAAAAEA&#10;IAAAACYBAABkcnMvZTJvRG9jLnhtbFBLBQYAAAAABgAGAFkBAABPBgAAAAA=&#10;" adj="22866,-16421,14400">
                      <v:fill on="t" focussize="0,0"/>
                      <v:stroke color="#FF0000" joinstyle="round"/>
                      <v:imagedata o:title=""/>
                      <o:lock v:ext="edit" aspectratio="f"/>
                      <v:shadow on="t" color="#000000" opacity="24903f" offset="0pt,1.5748031496063pt" origin="0f,32768f" matrix="65536f,0f,0f,65536f"/>
                      <v:textbox>
                        <w:txbxContent>
                          <w:p>
                            <w:pPr>
                              <w:jc w:val="center"/>
                              <w:rPr>
                                <w:szCs w:val="24"/>
                              </w:rPr>
                            </w:pPr>
                            <w:r>
                              <w:rPr>
                                <w:rFonts w:hint="eastAsia"/>
                                <w:b/>
                                <w:szCs w:val="24"/>
                              </w:rPr>
                              <w:t>项目所在地</w:t>
                            </w:r>
                          </w:p>
                        </w:txbxContent>
                      </v:textbox>
                    </v:shape>
                  </w:pict>
                </mc:Fallback>
              </mc:AlternateContent>
            </w:r>
            <w:r>
              <w:drawing>
                <wp:inline distT="0" distB="0" distL="114300" distR="114300">
                  <wp:extent cx="4545330" cy="3211195"/>
                  <wp:effectExtent l="0" t="0" r="7620" b="8255"/>
                  <wp:docPr id="11" name="图片 2" descr="G:\1\达州成果\现阶段成果\达州5月出图\生态保护红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G:\1\达州成果\现阶段成果\达州5月出图\生态保护红线.jpg"/>
                          <pic:cNvPicPr>
                            <a:picLocks noChangeAspect="1"/>
                          </pic:cNvPicPr>
                        </pic:nvPicPr>
                        <pic:blipFill>
                          <a:blip r:embed="rId8"/>
                          <a:stretch>
                            <a:fillRect/>
                          </a:stretch>
                        </pic:blipFill>
                        <pic:spPr>
                          <a:xfrm>
                            <a:off x="0" y="0"/>
                            <a:ext cx="4545330" cy="3211195"/>
                          </a:xfrm>
                          <a:prstGeom prst="rect">
                            <a:avLst/>
                          </a:prstGeom>
                          <a:noFill/>
                          <a:ln>
                            <a:noFill/>
                          </a:ln>
                        </pic:spPr>
                      </pic:pic>
                    </a:graphicData>
                  </a:graphic>
                </wp:inline>
              </w:drawing>
            </w:r>
          </w:p>
          <w:p>
            <w:pPr>
              <w:autoSpaceDE w:val="0"/>
              <w:autoSpaceDN w:val="0"/>
              <w:adjustRightInd w:val="0"/>
              <w:snapToGrid w:val="0"/>
              <w:spacing w:line="360" w:lineRule="auto"/>
              <w:jc w:val="center"/>
              <w:rPr>
                <w:rFonts w:eastAsia="黑体"/>
                <w:b/>
                <w:bCs/>
                <w:color w:val="000000" w:themeColor="text1"/>
                <w:kern w:val="0"/>
                <w:sz w:val="20"/>
                <w14:textFill>
                  <w14:solidFill>
                    <w14:schemeClr w14:val="tx1"/>
                  </w14:solidFill>
                </w14:textFill>
              </w:rPr>
            </w:pPr>
            <w:r>
              <w:rPr>
                <w:rFonts w:hint="eastAsia" w:eastAsia="黑体"/>
                <w:b/>
                <w:bCs/>
                <w:color w:val="000000" w:themeColor="text1"/>
                <w:kern w:val="0"/>
                <w:sz w:val="20"/>
                <w14:textFill>
                  <w14:solidFill>
                    <w14:schemeClr w14:val="tx1"/>
                  </w14:solidFill>
                </w14:textFill>
              </w:rPr>
              <w:t>图1-2 项目与达州市生态保护红线的位置关系图</w:t>
            </w:r>
          </w:p>
          <w:p>
            <w:pPr>
              <w:autoSpaceDE w:val="0"/>
              <w:autoSpaceDN w:val="0"/>
              <w:adjustRightInd w:val="0"/>
              <w:snapToGrid w:val="0"/>
              <w:spacing w:line="360" w:lineRule="auto"/>
              <w:jc w:val="center"/>
            </w:pPr>
            <w:r>
              <mc:AlternateContent>
                <mc:Choice Requires="wps">
                  <w:drawing>
                    <wp:anchor distT="0" distB="0" distL="114300" distR="114300" simplePos="0" relativeHeight="251661312" behindDoc="0" locked="0" layoutInCell="1" allowOverlap="1">
                      <wp:simplePos x="0" y="0"/>
                      <wp:positionH relativeFrom="column">
                        <wp:posOffset>984250</wp:posOffset>
                      </wp:positionH>
                      <wp:positionV relativeFrom="paragraph">
                        <wp:posOffset>1762760</wp:posOffset>
                      </wp:positionV>
                      <wp:extent cx="1238250" cy="333375"/>
                      <wp:effectExtent l="0" t="342900" r="57150" b="66675"/>
                      <wp:wrapNone/>
                      <wp:docPr id="7" name="圆角矩形标注 7"/>
                      <wp:cNvGraphicFramePr/>
                      <a:graphic xmlns:a="http://schemas.openxmlformats.org/drawingml/2006/main">
                        <a:graphicData uri="http://schemas.microsoft.com/office/word/2010/wordprocessingShape">
                          <wps:wsp>
                            <wps:cNvSpPr/>
                            <wps:spPr>
                              <a:xfrm>
                                <a:off x="0" y="0"/>
                                <a:ext cx="1238250" cy="333375"/>
                              </a:xfrm>
                              <a:prstGeom prst="wedgeRoundRectCallout">
                                <a:avLst>
                                  <a:gd name="adj1" fmla="val 51934"/>
                                  <a:gd name="adj2" fmla="val -149815"/>
                                  <a:gd name="adj3" fmla="val 16667"/>
                                </a:avLst>
                              </a:prstGeom>
                              <a:solidFill>
                                <a:srgbClr val="FFFFFF"/>
                              </a:solidFill>
                              <a:ln w="9525" cap="flat" cmpd="sng">
                                <a:solidFill>
                                  <a:srgbClr val="FF0000"/>
                                </a:solidFill>
                                <a:prstDash val="solid"/>
                                <a:round/>
                                <a:headEnd type="none" w="med" len="med"/>
                                <a:tailEnd type="none" w="med" len="med"/>
                              </a:ln>
                              <a:effectLst>
                                <a:outerShdw dist="20000" dir="5400000" rotWithShape="0">
                                  <a:srgbClr val="000000">
                                    <a:alpha val="37999"/>
                                  </a:srgbClr>
                                </a:outerShdw>
                              </a:effectLst>
                            </wps:spPr>
                            <wps:txbx>
                              <w:txbxContent>
                                <w:p>
                                  <w:pPr>
                                    <w:jc w:val="center"/>
                                    <w:rPr>
                                      <w:b/>
                                      <w:szCs w:val="24"/>
                                    </w:rPr>
                                  </w:pPr>
                                  <w:r>
                                    <w:rPr>
                                      <w:rFonts w:hint="eastAsia"/>
                                      <w:b/>
                                      <w:szCs w:val="24"/>
                                    </w:rPr>
                                    <w:t>项目所在地</w:t>
                                  </w:r>
                                </w:p>
                              </w:txbxContent>
                            </wps:txbx>
                            <wps:bodyPr wrap="square" anchor="ctr" anchorCtr="0" upright="1">
                              <a:noAutofit/>
                            </wps:bodyPr>
                          </wps:wsp>
                        </a:graphicData>
                      </a:graphic>
                    </wp:anchor>
                  </w:drawing>
                </mc:Choice>
                <mc:Fallback>
                  <w:pict>
                    <v:shape id="_x0000_s1026" o:spid="_x0000_s1026" o:spt="62" type="#_x0000_t62" style="position:absolute;left:0pt;margin-left:77.5pt;margin-top:138.8pt;height:26.25pt;width:97.5pt;z-index:251661312;v-text-anchor:middle;mso-width-relative:page;mso-height-relative:page;" fillcolor="#FFFFFF" filled="t" stroked="t" coordsize="21600,21600" o:gfxdata="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6Gufx9wAAAALAQAADwAAAAAAAAAB&#10;ACAAAAAiAAAAZHJzL2Rvd25yZXYueG1sUEsBAhQAFAAAAAgAh07iQCqB6+G3AgAAnAUAAA4AAAAA&#10;AAAAAQAgAAAAKwEAAGRycy9lMm9Eb2MueG1sUEsFBgAAAAAGAAYAWQEAAFQGAAAAAA==&#10;" adj="22018,-21560,14400">
                      <v:fill on="t" focussize="0,0"/>
                      <v:stroke color="#FF0000" joinstyle="round"/>
                      <v:imagedata o:title=""/>
                      <o:lock v:ext="edit" aspectratio="f"/>
                      <v:shadow on="t" color="#000000" opacity="24903f" offset="0pt,1.5748031496063pt" origin="0f,32768f" matrix="65536f,0f,0f,65536f"/>
                      <v:textbox>
                        <w:txbxContent>
                          <w:p>
                            <w:pPr>
                              <w:jc w:val="center"/>
                              <w:rPr>
                                <w:b/>
                                <w:szCs w:val="24"/>
                              </w:rPr>
                            </w:pPr>
                            <w:r>
                              <w:rPr>
                                <w:rFonts w:hint="eastAsia"/>
                                <w:b/>
                                <w:szCs w:val="24"/>
                              </w:rPr>
                              <w:t>项目所在地</w:t>
                            </w:r>
                          </w:p>
                        </w:txbxContent>
                      </v:textbox>
                    </v:shape>
                  </w:pict>
                </mc:Fallback>
              </mc:AlternateContent>
            </w:r>
            <w:r>
              <w:drawing>
                <wp:inline distT="0" distB="0" distL="114300" distR="114300">
                  <wp:extent cx="4488815" cy="2958465"/>
                  <wp:effectExtent l="0" t="0" r="6985" b="13335"/>
                  <wp:docPr id="5" name="图片 3" descr="G:\1\达州成果\现阶段成果\达州5月出图\生态空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G:\1\达州成果\现阶段成果\达州5月出图\生态空间.jpg"/>
                          <pic:cNvPicPr>
                            <a:picLocks noChangeAspect="1"/>
                          </pic:cNvPicPr>
                        </pic:nvPicPr>
                        <pic:blipFill>
                          <a:blip r:embed="rId9"/>
                          <a:srcRect t="3024" b="3703"/>
                          <a:stretch>
                            <a:fillRect/>
                          </a:stretch>
                        </pic:blipFill>
                        <pic:spPr>
                          <a:xfrm>
                            <a:off x="0" y="0"/>
                            <a:ext cx="4488815" cy="2958465"/>
                          </a:xfrm>
                          <a:prstGeom prst="rect">
                            <a:avLst/>
                          </a:prstGeom>
                          <a:noFill/>
                          <a:ln>
                            <a:noFill/>
                          </a:ln>
                        </pic:spPr>
                      </pic:pic>
                    </a:graphicData>
                  </a:graphic>
                </wp:inline>
              </w:drawing>
            </w:r>
          </w:p>
          <w:p>
            <w:pPr>
              <w:autoSpaceDE w:val="0"/>
              <w:autoSpaceDN w:val="0"/>
              <w:adjustRightInd w:val="0"/>
              <w:snapToGrid w:val="0"/>
              <w:spacing w:line="360" w:lineRule="auto"/>
              <w:jc w:val="center"/>
              <w:rPr>
                <w:rFonts w:eastAsia="黑体"/>
                <w:b/>
                <w:bCs/>
                <w:color w:val="000000" w:themeColor="text1"/>
                <w:kern w:val="0"/>
                <w:sz w:val="20"/>
                <w14:textFill>
                  <w14:solidFill>
                    <w14:schemeClr w14:val="tx1"/>
                  </w14:solidFill>
                </w14:textFill>
              </w:rPr>
            </w:pPr>
            <w:r>
              <w:rPr>
                <w:rFonts w:hint="eastAsia" w:eastAsia="黑体"/>
                <w:b/>
                <w:bCs/>
                <w:color w:val="000000" w:themeColor="text1"/>
                <w:kern w:val="0"/>
                <w:sz w:val="20"/>
                <w14:textFill>
                  <w14:solidFill>
                    <w14:schemeClr w14:val="tx1"/>
                  </w14:solidFill>
                </w14:textFill>
              </w:rPr>
              <w:t>图1-3 项目与达州市生态空间的位置关系图</w:t>
            </w:r>
          </w:p>
          <w:p>
            <w:pPr>
              <w:spacing w:line="360" w:lineRule="auto"/>
              <w:ind w:firstLine="480" w:firstLineChars="200"/>
            </w:pPr>
            <w:r>
              <w:rPr>
                <w:rFonts w:hint="eastAsia"/>
              </w:rPr>
              <w:t>由图1-2、图1-3可知，本项目位于四川省达州市</w:t>
            </w:r>
            <w:r>
              <w:rPr>
                <w:rFonts w:hint="eastAsia"/>
                <w:szCs w:val="24"/>
              </w:rPr>
              <w:t>宣汉县南坝镇天台村三组</w:t>
            </w:r>
            <w:r>
              <w:rPr>
                <w:rFonts w:hint="eastAsia"/>
              </w:rPr>
              <w:t>，不涉及达州市生态保护红线和一般生态空间。</w:t>
            </w:r>
          </w:p>
          <w:p>
            <w:pPr>
              <w:autoSpaceDE w:val="0"/>
              <w:autoSpaceDN w:val="0"/>
              <w:adjustRightInd w:val="0"/>
              <w:snapToGrid w:val="0"/>
              <w:spacing w:line="360" w:lineRule="auto"/>
              <w:ind w:firstLine="480" w:firstLineChars="200"/>
            </w:pPr>
            <w:r>
              <w:t>（2）与</w:t>
            </w:r>
            <w:r>
              <w:rPr>
                <w:rFonts w:hint="eastAsia"/>
              </w:rPr>
              <w:t>“三线一单”管控要求</w:t>
            </w:r>
            <w:r>
              <w:t>符合性分析</w:t>
            </w:r>
          </w:p>
          <w:p>
            <w:pPr>
              <w:spacing w:line="360" w:lineRule="auto"/>
              <w:ind w:firstLine="480" w:firstLineChars="200"/>
            </w:pPr>
            <w:r>
              <w:t>根据达州市人民政府发布的《关于落实生态保护红线、环境质量底线、资源利用上线制定生态环境准人清单实施生态环境分区管控的通知》（达市府发〔2021〕17号）</w:t>
            </w:r>
            <w:r>
              <w:rPr>
                <w:rFonts w:hint="eastAsia"/>
              </w:rPr>
              <w:t>可知</w:t>
            </w:r>
            <w:r>
              <w:t>，本项目位于</w:t>
            </w:r>
            <w:r>
              <w:rPr>
                <w:rFonts w:hint="eastAsia"/>
              </w:rPr>
              <w:t>一般管控单元。</w:t>
            </w:r>
            <w:r>
              <w:t xml:space="preserve"> </w:t>
            </w:r>
          </w:p>
          <w:p>
            <w:pPr>
              <w:autoSpaceDE w:val="0"/>
              <w:autoSpaceDN w:val="0"/>
              <w:adjustRightInd w:val="0"/>
              <w:snapToGrid w:val="0"/>
              <w:spacing w:line="360" w:lineRule="auto"/>
              <w:jc w:val="center"/>
              <w:rPr>
                <w:rFonts w:eastAsia="黑体"/>
                <w:b/>
                <w:bCs/>
                <w:color w:val="000000" w:themeColor="text1"/>
                <w:kern w:val="0"/>
                <w:sz w:val="20"/>
                <w14:textFill>
                  <w14:solidFill>
                    <w14:schemeClr w14:val="tx1"/>
                  </w14:solidFill>
                </w14:textFill>
              </w:rPr>
            </w:pPr>
            <w:r>
              <w:rPr>
                <w:rFonts w:eastAsia="黑体"/>
                <w:b/>
                <w:bCs/>
                <w:color w:val="000000" w:themeColor="text1"/>
                <w:kern w:val="0"/>
                <w:sz w:val="20"/>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3194050</wp:posOffset>
                      </wp:positionH>
                      <wp:positionV relativeFrom="paragraph">
                        <wp:posOffset>2467610</wp:posOffset>
                      </wp:positionV>
                      <wp:extent cx="1007110" cy="339090"/>
                      <wp:effectExtent l="76200" t="323850" r="21590" b="22860"/>
                      <wp:wrapNone/>
                      <wp:docPr id="19" name="圆角矩形标注 19"/>
                      <wp:cNvGraphicFramePr/>
                      <a:graphic xmlns:a="http://schemas.openxmlformats.org/drawingml/2006/main">
                        <a:graphicData uri="http://schemas.microsoft.com/office/word/2010/wordprocessingShape">
                          <wps:wsp>
                            <wps:cNvSpPr/>
                            <wps:spPr>
                              <a:xfrm>
                                <a:off x="0" y="0"/>
                                <a:ext cx="1007110" cy="339090"/>
                              </a:xfrm>
                              <a:prstGeom prst="wedgeRoundRectCallout">
                                <a:avLst>
                                  <a:gd name="adj1" fmla="val -54733"/>
                                  <a:gd name="adj2" fmla="val -136903"/>
                                  <a:gd name="adj3" fmla="val 16667"/>
                                </a:avLst>
                              </a:prstGeom>
                              <a:noFill/>
                              <a:ln w="3175" cap="flat" cmpd="sng" algn="ctr">
                                <a:solidFill>
                                  <a:srgbClr val="FF0000"/>
                                </a:solidFill>
                                <a:prstDash val="solid"/>
                                <a:miter lim="800000"/>
                              </a:ln>
                              <a:effectLst/>
                            </wps:spPr>
                            <wps:txbx>
                              <w:txbxContent>
                                <w:p>
                                  <w:pPr>
                                    <w:jc w:val="center"/>
                                    <w:rPr>
                                      <w:b/>
                                      <w:bCs/>
                                      <w:color w:val="FF0000"/>
                                    </w:rPr>
                                  </w:pPr>
                                  <w:r>
                                    <w:rPr>
                                      <w:rFonts w:hint="eastAsia"/>
                                      <w:b/>
                                      <w:bCs/>
                                      <w:color w:val="FF0000"/>
                                    </w:rPr>
                                    <w:t>项目所在地地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1.5pt;margin-top:194.3pt;height:26.7pt;width:79.3pt;z-index:251659264;v-text-anchor:middle;mso-width-relative:page;mso-height-relative:page;" filled="f" stroked="t" coordsize="21600,21600" o:gfxdata="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MsvEHzc&#10;AAAACwEAAA8AAAAAAAAAAQAgAAAAIgAAAGRycy9kb3ducmV2LnhtbFBLAQIUABQAAAAIAIdO4kBI&#10;y99PxwIAAHoFAAAOAAAAAAAAAAEAIAAAACsBAABkcnMvZTJvRG9jLnhtbFBLBQYAAAAABgAGAFkB&#10;AABkBgAAAAA=&#10;" adj="-1022,-18771,14400">
                      <v:fill on="f" focussize="0,0"/>
                      <v:stroke weight="0.25pt" color="#FF0000" miterlimit="8" joinstyle="miter"/>
                      <v:imagedata o:title=""/>
                      <o:lock v:ext="edit" aspectratio="f"/>
                      <v:textbox>
                        <w:txbxContent>
                          <w:p>
                            <w:pPr>
                              <w:jc w:val="center"/>
                              <w:rPr>
                                <w:b/>
                                <w:bCs/>
                                <w:color w:val="FF0000"/>
                              </w:rPr>
                            </w:pPr>
                            <w:r>
                              <w:rPr>
                                <w:rFonts w:hint="eastAsia"/>
                                <w:b/>
                                <w:bCs/>
                                <w:color w:val="FF0000"/>
                              </w:rPr>
                              <w:t>项目所在地地</w:t>
                            </w:r>
                          </w:p>
                        </w:txbxContent>
                      </v:textbox>
                    </v:shape>
                  </w:pict>
                </mc:Fallback>
              </mc:AlternateContent>
            </w:r>
            <w:r>
              <w:rPr>
                <w:rFonts w:eastAsia="黑体"/>
                <w:b/>
                <w:bCs/>
                <w:color w:val="000000" w:themeColor="text1"/>
                <w:kern w:val="0"/>
                <w:sz w:val="20"/>
                <w14:textFill>
                  <w14:solidFill>
                    <w14:schemeClr w14:val="tx1"/>
                  </w14:solidFill>
                </w14:textFill>
              </w:rPr>
              <w:drawing>
                <wp:inline distT="0" distB="0" distL="114300" distR="114300">
                  <wp:extent cx="5751830" cy="4801870"/>
                  <wp:effectExtent l="0" t="0" r="1270" b="177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5751830" cy="4801870"/>
                          </a:xfrm>
                          <a:prstGeom prst="rect">
                            <a:avLst/>
                          </a:prstGeom>
                          <a:noFill/>
                          <a:ln>
                            <a:noFill/>
                          </a:ln>
                        </pic:spPr>
                      </pic:pic>
                    </a:graphicData>
                  </a:graphic>
                </wp:inline>
              </w:drawing>
            </w:r>
          </w:p>
          <w:p>
            <w:pPr>
              <w:autoSpaceDE w:val="0"/>
              <w:autoSpaceDN w:val="0"/>
              <w:adjustRightInd w:val="0"/>
              <w:snapToGrid w:val="0"/>
              <w:spacing w:line="360" w:lineRule="auto"/>
              <w:jc w:val="center"/>
              <w:rPr>
                <w:rFonts w:eastAsia="黑体"/>
                <w:color w:val="000000" w:themeColor="text1"/>
                <w:kern w:val="0"/>
                <w:sz w:val="20"/>
                <w14:textFill>
                  <w14:solidFill>
                    <w14:schemeClr w14:val="tx1"/>
                  </w14:solidFill>
                </w14:textFill>
              </w:rPr>
            </w:pPr>
            <w:r>
              <w:rPr>
                <w:rFonts w:eastAsia="黑体"/>
                <w:b/>
                <w:bCs/>
                <w:color w:val="000000" w:themeColor="text1"/>
                <w:kern w:val="0"/>
                <w:sz w:val="20"/>
                <w14:textFill>
                  <w14:solidFill>
                    <w14:schemeClr w14:val="tx1"/>
                  </w14:solidFill>
                </w14:textFill>
              </w:rPr>
              <w:t>图1-</w:t>
            </w:r>
            <w:r>
              <w:rPr>
                <w:rFonts w:hint="eastAsia" w:eastAsia="黑体"/>
                <w:b/>
                <w:bCs/>
                <w:color w:val="000000" w:themeColor="text1"/>
                <w:kern w:val="0"/>
                <w:sz w:val="20"/>
                <w14:textFill>
                  <w14:solidFill>
                    <w14:schemeClr w14:val="tx1"/>
                  </w14:solidFill>
                </w14:textFill>
              </w:rPr>
              <w:t>4</w:t>
            </w:r>
            <w:r>
              <w:rPr>
                <w:rFonts w:eastAsia="黑体"/>
                <w:b/>
                <w:bCs/>
                <w:color w:val="000000" w:themeColor="text1"/>
                <w:kern w:val="0"/>
                <w:sz w:val="20"/>
                <w14:textFill>
                  <w14:solidFill>
                    <w14:schemeClr w14:val="tx1"/>
                  </w14:solidFill>
                </w14:textFill>
              </w:rPr>
              <w:t>项目与达州市环境管控单元位置关系</w:t>
            </w:r>
          </w:p>
          <w:p>
            <w:pPr>
              <w:autoSpaceDE w:val="0"/>
              <w:autoSpaceDN w:val="0"/>
              <w:adjustRightInd w:val="0"/>
              <w:snapToGrid w:val="0"/>
              <w:spacing w:line="360" w:lineRule="auto"/>
              <w:ind w:firstLine="480" w:firstLineChars="200"/>
            </w:pPr>
            <w:r>
              <w:rPr>
                <w:rFonts w:hint="eastAsia"/>
              </w:rPr>
              <w:t xml:space="preserve">根据四川省“三线一单”数据分析系统，查询本项目所在地所属管控单元，查询结果截图如下： </w:t>
            </w:r>
          </w:p>
          <w:p>
            <w:pPr>
              <w:autoSpaceDE w:val="0"/>
              <w:autoSpaceDN w:val="0"/>
              <w:adjustRightInd w:val="0"/>
              <w:snapToGrid w:val="0"/>
              <w:spacing w:line="360" w:lineRule="auto"/>
              <w:ind w:firstLine="480" w:firstLineChars="200"/>
            </w:pPr>
            <w:r>
              <w:rPr>
                <w:rFonts w:hint="eastAsia"/>
              </w:rPr>
              <w:t>宣汉县中诺建材有限公司年产 9 万方砂石加工厂项目位于达州市宣汉县环境综合管控单元一般管控单元（管控单元名称：宣汉县一般管控单元，管控单元编号：ZH51172230001）</w:t>
            </w:r>
          </w:p>
          <w:p>
            <w:pPr>
              <w:autoSpaceDE w:val="0"/>
              <w:autoSpaceDN w:val="0"/>
              <w:adjustRightInd w:val="0"/>
              <w:snapToGrid w:val="0"/>
              <w:spacing w:line="360" w:lineRule="auto"/>
              <w:ind w:firstLine="480" w:firstLineChars="200"/>
              <w:jc w:val="left"/>
            </w:pPr>
            <w:r>
              <w:rPr>
                <w:rFonts w:hint="eastAsia"/>
              </w:rPr>
              <w:t>项目与管控单元相对位置如下图所示：（图中▼表示项目位置）</w:t>
            </w:r>
          </w:p>
          <w:p>
            <w:pPr>
              <w:pStyle w:val="2"/>
              <w:ind w:left="330" w:leftChars="41" w:hanging="232" w:hangingChars="83"/>
            </w:pPr>
            <w:r>
              <w:rPr>
                <w:rFonts w:ascii="Helvetica" w:hAnsi="Helvetica" w:cs="Helvetica"/>
                <w:sz w:val="28"/>
                <w:szCs w:val="28"/>
              </w:rPr>
              <w:drawing>
                <wp:inline distT="0" distB="0" distL="0" distR="0">
                  <wp:extent cx="4523105" cy="27127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523105" cy="2712720"/>
                          </a:xfrm>
                          <a:prstGeom prst="rect">
                            <a:avLst/>
                          </a:prstGeom>
                          <a:noFill/>
                          <a:ln>
                            <a:noFill/>
                          </a:ln>
                        </pic:spPr>
                      </pic:pic>
                    </a:graphicData>
                  </a:graphic>
                </wp:inline>
              </w:drawing>
            </w:r>
          </w:p>
          <w:p>
            <w:pPr>
              <w:autoSpaceDE w:val="0"/>
              <w:autoSpaceDN w:val="0"/>
              <w:adjustRightInd w:val="0"/>
              <w:snapToGrid w:val="0"/>
              <w:spacing w:line="360" w:lineRule="auto"/>
              <w:jc w:val="center"/>
              <w:rPr>
                <w:rFonts w:eastAsia="黑体"/>
                <w:b/>
                <w:bCs/>
                <w:color w:val="000000" w:themeColor="text1"/>
                <w:kern w:val="0"/>
                <w:sz w:val="20"/>
                <w14:textFill>
                  <w14:solidFill>
                    <w14:schemeClr w14:val="tx1"/>
                  </w14:solidFill>
                </w14:textFill>
              </w:rPr>
            </w:pPr>
            <w:r>
              <w:rPr>
                <w:rFonts w:eastAsia="黑体"/>
                <w:b/>
                <w:bCs/>
                <w:color w:val="000000" w:themeColor="text1"/>
                <w:kern w:val="0"/>
                <w:sz w:val="20"/>
                <w14:textFill>
                  <w14:solidFill>
                    <w14:schemeClr w14:val="tx1"/>
                  </w14:solidFill>
                </w14:textFill>
              </w:rPr>
              <w:t>图1-</w:t>
            </w:r>
            <w:r>
              <w:rPr>
                <w:rFonts w:hint="eastAsia" w:eastAsia="黑体"/>
                <w:b/>
                <w:bCs/>
                <w:color w:val="000000" w:themeColor="text1"/>
                <w:kern w:val="0"/>
                <w:sz w:val="20"/>
                <w14:textFill>
                  <w14:solidFill>
                    <w14:schemeClr w14:val="tx1"/>
                  </w14:solidFill>
                </w14:textFill>
              </w:rPr>
              <w:t>5-1</w:t>
            </w:r>
            <w:r>
              <w:rPr>
                <w:rFonts w:eastAsia="黑体"/>
                <w:b/>
                <w:bCs/>
                <w:color w:val="000000" w:themeColor="text1"/>
                <w:kern w:val="0"/>
                <w:sz w:val="20"/>
                <w14:textFill>
                  <w14:solidFill>
                    <w14:schemeClr w14:val="tx1"/>
                  </w14:solidFill>
                </w14:textFill>
              </w:rPr>
              <w:t xml:space="preserve">  四川省“三线一单”数据分析系统查询</w:t>
            </w:r>
            <w:r>
              <w:rPr>
                <w:rFonts w:hint="eastAsia" w:eastAsia="黑体"/>
                <w:b/>
                <w:bCs/>
                <w:color w:val="000000" w:themeColor="text1"/>
                <w:kern w:val="0"/>
                <w:sz w:val="20"/>
                <w14:textFill>
                  <w14:solidFill>
                    <w14:schemeClr w14:val="tx1"/>
                  </w14:solidFill>
                </w14:textFill>
              </w:rPr>
              <w:t>结果截图</w:t>
            </w:r>
          </w:p>
          <w:p>
            <w:pPr>
              <w:spacing w:line="360" w:lineRule="auto"/>
              <w:ind w:firstLine="480" w:firstLineChars="200"/>
            </w:pPr>
          </w:p>
          <w:p>
            <w:pPr>
              <w:autoSpaceDE w:val="0"/>
              <w:autoSpaceDN w:val="0"/>
              <w:adjustRightInd w:val="0"/>
              <w:snapToGrid w:val="0"/>
              <w:spacing w:line="360" w:lineRule="auto"/>
              <w:jc w:val="center"/>
            </w:pPr>
            <w:r>
              <w:drawing>
                <wp:inline distT="0" distB="0" distL="0" distR="0">
                  <wp:extent cx="4521835" cy="348297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521835" cy="3482975"/>
                          </a:xfrm>
                          <a:prstGeom prst="rect">
                            <a:avLst/>
                          </a:prstGeom>
                        </pic:spPr>
                      </pic:pic>
                    </a:graphicData>
                  </a:graphic>
                </wp:inline>
              </w:drawing>
            </w:r>
          </w:p>
          <w:p>
            <w:pPr>
              <w:autoSpaceDE w:val="0"/>
              <w:autoSpaceDN w:val="0"/>
              <w:adjustRightInd w:val="0"/>
              <w:snapToGrid w:val="0"/>
              <w:spacing w:line="360" w:lineRule="auto"/>
              <w:jc w:val="center"/>
              <w:rPr>
                <w:rFonts w:eastAsia="黑体"/>
                <w:b/>
                <w:bCs/>
                <w:color w:val="000000" w:themeColor="text1"/>
                <w:kern w:val="0"/>
                <w:sz w:val="20"/>
                <w14:textFill>
                  <w14:solidFill>
                    <w14:schemeClr w14:val="tx1"/>
                  </w14:solidFill>
                </w14:textFill>
              </w:rPr>
            </w:pPr>
            <w:r>
              <w:rPr>
                <w:rFonts w:eastAsia="黑体"/>
                <w:b/>
                <w:bCs/>
                <w:color w:val="000000" w:themeColor="text1"/>
                <w:kern w:val="0"/>
                <w:sz w:val="20"/>
                <w14:textFill>
                  <w14:solidFill>
                    <w14:schemeClr w14:val="tx1"/>
                  </w14:solidFill>
                </w14:textFill>
              </w:rPr>
              <w:t>图1-</w:t>
            </w:r>
            <w:r>
              <w:rPr>
                <w:rFonts w:hint="eastAsia" w:eastAsia="黑体"/>
                <w:b/>
                <w:bCs/>
                <w:color w:val="000000" w:themeColor="text1"/>
                <w:kern w:val="0"/>
                <w:sz w:val="20"/>
                <w14:textFill>
                  <w14:solidFill>
                    <w14:schemeClr w14:val="tx1"/>
                  </w14:solidFill>
                </w14:textFill>
              </w:rPr>
              <w:t>5-2</w:t>
            </w:r>
            <w:r>
              <w:rPr>
                <w:rFonts w:eastAsia="黑体"/>
                <w:b/>
                <w:bCs/>
                <w:color w:val="000000" w:themeColor="text1"/>
                <w:kern w:val="0"/>
                <w:sz w:val="20"/>
                <w14:textFill>
                  <w14:solidFill>
                    <w14:schemeClr w14:val="tx1"/>
                  </w14:solidFill>
                </w14:textFill>
              </w:rPr>
              <w:t xml:space="preserve">  四川省“三线一单”数据分析系统查询</w:t>
            </w:r>
            <w:r>
              <w:rPr>
                <w:rFonts w:hint="eastAsia" w:eastAsia="黑体"/>
                <w:b/>
                <w:bCs/>
                <w:color w:val="000000" w:themeColor="text1"/>
                <w:kern w:val="0"/>
                <w:sz w:val="20"/>
                <w14:textFill>
                  <w14:solidFill>
                    <w14:schemeClr w14:val="tx1"/>
                  </w14:solidFill>
                </w14:textFill>
              </w:rPr>
              <w:t>结果截图</w:t>
            </w:r>
          </w:p>
          <w:p>
            <w:pPr>
              <w:autoSpaceDE w:val="0"/>
              <w:autoSpaceDN w:val="0"/>
              <w:adjustRightInd w:val="0"/>
              <w:snapToGrid w:val="0"/>
              <w:spacing w:line="360" w:lineRule="auto"/>
              <w:jc w:val="center"/>
              <w:rPr>
                <w:rFonts w:eastAsia="黑体"/>
                <w:b/>
                <w:bCs/>
                <w:color w:val="000000" w:themeColor="text1"/>
                <w:kern w:val="0"/>
                <w:sz w:val="20"/>
                <w14:textFill>
                  <w14:solidFill>
                    <w14:schemeClr w14:val="tx1"/>
                  </w14:solidFill>
                </w14:textFill>
              </w:rPr>
            </w:pPr>
          </w:p>
          <w:p>
            <w:pPr>
              <w:autoSpaceDE w:val="0"/>
              <w:autoSpaceDN w:val="0"/>
              <w:adjustRightInd w:val="0"/>
              <w:snapToGrid w:val="0"/>
              <w:spacing w:line="360" w:lineRule="auto"/>
              <w:ind w:firstLine="480" w:firstLineChars="200"/>
            </w:pPr>
            <w:r>
              <w:rPr>
                <w:rFonts w:hint="eastAsia"/>
              </w:rPr>
              <w:t>（3）生态环境准入清单符合性分析</w:t>
            </w:r>
          </w:p>
          <w:p>
            <w:pPr>
              <w:autoSpaceDE w:val="0"/>
              <w:autoSpaceDN w:val="0"/>
              <w:adjustRightInd w:val="0"/>
              <w:snapToGrid w:val="0"/>
              <w:spacing w:line="360" w:lineRule="auto"/>
              <w:ind w:firstLine="480" w:firstLineChars="200"/>
            </w:pPr>
            <w:r>
              <w:rPr>
                <w:rFonts w:hint="eastAsia"/>
              </w:rPr>
              <w:t>本项目与上述环境管控单元符合性分析见下表。</w:t>
            </w:r>
          </w:p>
          <w:p/>
          <w:p>
            <w:pPr>
              <w:pStyle w:val="2"/>
              <w:ind w:left="960" w:hanging="480"/>
            </w:pPr>
          </w:p>
          <w:p/>
          <w:p>
            <w:pPr>
              <w:pStyle w:val="2"/>
              <w:ind w:left="960" w:hanging="480"/>
            </w:pPr>
          </w:p>
        </w:tc>
      </w:tr>
    </w:tbl>
    <w:p>
      <w:pPr>
        <w:pStyle w:val="18"/>
        <w:jc w:val="center"/>
        <w:rPr>
          <w:rFonts w:eastAsia="黑体"/>
          <w:b w:val="0"/>
          <w:color w:val="000000" w:themeColor="text1"/>
          <w:sz w:val="30"/>
          <w:szCs w:val="30"/>
          <w14:textFill>
            <w14:solidFill>
              <w14:schemeClr w14:val="tx1"/>
            </w14:solidFill>
          </w14:textFill>
        </w:rPr>
        <w:sectPr>
          <w:footerReference r:id="rId3" w:type="default"/>
          <w:pgSz w:w="11906" w:h="16838"/>
          <w:pgMar w:top="1440" w:right="1080" w:bottom="1440" w:left="1080" w:header="851" w:footer="992" w:gutter="0"/>
          <w:pgNumType w:start="1"/>
          <w:cols w:space="720" w:num="1"/>
          <w:docGrid w:type="lines" w:linePitch="312" w:charSpace="0"/>
        </w:sect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3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tcPr>
          <w:p>
            <w:pPr>
              <w:autoSpaceDE w:val="0"/>
              <w:autoSpaceDN w:val="0"/>
              <w:adjustRightInd w:val="0"/>
              <w:snapToGrid w:val="0"/>
              <w:spacing w:line="36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其他符合性分析</w:t>
            </w:r>
          </w:p>
        </w:tc>
        <w:tc>
          <w:tcPr>
            <w:tcW w:w="13749" w:type="dxa"/>
            <w:vAlign w:val="center"/>
          </w:tcPr>
          <w:p>
            <w:pPr>
              <w:autoSpaceDE w:val="0"/>
              <w:autoSpaceDN w:val="0"/>
              <w:adjustRightInd w:val="0"/>
              <w:snapToGrid w:val="0"/>
              <w:spacing w:line="360" w:lineRule="auto"/>
              <w:jc w:val="center"/>
              <w:rPr>
                <w:rFonts w:eastAsia="黑体"/>
                <w:b/>
                <w:bCs/>
                <w:color w:val="000000" w:themeColor="text1"/>
                <w:kern w:val="0"/>
                <w:sz w:val="20"/>
                <w14:textFill>
                  <w14:solidFill>
                    <w14:schemeClr w14:val="tx1"/>
                  </w14:solidFill>
                </w14:textFill>
              </w:rPr>
            </w:pPr>
            <w:r>
              <w:rPr>
                <w:rFonts w:hint="eastAsia" w:eastAsia="黑体"/>
                <w:b/>
                <w:bCs/>
                <w:color w:val="000000" w:themeColor="text1"/>
                <w:kern w:val="0"/>
                <w:sz w:val="20"/>
                <w14:textFill>
                  <w14:solidFill>
                    <w14:schemeClr w14:val="tx1"/>
                  </w14:solidFill>
                </w14:textFill>
              </w:rPr>
              <w:t>表1-1 本项目与所涉及环境管控单元符合性分析一览表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888"/>
              <w:gridCol w:w="5129"/>
              <w:gridCol w:w="487"/>
              <w:gridCol w:w="3777"/>
              <w:gridCol w:w="1211"/>
              <w:gridCol w:w="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pct"/>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cs="宋体"/>
                      <w:b/>
                      <w:bCs/>
                      <w:color w:val="000000"/>
                      <w:kern w:val="0"/>
                      <w:sz w:val="21"/>
                    </w:rPr>
                    <w:t>环境管控单元编码</w:t>
                  </w:r>
                </w:p>
              </w:tc>
              <w:tc>
                <w:tcPr>
                  <w:tcW w:w="328" w:type="pct"/>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cs="宋体"/>
                      <w:b/>
                      <w:bCs/>
                      <w:color w:val="000000"/>
                      <w:kern w:val="0"/>
                      <w:sz w:val="21"/>
                    </w:rPr>
                    <w:t>环境管控单元名称</w:t>
                  </w:r>
                </w:p>
              </w:tc>
              <w:tc>
                <w:tcPr>
                  <w:tcW w:w="1895" w:type="pct"/>
                  <w:vAlign w:val="center"/>
                </w:tcPr>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b/>
                      <w:bCs/>
                      <w:color w:val="000000"/>
                      <w:kern w:val="0"/>
                      <w:sz w:val="21"/>
                    </w:rPr>
                    <w:t>达州市普适性清单</w:t>
                  </w:r>
                </w:p>
              </w:tc>
              <w:tc>
                <w:tcPr>
                  <w:tcW w:w="180" w:type="pct"/>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cs="宋体"/>
                      <w:b/>
                      <w:bCs/>
                      <w:color w:val="000000"/>
                      <w:kern w:val="0"/>
                      <w:sz w:val="21"/>
                    </w:rPr>
                    <w:t>管控类别</w:t>
                  </w:r>
                </w:p>
              </w:tc>
              <w:tc>
                <w:tcPr>
                  <w:tcW w:w="1396" w:type="pct"/>
                  <w:vAlign w:val="center"/>
                </w:tcPr>
                <w:p>
                  <w:pPr>
                    <w:pStyle w:val="19"/>
                    <w:widowControl/>
                    <w:shd w:val="clear" w:color="auto" w:fill="FFFFFF"/>
                    <w:spacing w:line="240" w:lineRule="auto"/>
                    <w:ind w:firstLine="0" w:firstLineChars="0"/>
                    <w:jc w:val="center"/>
                    <w:rPr>
                      <w:rFonts w:ascii="宋体" w:hAnsi="宋体" w:eastAsia="宋体"/>
                      <w:sz w:val="21"/>
                    </w:rPr>
                  </w:pPr>
                  <w:r>
                    <w:rPr>
                      <w:rFonts w:hint="eastAsia" w:ascii="宋体" w:hAnsi="宋体" w:eastAsia="宋体" w:cs="宋体"/>
                      <w:b/>
                      <w:bCs/>
                      <w:color w:val="000000"/>
                      <w:kern w:val="0"/>
                      <w:sz w:val="21"/>
                    </w:rPr>
                    <w:t>单元特性管控要求</w:t>
                  </w:r>
                </w:p>
              </w:tc>
              <w:tc>
                <w:tcPr>
                  <w:tcW w:w="448" w:type="pct"/>
                  <w:vAlign w:val="center"/>
                </w:tcPr>
                <w:p>
                  <w:pPr>
                    <w:pStyle w:val="19"/>
                    <w:widowControl/>
                    <w:shd w:val="clear" w:color="auto" w:fill="FFFFFF"/>
                    <w:spacing w:line="240" w:lineRule="auto"/>
                    <w:ind w:firstLine="0" w:firstLineChars="0"/>
                    <w:jc w:val="center"/>
                    <w:rPr>
                      <w:rFonts w:ascii="宋体" w:hAnsi="宋体" w:eastAsia="宋体"/>
                      <w:b/>
                      <w:bCs/>
                      <w:sz w:val="21"/>
                    </w:rPr>
                  </w:pPr>
                  <w:r>
                    <w:rPr>
                      <w:rFonts w:hint="eastAsia" w:ascii="宋体" w:hAnsi="宋体" w:eastAsia="宋体"/>
                      <w:b/>
                      <w:bCs/>
                      <w:sz w:val="21"/>
                    </w:rPr>
                    <w:t>项目对应情况介绍</w:t>
                  </w:r>
                </w:p>
              </w:tc>
              <w:tc>
                <w:tcPr>
                  <w:tcW w:w="352" w:type="pct"/>
                  <w:vAlign w:val="center"/>
                </w:tcPr>
                <w:p>
                  <w:pPr>
                    <w:pStyle w:val="19"/>
                    <w:widowControl/>
                    <w:shd w:val="clear" w:color="auto" w:fill="FFFFFF"/>
                    <w:spacing w:line="240" w:lineRule="auto"/>
                    <w:ind w:firstLine="0" w:firstLineChars="0"/>
                    <w:jc w:val="center"/>
                    <w:rPr>
                      <w:rFonts w:ascii="宋体" w:hAnsi="宋体" w:eastAsia="宋体"/>
                      <w:b/>
                      <w:bCs/>
                      <w:sz w:val="21"/>
                    </w:rPr>
                  </w:pPr>
                  <w:r>
                    <w:rPr>
                      <w:rFonts w:hint="eastAsia" w:ascii="宋体" w:hAnsi="宋体" w:eastAsia="宋体"/>
                      <w:b/>
                      <w:bCs/>
                      <w:sz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pct"/>
                  <w:vMerge w:val="restart"/>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ZH51172230001</w:t>
                  </w:r>
                </w:p>
              </w:tc>
              <w:tc>
                <w:tcPr>
                  <w:tcW w:w="328" w:type="pct"/>
                  <w:vMerge w:val="restart"/>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宣汉县一般管控单元</w:t>
                  </w:r>
                </w:p>
              </w:tc>
              <w:tc>
                <w:tcPr>
                  <w:tcW w:w="1895" w:type="pct"/>
                  <w:vMerge w:val="restart"/>
                </w:tcPr>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空间布局约束：</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禁止开发建设活动的要求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-禁止在长江干支流1公里范围内新建、扩建化工园区和化工项目。</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-禁止在法律法规规定的禁采区内新建矿山；禁止土法采、选、冶严重污染环境的矿产资源。</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-涉及永久基本农田的区域，除法律规定的重点建设项目选址确实无法避让外，其他任何建设不得占用。</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-禁止在长江流域河湖管理范围内倾倒、填埋、堆放、弃置、处理固体废物。</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限制开发建设活动的要求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-按照相关要求严控水泥新增产能。</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涉及法定保护地，严格按照国家及地方法律法规、管理办法等相关要求进行控制。配套旅游、基础设施等建设项目，在符合规划和相关保护要求的前提下，应实施生态避让、减缓影响及生态恢复措施。</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按照相关要求严控水泥新增产能。</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禁止在长江干流岸线三公里范围内和重要支流岸线一公里范围内新建、改建、扩建尾矿库；但是以提升安全、生态环境保护水平为目的的改建除外。</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不符合空间布局要求活动的退出要求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针对现有水泥企业，强化污染治理和污染物减排，依法依规整治或搬迁。</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全面取缔禁养区内规模化畜禽养殖场。</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2025年基本完成全域内“散乱污”企业整治工作。</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在全市范围深入开展集中整治“散乱污”工业企业，对不符合产业政策和规划布局的，一律责令停产、限期搬迁或关停；</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其他空间布局约束要求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污染物排放管控：</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允许排放量要求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现有源提标升级改造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加快现有乡镇污水处理设施升级改造，按要求达《城镇污水处理厂污染物排放标准》一级A标后排放。</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在矿产资源开发活动集中区域，废水执行重金属污染物排放特别限值。</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火电、水泥等行业按相关要求推进大气污染物超低排放和深度治理。</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砖瓦行业实施脱硫、除尘升级改造，污染物排放达到《砖瓦工业大气污染物排放标准》相关要求。</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其他污染物排放管控要求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污染物排放绩效水平准入要求:屠宰项目必须配套污水处理设施或进入城市污水管网。</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-到2023年底，力争全市生活垃圾焚烧处理能力占比达60%以上，各县（市）生活垃圾无害化处理率保持95%以上，乡镇及行政村生活垃圾收转运处置体系基本实现全覆盖。</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-到2025年，农药包装废弃物回收率达80%；粮油绿色高质高效示范区、茶叶主产区和现代农业园区农药包装废弃物回收率100%。</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-到2025年，全国主要农作物化肥、农药利用率达43%，测土配方施肥技术推广覆盖率保持在90%以上，控制农村面源污染，采取灌排分离等措施控制农田氮磷流失。</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-到2025年，废旧农膜回收利用率达到85%以上。</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环境风险防控：</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联防联控要求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其他环境风险防控要求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企业环境风险防控要求:工业企业退出用地，须经评估、修复满足相应用地功能后，方可改变用途。</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定期对单元内尾矿库进行风险巡查，建立监测系统和环境风险应急预案；完善各尾矿库渗滤液收集、处理、回用系统，杜绝事故排放；尾矿库闭矿后因地制宜进行植被恢复和综合利用。</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规范排土场、渣场等整治。禁止处理不达标的污泥进入耕地。</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严格控制林地、草地、园地的农药使用量，禁止使用高毒、高残留农药。</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到2030年，全市受污染耕地安全利用率达到95%以上，污染地块安全利用率达到95%以上。</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资源开发利用效率要求：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水资源利用总量要求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-到2025年，农田灌溉水有效利用系数达到0.57以上。</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地下水开采要求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以省市下发指标为准</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能源利用总量及效率要求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推进清洁能源的推广使用，全面推进散煤清洁化整治；禁止新建每小时10蒸吨以下的燃煤锅炉及其他燃煤设施。</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禁止焚烧秸秆和垃圾，到2025年底，秸秆综合利用率达到86%以上。</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禁燃区要求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-禁燃区内禁止销售、燃用高污染燃料；禁止新建、改建、扩建燃用高污染燃料的设施和设备。</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-禁燃区内已建成的高污染燃料燃用设施由辖区人民政府制定限期改造计划，改用天然气、页岩气、液化石油气、电或其他清洁能源。</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其他资源利用效率要求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tc>
              <w:tc>
                <w:tcPr>
                  <w:tcW w:w="180" w:type="pct"/>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空间布局约束</w:t>
                  </w:r>
                </w:p>
              </w:tc>
              <w:tc>
                <w:tcPr>
                  <w:tcW w:w="1396" w:type="pct"/>
                  <w:vAlign w:val="center"/>
                </w:tcPr>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禁止开发建设活动的要求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同达州市一般管控单元总体准入要求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限制开发建设活动的要求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对四川省主体功能区划中的农产品主产区，应限制进行大规模高强度工业化城镇化开发，严格控制有色金属冶炼、石油加工、化工、焦化、电镀、制革等产能，原则上不增加产能其他同达州市一般管控单元总体准入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允许开发建设活动的要求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不符合空间布局要求活动的退出要求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区外企业：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其他同达州市一般管控单元总体准入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其他空间布局约束要求</w:t>
                  </w:r>
                </w:p>
              </w:tc>
              <w:tc>
                <w:tcPr>
                  <w:tcW w:w="448" w:type="pct"/>
                  <w:vAlign w:val="center"/>
                </w:tcPr>
                <w:p>
                  <w:pPr>
                    <w:pStyle w:val="19"/>
                    <w:widowControl/>
                    <w:spacing w:line="240" w:lineRule="auto"/>
                    <w:ind w:firstLine="0" w:firstLineChars="0"/>
                    <w:jc w:val="center"/>
                    <w:rPr>
                      <w:rFonts w:eastAsia="宋体"/>
                      <w:color w:val="000000" w:themeColor="text1"/>
                      <w:kern w:val="0"/>
                      <w:sz w:val="21"/>
                      <w14:textFill>
                        <w14:solidFill>
                          <w14:schemeClr w14:val="tx1"/>
                        </w14:solidFill>
                      </w14:textFill>
                    </w:rPr>
                  </w:pPr>
                  <w:r>
                    <w:rPr>
                      <w:rFonts w:hint="eastAsia" w:eastAsia="宋体"/>
                      <w:color w:val="000000" w:themeColor="text1"/>
                      <w:sz w:val="21"/>
                      <w14:textFill>
                        <w14:solidFill>
                          <w14:schemeClr w14:val="tx1"/>
                        </w14:solidFill>
                      </w14:textFill>
                    </w:rPr>
                    <w:t>本项目为宣汉县中诺建材有限公司年产 9 万方砂石加工厂项目，不属于禁止开发、限制开发类项目以及要求退出的项目</w:t>
                  </w:r>
                </w:p>
              </w:tc>
              <w:tc>
                <w:tcPr>
                  <w:tcW w:w="352" w:type="pct"/>
                  <w:vAlign w:val="center"/>
                </w:tcPr>
                <w:p>
                  <w:pPr>
                    <w:pStyle w:val="19"/>
                    <w:widowControl/>
                    <w:spacing w:line="240" w:lineRule="auto"/>
                    <w:ind w:firstLine="0" w:firstLineChars="0"/>
                    <w:jc w:val="center"/>
                    <w:rPr>
                      <w:rFonts w:eastAsia="宋体"/>
                      <w:color w:val="000000" w:themeColor="text1"/>
                      <w:kern w:val="0"/>
                      <w:sz w:val="21"/>
                      <w14:textFill>
                        <w14:solidFill>
                          <w14:schemeClr w14:val="tx1"/>
                        </w14:solidFill>
                      </w14:textFill>
                    </w:rPr>
                  </w:pPr>
                  <w:r>
                    <w:rPr>
                      <w:rFonts w:hint="eastAsia" w:eastAsia="宋体"/>
                      <w:color w:val="000000" w:themeColor="text1"/>
                      <w:kern w:val="0"/>
                      <w:sz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pct"/>
                  <w:vMerge w:val="continue"/>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ZH51172230001</w:t>
                  </w:r>
                </w:p>
              </w:tc>
              <w:tc>
                <w:tcPr>
                  <w:tcW w:w="328" w:type="pct"/>
                  <w:vMerge w:val="continue"/>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宣汉县一般管控单元</w:t>
                  </w:r>
                </w:p>
              </w:tc>
              <w:tc>
                <w:tcPr>
                  <w:tcW w:w="1895" w:type="pct"/>
                  <w:vMerge w:val="continue"/>
                </w:tcPr>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空间布局约束：</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禁止开发建设活动的要求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-禁止在长江干支流1公里范围内新建、扩建化工园区和化工项目。</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-禁止在法律法规规定的禁采区内新建矿山；禁止土法采、选、冶严重污染环境的矿产资源。</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-涉及永久基本农田的区域，除法律规定的重点建设项目选址确实无法避让外，其他任何建设不得占用。</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-禁止在长江流域河湖管理范围内倾倒、填埋、堆放、弃置、处理固体废物。</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限制开发建设活动的要求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-按照相关要求严控水泥新增产能。</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涉及法定保护地，严格按照国家及地方法律法规、管理办法等相关要求进行控制。配套旅游、基础设施等建设项目，在符合规划和相关保护要求的前提下，应实施生态避让、减缓影响及生态恢复措施。</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按照相关要求严控水泥新增产能。</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禁止在长江干流岸线三公里范围内和重要支流岸线一公里范围内新建、改建、扩建尾矿库；但是以提升安全、生态环境保护水平为目的的改建除外。</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不符合空间布局要求活动的退出要求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针对现有水泥企业，强化污染治理和污染物减排，依法依规整治或搬迁。</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全面取缔禁养区内规模化畜禽养殖场。</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2025年基本完成全域内“散乱污”企业整治工作。</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在全市范围深入开展集中整治“散乱污”工业企业，对不符合产业政策和规划布局的，一律责令停产、限期搬迁或关停；</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其他空间布局约束要求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污染物排放管控：</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允许排放量要求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现有源提标升级改造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加快现有乡镇污水处理设施升级改造，按要求达《城镇污水处理厂污染物排放标准》一级A标后排放。</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在矿产资源开发活动集中区域，废水执行重金属污染物排放特别限值。</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火电、水泥等行业按相关要求推进大气污染物超低排放和深度治理。</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砖瓦行业实施脱硫、除尘升级改造，污染物排放达到《砖瓦工业大气污染物排放标准》相关要求。</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其他污染物排放管控要求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污染物排放绩效水平准入要求:屠宰项目必须配套污水处理设施或进入城市污水管网。</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-到2023年底，力争全市生活垃圾焚烧处理能力占比达60%以上，各县（市）生活垃圾无害化处理率保持95%以上，乡镇及行政村生活垃圾收转运处置体系基本实现全覆盖。</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-到2025年，农药包装废弃物回收率达80%；粮油绿色高质高效示范区、茶叶主产区和现代农业园区农药包装废弃物回收率100%。</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-到2025年，全国主要农作物化肥、农药利用率达43%，测土配方施肥技术推广覆盖率保持在90%以上，控制农村面源污染，采取灌排分离等措施控制农田氮磷流失。</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-到2025年，废旧农膜回收利用率达到85%以上。</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环境风险防控：</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联防联控要求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其他环境风险防控要求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企业环境风险防控要求:工业企业退出用地，须经评估、修复满足相应用地功能后，方可改变用途。</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定期对单元内尾矿库进行风险巡查，建立监测系统和环境风险应急预案；完善各尾矿库渗滤液收集、处理、回用系统，杜绝事故排放；尾矿库闭矿后因地制宜进行植被恢复和综合利用。</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规范排土场、渣场等整治。禁止处理不达标的污泥进入耕地。</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严格控制林地、草地、园地的农药使用量，禁止使用高毒、高残留农药。</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到2030年，全市受污染耕地安全利用率达到95%以上，污染地块安全利用率达到95%以上。</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资源开发利用效率要求：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水资源利用总量要求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-到2025年，农田灌溉水有效利用系数达到0.57以上。</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地下水开采要求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以省市下发指标为准</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能源利用总量及效率要求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推进清洁能源的推广使用，全面推进散煤清洁化整治；禁止新建每小时10蒸吨以下的燃煤锅炉及其他燃煤设施。</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禁止焚烧秸秆和垃圾，到2025年底，秸秆综合利用率达到86%以上。</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禁燃区要求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-禁燃区内禁止销售、燃用高污染燃料；禁止新建、改建、扩建燃用高污染燃料的设施和设备。</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-禁燃区内已建成的高污染燃料燃用设施由辖区人民政府制定限期改造计划，改用天然气、页岩气、液化石油气、电或其他清洁能源。</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其他资源利用效率要求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tc>
              <w:tc>
                <w:tcPr>
                  <w:tcW w:w="180" w:type="pct"/>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污染物排放管控</w:t>
                  </w:r>
                </w:p>
              </w:tc>
              <w:tc>
                <w:tcPr>
                  <w:tcW w:w="1396" w:type="pct"/>
                  <w:vAlign w:val="center"/>
                </w:tcPr>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现有源提标升级改造</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同达州市一般管控单元总体准入要求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新增源等量或倍量替代</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同达州市一般管控单元总体准入要求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新增源排放标准限值</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同达州市一般管控单元总体准入要求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污染物排放绩效水平准入要求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-大气环境布局敏感和弱扩散重点管控区内，现有大气污染重点企业，限期进行深度治理或关停并转。-其它同达州市一般管控单元总体准入要求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其他污染物排放管控要求</w:t>
                  </w:r>
                </w:p>
              </w:tc>
              <w:tc>
                <w:tcPr>
                  <w:tcW w:w="448" w:type="pct"/>
                  <w:vAlign w:val="center"/>
                </w:tcPr>
                <w:p>
                  <w:pPr>
                    <w:pStyle w:val="19"/>
                    <w:spacing w:line="240" w:lineRule="auto"/>
                    <w:ind w:firstLine="0" w:firstLineChars="0"/>
                    <w:jc w:val="center"/>
                    <w:rPr>
                      <w:rFonts w:eastAsia="宋体"/>
                      <w:color w:val="000000" w:themeColor="text1"/>
                      <w:kern w:val="0"/>
                      <w:sz w:val="21"/>
                      <w14:textFill>
                        <w14:solidFill>
                          <w14:schemeClr w14:val="tx1"/>
                        </w14:solidFill>
                      </w14:textFill>
                    </w:rPr>
                  </w:pPr>
                  <w:r>
                    <w:rPr>
                      <w:rFonts w:hint="eastAsia" w:eastAsia="宋体"/>
                      <w:color w:val="000000" w:themeColor="text1"/>
                      <w:kern w:val="0"/>
                      <w:sz w:val="21"/>
                      <w14:textFill>
                        <w14:solidFill>
                          <w14:schemeClr w14:val="tx1"/>
                        </w14:solidFill>
                      </w14:textFill>
                    </w:rPr>
                    <w:t>项目</w:t>
                  </w:r>
                  <w:r>
                    <w:rPr>
                      <w:rFonts w:hint="eastAsia" w:ascii="宋体" w:hAnsi="宋体" w:eastAsia="宋体"/>
                      <w:sz w:val="21"/>
                    </w:rPr>
                    <w:t>生产</w:t>
                  </w:r>
                  <w:r>
                    <w:rPr>
                      <w:rFonts w:ascii="宋体" w:hAnsi="宋体" w:eastAsia="宋体"/>
                      <w:sz w:val="21"/>
                    </w:rPr>
                    <w:t>废水经废水处理装置处理后全部循环使用，不外排</w:t>
                  </w:r>
                  <w:r>
                    <w:rPr>
                      <w:rFonts w:hint="eastAsia" w:ascii="宋体" w:hAnsi="宋体" w:eastAsia="宋体"/>
                      <w:sz w:val="21"/>
                    </w:rPr>
                    <w:t>；</w:t>
                  </w:r>
                  <w:r>
                    <w:rPr>
                      <w:rFonts w:eastAsia="宋体"/>
                      <w:color w:val="000000" w:themeColor="text1"/>
                      <w:kern w:val="0"/>
                      <w:sz w:val="21"/>
                      <w14:textFill>
                        <w14:solidFill>
                          <w14:schemeClr w14:val="tx1"/>
                        </w14:solidFill>
                      </w14:textFill>
                    </w:rPr>
                    <w:t>项目</w:t>
                  </w:r>
                  <w:r>
                    <w:rPr>
                      <w:rFonts w:hint="eastAsia" w:eastAsia="宋体"/>
                      <w:color w:val="000000" w:themeColor="text1"/>
                      <w:kern w:val="0"/>
                      <w:sz w:val="21"/>
                      <w14:textFill>
                        <w14:solidFill>
                          <w14:schemeClr w14:val="tx1"/>
                        </w14:solidFill>
                      </w14:textFill>
                    </w:rPr>
                    <w:t>产生的大气污染物主要为粉尘，通过采取措施后可以实现达标排放</w:t>
                  </w:r>
                </w:p>
              </w:tc>
              <w:tc>
                <w:tcPr>
                  <w:tcW w:w="352" w:type="pct"/>
                  <w:vAlign w:val="center"/>
                </w:tcPr>
                <w:p>
                  <w:pPr>
                    <w:pStyle w:val="19"/>
                    <w:widowControl/>
                    <w:shd w:val="clear" w:color="auto" w:fill="FFFFFF"/>
                    <w:spacing w:line="240" w:lineRule="auto"/>
                    <w:ind w:firstLine="0" w:firstLineChars="0"/>
                    <w:jc w:val="center"/>
                    <w:rPr>
                      <w:rFonts w:ascii="宋体" w:hAnsi="宋体" w:eastAsia="宋体"/>
                      <w:sz w:val="21"/>
                    </w:rPr>
                  </w:pPr>
                  <w:r>
                    <w:rPr>
                      <w:rFonts w:hint="eastAsia" w:ascii="宋体" w:hAnsi="宋体" w:eastAsia="宋体"/>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pct"/>
                  <w:vMerge w:val="continue"/>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ZH51172230001</w:t>
                  </w:r>
                </w:p>
              </w:tc>
              <w:tc>
                <w:tcPr>
                  <w:tcW w:w="328" w:type="pct"/>
                  <w:vMerge w:val="continue"/>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宣汉县一般管控单元</w:t>
                  </w:r>
                </w:p>
              </w:tc>
              <w:tc>
                <w:tcPr>
                  <w:tcW w:w="1895" w:type="pct"/>
                  <w:vMerge w:val="continue"/>
                </w:tcPr>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空间布局约束：</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禁止开发建设活动的要求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-禁止在长江干支流1公里范围内新建、扩建化工园区和化工项目。</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-禁止在法律法规规定的禁采区内新建矿山；禁止土法采、选、冶严重污染环境的矿产资源。</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-涉及永久基本农田的区域，除法律规定的重点建设项目选址确实无法避让外，其他任何建设不得占用。</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-禁止在长江流域河湖管理范围内倾倒、填埋、堆放、弃置、处理固体废物。</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限制开发建设活动的要求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-按照相关要求严控水泥新增产能。</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涉及法定保护地，严格按照国家及地方法律法规、管理办法等相关要求进行控制。配套旅游、基础设施等建设项目，在符合规划和相关保护要求的前提下，应实施生态避让、减缓影响及生态恢复措施。</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按照相关要求严控水泥新增产能。</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禁止在长江干流岸线三公里范围内和重要支流岸线一公里范围内新建、改建、扩建尾矿库；但是以提升安全、生态环境保护水平为目的的改建除外。</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不符合空间布局要求活动的退出要求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针对现有水泥企业，强化污染治理和污染物减排，依法依规整治或搬迁。</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全面取缔禁养区内规模化畜禽养殖场。</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2025年基本完成全域内“散乱污”企业整治工作。</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在全市范围深入开展集中整治“散乱污”工业企业，对不符合产业政策和规划布局的，一律责令停产、限期搬迁或关停；</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其他空间布局约束要求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污染物排放管控：</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允许排放量要求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现有源提标升级改造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加快现有乡镇污水处理设施升级改造，按要求达《城镇污水处理厂污染物排放标准》一级A标后排放。</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在矿产资源开发活动集中区域，废水执行重金属污染物排放特别限值。</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火电、水泥等行业按相关要求推进大气污染物超低排放和深度治理。</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砖瓦行业实施脱硫、除尘升级改造，污染物排放达到《砖瓦工业大气污染物排放标准》相关要求。</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其他污染物排放管控要求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污染物排放绩效水平准入要求:屠宰项目必须配套污水处理设施或进入城市污水管网。</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-到2023年底，力争全市生活垃圾焚烧处理能力占比达60%以上，各县（市）生活垃圾无害化处理率保持95%以上，乡镇及行政村生活垃圾收转运处置体系基本实现全覆盖。</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-到2025年，农药包装废弃物回收率达80%；粮油绿色高质高效示范区、茶叶主产区和现代农业园区农药包装废弃物回收率100%。</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-到2025年，全国主要农作物化肥、农药利用率达43%，测土配方施肥技术推广覆盖率保持在90%以上，控制农村面源污染，采取灌排分离等措施控制农田氮磷流失。</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-到2025年，废旧农膜回收利用率达到85%以上。</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环境风险防控：</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联防联控要求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其他环境风险防控要求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企业环境风险防控要求:工业企业退出用地，须经评估、修复满足相应用地功能后，方可改变用途。</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定期对单元内尾矿库进行风险巡查，建立监测系统和环境风险应急预案；完善各尾矿库渗滤液收集、处理、回用系统，杜绝事故排放；尾矿库闭矿后因地制宜进行植被恢复和综合利用。</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规范排土场、渣场等整治。禁止处理不达标的污泥进入耕地。</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严格控制林地、草地、园地的农药使用量，禁止使用高毒、高残留农药。</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到2030年，全市受污染耕地安全利用率达到95%以上，污染地块安全利用率达到95%以上。</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资源开发利用效率要求：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水资源利用总量要求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-到2025年，农田灌溉水有效利用系数达到0.57以上。</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地下水开采要求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以省市下发指标为准</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能源利用总量及效率要求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推进清洁能源的推广使用，全面推进散煤清洁化整治；禁止新建每小时10蒸吨以下的燃煤锅炉及其他燃煤设施。</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禁止焚烧秸秆和垃圾，到2025年底，秸秆综合利用率达到86%以上。</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禁燃区要求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-禁燃区内禁止销售、燃用高污染燃料；禁止新建、改建、扩建燃用高污染燃料的设施和设备。</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-禁燃区内已建成的高污染燃料燃用设施由辖区人民政府制定限期改造计划，改用天然气、页岩气、液化石油气、电或其他清洁能源。</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其他资源利用效率要求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tc>
              <w:tc>
                <w:tcPr>
                  <w:tcW w:w="180" w:type="pct"/>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环境风险防控</w:t>
                  </w:r>
                </w:p>
              </w:tc>
              <w:tc>
                <w:tcPr>
                  <w:tcW w:w="1396" w:type="pct"/>
                  <w:vAlign w:val="center"/>
                </w:tcPr>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严格管控类农用地管控要求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同达州市一般管控单元总体准入要求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安全利用类农用地管控要求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同达州市一般管控单元总体准入要求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污染地块管控要求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同达州市一般管控单元总体准入要求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园区环境风险防控要求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企业环境风险防控要求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同达州市一般管控单元总体准入要求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其他环境风险防控要求</w:t>
                  </w:r>
                </w:p>
              </w:tc>
              <w:tc>
                <w:tcPr>
                  <w:tcW w:w="448" w:type="pct"/>
                  <w:vAlign w:val="center"/>
                </w:tcPr>
                <w:p>
                  <w:pPr>
                    <w:pStyle w:val="19"/>
                    <w:spacing w:line="240" w:lineRule="auto"/>
                    <w:ind w:firstLine="0" w:firstLineChars="0"/>
                    <w:jc w:val="center"/>
                    <w:rPr>
                      <w:rFonts w:eastAsia="宋体"/>
                      <w:color w:val="000000" w:themeColor="text1"/>
                      <w:kern w:val="0"/>
                      <w:sz w:val="21"/>
                      <w14:textFill>
                        <w14:solidFill>
                          <w14:schemeClr w14:val="tx1"/>
                        </w14:solidFill>
                      </w14:textFill>
                    </w:rPr>
                  </w:pPr>
                  <w:r>
                    <w:rPr>
                      <w:rFonts w:eastAsia="宋体"/>
                      <w:color w:val="000000" w:themeColor="text1"/>
                      <w:kern w:val="0"/>
                      <w:sz w:val="21"/>
                      <w14:textFill>
                        <w14:solidFill>
                          <w14:schemeClr w14:val="tx1"/>
                        </w14:solidFill>
                      </w14:textFill>
                    </w:rPr>
                    <w:t>项目环境风险潜势为I，评价等级为简单分析，在落实环评提出的风险防范措施后，环境风险可控</w:t>
                  </w:r>
                </w:p>
              </w:tc>
              <w:tc>
                <w:tcPr>
                  <w:tcW w:w="352" w:type="pct"/>
                  <w:vAlign w:val="center"/>
                </w:tcPr>
                <w:p>
                  <w:pPr>
                    <w:pStyle w:val="19"/>
                    <w:widowControl/>
                    <w:shd w:val="clear" w:color="auto" w:fill="FFFFFF"/>
                    <w:spacing w:line="240" w:lineRule="auto"/>
                    <w:ind w:firstLine="0" w:firstLineChars="0"/>
                    <w:jc w:val="center"/>
                    <w:rPr>
                      <w:rFonts w:ascii="宋体" w:hAnsi="宋体" w:eastAsia="宋体"/>
                      <w:sz w:val="21"/>
                    </w:rPr>
                  </w:pPr>
                  <w:r>
                    <w:rPr>
                      <w:rFonts w:hint="eastAsia" w:ascii="宋体" w:hAnsi="宋体" w:eastAsia="宋体"/>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pct"/>
                  <w:vMerge w:val="continue"/>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ZH51172230001</w:t>
                  </w:r>
                </w:p>
              </w:tc>
              <w:tc>
                <w:tcPr>
                  <w:tcW w:w="328" w:type="pct"/>
                  <w:vMerge w:val="continue"/>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宣汉县一般管控单元</w:t>
                  </w:r>
                </w:p>
              </w:tc>
              <w:tc>
                <w:tcPr>
                  <w:tcW w:w="1895" w:type="pct"/>
                  <w:vMerge w:val="continue"/>
                </w:tcPr>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空间布局约束：</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禁止开发建设活动的要求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-禁止在长江干支流1公里范围内新建、扩建化工园区和化工项目。</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-禁止在法律法规规定的禁采区内新建矿山；禁止土法采、选、冶严重污染环境的矿产资源。</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-涉及永久基本农田的区域，除法律规定的重点建设项目选址确实无法避让外，其他任何建设不得占用。</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-禁止在长江流域河湖管理范围内倾倒、填埋、堆放、弃置、处理固体废物。</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限制开发建设活动的要求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-按照相关要求严控水泥新增产能。</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涉及法定保护地，严格按照国家及地方法律法规、管理办法等相关要求进行控制。配套旅游、基础设施等建设项目，在符合规划和相关保护要求的前提下，应实施生态避让、减缓影响及生态恢复措施。</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按照相关要求严控水泥新增产能。</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禁止在长江干流岸线三公里范围内和重要支流岸线一公里范围内新建、改建、扩建尾矿库；但是以提升安全、生态环境保护水平为目的的改建除外。</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不符合空间布局要求活动的退出要求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针对现有水泥企业，强化污染治理和污染物减排，依法依规整治或搬迁。</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全面取缔禁养区内规模化畜禽养殖场。</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2025年基本完成全域内“散乱污”企业整治工作。</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在全市范围深入开展集中整治“散乱污”工业企业，对不符合产业政策和规划布局的，一律责令停产、限期搬迁或关停；</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其他空间布局约束要求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污染物排放管控：</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允许排放量要求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现有源提标升级改造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加快现有乡镇污水处理设施升级改造，按要求达《城镇污水处理厂污染物排放标准》一级A标后排放。</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在矿产资源开发活动集中区域，废水执行重金属污染物排放特别限值。</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火电、水泥等行业按相关要求推进大气污染物超低排放和深度治理。</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砖瓦行业实施脱硫、除尘升级改造，污染物排放达到《砖瓦工业大气污染物排放标准》相关要求。</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其他污染物排放管控要求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污染物排放绩效水平准入要求:屠宰项目必须配套污水处理设施或进入城市污水管网。</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-到2023年底，力争全市生活垃圾焚烧处理能力占比达60%以上，各县（市）生活垃圾无害化处理率保持95%以上，乡镇及行政村生活垃圾收转运处置体系基本实现全覆盖。</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-到2025年，农药包装废弃物回收率达80%；粮油绿色高质高效示范区、茶叶主产区和现代农业园区农药包装废弃物回收率100%。</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-到2025年，全国主要农作物化肥、农药利用率达43%，测土配方施肥技术推广覆盖率保持在90%以上，控制农村面源污染，采取灌排分离等措施控制农田氮磷流失。</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-到2025年，废旧农膜回收利用率达到85%以上。</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环境风险防控：</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联防联控要求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其他环境风险防控要求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企业环境风险防控要求:工业企业退出用地，须经评估、修复满足相应用地功能后，方可改变用途。</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定期对单元内尾矿库进行风险巡查，建立监测系统和环境风险应急预案；完善各尾矿库渗滤液收集、处理、回用系统，杜绝事故排放；尾矿库闭矿后因地制宜进行植被恢复和综合利用。</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规范排土场、渣场等整治。禁止处理不达标的污泥进入耕地。</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严格控制林地、草地、园地的农药使用量，禁止使用高毒、高残留农药。</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到2030年，全市受污染耕地安全利用率达到95%以上，污染地块安全利用率达到95%以上。</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资源开发利用效率要求：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水资源利用总量要求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-到2025年，农田灌溉水有效利用系数达到0.57以上。</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地下水开采要求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以省市下发指标为准</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能源利用总量及效率要求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推进清洁能源的推广使用，全面推进散煤清洁化整治；禁止新建每小时10蒸吨以下的燃煤锅炉及其他燃煤设施。</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禁止焚烧秸秆和垃圾，到2025年底，秸秆综合利用率达到86%以上。</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禁燃区要求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-禁燃区内禁止销售、燃用高污染燃料；禁止新建、改建、扩建燃用高污染燃料的设施和设备。</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-禁燃区内已建成的高污染燃料燃用设施由辖区人民政府制定限期改造计划，改用天然气、页岩气、液化石油气、电或其他清洁能源。</w:t>
                  </w:r>
                </w:p>
                <w:p>
                  <w:pPr>
                    <w:pStyle w:val="19"/>
                    <w:spacing w:line="240" w:lineRule="auto"/>
                    <w:ind w:firstLine="0" w:firstLineChars="0"/>
                    <w:jc w:val="center"/>
                    <w:rPr>
                      <w:rFonts w:ascii="宋体" w:hAnsi="宋体" w:eastAsia="宋体" w:cs="宋体"/>
                      <w:color w:val="000000"/>
                      <w:kern w:val="0"/>
                      <w:sz w:val="21"/>
                    </w:rPr>
                  </w:pP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其他资源利用效率要求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tc>
              <w:tc>
                <w:tcPr>
                  <w:tcW w:w="180" w:type="pct"/>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资源开发效率要求</w:t>
                  </w:r>
                </w:p>
              </w:tc>
              <w:tc>
                <w:tcPr>
                  <w:tcW w:w="1396" w:type="pct"/>
                  <w:vAlign w:val="center"/>
                </w:tcPr>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水资源利用效率要求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同达州市一般管控单元总体准入要求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地下水开采要求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同达州市一般管控单元总体准入要求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能源利用效率要求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同达州市一般管控单元总体准入要求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其他资源利用效率要求</w:t>
                  </w:r>
                </w:p>
              </w:tc>
              <w:tc>
                <w:tcPr>
                  <w:tcW w:w="448" w:type="pct"/>
                  <w:vAlign w:val="center"/>
                </w:tcPr>
                <w:p>
                  <w:pPr>
                    <w:pStyle w:val="19"/>
                    <w:widowControl/>
                    <w:shd w:val="clear" w:color="auto" w:fill="FFFFFF"/>
                    <w:spacing w:line="240" w:lineRule="auto"/>
                    <w:ind w:firstLine="0" w:firstLineChars="0"/>
                    <w:jc w:val="center"/>
                    <w:rPr>
                      <w:rFonts w:ascii="宋体" w:hAnsi="宋体" w:eastAsia="宋体"/>
                      <w:sz w:val="21"/>
                    </w:rPr>
                  </w:pPr>
                  <w:r>
                    <w:rPr>
                      <w:rFonts w:hint="eastAsia" w:ascii="宋体" w:hAnsi="宋体" w:eastAsia="宋体"/>
                      <w:sz w:val="21"/>
                    </w:rPr>
                    <w:t>/</w:t>
                  </w:r>
                </w:p>
              </w:tc>
              <w:tc>
                <w:tcPr>
                  <w:tcW w:w="352" w:type="pct"/>
                  <w:vAlign w:val="center"/>
                </w:tcPr>
                <w:p>
                  <w:pPr>
                    <w:pStyle w:val="19"/>
                    <w:widowControl/>
                    <w:shd w:val="clear" w:color="auto" w:fill="FFFFFF"/>
                    <w:spacing w:line="240" w:lineRule="auto"/>
                    <w:ind w:firstLine="0" w:firstLineChars="0"/>
                    <w:jc w:val="center"/>
                    <w:rPr>
                      <w:rFonts w:ascii="宋体" w:hAnsi="宋体" w:eastAsia="宋体"/>
                      <w:sz w:val="21"/>
                    </w:rPr>
                  </w:pPr>
                  <w:r>
                    <w:rPr>
                      <w:rFonts w:hint="eastAsia" w:ascii="宋体" w:hAnsi="宋体" w:eastAsia="宋体"/>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pct"/>
                  <w:vMerge w:val="restart"/>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YS5117223210002</w:t>
                  </w:r>
                </w:p>
              </w:tc>
              <w:tc>
                <w:tcPr>
                  <w:tcW w:w="328" w:type="pct"/>
                  <w:vMerge w:val="restart"/>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州河-宣汉县-张鼓坪-控制单元</w:t>
                  </w:r>
                </w:p>
              </w:tc>
              <w:tc>
                <w:tcPr>
                  <w:tcW w:w="1895" w:type="pct"/>
                  <w:vMerge w:val="restart"/>
                </w:tcPr>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空间布局约束：</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禁止开发建设活动的要求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限制开发建设活动的要求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不符合空间布局要求活动的退出要求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其他空间布局约束要求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污染物排放管控：</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允许排放量要求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现有源提标升级改造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其他污染物排放管控要求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环境风险防控：</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联防联控要求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其他环境风险防控要求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资源开发利用效率要求：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水资源利用总量要求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地下水开采要求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能源利用总量及效率要求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禁燃区要求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其他资源利用效率要求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tc>
              <w:tc>
                <w:tcPr>
                  <w:tcW w:w="180" w:type="pct"/>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空间布局约束</w:t>
                  </w:r>
                </w:p>
              </w:tc>
              <w:tc>
                <w:tcPr>
                  <w:tcW w:w="1396" w:type="pct"/>
                  <w:vAlign w:val="center"/>
                </w:tcPr>
                <w:p>
                  <w:pPr>
                    <w:pStyle w:val="19"/>
                    <w:widowControl/>
                    <w:shd w:val="clear" w:color="auto" w:fill="FFFFFF"/>
                    <w:ind w:firstLine="0" w:firstLineChars="0"/>
                    <w:rPr>
                      <w:rFonts w:ascii="宋体" w:hAnsi="宋体" w:eastAsia="宋体"/>
                      <w:sz w:val="21"/>
                    </w:rPr>
                  </w:pPr>
                  <w:r>
                    <w:rPr>
                      <w:rFonts w:hint="eastAsia" w:ascii="宋体" w:hAnsi="宋体" w:eastAsia="宋体"/>
                      <w:sz w:val="21"/>
                    </w:rPr>
                    <w:t>禁止开发建设活动的要求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不再新建、改扩建开采规模在50万吨/年以下的磷矿，不再新建露天磷矿</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限制开发建设活动的要求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允许开发建设活动的要求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不符合空间布局要求活动的退出要求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其他空间布局约束要求</w:t>
                  </w:r>
                </w:p>
              </w:tc>
              <w:tc>
                <w:tcPr>
                  <w:tcW w:w="448" w:type="pct"/>
                  <w:vAlign w:val="center"/>
                </w:tcPr>
                <w:p>
                  <w:pPr>
                    <w:pStyle w:val="19"/>
                    <w:widowControl/>
                    <w:spacing w:line="240" w:lineRule="auto"/>
                    <w:ind w:firstLine="0" w:firstLineChars="0"/>
                    <w:jc w:val="center"/>
                    <w:rPr>
                      <w:rFonts w:ascii="宋体" w:hAnsi="宋体" w:eastAsia="宋体"/>
                      <w:sz w:val="21"/>
                    </w:rPr>
                  </w:pPr>
                  <w:r>
                    <w:rPr>
                      <w:rFonts w:hint="eastAsia" w:eastAsia="宋体"/>
                      <w:color w:val="000000" w:themeColor="text1"/>
                      <w:sz w:val="21"/>
                      <w14:textFill>
                        <w14:solidFill>
                          <w14:schemeClr w14:val="tx1"/>
                        </w14:solidFill>
                      </w14:textFill>
                    </w:rPr>
                    <w:t>项目不属于禁止开发、限制开发类项目以及要求退出的项目</w:t>
                  </w:r>
                </w:p>
              </w:tc>
              <w:tc>
                <w:tcPr>
                  <w:tcW w:w="352" w:type="pct"/>
                  <w:vAlign w:val="center"/>
                </w:tcPr>
                <w:p>
                  <w:pPr>
                    <w:pStyle w:val="19"/>
                    <w:widowControl/>
                    <w:spacing w:line="240" w:lineRule="auto"/>
                    <w:ind w:firstLine="0" w:firstLineChars="0"/>
                    <w:jc w:val="center"/>
                    <w:rPr>
                      <w:rFonts w:ascii="宋体" w:hAnsi="宋体" w:eastAsia="宋体"/>
                      <w:sz w:val="21"/>
                    </w:rPr>
                  </w:pPr>
                  <w:r>
                    <w:rPr>
                      <w:rFonts w:hint="eastAsia" w:eastAsia="宋体"/>
                      <w:color w:val="000000" w:themeColor="text1"/>
                      <w:kern w:val="0"/>
                      <w:sz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pct"/>
                  <w:vMerge w:val="continue"/>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YS5117223210001</w:t>
                  </w:r>
                </w:p>
              </w:tc>
              <w:tc>
                <w:tcPr>
                  <w:tcW w:w="328" w:type="pct"/>
                  <w:vMerge w:val="continue"/>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州河宣汉县张鼓坪控制单元</w:t>
                  </w:r>
                </w:p>
              </w:tc>
              <w:tc>
                <w:tcPr>
                  <w:tcW w:w="1895" w:type="pct"/>
                  <w:vMerge w:val="continue"/>
                </w:tcPr>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空间布局约束：</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禁止开发建设活动的要求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限制开发建设活动的要求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不符合空间布局要求活动的退出要求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其他空间布局约束要求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污染物排放管控：</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允许排放量要求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现有源提标升级改造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其他污染物排放管控要求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环境风险防控：</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联防联控要求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其他环境风险防控要求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资源开发利用效率要求：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水资源利用总量要求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地下水开采要求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能源利用总量及效率要求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禁燃区要求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其他资源利用效率要求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tc>
              <w:tc>
                <w:tcPr>
                  <w:tcW w:w="180" w:type="pct"/>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污染物排放管控</w:t>
                  </w:r>
                </w:p>
              </w:tc>
              <w:tc>
                <w:tcPr>
                  <w:tcW w:w="1396" w:type="pct"/>
                  <w:vAlign w:val="center"/>
                </w:tcPr>
                <w:p>
                  <w:pPr>
                    <w:pStyle w:val="19"/>
                    <w:spacing w:line="240" w:lineRule="auto"/>
                    <w:ind w:firstLine="0" w:firstLineChars="0"/>
                    <w:jc w:val="left"/>
                    <w:rPr>
                      <w:rFonts w:ascii="宋体" w:hAnsi="宋体" w:eastAsia="宋体" w:cs="宋体"/>
                      <w:color w:val="000000"/>
                      <w:kern w:val="0"/>
                      <w:sz w:val="21"/>
                    </w:rPr>
                  </w:pPr>
                  <w:r>
                    <w:rPr>
                      <w:rFonts w:hint="eastAsia" w:ascii="宋体" w:hAnsi="宋体" w:eastAsia="宋体"/>
                      <w:sz w:val="21"/>
                    </w:rPr>
                    <w:t>城</w:t>
                  </w:r>
                  <w:r>
                    <w:rPr>
                      <w:rFonts w:hint="eastAsia" w:ascii="宋体" w:hAnsi="宋体" w:eastAsia="宋体" w:cs="宋体"/>
                      <w:color w:val="000000"/>
                      <w:kern w:val="0"/>
                      <w:sz w:val="21"/>
                    </w:rPr>
                    <w:t>镇污水污染控制措施要求</w:t>
                  </w:r>
                </w:p>
                <w:p>
                  <w:pPr>
                    <w:pStyle w:val="19"/>
                    <w:spacing w:line="240" w:lineRule="auto"/>
                    <w:ind w:firstLine="0" w:firstLineChars="0"/>
                    <w:jc w:val="left"/>
                    <w:rPr>
                      <w:rFonts w:ascii="宋体" w:hAnsi="宋体" w:eastAsia="宋体" w:cs="宋体"/>
                      <w:color w:val="000000"/>
                      <w:kern w:val="0"/>
                      <w:sz w:val="21"/>
                    </w:rPr>
                  </w:pPr>
                  <w:r>
                    <w:rPr>
                      <w:rFonts w:hint="eastAsia" w:ascii="宋体" w:hAnsi="宋体" w:eastAsia="宋体" w:cs="宋体"/>
                      <w:color w:val="000000"/>
                      <w:kern w:val="0"/>
                      <w:sz w:val="21"/>
                    </w:rPr>
                    <w:t>1、持续推进环保基础设施补短板，完善污水收集处理系统。2、保障乡镇污水收集处理设施顺畅运行。3、推进污水直排口排查与整治，落实“一口一策”整改措施。</w:t>
                  </w:r>
                </w:p>
                <w:p>
                  <w:pPr>
                    <w:pStyle w:val="19"/>
                    <w:spacing w:line="240" w:lineRule="auto"/>
                    <w:ind w:firstLine="0" w:firstLineChars="0"/>
                    <w:jc w:val="left"/>
                    <w:rPr>
                      <w:rFonts w:ascii="宋体" w:hAnsi="宋体" w:eastAsia="宋体" w:cs="宋体"/>
                      <w:color w:val="000000"/>
                      <w:kern w:val="0"/>
                      <w:sz w:val="21"/>
                    </w:rPr>
                  </w:pPr>
                  <w:r>
                    <w:rPr>
                      <w:rFonts w:hint="eastAsia" w:ascii="宋体" w:hAnsi="宋体" w:eastAsia="宋体" w:cs="宋体"/>
                      <w:color w:val="000000"/>
                      <w:kern w:val="0"/>
                      <w:sz w:val="21"/>
                    </w:rPr>
                    <w:t>工业废水污染控制措施要求</w:t>
                  </w:r>
                </w:p>
                <w:p>
                  <w:pPr>
                    <w:pStyle w:val="19"/>
                    <w:spacing w:line="240" w:lineRule="auto"/>
                    <w:ind w:firstLine="0" w:firstLineChars="0"/>
                    <w:jc w:val="left"/>
                    <w:rPr>
                      <w:rFonts w:ascii="宋体" w:hAnsi="宋体" w:eastAsia="宋体" w:cs="宋体"/>
                      <w:color w:val="000000"/>
                      <w:kern w:val="0"/>
                      <w:sz w:val="21"/>
                    </w:rPr>
                  </w:pPr>
                  <w:r>
                    <w:rPr>
                      <w:rFonts w:hint="eastAsia" w:ascii="宋体" w:hAnsi="宋体" w:eastAsia="宋体" w:cs="宋体"/>
                      <w:color w:val="000000"/>
                      <w:kern w:val="0"/>
                      <w:sz w:val="21"/>
                    </w:rPr>
                    <w:t>1、落实主要污染物排放总量指标控制要求，加强入河排污口登记、审批和监督管理。2、强化流域内工业点源、规模化畜禽养殖场运行监管，避免偷排、漏排。</w:t>
                  </w:r>
                </w:p>
                <w:p>
                  <w:pPr>
                    <w:pStyle w:val="19"/>
                    <w:spacing w:line="240" w:lineRule="auto"/>
                    <w:ind w:firstLine="0" w:firstLineChars="0"/>
                    <w:jc w:val="left"/>
                    <w:rPr>
                      <w:rFonts w:ascii="宋体" w:hAnsi="宋体" w:eastAsia="宋体" w:cs="宋体"/>
                      <w:color w:val="000000"/>
                      <w:kern w:val="0"/>
                      <w:sz w:val="21"/>
                    </w:rPr>
                  </w:pPr>
                  <w:r>
                    <w:rPr>
                      <w:rFonts w:hint="eastAsia" w:ascii="宋体" w:hAnsi="宋体" w:eastAsia="宋体" w:cs="宋体"/>
                      <w:color w:val="000000"/>
                      <w:kern w:val="0"/>
                      <w:sz w:val="21"/>
                    </w:rPr>
                    <w:t>农业面源水污染控制措施要求</w:t>
                  </w:r>
                </w:p>
                <w:p>
                  <w:pPr>
                    <w:pStyle w:val="19"/>
                    <w:spacing w:line="240" w:lineRule="auto"/>
                    <w:ind w:firstLine="0" w:firstLineChars="0"/>
                    <w:jc w:val="left"/>
                    <w:rPr>
                      <w:rFonts w:ascii="宋体" w:hAnsi="宋体" w:eastAsia="宋体" w:cs="宋体"/>
                      <w:color w:val="000000"/>
                      <w:kern w:val="0"/>
                      <w:sz w:val="21"/>
                    </w:rPr>
                  </w:pPr>
                  <w:r>
                    <w:rPr>
                      <w:rFonts w:hint="eastAsia" w:ascii="宋体" w:hAnsi="宋体" w:eastAsia="宋体" w:cs="宋体"/>
                      <w:color w:val="000000"/>
                      <w:kern w:val="0"/>
                      <w:sz w:val="21"/>
                    </w:rPr>
                    <w:t>1、推进农村污染治理，稳步农村污水处理设施建设，适当预留发展空间，宜集中则集中，宜分散则分散。大力推进农村生活垃圾就地分类减量 和资源化利用，因地制宜选择农村生活垃圾治理模式。严格做好“农家乐”、种植采摘园等范围内的生活及农产品产生污水及垃圾治理。2、以环境承载能力为约束，合理规划水产养殖空间及规模；推进水产生态健康养殖，加强渔业生产过程中抗菌药物使用管控。推进水产养殖治理，水产养殖废水应处理达到《四川省水产养殖业水污染物排放标准》后排放；实施池塘标准化改造，完善循环水和进排水处理设施；推进养殖尾水节水减排。3、以环境承载能力为约束，合理规划畜禽养殖空间及规模；推进畜禽粪污分类处置，根据排放去向或利用方式的不同执行相应的标准规范。不断提高畜禽养殖粪污资源化利用率及利用水平；设有污水排放口的规模化畜禽养殖场应当依法申领排污许可证。4、推进化肥、农药使用量“零增长”，逐步推进农田径流拦截及治理。</w:t>
                  </w:r>
                </w:p>
                <w:p>
                  <w:pPr>
                    <w:pStyle w:val="19"/>
                    <w:spacing w:line="240" w:lineRule="auto"/>
                    <w:ind w:firstLine="0" w:firstLineChars="0"/>
                    <w:jc w:val="left"/>
                    <w:rPr>
                      <w:rFonts w:ascii="宋体" w:hAnsi="宋体" w:eastAsia="宋体"/>
                      <w:sz w:val="21"/>
                    </w:rPr>
                  </w:pPr>
                  <w:r>
                    <w:rPr>
                      <w:rFonts w:hint="eastAsia" w:ascii="宋体" w:hAnsi="宋体" w:eastAsia="宋体" w:cs="宋体"/>
                      <w:color w:val="000000"/>
                      <w:kern w:val="0"/>
                      <w:sz w:val="21"/>
                    </w:rPr>
                    <w:t>船舶港口水污染控制措施</w:t>
                  </w:r>
                  <w:r>
                    <w:rPr>
                      <w:rFonts w:hint="eastAsia" w:ascii="宋体" w:hAnsi="宋体" w:eastAsia="宋体"/>
                      <w:sz w:val="21"/>
                    </w:rPr>
                    <w:t>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饮用水水源和其它特殊水体保护要求</w:t>
                  </w:r>
                </w:p>
              </w:tc>
              <w:tc>
                <w:tcPr>
                  <w:tcW w:w="448" w:type="pct"/>
                  <w:vAlign w:val="center"/>
                </w:tcPr>
                <w:p>
                  <w:pPr>
                    <w:pStyle w:val="19"/>
                    <w:spacing w:line="240" w:lineRule="auto"/>
                    <w:ind w:firstLine="0" w:firstLineChars="0"/>
                    <w:jc w:val="center"/>
                    <w:rPr>
                      <w:rFonts w:ascii="宋体" w:hAnsi="宋体" w:eastAsia="宋体"/>
                      <w:sz w:val="21"/>
                    </w:rPr>
                  </w:pPr>
                  <w:r>
                    <w:rPr>
                      <w:rFonts w:hint="eastAsia" w:ascii="宋体" w:hAnsi="宋体" w:eastAsia="宋体"/>
                      <w:sz w:val="21"/>
                    </w:rPr>
                    <w:t>项目生产</w:t>
                  </w:r>
                  <w:r>
                    <w:rPr>
                      <w:rFonts w:ascii="宋体" w:hAnsi="宋体" w:eastAsia="宋体"/>
                      <w:sz w:val="21"/>
                    </w:rPr>
                    <w:t>废水经废水处理装置处理后全部循环使用，不外排</w:t>
                  </w:r>
                </w:p>
              </w:tc>
              <w:tc>
                <w:tcPr>
                  <w:tcW w:w="352" w:type="pct"/>
                  <w:vAlign w:val="center"/>
                </w:tcPr>
                <w:p>
                  <w:pPr>
                    <w:pStyle w:val="19"/>
                    <w:spacing w:line="240" w:lineRule="auto"/>
                    <w:ind w:firstLine="0" w:firstLineChars="0"/>
                    <w:jc w:val="center"/>
                    <w:rPr>
                      <w:rFonts w:ascii="宋体" w:hAnsi="宋体" w:eastAsia="宋体"/>
                      <w:sz w:val="21"/>
                    </w:rPr>
                  </w:pPr>
                  <w:r>
                    <w:rPr>
                      <w:rFonts w:hint="eastAsia" w:eastAsia="宋体"/>
                      <w:color w:val="000000" w:themeColor="text1"/>
                      <w:kern w:val="0"/>
                      <w:sz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pct"/>
                  <w:vMerge w:val="continue"/>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YS5117223210001</w:t>
                  </w:r>
                </w:p>
              </w:tc>
              <w:tc>
                <w:tcPr>
                  <w:tcW w:w="328" w:type="pct"/>
                  <w:vMerge w:val="continue"/>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州河宣汉县张鼓坪控制单元</w:t>
                  </w:r>
                </w:p>
              </w:tc>
              <w:tc>
                <w:tcPr>
                  <w:tcW w:w="1895" w:type="pct"/>
                  <w:vMerge w:val="continue"/>
                </w:tcPr>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空间布局约束：</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禁止开发建设活动的要求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限制开发建设活动的要求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不符合空间布局要求活动的退出要求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其他空间布局约束要求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污染物排放管控：</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允许排放量要求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现有源提标升级改造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其他污染物排放管控要求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环境风险防控：</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联防联控要求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其他环境风险防控要求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资源开发利用效率要求：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水资源利用总量要求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地下水开采要求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能源利用总量及效率要求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禁燃区要求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其他资源利用效率要求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tc>
              <w:tc>
                <w:tcPr>
                  <w:tcW w:w="180" w:type="pct"/>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环境风险防控</w:t>
                  </w:r>
                </w:p>
              </w:tc>
              <w:tc>
                <w:tcPr>
                  <w:tcW w:w="1396" w:type="pct"/>
                  <w:vAlign w:val="center"/>
                </w:tcPr>
                <w:p>
                  <w:pPr>
                    <w:pStyle w:val="19"/>
                    <w:widowControl/>
                    <w:shd w:val="clear" w:color="auto" w:fill="FFFFFF"/>
                    <w:spacing w:line="240" w:lineRule="auto"/>
                    <w:ind w:firstLine="0" w:firstLineChars="0"/>
                    <w:jc w:val="center"/>
                    <w:rPr>
                      <w:rFonts w:ascii="宋体" w:hAnsi="宋体" w:eastAsia="宋体"/>
                      <w:sz w:val="21"/>
                    </w:rPr>
                  </w:pPr>
                  <w:r>
                    <w:rPr>
                      <w:rFonts w:hint="eastAsia" w:ascii="宋体" w:hAnsi="宋体" w:eastAsia="宋体"/>
                      <w:sz w:val="21"/>
                    </w:rPr>
                    <w:t>进一步完善工业企业和矿山环境风险防范和管理体系建设，开展企业风险隐患排查与风险评估，增强企业的环境风险意识，守住环境安全底线。落实“一河一策一图”风险管理和应急响应方案，提升风险应急管理水平。</w:t>
                  </w:r>
                </w:p>
              </w:tc>
              <w:tc>
                <w:tcPr>
                  <w:tcW w:w="448" w:type="pct"/>
                  <w:vAlign w:val="center"/>
                </w:tcPr>
                <w:p>
                  <w:pPr>
                    <w:pStyle w:val="19"/>
                    <w:spacing w:line="240" w:lineRule="auto"/>
                    <w:ind w:firstLine="0" w:firstLineChars="0"/>
                    <w:jc w:val="center"/>
                    <w:rPr>
                      <w:rFonts w:ascii="宋体" w:hAnsi="宋体" w:eastAsia="宋体"/>
                      <w:sz w:val="21"/>
                    </w:rPr>
                  </w:pPr>
                  <w:r>
                    <w:rPr>
                      <w:rFonts w:eastAsia="宋体"/>
                      <w:color w:val="000000" w:themeColor="text1"/>
                      <w:kern w:val="0"/>
                      <w:sz w:val="21"/>
                      <w14:textFill>
                        <w14:solidFill>
                          <w14:schemeClr w14:val="tx1"/>
                        </w14:solidFill>
                      </w14:textFill>
                    </w:rPr>
                    <w:t>项目环境风险潜势为I，评价等级为简单分析，在落实环评提出的风险防范措施后，环境风险可控</w:t>
                  </w:r>
                </w:p>
              </w:tc>
              <w:tc>
                <w:tcPr>
                  <w:tcW w:w="352" w:type="pct"/>
                  <w:vAlign w:val="center"/>
                </w:tcPr>
                <w:p>
                  <w:pPr>
                    <w:pStyle w:val="19"/>
                    <w:spacing w:line="240" w:lineRule="auto"/>
                    <w:ind w:firstLine="0" w:firstLineChars="0"/>
                    <w:jc w:val="center"/>
                    <w:rPr>
                      <w:rFonts w:ascii="宋体" w:hAnsi="宋体" w:eastAsia="宋体"/>
                      <w:sz w:val="21"/>
                    </w:rPr>
                  </w:pPr>
                  <w:r>
                    <w:rPr>
                      <w:rFonts w:hint="eastAsia" w:eastAsia="宋体"/>
                      <w:color w:val="000000" w:themeColor="text1"/>
                      <w:kern w:val="0"/>
                      <w:sz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pct"/>
                  <w:vMerge w:val="continue"/>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YS5117223210001</w:t>
                  </w:r>
                </w:p>
              </w:tc>
              <w:tc>
                <w:tcPr>
                  <w:tcW w:w="328" w:type="pct"/>
                  <w:vMerge w:val="continue"/>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州河宣汉县张鼓坪控制单元</w:t>
                  </w:r>
                </w:p>
              </w:tc>
              <w:tc>
                <w:tcPr>
                  <w:tcW w:w="1895" w:type="pct"/>
                  <w:vMerge w:val="continue"/>
                </w:tcPr>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空间布局约束：</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禁止开发建设活动的要求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限制开发建设活动的要求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不符合空间布局要求活动的退出要求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其他空间布局约束要求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污染物排放管控：</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允许排放量要求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现有源提标升级改造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其他污染物排放管控要求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环境风险防控：</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联防联控要求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其他环境风险防控要求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资源开发利用效率要求：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水资源利用总量要求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地下水开采要求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能源利用总量及效率要求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禁燃区要求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其他资源利用效率要求</w:t>
                  </w:r>
                </w:p>
                <w:p>
                  <w:pPr>
                    <w:pStyle w:val="19"/>
                    <w:spacing w:line="240" w:lineRule="auto"/>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tc>
              <w:tc>
                <w:tcPr>
                  <w:tcW w:w="180" w:type="pct"/>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资源开发效率要求</w:t>
                  </w:r>
                </w:p>
              </w:tc>
              <w:tc>
                <w:tcPr>
                  <w:tcW w:w="1396" w:type="pct"/>
                  <w:vAlign w:val="center"/>
                </w:tcPr>
                <w:p>
                  <w:pPr>
                    <w:pStyle w:val="19"/>
                    <w:widowControl/>
                    <w:shd w:val="clear" w:color="auto" w:fill="FFFFFF"/>
                    <w:spacing w:line="240" w:lineRule="auto"/>
                    <w:ind w:firstLine="0" w:firstLineChars="0"/>
                    <w:jc w:val="center"/>
                    <w:rPr>
                      <w:rFonts w:ascii="宋体" w:hAnsi="宋体" w:eastAsia="宋体"/>
                      <w:sz w:val="21"/>
                    </w:rPr>
                  </w:pPr>
                  <w:r>
                    <w:rPr>
                      <w:rFonts w:hint="eastAsia" w:ascii="宋体" w:hAnsi="宋体" w:eastAsia="宋体"/>
                      <w:sz w:val="21"/>
                    </w:rPr>
                    <w:t>强化种植业节水；推进农村污水分质资源化利用。</w:t>
                  </w:r>
                </w:p>
              </w:tc>
              <w:tc>
                <w:tcPr>
                  <w:tcW w:w="448" w:type="pct"/>
                  <w:vAlign w:val="center"/>
                </w:tcPr>
                <w:p>
                  <w:pPr>
                    <w:pStyle w:val="19"/>
                    <w:spacing w:line="240" w:lineRule="auto"/>
                    <w:ind w:firstLine="0" w:firstLineChars="0"/>
                    <w:jc w:val="center"/>
                    <w:rPr>
                      <w:rFonts w:ascii="宋体" w:hAnsi="宋体" w:eastAsia="宋体"/>
                      <w:sz w:val="21"/>
                    </w:rPr>
                  </w:pPr>
                  <w:r>
                    <w:rPr>
                      <w:rFonts w:hint="eastAsia" w:ascii="宋体" w:hAnsi="宋体" w:eastAsia="宋体"/>
                      <w:sz w:val="21"/>
                    </w:rPr>
                    <w:t>项目生产</w:t>
                  </w:r>
                  <w:r>
                    <w:rPr>
                      <w:rFonts w:ascii="宋体" w:hAnsi="宋体" w:eastAsia="宋体"/>
                      <w:sz w:val="21"/>
                    </w:rPr>
                    <w:t>废水经废水处理装置处理后全部循环使用，不外排</w:t>
                  </w:r>
                </w:p>
              </w:tc>
              <w:tc>
                <w:tcPr>
                  <w:tcW w:w="352" w:type="pct"/>
                  <w:vAlign w:val="center"/>
                </w:tcPr>
                <w:p>
                  <w:pPr>
                    <w:pStyle w:val="19"/>
                    <w:spacing w:line="240" w:lineRule="auto"/>
                    <w:ind w:firstLine="0" w:firstLineChars="0"/>
                    <w:jc w:val="center"/>
                    <w:rPr>
                      <w:rFonts w:ascii="宋体" w:hAnsi="宋体" w:eastAsia="宋体"/>
                      <w:sz w:val="21"/>
                    </w:rPr>
                  </w:pPr>
                  <w:r>
                    <w:rPr>
                      <w:rFonts w:hint="eastAsia" w:eastAsia="宋体"/>
                      <w:color w:val="000000" w:themeColor="text1"/>
                      <w:kern w:val="0"/>
                      <w:sz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pct"/>
                  <w:vMerge w:val="restart"/>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YS5117223310001</w:t>
                  </w:r>
                </w:p>
              </w:tc>
              <w:tc>
                <w:tcPr>
                  <w:tcW w:w="328" w:type="pct"/>
                  <w:vMerge w:val="restart"/>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宣汉县大气环境一般管控区</w:t>
                  </w:r>
                </w:p>
              </w:tc>
              <w:tc>
                <w:tcPr>
                  <w:tcW w:w="1895" w:type="pct"/>
                  <w:vMerge w:val="restart"/>
                </w:tcPr>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空间布局约束：</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禁止开发建设活动的要求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限制开发建设活动的要求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不符合空间布局要求活动的退出要求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其他空间布局约束要求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污染物排放管控：</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允许排放量要求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现有源提标升级改造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其他污染物排放管控要求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环境风险防控：</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联防联控要求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其他环境风险防控要求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资源开发利用效率要求：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水资源利用总量要求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地下水开采要求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能源利用总量及效率要求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禁燃区要求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其他资源利用效率要求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tc>
              <w:tc>
                <w:tcPr>
                  <w:tcW w:w="180" w:type="pct"/>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空间布局约束</w:t>
                  </w:r>
                </w:p>
              </w:tc>
              <w:tc>
                <w:tcPr>
                  <w:tcW w:w="1396" w:type="pct"/>
                  <w:vAlign w:val="center"/>
                </w:tcPr>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禁止开发建设活动的要求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限制开发建设活动的要求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允许开发建设活动的要求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不符合空间布局要求活动的退出要求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其他空间布局约束要求</w:t>
                  </w:r>
                </w:p>
              </w:tc>
              <w:tc>
                <w:tcPr>
                  <w:tcW w:w="448" w:type="pct"/>
                  <w:vAlign w:val="center"/>
                </w:tcPr>
                <w:p>
                  <w:pPr>
                    <w:pStyle w:val="19"/>
                    <w:spacing w:line="240" w:lineRule="auto"/>
                    <w:ind w:firstLine="0" w:firstLineChars="0"/>
                    <w:jc w:val="center"/>
                    <w:rPr>
                      <w:rFonts w:ascii="宋体" w:hAnsi="宋体" w:eastAsia="宋体"/>
                      <w:sz w:val="21"/>
                    </w:rPr>
                  </w:pPr>
                  <w:r>
                    <w:rPr>
                      <w:rFonts w:hint="eastAsia" w:eastAsia="宋体"/>
                      <w:color w:val="000000" w:themeColor="text1"/>
                      <w:sz w:val="21"/>
                      <w14:textFill>
                        <w14:solidFill>
                          <w14:schemeClr w14:val="tx1"/>
                        </w14:solidFill>
                      </w14:textFill>
                    </w:rPr>
                    <w:t>项目不属于禁止开发、限制开发类项目以及要求退出的项目</w:t>
                  </w:r>
                </w:p>
              </w:tc>
              <w:tc>
                <w:tcPr>
                  <w:tcW w:w="352" w:type="pct"/>
                  <w:vAlign w:val="center"/>
                </w:tcPr>
                <w:p>
                  <w:pPr>
                    <w:pStyle w:val="19"/>
                    <w:spacing w:line="240" w:lineRule="auto"/>
                    <w:ind w:firstLine="0" w:firstLineChars="0"/>
                    <w:jc w:val="center"/>
                    <w:rPr>
                      <w:rFonts w:ascii="宋体" w:hAnsi="宋体" w:eastAsia="宋体"/>
                      <w:sz w:val="21"/>
                    </w:rPr>
                  </w:pPr>
                  <w:r>
                    <w:rPr>
                      <w:rFonts w:hint="eastAsia" w:eastAsia="宋体"/>
                      <w:color w:val="000000" w:themeColor="text1"/>
                      <w:kern w:val="0"/>
                      <w:sz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pct"/>
                  <w:vMerge w:val="continue"/>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YS5117222320006</w:t>
                  </w:r>
                </w:p>
              </w:tc>
              <w:tc>
                <w:tcPr>
                  <w:tcW w:w="328" w:type="pct"/>
                  <w:vMerge w:val="continue"/>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宣汉县大气环境布局敏感重点管控区</w:t>
                  </w:r>
                </w:p>
              </w:tc>
              <w:tc>
                <w:tcPr>
                  <w:tcW w:w="1895" w:type="pct"/>
                  <w:vMerge w:val="continue"/>
                </w:tcPr>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空间布局约束：</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禁止开发建设活动的要求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限制开发建设活动的要求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不符合空间布局要求活动的退出要求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其他空间布局约束要求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污染物排放管控：</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允许排放量要求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现有源提标升级改造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其他污染物排放管控要求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环境风险防控：</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联防联控要求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其他环境风险防控要求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资源开发利用效率要求：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水资源利用总量要求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地下水开采要求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能源利用总量及效率要求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禁燃区要求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其他资源利用效率要求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tc>
              <w:tc>
                <w:tcPr>
                  <w:tcW w:w="180" w:type="pct"/>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污染物排放管控</w:t>
                  </w:r>
                </w:p>
              </w:tc>
              <w:tc>
                <w:tcPr>
                  <w:tcW w:w="1396" w:type="pct"/>
                  <w:vAlign w:val="center"/>
                </w:tcPr>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大气环境质量执行标准</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《环境空气质量标准》（GB3095-2012）：二级</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区域大气污染物削减/替代要求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新增大气污染物排放的建设项目实施总量削减替代。</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燃煤和其他能源大气污染控制要求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工业废气污染控制要求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机动车船大气污染控制要求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扬尘污染控制要求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农业生产经营活动大气污染控制要求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重点行业企业专项治理要求</w:t>
                  </w:r>
                </w:p>
                <w:p>
                  <w:pPr>
                    <w:pStyle w:val="19"/>
                    <w:widowControl/>
                    <w:shd w:val="clear" w:color="auto" w:fill="FFFFFF"/>
                    <w:spacing w:line="240" w:lineRule="auto"/>
                    <w:ind w:firstLine="0" w:firstLineChars="0"/>
                    <w:rPr>
                      <w:rFonts w:ascii="宋体" w:hAnsi="宋体" w:eastAsia="宋体"/>
                      <w:sz w:val="21"/>
                    </w:rPr>
                  </w:pPr>
                  <w:r>
                    <w:rPr>
                      <w:rFonts w:hint="eastAsia" w:ascii="宋体" w:hAnsi="宋体" w:eastAsia="宋体"/>
                      <w:sz w:val="21"/>
                    </w:rPr>
                    <w:t>其他大气污染物排放管控要求</w:t>
                  </w:r>
                </w:p>
              </w:tc>
              <w:tc>
                <w:tcPr>
                  <w:tcW w:w="448" w:type="pct"/>
                  <w:vAlign w:val="center"/>
                </w:tcPr>
                <w:p>
                  <w:pPr>
                    <w:pStyle w:val="19"/>
                    <w:spacing w:line="240" w:lineRule="auto"/>
                    <w:ind w:firstLine="0" w:firstLineChars="0"/>
                    <w:jc w:val="center"/>
                    <w:rPr>
                      <w:rFonts w:ascii="宋体" w:hAnsi="宋体" w:eastAsia="宋体"/>
                      <w:sz w:val="21"/>
                    </w:rPr>
                  </w:pPr>
                  <w:r>
                    <w:rPr>
                      <w:rFonts w:eastAsia="宋体"/>
                      <w:color w:val="000000" w:themeColor="text1"/>
                      <w:kern w:val="0"/>
                      <w:sz w:val="21"/>
                      <w14:textFill>
                        <w14:solidFill>
                          <w14:schemeClr w14:val="tx1"/>
                        </w14:solidFill>
                      </w14:textFill>
                    </w:rPr>
                    <w:t>项目</w:t>
                  </w:r>
                  <w:r>
                    <w:rPr>
                      <w:rFonts w:hint="eastAsia" w:eastAsia="宋体"/>
                      <w:color w:val="000000" w:themeColor="text1"/>
                      <w:kern w:val="0"/>
                      <w:sz w:val="21"/>
                      <w14:textFill>
                        <w14:solidFill>
                          <w14:schemeClr w14:val="tx1"/>
                        </w14:solidFill>
                      </w14:textFill>
                    </w:rPr>
                    <w:t>产生的大气污染物主要为粉尘，通过采取措施后可以实现达标排放</w:t>
                  </w:r>
                </w:p>
              </w:tc>
              <w:tc>
                <w:tcPr>
                  <w:tcW w:w="352" w:type="pct"/>
                  <w:vAlign w:val="center"/>
                </w:tcPr>
                <w:p>
                  <w:pPr>
                    <w:pStyle w:val="19"/>
                    <w:spacing w:line="240" w:lineRule="auto"/>
                    <w:ind w:firstLine="0" w:firstLineChars="0"/>
                    <w:jc w:val="center"/>
                    <w:rPr>
                      <w:rFonts w:ascii="宋体" w:hAnsi="宋体" w:eastAsia="宋体"/>
                      <w:sz w:val="21"/>
                    </w:rPr>
                  </w:pPr>
                  <w:r>
                    <w:rPr>
                      <w:rFonts w:hint="eastAsia" w:ascii="宋体" w:hAnsi="宋体" w:eastAsia="宋体"/>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pct"/>
                  <w:vMerge w:val="continue"/>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YS5117222320006</w:t>
                  </w:r>
                </w:p>
              </w:tc>
              <w:tc>
                <w:tcPr>
                  <w:tcW w:w="328" w:type="pct"/>
                  <w:vMerge w:val="continue"/>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宣汉县大气环境布局敏感重点管控区</w:t>
                  </w:r>
                </w:p>
              </w:tc>
              <w:tc>
                <w:tcPr>
                  <w:tcW w:w="1895" w:type="pct"/>
                  <w:vMerge w:val="continue"/>
                </w:tcPr>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空间布局约束：</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禁止开发建设活动的要求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限制开发建设活动的要求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不符合空间布局要求活动的退出要求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其他空间布局约束要求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污染物排放管控：</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允许排放量要求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现有源提标升级改造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其他污染物排放管控要求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环境风险防控：</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联防联控要求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其他环境风险防控要求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资源开发利用效率要求：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水资源利用总量要求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地下水开采要求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能源利用总量及效率要求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禁燃区要求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其他资源利用效率要求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tc>
              <w:tc>
                <w:tcPr>
                  <w:tcW w:w="180" w:type="pct"/>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环境风险防控</w:t>
                  </w:r>
                </w:p>
              </w:tc>
              <w:tc>
                <w:tcPr>
                  <w:tcW w:w="1396" w:type="pct"/>
                  <w:vMerge w:val="restart"/>
                  <w:vAlign w:val="center"/>
                </w:tcPr>
                <w:p>
                  <w:pPr>
                    <w:pStyle w:val="19"/>
                    <w:widowControl/>
                    <w:shd w:val="clear" w:color="auto" w:fill="FFFFFF"/>
                    <w:spacing w:line="240" w:lineRule="auto"/>
                    <w:ind w:firstLine="0" w:firstLineChars="0"/>
                    <w:jc w:val="center"/>
                    <w:rPr>
                      <w:rFonts w:ascii="宋体" w:hAnsi="宋体" w:eastAsia="宋体"/>
                      <w:sz w:val="21"/>
                    </w:rPr>
                  </w:pPr>
                  <w:r>
                    <w:rPr>
                      <w:rFonts w:hint="eastAsia" w:ascii="宋体" w:hAnsi="宋体" w:eastAsia="宋体"/>
                      <w:sz w:val="21"/>
                    </w:rPr>
                    <w:t>/</w:t>
                  </w:r>
                </w:p>
              </w:tc>
              <w:tc>
                <w:tcPr>
                  <w:tcW w:w="448" w:type="pct"/>
                  <w:vAlign w:val="center"/>
                </w:tcPr>
                <w:p>
                  <w:pPr>
                    <w:pStyle w:val="19"/>
                    <w:spacing w:line="240" w:lineRule="auto"/>
                    <w:ind w:firstLine="0" w:firstLineChars="0"/>
                    <w:jc w:val="center"/>
                    <w:rPr>
                      <w:rFonts w:ascii="宋体" w:hAnsi="宋体" w:eastAsia="宋体"/>
                      <w:sz w:val="21"/>
                    </w:rPr>
                  </w:pPr>
                  <w:r>
                    <w:rPr>
                      <w:rFonts w:hint="eastAsia" w:eastAsia="宋体"/>
                      <w:color w:val="FF0000"/>
                      <w:kern w:val="0"/>
                      <w:sz w:val="21"/>
                    </w:rPr>
                    <w:t>/</w:t>
                  </w:r>
                </w:p>
              </w:tc>
              <w:tc>
                <w:tcPr>
                  <w:tcW w:w="352" w:type="pct"/>
                  <w:vAlign w:val="center"/>
                </w:tcPr>
                <w:p>
                  <w:pPr>
                    <w:pStyle w:val="19"/>
                    <w:spacing w:line="240" w:lineRule="auto"/>
                    <w:ind w:firstLine="0" w:firstLineChars="0"/>
                    <w:jc w:val="center"/>
                    <w:rPr>
                      <w:rFonts w:ascii="宋体" w:hAnsi="宋体" w:eastAsia="宋体"/>
                      <w:color w:val="FF0000"/>
                      <w:sz w:val="21"/>
                    </w:rPr>
                  </w:pPr>
                  <w:r>
                    <w:rPr>
                      <w:rFonts w:hint="eastAsia" w:eastAsia="宋体"/>
                      <w:color w:val="FF0000"/>
                      <w:kern w:val="0"/>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7" w:type="pct"/>
                  <w:vMerge w:val="continue"/>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YS5117222320006</w:t>
                  </w:r>
                </w:p>
              </w:tc>
              <w:tc>
                <w:tcPr>
                  <w:tcW w:w="328" w:type="pct"/>
                  <w:vMerge w:val="continue"/>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宣汉县大气环境布局敏感重点管控区</w:t>
                  </w:r>
                </w:p>
              </w:tc>
              <w:tc>
                <w:tcPr>
                  <w:tcW w:w="1895" w:type="pct"/>
                  <w:vMerge w:val="continue"/>
                </w:tcPr>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空间布局约束：</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禁止开发建设活动的要求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限制开发建设活动的要求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不符合空间布局要求活动的退出要求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其他空间布局约束要求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污染物排放管控：</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允许排放量要求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现有源提标升级改造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其他污染物排放管控要求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环境风险防控：</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联防联控要求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其他环境风险防控要求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资源开发利用效率要求：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水资源利用总量要求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地下水开采要求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能源利用总量及效率要求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禁燃区要求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其他资源利用效率要求</w:t>
                  </w:r>
                </w:p>
                <w:p>
                  <w:pPr>
                    <w:pStyle w:val="19"/>
                    <w:ind w:firstLine="0" w:firstLineChars="0"/>
                    <w:jc w:val="center"/>
                    <w:rPr>
                      <w:rFonts w:ascii="宋体" w:hAnsi="宋体" w:eastAsia="宋体" w:cs="宋体"/>
                      <w:color w:val="000000"/>
                      <w:kern w:val="0"/>
                      <w:sz w:val="21"/>
                    </w:rPr>
                  </w:pPr>
                  <w:r>
                    <w:rPr>
                      <w:rFonts w:hint="eastAsia" w:ascii="宋体" w:hAnsi="宋体" w:eastAsia="宋体" w:cs="宋体"/>
                      <w:color w:val="000000"/>
                      <w:kern w:val="0"/>
                      <w:sz w:val="21"/>
                    </w:rPr>
                    <w:t>暂无</w:t>
                  </w:r>
                </w:p>
              </w:tc>
              <w:tc>
                <w:tcPr>
                  <w:tcW w:w="180" w:type="pct"/>
                  <w:vAlign w:val="center"/>
                </w:tcPr>
                <w:p>
                  <w:pPr>
                    <w:pStyle w:val="19"/>
                    <w:widowControl/>
                    <w:spacing w:line="240" w:lineRule="auto"/>
                    <w:ind w:firstLine="0" w:firstLineChars="0"/>
                    <w:jc w:val="center"/>
                    <w:rPr>
                      <w:rFonts w:ascii="宋体" w:hAnsi="宋体" w:eastAsia="宋体"/>
                      <w:sz w:val="21"/>
                    </w:rPr>
                  </w:pPr>
                  <w:r>
                    <w:rPr>
                      <w:rFonts w:hint="eastAsia" w:ascii="宋体" w:hAnsi="宋体" w:eastAsia="宋体"/>
                      <w:sz w:val="21"/>
                    </w:rPr>
                    <w:t>资源开发效率要求</w:t>
                  </w:r>
                </w:p>
              </w:tc>
              <w:tc>
                <w:tcPr>
                  <w:tcW w:w="1396" w:type="pct"/>
                  <w:vMerge w:val="continue"/>
                  <w:vAlign w:val="center"/>
                </w:tcPr>
                <w:p>
                  <w:pPr>
                    <w:pStyle w:val="19"/>
                    <w:widowControl/>
                    <w:shd w:val="clear" w:color="auto" w:fill="FFFFFF"/>
                    <w:spacing w:line="240" w:lineRule="auto"/>
                    <w:ind w:firstLine="0" w:firstLineChars="0"/>
                    <w:jc w:val="center"/>
                    <w:rPr>
                      <w:rFonts w:ascii="宋体" w:hAnsi="宋体" w:eastAsia="宋体"/>
                      <w:sz w:val="21"/>
                    </w:rPr>
                  </w:pPr>
                  <w:r>
                    <w:rPr>
                      <w:rFonts w:hint="eastAsia" w:ascii="宋体" w:hAnsi="宋体" w:eastAsia="宋体"/>
                      <w:sz w:val="21"/>
                    </w:rPr>
                    <w:t>/</w:t>
                  </w:r>
                </w:p>
              </w:tc>
              <w:tc>
                <w:tcPr>
                  <w:tcW w:w="448" w:type="pct"/>
                  <w:vAlign w:val="center"/>
                </w:tcPr>
                <w:p>
                  <w:pPr>
                    <w:pStyle w:val="19"/>
                    <w:spacing w:line="240" w:lineRule="auto"/>
                    <w:ind w:firstLine="0" w:firstLineChars="0"/>
                    <w:jc w:val="center"/>
                    <w:rPr>
                      <w:rFonts w:ascii="宋体" w:hAnsi="宋体" w:eastAsia="宋体"/>
                      <w:sz w:val="21"/>
                    </w:rPr>
                  </w:pPr>
                  <w:r>
                    <w:rPr>
                      <w:rFonts w:hint="eastAsia" w:eastAsia="宋体"/>
                      <w:color w:val="000000" w:themeColor="text1"/>
                      <w:kern w:val="0"/>
                      <w:sz w:val="21"/>
                      <w14:textFill>
                        <w14:solidFill>
                          <w14:schemeClr w14:val="tx1"/>
                        </w14:solidFill>
                      </w14:textFill>
                    </w:rPr>
                    <w:t>/</w:t>
                  </w:r>
                </w:p>
              </w:tc>
              <w:tc>
                <w:tcPr>
                  <w:tcW w:w="352" w:type="pct"/>
                  <w:vAlign w:val="center"/>
                </w:tcPr>
                <w:p>
                  <w:pPr>
                    <w:pStyle w:val="19"/>
                    <w:spacing w:line="240" w:lineRule="auto"/>
                    <w:ind w:firstLine="0" w:firstLineChars="0"/>
                    <w:jc w:val="center"/>
                    <w:rPr>
                      <w:rFonts w:ascii="宋体" w:hAnsi="宋体" w:eastAsia="宋体"/>
                      <w:sz w:val="21"/>
                    </w:rPr>
                  </w:pPr>
                  <w:r>
                    <w:rPr>
                      <w:rFonts w:hint="eastAsia" w:eastAsia="宋体"/>
                      <w:color w:val="000000" w:themeColor="text1"/>
                      <w:kern w:val="0"/>
                      <w:sz w:val="21"/>
                      <w14:textFill>
                        <w14:solidFill>
                          <w14:schemeClr w14:val="tx1"/>
                        </w14:solidFill>
                      </w14:textFill>
                    </w:rPr>
                    <w:t>/</w:t>
                  </w:r>
                </w:p>
              </w:tc>
            </w:tr>
          </w:tbl>
          <w:p>
            <w:pPr>
              <w:autoSpaceDE w:val="0"/>
              <w:autoSpaceDN w:val="0"/>
              <w:adjustRightInd w:val="0"/>
              <w:snapToGrid w:val="0"/>
              <w:spacing w:line="360" w:lineRule="auto"/>
              <w:ind w:firstLine="480" w:firstLineChars="200"/>
              <w:jc w:val="left"/>
              <w:rPr>
                <w:bCs/>
                <w:color w:val="000000" w:themeColor="text1"/>
                <w:kern w:val="0"/>
                <w:lang w:bidi="en-US"/>
                <w14:textFill>
                  <w14:solidFill>
                    <w14:schemeClr w14:val="tx1"/>
                  </w14:solidFill>
                </w14:textFill>
              </w:rPr>
            </w:pPr>
          </w:p>
          <w:p>
            <w:pPr>
              <w:autoSpaceDE w:val="0"/>
              <w:autoSpaceDN w:val="0"/>
              <w:adjustRightInd w:val="0"/>
              <w:snapToGrid w:val="0"/>
              <w:spacing w:line="360" w:lineRule="auto"/>
              <w:ind w:firstLine="480" w:firstLineChars="200"/>
              <w:jc w:val="left"/>
              <w:rPr>
                <w:bCs/>
                <w:color w:val="000000" w:themeColor="text1"/>
                <w:kern w:val="0"/>
                <w:lang w:bidi="en-US"/>
                <w14:textFill>
                  <w14:solidFill>
                    <w14:schemeClr w14:val="tx1"/>
                  </w14:solidFill>
                </w14:textFill>
              </w:rPr>
            </w:pPr>
            <w:r>
              <w:rPr>
                <w:rFonts w:hint="eastAsia"/>
                <w:bCs/>
                <w:color w:val="000000" w:themeColor="text1"/>
                <w:kern w:val="0"/>
                <w:lang w:bidi="en-US"/>
                <w14:textFill>
                  <w14:solidFill>
                    <w14:schemeClr w14:val="tx1"/>
                  </w14:solidFill>
                </w14:textFill>
              </w:rPr>
              <w:t>因此，</w:t>
            </w:r>
            <w:r>
              <w:rPr>
                <w:bCs/>
                <w:color w:val="000000" w:themeColor="text1"/>
                <w:kern w:val="0"/>
                <w:lang w:bidi="en-US"/>
                <w14:textFill>
                  <w14:solidFill>
                    <w14:schemeClr w14:val="tx1"/>
                  </w14:solidFill>
                </w14:textFill>
              </w:rPr>
              <w:t>本项目</w:t>
            </w:r>
            <w:r>
              <w:rPr>
                <w:rFonts w:hint="eastAsia"/>
                <w:bCs/>
                <w:color w:val="000000" w:themeColor="text1"/>
                <w:kern w:val="0"/>
                <w:lang w:bidi="en-US"/>
                <w14:textFill>
                  <w14:solidFill>
                    <w14:schemeClr w14:val="tx1"/>
                  </w14:solidFill>
                </w14:textFill>
              </w:rPr>
              <w:t>与达州市生态环境准入清单普适性管控要求和宣汉县城镇一般环境管控单元准入清单的要求相符。</w:t>
            </w:r>
          </w:p>
          <w:p>
            <w:pPr>
              <w:spacing w:line="360" w:lineRule="auto"/>
              <w:ind w:firstLine="482" w:firstLineChars="200"/>
              <w:jc w:val="left"/>
              <w:rPr>
                <w:rFonts w:ascii="宋体" w:hAnsi="宋体" w:cs="宋体"/>
                <w:color w:val="000000"/>
                <w:kern w:val="0"/>
                <w:sz w:val="21"/>
              </w:rPr>
            </w:pPr>
            <w:r>
              <w:rPr>
                <w:b/>
                <w:color w:val="000000" w:themeColor="text1"/>
                <w:kern w:val="0"/>
                <w:lang w:bidi="en-US"/>
                <w14:textFill>
                  <w14:solidFill>
                    <w14:schemeClr w14:val="tx1"/>
                  </w14:solidFill>
                </w14:textFill>
              </w:rPr>
              <w:t>综上，经过与“三线一单”进行对照后，项目不在生态保护红线内、未超出环境质量底线及资源利用上线、未列入环境准入负面清单内，本项目与“三线一单”的相关要求是相符的</w:t>
            </w:r>
            <w:r>
              <w:rPr>
                <w:rFonts w:hint="eastAsia"/>
                <w:b/>
                <w:color w:val="000000" w:themeColor="text1"/>
                <w:kern w:val="0"/>
                <w:lang w:bidi="en-US"/>
                <w14:textFill>
                  <w14:solidFill>
                    <w14:schemeClr w14:val="tx1"/>
                  </w14:solidFill>
                </w14:textFill>
              </w:rPr>
              <w:t>。</w:t>
            </w:r>
          </w:p>
          <w:p>
            <w:pPr>
              <w:autoSpaceDE w:val="0"/>
              <w:autoSpaceDN w:val="0"/>
              <w:adjustRightInd w:val="0"/>
              <w:snapToGrid w:val="0"/>
              <w:spacing w:line="360" w:lineRule="auto"/>
              <w:ind w:firstLine="480" w:firstLineChars="200"/>
              <w:jc w:val="left"/>
              <w:rPr>
                <w:bCs/>
                <w:color w:val="000000" w:themeColor="text1"/>
                <w:kern w:val="0"/>
                <w:lang w:bidi="en-US"/>
                <w14:textFill>
                  <w14:solidFill>
                    <w14:schemeClr w14:val="tx1"/>
                  </w14:solidFill>
                </w14:textFill>
              </w:rPr>
            </w:pPr>
          </w:p>
          <w:p>
            <w:pPr>
              <w:autoSpaceDE w:val="0"/>
              <w:autoSpaceDN w:val="0"/>
              <w:adjustRightInd w:val="0"/>
              <w:snapToGrid w:val="0"/>
              <w:spacing w:line="360" w:lineRule="auto"/>
              <w:jc w:val="left"/>
              <w:rPr>
                <w:rFonts w:eastAsia="黑体"/>
                <w:color w:val="000000" w:themeColor="text1"/>
                <w:kern w:val="0"/>
                <w:sz w:val="30"/>
                <w:szCs w:val="30"/>
                <w14:textFill>
                  <w14:solidFill>
                    <w14:schemeClr w14:val="tx1"/>
                  </w14:solidFill>
                </w14:textFill>
              </w:rPr>
            </w:pPr>
          </w:p>
        </w:tc>
      </w:tr>
    </w:tbl>
    <w:p>
      <w:pPr>
        <w:pStyle w:val="18"/>
        <w:jc w:val="center"/>
        <w:outlineLvl w:val="9"/>
        <w:rPr>
          <w:rFonts w:eastAsia="黑体"/>
          <w:b w:val="0"/>
          <w:color w:val="000000" w:themeColor="text1"/>
          <w:sz w:val="30"/>
          <w:szCs w:val="30"/>
          <w14:textFill>
            <w14:solidFill>
              <w14:schemeClr w14:val="tx1"/>
            </w14:solidFill>
          </w14:textFill>
        </w:rPr>
        <w:sectPr>
          <w:pgSz w:w="16838" w:h="11906" w:orient="landscape"/>
          <w:pgMar w:top="1080" w:right="1440" w:bottom="1080" w:left="1440" w:header="851" w:footer="992" w:gutter="0"/>
          <w:cols w:space="720" w:num="1"/>
          <w:docGrid w:type="lines" w:linePitch="312" w:charSpace="0"/>
        </w:sectPr>
      </w:pP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 w:type="pct"/>
          </w:tcPr>
          <w:p>
            <w:pPr>
              <w:autoSpaceDE w:val="0"/>
              <w:autoSpaceDN w:val="0"/>
              <w:adjustRightInd w:val="0"/>
              <w:snapToGrid w:val="0"/>
              <w:spacing w:line="36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其他符合性分析</w:t>
            </w:r>
          </w:p>
        </w:tc>
        <w:tc>
          <w:tcPr>
            <w:tcW w:w="4819" w:type="pct"/>
          </w:tcPr>
          <w:p>
            <w:pPr>
              <w:spacing w:line="360" w:lineRule="auto"/>
              <w:ind w:firstLine="482" w:firstLineChars="200"/>
              <w:rPr>
                <w:b/>
              </w:rPr>
            </w:pPr>
            <w:r>
              <w:rPr>
                <w:rFonts w:hint="eastAsia"/>
                <w:b/>
              </w:rPr>
              <w:t>4、与《四川省嘉陵江流域生态环境保护条例》的符合性分析</w:t>
            </w:r>
          </w:p>
          <w:p>
            <w:pPr>
              <w:spacing w:line="360" w:lineRule="auto"/>
              <w:ind w:firstLine="480" w:firstLineChars="200"/>
              <w:rPr>
                <w:bCs/>
              </w:rPr>
            </w:pPr>
            <w:r>
              <w:rPr>
                <w:rFonts w:hint="eastAsia"/>
                <w:bCs/>
              </w:rPr>
              <w:t>2021年11月25日四川省第十三届人民代表大会常务委员会第三十一次会议通过了《四川省嘉陵江流域生态环境保护条例》，本项目与其符合性分析见下表：</w:t>
            </w:r>
          </w:p>
          <w:p>
            <w:pPr>
              <w:autoSpaceDE w:val="0"/>
              <w:autoSpaceDN w:val="0"/>
              <w:adjustRightInd w:val="0"/>
              <w:snapToGrid w:val="0"/>
              <w:spacing w:line="360" w:lineRule="auto"/>
              <w:jc w:val="center"/>
              <w:rPr>
                <w:rFonts w:eastAsia="黑体"/>
                <w:b/>
                <w:bCs/>
                <w:color w:val="000000" w:themeColor="text1"/>
                <w:kern w:val="0"/>
                <w:sz w:val="20"/>
                <w14:textFill>
                  <w14:solidFill>
                    <w14:schemeClr w14:val="tx1"/>
                  </w14:solidFill>
                </w14:textFill>
              </w:rPr>
            </w:pPr>
            <w:r>
              <w:rPr>
                <w:rFonts w:hint="eastAsia" w:eastAsia="黑体"/>
                <w:b/>
                <w:bCs/>
                <w:color w:val="000000" w:themeColor="text1"/>
                <w:kern w:val="0"/>
                <w:sz w:val="20"/>
                <w14:textFill>
                  <w14:solidFill>
                    <w14:schemeClr w14:val="tx1"/>
                  </w14:solidFill>
                </w14:textFill>
              </w:rPr>
              <w:t>表1-2 与《四川省嘉陵江流域生态环境保护条例》的符合性分析</w:t>
            </w:r>
          </w:p>
          <w:tbl>
            <w:tblPr>
              <w:tblStyle w:val="1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4"/>
              <w:gridCol w:w="4737"/>
              <w:gridCol w:w="2739"/>
              <w:gridCol w:w="7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pPr>
                    <w:jc w:val="center"/>
                    <w:rPr>
                      <w:b/>
                      <w:sz w:val="21"/>
                    </w:rPr>
                  </w:pPr>
                  <w:r>
                    <w:rPr>
                      <w:rFonts w:hint="eastAsia"/>
                      <w:b/>
                      <w:sz w:val="21"/>
                    </w:rPr>
                    <w:t>名称</w:t>
                  </w:r>
                </w:p>
              </w:tc>
              <w:tc>
                <w:tcPr>
                  <w:tcW w:w="2551" w:type="pct"/>
                  <w:vAlign w:val="center"/>
                </w:tcPr>
                <w:p>
                  <w:pPr>
                    <w:jc w:val="center"/>
                    <w:rPr>
                      <w:b/>
                      <w:sz w:val="21"/>
                    </w:rPr>
                  </w:pPr>
                  <w:r>
                    <w:rPr>
                      <w:rFonts w:hint="eastAsia"/>
                      <w:b/>
                      <w:sz w:val="21"/>
                    </w:rPr>
                    <w:t>法律条文</w:t>
                  </w:r>
                </w:p>
              </w:tc>
              <w:tc>
                <w:tcPr>
                  <w:tcW w:w="1475" w:type="pct"/>
                  <w:vAlign w:val="center"/>
                </w:tcPr>
                <w:p>
                  <w:pPr>
                    <w:jc w:val="center"/>
                    <w:rPr>
                      <w:b/>
                      <w:sz w:val="21"/>
                    </w:rPr>
                  </w:pPr>
                  <w:r>
                    <w:rPr>
                      <w:rFonts w:hint="eastAsia"/>
                      <w:b/>
                      <w:sz w:val="21"/>
                    </w:rPr>
                    <w:t>本项目情况</w:t>
                  </w:r>
                </w:p>
              </w:tc>
              <w:tc>
                <w:tcPr>
                  <w:tcW w:w="421" w:type="pct"/>
                  <w:vAlign w:val="center"/>
                </w:tcPr>
                <w:p>
                  <w:pPr>
                    <w:jc w:val="center"/>
                    <w:rPr>
                      <w:b/>
                      <w:sz w:val="21"/>
                    </w:rPr>
                  </w:pPr>
                  <w:r>
                    <w:rPr>
                      <w:rFonts w:hint="eastAsia"/>
                      <w:b/>
                      <w:sz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restart"/>
                  <w:vAlign w:val="center"/>
                </w:tcPr>
                <w:p>
                  <w:pPr>
                    <w:jc w:val="center"/>
                    <w:rPr>
                      <w:sz w:val="21"/>
                    </w:rPr>
                  </w:pPr>
                  <w:r>
                    <w:rPr>
                      <w:sz w:val="21"/>
                    </w:rPr>
                    <w:t>《四川省嘉陵江流域生态环境保护条例》</w:t>
                  </w:r>
                </w:p>
              </w:tc>
              <w:tc>
                <w:tcPr>
                  <w:tcW w:w="2551" w:type="pct"/>
                  <w:vAlign w:val="center"/>
                </w:tcPr>
                <w:p>
                  <w:pPr>
                    <w:pStyle w:val="8"/>
                    <w:spacing w:before="0" w:beforeAutospacing="0" w:after="0" w:line="280" w:lineRule="exact"/>
                    <w:ind w:left="137" w:leftChars="57" w:right="120" w:rightChars="50"/>
                  </w:pPr>
                  <w:r>
                    <w:rPr>
                      <w:rFonts w:hint="eastAsia"/>
                      <w:bCs/>
                    </w:rPr>
                    <w:t>第十七条 禁止在嘉陵江干支流岸线一公里范围内新建、扩建化工园区和化工项目。</w:t>
                  </w:r>
                </w:p>
              </w:tc>
              <w:tc>
                <w:tcPr>
                  <w:tcW w:w="1475" w:type="pct"/>
                  <w:vAlign w:val="center"/>
                </w:tcPr>
                <w:p>
                  <w:pPr>
                    <w:pStyle w:val="8"/>
                    <w:spacing w:before="0" w:beforeAutospacing="0" w:after="0" w:line="280" w:lineRule="exact"/>
                    <w:ind w:left="137" w:leftChars="57" w:right="120" w:rightChars="50"/>
                  </w:pPr>
                  <w:r>
                    <w:rPr>
                      <w:rFonts w:hint="eastAsia"/>
                      <w:bCs/>
                    </w:rPr>
                    <w:t>本项目不属于化工园区及化工项目。</w:t>
                  </w:r>
                </w:p>
              </w:tc>
              <w:tc>
                <w:tcPr>
                  <w:tcW w:w="421" w:type="pct"/>
                  <w:vAlign w:val="center"/>
                </w:tcPr>
                <w:p>
                  <w:pPr>
                    <w:pStyle w:val="8"/>
                    <w:spacing w:before="0" w:beforeAutospacing="0" w:after="0" w:line="280" w:lineRule="exact"/>
                    <w:ind w:left="0" w:leftChars="0"/>
                    <w:jc w:val="center"/>
                  </w:pPr>
                  <w:r>
                    <w:rPr>
                      <w:bC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continue"/>
                  <w:vAlign w:val="center"/>
                </w:tcPr>
                <w:p>
                  <w:pPr>
                    <w:jc w:val="center"/>
                    <w:rPr>
                      <w:sz w:val="21"/>
                    </w:rPr>
                  </w:pPr>
                </w:p>
              </w:tc>
              <w:tc>
                <w:tcPr>
                  <w:tcW w:w="2551" w:type="pct"/>
                  <w:vAlign w:val="center"/>
                </w:tcPr>
                <w:p>
                  <w:pPr>
                    <w:pStyle w:val="8"/>
                    <w:spacing w:before="0" w:beforeAutospacing="0" w:after="0" w:line="280" w:lineRule="exact"/>
                    <w:ind w:left="137" w:leftChars="57" w:right="120" w:rightChars="50"/>
                  </w:pPr>
                  <w:r>
                    <w:rPr>
                      <w:bCs/>
                    </w:rPr>
                    <w:t>第三十七条</w:t>
                  </w:r>
                  <w:r>
                    <w:rPr>
                      <w:rFonts w:hint="eastAsia"/>
                      <w:bCs/>
                    </w:rPr>
                    <w:t xml:space="preserve"> </w:t>
                  </w:r>
                  <w:r>
                    <w:rPr>
                      <w:bCs/>
                    </w:rPr>
                    <w:t>嘉陵江流域县级以上地方人民政府负责划定河道、湖泊管理范围，并向社会公告，实行严格的河湖保护，禁止非法侵占河湖水域。</w:t>
                  </w:r>
                </w:p>
              </w:tc>
              <w:tc>
                <w:tcPr>
                  <w:tcW w:w="1475" w:type="pct"/>
                  <w:vAlign w:val="center"/>
                </w:tcPr>
                <w:p>
                  <w:pPr>
                    <w:pStyle w:val="8"/>
                    <w:spacing w:before="0" w:beforeAutospacing="0" w:after="0" w:line="280" w:lineRule="exact"/>
                    <w:ind w:left="137" w:leftChars="57" w:right="120" w:rightChars="50"/>
                  </w:pPr>
                  <w:r>
                    <w:rPr>
                      <w:rFonts w:hint="eastAsia"/>
                      <w:bCs/>
                    </w:rPr>
                    <w:t>本项目选址不占用河道，未侵占河湖水域。</w:t>
                  </w:r>
                </w:p>
              </w:tc>
              <w:tc>
                <w:tcPr>
                  <w:tcW w:w="421" w:type="pct"/>
                  <w:vAlign w:val="center"/>
                </w:tcPr>
                <w:p>
                  <w:pPr>
                    <w:pStyle w:val="8"/>
                    <w:spacing w:before="0" w:beforeAutospacing="0" w:after="0" w:line="280" w:lineRule="exact"/>
                    <w:ind w:left="0" w:leftChars="0"/>
                    <w:jc w:val="center"/>
                  </w:pPr>
                  <w:r>
                    <w:rPr>
                      <w:bC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continue"/>
                  <w:vAlign w:val="center"/>
                </w:tcPr>
                <w:p>
                  <w:pPr>
                    <w:jc w:val="center"/>
                    <w:rPr>
                      <w:sz w:val="21"/>
                    </w:rPr>
                  </w:pPr>
                </w:p>
              </w:tc>
              <w:tc>
                <w:tcPr>
                  <w:tcW w:w="2551" w:type="pct"/>
                  <w:vAlign w:val="center"/>
                </w:tcPr>
                <w:p>
                  <w:pPr>
                    <w:pStyle w:val="8"/>
                    <w:spacing w:before="0" w:beforeAutospacing="0" w:after="0" w:line="280" w:lineRule="exact"/>
                    <w:ind w:left="137" w:leftChars="57" w:right="120" w:rightChars="50"/>
                  </w:pPr>
                  <w:r>
                    <w:rPr>
                      <w:bCs/>
                    </w:rPr>
                    <w:t>第三十九条 从事河道采砂的单位或者个人应当遵循河道采砂许可证规定的范围、作业方式等要求，不得在河道管理范围内设置砂石堆场、加工场，河道采砂作业结束后，按照规定对作业现场进行清理、平整，并负责限期恢复废弃作业场所的地貌和植被。</w:t>
                  </w:r>
                </w:p>
              </w:tc>
              <w:tc>
                <w:tcPr>
                  <w:tcW w:w="1475" w:type="pct"/>
                  <w:vAlign w:val="center"/>
                </w:tcPr>
                <w:p>
                  <w:pPr>
                    <w:pStyle w:val="8"/>
                    <w:spacing w:before="0" w:beforeAutospacing="0" w:after="0" w:line="280" w:lineRule="exact"/>
                    <w:ind w:left="137" w:leftChars="57" w:right="120" w:rightChars="50"/>
                  </w:pPr>
                  <w:r>
                    <w:rPr>
                      <w:rFonts w:hint="eastAsia"/>
                      <w:bCs/>
                    </w:rPr>
                    <w:t>本项目为来料加工，不涉及河道采砂。</w:t>
                  </w:r>
                </w:p>
              </w:tc>
              <w:tc>
                <w:tcPr>
                  <w:tcW w:w="421" w:type="pct"/>
                  <w:vAlign w:val="center"/>
                </w:tcPr>
                <w:p>
                  <w:pPr>
                    <w:pStyle w:val="8"/>
                    <w:spacing w:before="0" w:beforeAutospacing="0" w:after="0" w:line="280" w:lineRule="exact"/>
                    <w:ind w:left="0" w:leftChars="0"/>
                    <w:jc w:val="center"/>
                  </w:pPr>
                  <w:r>
                    <w:rPr>
                      <w:bC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continue"/>
                  <w:vAlign w:val="center"/>
                </w:tcPr>
                <w:p>
                  <w:pPr>
                    <w:jc w:val="center"/>
                    <w:rPr>
                      <w:sz w:val="21"/>
                    </w:rPr>
                  </w:pPr>
                </w:p>
              </w:tc>
              <w:tc>
                <w:tcPr>
                  <w:tcW w:w="2551" w:type="pct"/>
                  <w:vAlign w:val="center"/>
                </w:tcPr>
                <w:p>
                  <w:pPr>
                    <w:pStyle w:val="8"/>
                    <w:spacing w:before="0" w:beforeAutospacing="0" w:after="0" w:line="280" w:lineRule="exact"/>
                    <w:ind w:left="137" w:leftChars="57" w:right="120" w:rightChars="50"/>
                  </w:pPr>
                  <w:r>
                    <w:rPr>
                      <w:bCs/>
                    </w:rPr>
                    <w:t>第六十七条 禁止在合规园区外新建、扩建钢铁、石化化工、焦化、建材、有色金属等高污染项目。</w:t>
                  </w:r>
                </w:p>
              </w:tc>
              <w:tc>
                <w:tcPr>
                  <w:tcW w:w="1475" w:type="pct"/>
                  <w:vAlign w:val="center"/>
                </w:tcPr>
                <w:p>
                  <w:pPr>
                    <w:pStyle w:val="8"/>
                    <w:spacing w:before="0" w:beforeAutospacing="0" w:after="0" w:line="280" w:lineRule="exact"/>
                    <w:ind w:left="137" w:leftChars="57" w:right="120" w:rightChars="50"/>
                  </w:pPr>
                  <w:r>
                    <w:rPr>
                      <w:bCs/>
                      <w:color w:val="000000" w:themeColor="text1"/>
                      <w14:textFill>
                        <w14:solidFill>
                          <w14:schemeClr w14:val="tx1"/>
                        </w14:solidFill>
                      </w14:textFill>
                    </w:rPr>
                    <w:t>本项目属于建材中的“砖瓦、石材等建筑材料制造”，但本项目为砂石破碎生产，不属于《环境保护综合名录（2021年版）》（环办综合函〔2021〕495号）中的高污染项目</w:t>
                  </w:r>
                </w:p>
              </w:tc>
              <w:tc>
                <w:tcPr>
                  <w:tcW w:w="421" w:type="pct"/>
                  <w:vAlign w:val="center"/>
                </w:tcPr>
                <w:p>
                  <w:pPr>
                    <w:pStyle w:val="8"/>
                    <w:spacing w:before="0" w:beforeAutospacing="0" w:after="0" w:line="280" w:lineRule="exact"/>
                    <w:ind w:left="0" w:leftChars="0"/>
                    <w:jc w:val="center"/>
                  </w:pPr>
                  <w:r>
                    <w:rPr>
                      <w:bC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Merge w:val="continue"/>
                  <w:vAlign w:val="center"/>
                </w:tcPr>
                <w:p>
                  <w:pPr>
                    <w:jc w:val="center"/>
                    <w:rPr>
                      <w:sz w:val="21"/>
                    </w:rPr>
                  </w:pPr>
                </w:p>
              </w:tc>
              <w:tc>
                <w:tcPr>
                  <w:tcW w:w="2551" w:type="pct"/>
                  <w:vAlign w:val="center"/>
                </w:tcPr>
                <w:p>
                  <w:pPr>
                    <w:pStyle w:val="8"/>
                    <w:spacing w:before="0" w:beforeAutospacing="0" w:after="0" w:line="280" w:lineRule="exact"/>
                    <w:ind w:left="137" w:leftChars="57" w:right="120" w:rightChars="50"/>
                  </w:pPr>
                  <w:r>
                    <w:rPr>
                      <w:bCs/>
                    </w:rPr>
                    <w:t>第七十九条 嘉陵江流域县级以上地方人民政府应当将节水、节能、节地、资源综合利用列为重点发展领域，积极采取措施发展低水耗、低能耗、高附加值的产业，依法推行清洁生产，发展循环经济。</w:t>
                  </w:r>
                </w:p>
              </w:tc>
              <w:tc>
                <w:tcPr>
                  <w:tcW w:w="1475" w:type="pct"/>
                  <w:vAlign w:val="center"/>
                </w:tcPr>
                <w:p>
                  <w:pPr>
                    <w:pStyle w:val="8"/>
                    <w:spacing w:before="0" w:beforeAutospacing="0" w:after="0" w:line="280" w:lineRule="exact"/>
                    <w:ind w:left="137" w:leftChars="57" w:right="120" w:rightChars="50"/>
                  </w:pPr>
                  <w:r>
                    <w:rPr>
                      <w:rFonts w:hint="eastAsia"/>
                      <w:bCs/>
                    </w:rPr>
                    <w:t>本项目生产废水经废水处理系统（采用絮凝沉淀+压滤工艺）处理后全部循环使用，不外排。</w:t>
                  </w:r>
                </w:p>
              </w:tc>
              <w:tc>
                <w:tcPr>
                  <w:tcW w:w="421" w:type="pct"/>
                  <w:vAlign w:val="center"/>
                </w:tcPr>
                <w:p>
                  <w:pPr>
                    <w:pStyle w:val="8"/>
                    <w:spacing w:before="0" w:beforeAutospacing="0" w:after="0" w:line="280" w:lineRule="exact"/>
                    <w:ind w:left="0" w:leftChars="0"/>
                    <w:jc w:val="center"/>
                  </w:pPr>
                  <w:r>
                    <w:rPr>
                      <w:bCs/>
                    </w:rPr>
                    <w:t>符合</w:t>
                  </w:r>
                </w:p>
              </w:tc>
            </w:tr>
          </w:tbl>
          <w:p>
            <w:pPr>
              <w:spacing w:line="276" w:lineRule="auto"/>
              <w:ind w:firstLine="480" w:firstLineChars="200"/>
              <w:rPr>
                <w:bCs/>
              </w:rPr>
            </w:pPr>
          </w:p>
          <w:p>
            <w:pPr>
              <w:spacing w:line="360" w:lineRule="auto"/>
              <w:ind w:firstLine="482" w:firstLineChars="200"/>
              <w:rPr>
                <w:b/>
                <w:bCs/>
              </w:rPr>
            </w:pPr>
            <w:r>
              <w:rPr>
                <w:rFonts w:hint="eastAsia"/>
                <w:b/>
                <w:bCs/>
              </w:rPr>
              <w:t>5</w:t>
            </w:r>
            <w:r>
              <w:rPr>
                <w:b/>
                <w:bCs/>
              </w:rPr>
              <w:t>、与长江保护法符合性分析</w:t>
            </w:r>
          </w:p>
          <w:p>
            <w:pPr>
              <w:spacing w:line="360" w:lineRule="auto"/>
              <w:ind w:firstLine="480" w:firstLineChars="200"/>
              <w:rPr>
                <w:b/>
                <w:bCs/>
              </w:rPr>
            </w:pPr>
            <w:r>
              <w:t>自2021年3月1日起施行的《中华人民共和国长江保护法》，是为了加强</w:t>
            </w:r>
            <w:r>
              <w:fldChar w:fldCharType="begin"/>
            </w:r>
            <w:r>
              <w:instrText xml:space="preserve">HYPERLINK "https://baike.baidu.com/item/%E9%95%BF%E6%B1%9F/388" \t "_blank"</w:instrText>
            </w:r>
            <w:r>
              <w:fldChar w:fldCharType="separate"/>
            </w:r>
            <w:r>
              <w:t>长江</w:t>
            </w:r>
            <w:r>
              <w:fldChar w:fldCharType="end"/>
            </w:r>
            <w:r>
              <w:t>流域生态环境保护和修复，促进资源合理高效利用，保障生态安全，实现人与自然和谐共生、中华民族永续发展制定的法律。</w:t>
            </w:r>
          </w:p>
          <w:p>
            <w:pPr>
              <w:autoSpaceDE w:val="0"/>
              <w:autoSpaceDN w:val="0"/>
              <w:adjustRightInd w:val="0"/>
              <w:snapToGrid w:val="0"/>
              <w:spacing w:line="360" w:lineRule="auto"/>
              <w:jc w:val="center"/>
              <w:rPr>
                <w:rFonts w:eastAsia="黑体"/>
                <w:b/>
                <w:bCs/>
                <w:color w:val="000000" w:themeColor="text1"/>
                <w:kern w:val="0"/>
                <w:sz w:val="20"/>
                <w14:textFill>
                  <w14:solidFill>
                    <w14:schemeClr w14:val="tx1"/>
                  </w14:solidFill>
                </w14:textFill>
              </w:rPr>
            </w:pPr>
            <w:r>
              <w:rPr>
                <w:rFonts w:hint="eastAsia" w:eastAsia="黑体"/>
                <w:b/>
                <w:bCs/>
                <w:color w:val="000000" w:themeColor="text1"/>
                <w:kern w:val="0"/>
                <w:sz w:val="20"/>
                <w14:textFill>
                  <w14:solidFill>
                    <w14:schemeClr w14:val="tx1"/>
                  </w14:solidFill>
                </w14:textFill>
              </w:rPr>
              <w:t>表1-3  与《中华人民共和国长江保护法》的符合性分析</w:t>
            </w:r>
          </w:p>
          <w:tbl>
            <w:tblPr>
              <w:tblStyle w:val="1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25"/>
              <w:gridCol w:w="5024"/>
              <w:gridCol w:w="2501"/>
              <w:gridCol w:w="9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6" w:type="dxa"/>
                  <w:tcBorders>
                    <w:tl2br w:val="nil"/>
                    <w:tr2bl w:val="nil"/>
                  </w:tcBorders>
                  <w:vAlign w:val="center"/>
                </w:tcPr>
                <w:p>
                  <w:pPr>
                    <w:jc w:val="center"/>
                    <w:rPr>
                      <w:b/>
                      <w:bCs/>
                      <w:sz w:val="21"/>
                    </w:rPr>
                  </w:pPr>
                  <w:r>
                    <w:rPr>
                      <w:rFonts w:hint="eastAsia"/>
                      <w:b/>
                      <w:sz w:val="21"/>
                    </w:rPr>
                    <w:t>名称</w:t>
                  </w:r>
                </w:p>
              </w:tc>
              <w:tc>
                <w:tcPr>
                  <w:tcW w:w="5025" w:type="dxa"/>
                  <w:tcBorders>
                    <w:tl2br w:val="nil"/>
                    <w:tr2bl w:val="nil"/>
                  </w:tcBorders>
                  <w:vAlign w:val="center"/>
                </w:tcPr>
                <w:p>
                  <w:pPr>
                    <w:jc w:val="center"/>
                    <w:rPr>
                      <w:b/>
                      <w:bCs/>
                      <w:sz w:val="21"/>
                    </w:rPr>
                  </w:pPr>
                  <w:r>
                    <w:rPr>
                      <w:rFonts w:hint="eastAsia"/>
                      <w:b/>
                      <w:sz w:val="21"/>
                    </w:rPr>
                    <w:t>法律条文</w:t>
                  </w:r>
                </w:p>
              </w:tc>
              <w:tc>
                <w:tcPr>
                  <w:tcW w:w="2501" w:type="dxa"/>
                  <w:tcBorders>
                    <w:tl2br w:val="nil"/>
                    <w:tr2bl w:val="nil"/>
                  </w:tcBorders>
                  <w:vAlign w:val="center"/>
                </w:tcPr>
                <w:p>
                  <w:pPr>
                    <w:adjustRightInd w:val="0"/>
                    <w:snapToGrid w:val="0"/>
                    <w:jc w:val="center"/>
                    <w:rPr>
                      <w:b/>
                      <w:bCs/>
                      <w:sz w:val="21"/>
                    </w:rPr>
                  </w:pPr>
                  <w:r>
                    <w:rPr>
                      <w:b/>
                      <w:bCs/>
                      <w:sz w:val="21"/>
                    </w:rPr>
                    <w:t>本项目情况</w:t>
                  </w:r>
                </w:p>
              </w:tc>
              <w:tc>
                <w:tcPr>
                  <w:tcW w:w="932" w:type="dxa"/>
                  <w:tcBorders>
                    <w:tl2br w:val="nil"/>
                    <w:tr2bl w:val="nil"/>
                  </w:tcBorders>
                  <w:vAlign w:val="center"/>
                </w:tcPr>
                <w:p>
                  <w:pPr>
                    <w:adjustRightInd w:val="0"/>
                    <w:snapToGrid w:val="0"/>
                    <w:jc w:val="center"/>
                    <w:rPr>
                      <w:b/>
                      <w:bCs/>
                      <w:sz w:val="21"/>
                    </w:rPr>
                  </w:pPr>
                  <w:r>
                    <w:rPr>
                      <w:b/>
                      <w:bCs/>
                      <w:sz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6" w:type="dxa"/>
                  <w:vMerge w:val="restart"/>
                  <w:tcBorders>
                    <w:tl2br w:val="nil"/>
                    <w:tr2bl w:val="nil"/>
                  </w:tcBorders>
                  <w:vAlign w:val="center"/>
                </w:tcPr>
                <w:p>
                  <w:pPr>
                    <w:adjustRightInd w:val="0"/>
                    <w:snapToGrid w:val="0"/>
                    <w:jc w:val="center"/>
                    <w:rPr>
                      <w:bCs/>
                      <w:sz w:val="21"/>
                    </w:rPr>
                  </w:pPr>
                  <w:r>
                    <w:rPr>
                      <w:bCs/>
                      <w:sz w:val="21"/>
                    </w:rPr>
                    <w:t>《中华人民共和国长江保护法》</w:t>
                  </w:r>
                </w:p>
              </w:tc>
              <w:tc>
                <w:tcPr>
                  <w:tcW w:w="5025" w:type="dxa"/>
                  <w:tcBorders>
                    <w:tl2br w:val="nil"/>
                    <w:tr2bl w:val="nil"/>
                  </w:tcBorders>
                  <w:vAlign w:val="center"/>
                </w:tcPr>
                <w:p>
                  <w:pPr>
                    <w:pStyle w:val="8"/>
                    <w:spacing w:before="0" w:beforeAutospacing="0" w:after="0" w:line="280" w:lineRule="exact"/>
                    <w:ind w:left="137" w:leftChars="57" w:right="120" w:rightChars="50"/>
                    <w:rPr>
                      <w:bCs/>
                    </w:rPr>
                  </w:pPr>
                  <w:r>
                    <w:rPr>
                      <w:bCs/>
                    </w:rPr>
                    <w:t>第二十一条</w:t>
                  </w:r>
                  <w:r>
                    <w:rPr>
                      <w:rFonts w:hint="eastAsia"/>
                      <w:bCs/>
                    </w:rPr>
                    <w:t xml:space="preserve"> </w:t>
                  </w:r>
                  <w:r>
                    <w:rPr>
                      <w:bCs/>
                    </w:rPr>
                    <w:t>国务院生态环境主管部门根据水环境质量改善目标和水污染防治要求，确定长江流域各省级行政区域重点污染物排放总量控制指标。长江流域水质超标的水功能区，应当实施更严格的污染物排放总量削减要求。企业事业单位应当按照要求，采取污染物排放总量控制措施。</w:t>
                  </w:r>
                </w:p>
              </w:tc>
              <w:tc>
                <w:tcPr>
                  <w:tcW w:w="2501" w:type="dxa"/>
                  <w:tcBorders>
                    <w:tl2br w:val="nil"/>
                    <w:tr2bl w:val="nil"/>
                  </w:tcBorders>
                  <w:vAlign w:val="center"/>
                </w:tcPr>
                <w:p>
                  <w:pPr>
                    <w:pStyle w:val="8"/>
                    <w:spacing w:before="0" w:beforeAutospacing="0" w:after="0" w:line="280" w:lineRule="exact"/>
                    <w:ind w:left="137" w:leftChars="57" w:right="120" w:rightChars="50"/>
                    <w:rPr>
                      <w:bCs/>
                    </w:rPr>
                  </w:pPr>
                  <w:r>
                    <w:rPr>
                      <w:bCs/>
                    </w:rPr>
                    <w:t>项目所在区域水环境质量满足相应功能区要求，</w:t>
                  </w:r>
                  <w:r>
                    <w:rPr>
                      <w:rFonts w:hint="eastAsia"/>
                      <w:bCs/>
                    </w:rPr>
                    <w:t>生产</w:t>
                  </w:r>
                  <w:r>
                    <w:rPr>
                      <w:bCs/>
                    </w:rPr>
                    <w:t>废水经废水处理装置处理后全部循环使用</w:t>
                  </w:r>
                  <w:r>
                    <w:rPr>
                      <w:rFonts w:hint="eastAsia"/>
                      <w:bCs/>
                    </w:rPr>
                    <w:t>，不外排</w:t>
                  </w:r>
                  <w:r>
                    <w:rPr>
                      <w:bCs/>
                    </w:rPr>
                    <w:t>。</w:t>
                  </w:r>
                </w:p>
              </w:tc>
              <w:tc>
                <w:tcPr>
                  <w:tcW w:w="932" w:type="dxa"/>
                  <w:tcBorders>
                    <w:tl2br w:val="nil"/>
                    <w:tr2bl w:val="nil"/>
                  </w:tcBorders>
                  <w:vAlign w:val="center"/>
                </w:tcPr>
                <w:p>
                  <w:pPr>
                    <w:adjustRightInd w:val="0"/>
                    <w:snapToGrid w:val="0"/>
                    <w:jc w:val="center"/>
                    <w:rPr>
                      <w:bCs/>
                      <w:sz w:val="21"/>
                    </w:rPr>
                  </w:pPr>
                  <w:r>
                    <w:rPr>
                      <w:bCs/>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6" w:type="dxa"/>
                  <w:vMerge w:val="continue"/>
                  <w:tcBorders>
                    <w:tl2br w:val="nil"/>
                    <w:tr2bl w:val="nil"/>
                  </w:tcBorders>
                  <w:vAlign w:val="center"/>
                </w:tcPr>
                <w:p>
                  <w:pPr>
                    <w:adjustRightInd w:val="0"/>
                    <w:snapToGrid w:val="0"/>
                    <w:jc w:val="center"/>
                    <w:rPr>
                      <w:bCs/>
                      <w:sz w:val="21"/>
                    </w:rPr>
                  </w:pPr>
                </w:p>
              </w:tc>
              <w:tc>
                <w:tcPr>
                  <w:tcW w:w="5025" w:type="dxa"/>
                  <w:tcBorders>
                    <w:tl2br w:val="nil"/>
                    <w:tr2bl w:val="nil"/>
                  </w:tcBorders>
                  <w:vAlign w:val="center"/>
                </w:tcPr>
                <w:p>
                  <w:pPr>
                    <w:pStyle w:val="8"/>
                    <w:spacing w:before="0" w:beforeAutospacing="0" w:after="0" w:line="280" w:lineRule="exact"/>
                    <w:ind w:left="137" w:leftChars="57" w:right="120" w:rightChars="50"/>
                    <w:rPr>
                      <w:bCs/>
                    </w:rPr>
                  </w:pPr>
                  <w:r>
                    <w:rPr>
                      <w:bCs/>
                    </w:rPr>
                    <w:t>第二十二条 长江流域产业结构和布局应当与长江流域生态系统和资源环境承载能力相适应。禁止在长江流域重点生态功能区布局对生态系统有严重影响的产业。禁止重污染企业和项目向长江中上游转移。</w:t>
                  </w:r>
                </w:p>
              </w:tc>
              <w:tc>
                <w:tcPr>
                  <w:tcW w:w="2501" w:type="dxa"/>
                  <w:tcBorders>
                    <w:tl2br w:val="nil"/>
                    <w:tr2bl w:val="nil"/>
                  </w:tcBorders>
                  <w:vAlign w:val="center"/>
                </w:tcPr>
                <w:p>
                  <w:pPr>
                    <w:pStyle w:val="8"/>
                    <w:spacing w:before="0" w:beforeAutospacing="0" w:after="0" w:line="280" w:lineRule="exact"/>
                    <w:ind w:left="137" w:leftChars="57" w:right="120" w:rightChars="50"/>
                    <w:rPr>
                      <w:bCs/>
                    </w:rPr>
                  </w:pPr>
                  <w:r>
                    <w:rPr>
                      <w:bCs/>
                    </w:rPr>
                    <w:t>项目所在地不属于长江流域重点生态功能区，对生态系统不会造成严重影响，也不属于重污染项目。</w:t>
                  </w:r>
                </w:p>
              </w:tc>
              <w:tc>
                <w:tcPr>
                  <w:tcW w:w="932" w:type="dxa"/>
                  <w:tcBorders>
                    <w:tl2br w:val="nil"/>
                    <w:tr2bl w:val="nil"/>
                  </w:tcBorders>
                  <w:vAlign w:val="center"/>
                </w:tcPr>
                <w:p>
                  <w:pPr>
                    <w:adjustRightInd w:val="0"/>
                    <w:snapToGrid w:val="0"/>
                    <w:jc w:val="center"/>
                    <w:rPr>
                      <w:bCs/>
                      <w:sz w:val="21"/>
                    </w:rPr>
                  </w:pPr>
                  <w:r>
                    <w:rPr>
                      <w:bCs/>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6" w:type="dxa"/>
                  <w:vMerge w:val="continue"/>
                  <w:tcBorders>
                    <w:tl2br w:val="nil"/>
                    <w:tr2bl w:val="nil"/>
                  </w:tcBorders>
                  <w:vAlign w:val="center"/>
                </w:tcPr>
                <w:p>
                  <w:pPr>
                    <w:adjustRightInd w:val="0"/>
                    <w:snapToGrid w:val="0"/>
                    <w:jc w:val="center"/>
                    <w:rPr>
                      <w:bCs/>
                      <w:sz w:val="21"/>
                    </w:rPr>
                  </w:pPr>
                </w:p>
              </w:tc>
              <w:tc>
                <w:tcPr>
                  <w:tcW w:w="5025" w:type="dxa"/>
                  <w:tcBorders>
                    <w:tl2br w:val="nil"/>
                    <w:tr2bl w:val="nil"/>
                  </w:tcBorders>
                  <w:vAlign w:val="center"/>
                </w:tcPr>
                <w:p>
                  <w:pPr>
                    <w:pStyle w:val="8"/>
                    <w:spacing w:before="0" w:beforeAutospacing="0" w:after="0" w:line="280" w:lineRule="exact"/>
                    <w:ind w:left="137" w:leftChars="57" w:right="120" w:rightChars="50"/>
                    <w:rPr>
                      <w:bCs/>
                    </w:rPr>
                  </w:pPr>
                  <w:r>
                    <w:rPr>
                      <w:bCs/>
                    </w:rPr>
                    <w:t>第二十六条 禁止在长江干支流岸线一公里范围内新建、扩建化工园区和化工项目。禁止在长江干流岸三公里范围内和重要支流岸线一公里范围内新建、改建、扩建尾矿库；但是以提升安全、生态环境保护水平为目的的改建除外。</w:t>
                  </w:r>
                </w:p>
              </w:tc>
              <w:tc>
                <w:tcPr>
                  <w:tcW w:w="2501" w:type="dxa"/>
                  <w:tcBorders>
                    <w:tl2br w:val="nil"/>
                    <w:tr2bl w:val="nil"/>
                  </w:tcBorders>
                  <w:vAlign w:val="center"/>
                </w:tcPr>
                <w:p>
                  <w:pPr>
                    <w:pStyle w:val="8"/>
                    <w:spacing w:before="0" w:beforeAutospacing="0" w:after="0" w:line="280" w:lineRule="exact"/>
                    <w:ind w:left="137" w:leftChars="57" w:right="120" w:rightChars="50"/>
                    <w:rPr>
                      <w:bCs/>
                    </w:rPr>
                  </w:pPr>
                  <w:r>
                    <w:rPr>
                      <w:bCs/>
                    </w:rPr>
                    <w:t>本项目不属于化工类和尾矿类项目。</w:t>
                  </w:r>
                </w:p>
              </w:tc>
              <w:tc>
                <w:tcPr>
                  <w:tcW w:w="932" w:type="dxa"/>
                  <w:tcBorders>
                    <w:tl2br w:val="nil"/>
                    <w:tr2bl w:val="nil"/>
                  </w:tcBorders>
                  <w:vAlign w:val="center"/>
                </w:tcPr>
                <w:p>
                  <w:pPr>
                    <w:adjustRightInd w:val="0"/>
                    <w:snapToGrid w:val="0"/>
                    <w:jc w:val="center"/>
                    <w:rPr>
                      <w:bCs/>
                      <w:sz w:val="21"/>
                    </w:rPr>
                  </w:pPr>
                  <w:r>
                    <w:rPr>
                      <w:bCs/>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6" w:type="dxa"/>
                  <w:vMerge w:val="continue"/>
                  <w:tcBorders>
                    <w:tl2br w:val="nil"/>
                    <w:tr2bl w:val="nil"/>
                  </w:tcBorders>
                  <w:vAlign w:val="center"/>
                </w:tcPr>
                <w:p>
                  <w:pPr>
                    <w:adjustRightInd w:val="0"/>
                    <w:snapToGrid w:val="0"/>
                    <w:jc w:val="center"/>
                    <w:rPr>
                      <w:bCs/>
                      <w:sz w:val="21"/>
                    </w:rPr>
                  </w:pPr>
                </w:p>
              </w:tc>
              <w:tc>
                <w:tcPr>
                  <w:tcW w:w="5025" w:type="dxa"/>
                  <w:tcBorders>
                    <w:tl2br w:val="nil"/>
                    <w:tr2bl w:val="nil"/>
                  </w:tcBorders>
                  <w:vAlign w:val="center"/>
                </w:tcPr>
                <w:p>
                  <w:pPr>
                    <w:pStyle w:val="8"/>
                    <w:spacing w:before="0" w:beforeAutospacing="0" w:after="0" w:line="280" w:lineRule="exact"/>
                    <w:ind w:left="137" w:leftChars="57" w:right="120" w:rightChars="50"/>
                    <w:rPr>
                      <w:bCs/>
                    </w:rPr>
                  </w:pPr>
                  <w:r>
                    <w:rPr>
                      <w:bCs/>
                    </w:rPr>
                    <w:t>第二十八条 禁止在长江流域禁止采砂区和禁止采砂期从事采砂活动。</w:t>
                  </w:r>
                </w:p>
              </w:tc>
              <w:tc>
                <w:tcPr>
                  <w:tcW w:w="2501" w:type="dxa"/>
                  <w:tcBorders>
                    <w:tl2br w:val="nil"/>
                    <w:tr2bl w:val="nil"/>
                  </w:tcBorders>
                  <w:vAlign w:val="center"/>
                </w:tcPr>
                <w:p>
                  <w:pPr>
                    <w:pStyle w:val="8"/>
                    <w:spacing w:before="0" w:beforeAutospacing="0" w:after="0" w:line="280" w:lineRule="exact"/>
                    <w:ind w:left="137" w:leftChars="57" w:right="120" w:rightChars="50"/>
                    <w:rPr>
                      <w:bCs/>
                    </w:rPr>
                  </w:pPr>
                  <w:r>
                    <w:rPr>
                      <w:bCs/>
                    </w:rPr>
                    <w:t>本项目不涉及河道开采。</w:t>
                  </w:r>
                </w:p>
              </w:tc>
              <w:tc>
                <w:tcPr>
                  <w:tcW w:w="932" w:type="dxa"/>
                  <w:tcBorders>
                    <w:tl2br w:val="nil"/>
                    <w:tr2bl w:val="nil"/>
                  </w:tcBorders>
                  <w:vAlign w:val="center"/>
                </w:tcPr>
                <w:p>
                  <w:pPr>
                    <w:adjustRightInd w:val="0"/>
                    <w:snapToGrid w:val="0"/>
                    <w:jc w:val="center"/>
                    <w:rPr>
                      <w:bCs/>
                      <w:sz w:val="21"/>
                    </w:rPr>
                  </w:pPr>
                  <w:r>
                    <w:rPr>
                      <w:bCs/>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26" w:type="dxa"/>
                  <w:vMerge w:val="continue"/>
                  <w:tcBorders>
                    <w:tl2br w:val="nil"/>
                    <w:tr2bl w:val="nil"/>
                  </w:tcBorders>
                  <w:vAlign w:val="center"/>
                </w:tcPr>
                <w:p>
                  <w:pPr>
                    <w:adjustRightInd w:val="0"/>
                    <w:snapToGrid w:val="0"/>
                    <w:jc w:val="center"/>
                    <w:rPr>
                      <w:bCs/>
                      <w:sz w:val="21"/>
                    </w:rPr>
                  </w:pPr>
                </w:p>
              </w:tc>
              <w:tc>
                <w:tcPr>
                  <w:tcW w:w="5025" w:type="dxa"/>
                  <w:tcBorders>
                    <w:tl2br w:val="nil"/>
                    <w:tr2bl w:val="nil"/>
                  </w:tcBorders>
                  <w:vAlign w:val="center"/>
                </w:tcPr>
                <w:p>
                  <w:pPr>
                    <w:pStyle w:val="8"/>
                    <w:spacing w:before="0" w:beforeAutospacing="0" w:after="0" w:line="280" w:lineRule="exact"/>
                    <w:ind w:left="137" w:leftChars="57" w:right="120" w:rightChars="50"/>
                    <w:rPr>
                      <w:bCs/>
                    </w:rPr>
                  </w:pPr>
                  <w:r>
                    <w:rPr>
                      <w:bCs/>
                    </w:rPr>
                    <w:t>第三十八条 加强对高耗水行业、重点用水单位的用水定额管理，严格控制高耗水项目建设。</w:t>
                  </w:r>
                </w:p>
              </w:tc>
              <w:tc>
                <w:tcPr>
                  <w:tcW w:w="2501" w:type="dxa"/>
                  <w:tcBorders>
                    <w:tl2br w:val="nil"/>
                    <w:tr2bl w:val="nil"/>
                  </w:tcBorders>
                  <w:vAlign w:val="center"/>
                </w:tcPr>
                <w:p>
                  <w:pPr>
                    <w:pStyle w:val="8"/>
                    <w:spacing w:before="0" w:beforeAutospacing="0" w:after="0" w:line="280" w:lineRule="exact"/>
                    <w:ind w:left="137" w:leftChars="57" w:right="120" w:rightChars="50"/>
                    <w:rPr>
                      <w:bCs/>
                    </w:rPr>
                  </w:pPr>
                  <w:r>
                    <w:rPr>
                      <w:bCs/>
                    </w:rPr>
                    <w:t>本项目不属于高耗水项目。</w:t>
                  </w:r>
                </w:p>
              </w:tc>
              <w:tc>
                <w:tcPr>
                  <w:tcW w:w="932" w:type="dxa"/>
                  <w:tcBorders>
                    <w:tl2br w:val="nil"/>
                    <w:tr2bl w:val="nil"/>
                  </w:tcBorders>
                  <w:vAlign w:val="center"/>
                </w:tcPr>
                <w:p>
                  <w:pPr>
                    <w:adjustRightInd w:val="0"/>
                    <w:snapToGrid w:val="0"/>
                    <w:jc w:val="center"/>
                    <w:rPr>
                      <w:bCs/>
                      <w:sz w:val="21"/>
                    </w:rPr>
                  </w:pPr>
                  <w:r>
                    <w:rPr>
                      <w:bCs/>
                      <w:sz w:val="21"/>
                    </w:rPr>
                    <w:t>符合</w:t>
                  </w:r>
                </w:p>
              </w:tc>
            </w:tr>
          </w:tbl>
          <w:p>
            <w:pPr>
              <w:autoSpaceDE w:val="0"/>
              <w:autoSpaceDN w:val="0"/>
              <w:adjustRightInd w:val="0"/>
              <w:spacing w:line="360" w:lineRule="auto"/>
              <w:ind w:firstLine="482" w:firstLineChars="200"/>
              <w:jc w:val="left"/>
              <w:rPr>
                <w:b/>
                <w:szCs w:val="24"/>
              </w:rPr>
            </w:pPr>
            <w:r>
              <w:rPr>
                <w:rFonts w:hint="eastAsia"/>
                <w:b/>
                <w:szCs w:val="24"/>
              </w:rPr>
              <w:t>6</w:t>
            </w:r>
            <w:r>
              <w:rPr>
                <w:b/>
                <w:szCs w:val="24"/>
              </w:rPr>
              <w:t>、与大气污染防治相关法律法规符合性分析</w:t>
            </w:r>
          </w:p>
          <w:p>
            <w:pPr>
              <w:autoSpaceDE w:val="0"/>
              <w:autoSpaceDN w:val="0"/>
              <w:adjustRightInd w:val="0"/>
              <w:spacing w:line="360" w:lineRule="auto"/>
              <w:jc w:val="center"/>
              <w:rPr>
                <w:b/>
                <w:bCs/>
                <w:szCs w:val="24"/>
              </w:rPr>
            </w:pPr>
            <w:r>
              <w:rPr>
                <w:rFonts w:eastAsia="黑体"/>
                <w:b/>
                <w:bCs/>
                <w:sz w:val="21"/>
              </w:rPr>
              <w:t>表1-</w:t>
            </w:r>
            <w:r>
              <w:rPr>
                <w:rFonts w:hint="eastAsia" w:eastAsia="黑体"/>
                <w:b/>
                <w:bCs/>
                <w:sz w:val="21"/>
              </w:rPr>
              <w:t>4</w:t>
            </w:r>
            <w:r>
              <w:rPr>
                <w:rFonts w:eastAsia="黑体"/>
                <w:b/>
                <w:bCs/>
                <w:sz w:val="21"/>
              </w:rPr>
              <w:t xml:space="preserve"> 本项目与大气污染防治相关法律法规符合性分析</w:t>
            </w:r>
          </w:p>
          <w:tbl>
            <w:tblPr>
              <w:tblStyle w:val="15"/>
              <w:tblW w:w="9078"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98"/>
              <w:gridCol w:w="4090"/>
              <w:gridCol w:w="2787"/>
              <w:gridCol w:w="70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498" w:type="dxa"/>
                  <w:tcBorders>
                    <w:tl2br w:val="nil"/>
                    <w:tr2bl w:val="nil"/>
                  </w:tcBorders>
                  <w:vAlign w:val="center"/>
                </w:tcPr>
                <w:p>
                  <w:pPr>
                    <w:pStyle w:val="8"/>
                    <w:spacing w:before="0" w:beforeAutospacing="0" w:after="0" w:line="240" w:lineRule="exact"/>
                    <w:ind w:left="0" w:leftChars="0"/>
                    <w:jc w:val="center"/>
                    <w:rPr>
                      <w:b/>
                    </w:rPr>
                  </w:pPr>
                  <w:r>
                    <w:rPr>
                      <w:b/>
                    </w:rPr>
                    <w:t>文件</w:t>
                  </w:r>
                </w:p>
              </w:tc>
              <w:tc>
                <w:tcPr>
                  <w:tcW w:w="4090" w:type="dxa"/>
                  <w:tcBorders>
                    <w:tl2br w:val="nil"/>
                    <w:tr2bl w:val="nil"/>
                  </w:tcBorders>
                  <w:vAlign w:val="center"/>
                </w:tcPr>
                <w:p>
                  <w:pPr>
                    <w:pStyle w:val="8"/>
                    <w:spacing w:before="0" w:beforeAutospacing="0" w:after="0" w:line="240" w:lineRule="exact"/>
                    <w:ind w:left="0" w:leftChars="0"/>
                    <w:jc w:val="center"/>
                    <w:rPr>
                      <w:b/>
                    </w:rPr>
                  </w:pPr>
                  <w:r>
                    <w:rPr>
                      <w:b/>
                    </w:rPr>
                    <w:t>要求</w:t>
                  </w:r>
                </w:p>
              </w:tc>
              <w:tc>
                <w:tcPr>
                  <w:tcW w:w="2787" w:type="dxa"/>
                  <w:tcBorders>
                    <w:tl2br w:val="nil"/>
                    <w:tr2bl w:val="nil"/>
                  </w:tcBorders>
                  <w:vAlign w:val="center"/>
                </w:tcPr>
                <w:p>
                  <w:pPr>
                    <w:pStyle w:val="8"/>
                    <w:spacing w:before="0" w:beforeAutospacing="0" w:after="0" w:line="240" w:lineRule="exact"/>
                    <w:ind w:left="0" w:leftChars="0"/>
                    <w:jc w:val="center"/>
                    <w:rPr>
                      <w:b/>
                    </w:rPr>
                  </w:pPr>
                  <w:r>
                    <w:rPr>
                      <w:b/>
                    </w:rPr>
                    <w:t>本项目</w:t>
                  </w:r>
                </w:p>
              </w:tc>
              <w:tc>
                <w:tcPr>
                  <w:tcW w:w="703" w:type="dxa"/>
                  <w:tcBorders>
                    <w:tl2br w:val="nil"/>
                    <w:tr2bl w:val="nil"/>
                  </w:tcBorders>
                  <w:vAlign w:val="center"/>
                </w:tcPr>
                <w:p>
                  <w:pPr>
                    <w:pStyle w:val="8"/>
                    <w:spacing w:before="0" w:beforeAutospacing="0" w:after="0" w:line="240" w:lineRule="exact"/>
                    <w:ind w:left="0" w:leftChars="0"/>
                    <w:jc w:val="center"/>
                    <w:rPr>
                      <w:b/>
                    </w:rPr>
                  </w:pPr>
                  <w:r>
                    <w:rPr>
                      <w:b/>
                    </w:rPr>
                    <w:t>是否符合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22" w:hRule="atLeast"/>
              </w:trPr>
              <w:tc>
                <w:tcPr>
                  <w:tcW w:w="1498" w:type="dxa"/>
                  <w:vMerge w:val="restart"/>
                  <w:tcBorders>
                    <w:tl2br w:val="nil"/>
                    <w:tr2bl w:val="nil"/>
                  </w:tcBorders>
                  <w:vAlign w:val="center"/>
                </w:tcPr>
                <w:p>
                  <w:pPr>
                    <w:pStyle w:val="8"/>
                    <w:spacing w:before="0" w:beforeAutospacing="0" w:after="0" w:line="240" w:lineRule="exact"/>
                    <w:ind w:left="0" w:leftChars="0"/>
                    <w:jc w:val="center"/>
                    <w:rPr>
                      <w:b/>
                    </w:rPr>
                  </w:pPr>
                  <w:r>
                    <w:rPr>
                      <w:bCs/>
                    </w:rPr>
                    <w:t>《中华人民共和国大气污染防治法》（2018年修正）</w:t>
                  </w:r>
                </w:p>
              </w:tc>
              <w:tc>
                <w:tcPr>
                  <w:tcW w:w="4090" w:type="dxa"/>
                  <w:tcBorders>
                    <w:tl2br w:val="nil"/>
                    <w:tr2bl w:val="nil"/>
                  </w:tcBorders>
                  <w:vAlign w:val="center"/>
                </w:tcPr>
                <w:p>
                  <w:pPr>
                    <w:pStyle w:val="8"/>
                    <w:spacing w:before="0" w:beforeAutospacing="0" w:after="0" w:line="240" w:lineRule="exact"/>
                    <w:ind w:left="0" w:leftChars="0"/>
                    <w:rPr>
                      <w:b/>
                    </w:rPr>
                  </w:pPr>
                  <w:r>
                    <w:rPr>
                      <w:bCs/>
                    </w:rPr>
                    <w:t>第四十八条：钢铁、建材、有色金属、石油、化工、制药、矿产开采等企业，应当加强精细化管理，采取集中收集处理等措施，严格控制粉尘和气态污染物的排放。工业生产企业应当采取密闭、围挡、遮盖、清扫、洒水等措施，减少内部物料的堆存、传输、装卸等环节产生的粉尘和气态污染物的排放。</w:t>
                  </w:r>
                </w:p>
              </w:tc>
              <w:tc>
                <w:tcPr>
                  <w:tcW w:w="2787" w:type="dxa"/>
                  <w:tcBorders>
                    <w:tl2br w:val="nil"/>
                    <w:tr2bl w:val="nil"/>
                  </w:tcBorders>
                  <w:vAlign w:val="center"/>
                </w:tcPr>
                <w:p>
                  <w:pPr>
                    <w:pStyle w:val="8"/>
                    <w:spacing w:before="0" w:beforeAutospacing="0" w:after="0" w:line="240" w:lineRule="exact"/>
                    <w:ind w:left="0" w:leftChars="0"/>
                    <w:jc w:val="left"/>
                    <w:rPr>
                      <w:b/>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将砂石加工生产线布置于封闭的生产车间内，</w:t>
                  </w:r>
                  <w:r>
                    <w:rPr>
                      <w:rFonts w:hint="eastAsia"/>
                      <w:color w:val="000000" w:themeColor="text1"/>
                      <w14:textFill>
                        <w14:solidFill>
                          <w14:schemeClr w14:val="tx1"/>
                        </w14:solidFill>
                      </w14:textFill>
                    </w:rPr>
                    <w:t>砂石生产</w:t>
                  </w:r>
                  <w:r>
                    <w:rPr>
                      <w:color w:val="000000" w:themeColor="text1"/>
                      <w14:textFill>
                        <w14:solidFill>
                          <w14:schemeClr w14:val="tx1"/>
                        </w14:solidFill>
                      </w14:textFill>
                    </w:rPr>
                    <w:t>区地面硬化，筛分、洗砂等工序</w:t>
                  </w:r>
                  <w:r>
                    <w:rPr>
                      <w:rFonts w:hint="eastAsia"/>
                      <w:color w:val="000000" w:themeColor="text1"/>
                      <w14:textFill>
                        <w14:solidFill>
                          <w14:schemeClr w14:val="tx1"/>
                        </w14:solidFill>
                      </w14:textFill>
                    </w:rPr>
                    <w:t>均采用</w:t>
                  </w:r>
                  <w:r>
                    <w:rPr>
                      <w:color w:val="000000" w:themeColor="text1"/>
                      <w14:textFill>
                        <w14:solidFill>
                          <w14:schemeClr w14:val="tx1"/>
                        </w14:solidFill>
                      </w14:textFill>
                    </w:rPr>
                    <w:t>湿法作业，出入口设车辆冲洗平台，</w:t>
                  </w:r>
                  <w:r>
                    <w:rPr>
                      <w:rFonts w:hint="eastAsia"/>
                      <w:color w:val="000000" w:themeColor="text1"/>
                      <w14:textFill>
                        <w14:solidFill>
                          <w14:schemeClr w14:val="tx1"/>
                        </w14:solidFill>
                      </w14:textFill>
                    </w:rPr>
                    <w:t>厂区道路全部硬化，</w:t>
                  </w:r>
                  <w:r>
                    <w:rPr>
                      <w:color w:val="000000" w:themeColor="text1"/>
                      <w14:textFill>
                        <w14:solidFill>
                          <w14:schemeClr w14:val="tx1"/>
                        </w14:solidFill>
                      </w14:textFill>
                    </w:rPr>
                    <w:t>降低车辆粉尘的产生。</w:t>
                  </w:r>
                </w:p>
              </w:tc>
              <w:tc>
                <w:tcPr>
                  <w:tcW w:w="703" w:type="dxa"/>
                  <w:tcBorders>
                    <w:tl2br w:val="nil"/>
                    <w:tr2bl w:val="nil"/>
                  </w:tcBorders>
                  <w:vAlign w:val="center"/>
                </w:tcPr>
                <w:p>
                  <w:pPr>
                    <w:pStyle w:val="8"/>
                    <w:spacing w:before="0" w:beforeAutospacing="0" w:after="0" w:line="240" w:lineRule="exact"/>
                    <w:ind w:left="0" w:leftChars="0"/>
                    <w:jc w:val="center"/>
                    <w:rPr>
                      <w:b/>
                    </w:rPr>
                  </w:pPr>
                  <w:r>
                    <w:rPr>
                      <w:bCs/>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1498" w:type="dxa"/>
                  <w:vMerge w:val="continue"/>
                  <w:tcBorders>
                    <w:tl2br w:val="nil"/>
                    <w:tr2bl w:val="nil"/>
                  </w:tcBorders>
                  <w:vAlign w:val="center"/>
                </w:tcPr>
                <w:p>
                  <w:pPr>
                    <w:pStyle w:val="8"/>
                    <w:spacing w:before="0" w:beforeAutospacing="0" w:after="0" w:line="240" w:lineRule="exact"/>
                    <w:ind w:left="0" w:leftChars="0"/>
                    <w:jc w:val="center"/>
                    <w:rPr>
                      <w:bCs/>
                    </w:rPr>
                  </w:pPr>
                </w:p>
              </w:tc>
              <w:tc>
                <w:tcPr>
                  <w:tcW w:w="4090" w:type="dxa"/>
                  <w:tcBorders>
                    <w:tl2br w:val="nil"/>
                    <w:tr2bl w:val="nil"/>
                  </w:tcBorders>
                  <w:vAlign w:val="center"/>
                </w:tcPr>
                <w:p>
                  <w:pPr>
                    <w:pStyle w:val="8"/>
                    <w:spacing w:before="0" w:beforeAutospacing="0" w:after="0" w:line="240" w:lineRule="exact"/>
                    <w:ind w:left="0" w:leftChars="0"/>
                    <w:rPr>
                      <w:b/>
                    </w:rPr>
                  </w:pPr>
                  <w:r>
                    <w:rPr>
                      <w:bCs/>
                    </w:rPr>
                    <w:t>第七十二条：贮存煤炭、煤矸石、煤渣、煤灰、水泥、石灰、石膏、砂土等易产生扬尘的物料应当密闭；不能密闭的，应当设置不低于堆放物高度的严密围挡，并采取有效覆盖措施防治扬尘污染。</w:t>
                  </w:r>
                </w:p>
              </w:tc>
              <w:tc>
                <w:tcPr>
                  <w:tcW w:w="2787" w:type="dxa"/>
                  <w:tcBorders>
                    <w:tl2br w:val="nil"/>
                    <w:tr2bl w:val="nil"/>
                  </w:tcBorders>
                  <w:vAlign w:val="center"/>
                </w:tcPr>
                <w:p>
                  <w:pPr>
                    <w:pStyle w:val="8"/>
                    <w:spacing w:before="0" w:beforeAutospacing="0" w:after="0" w:line="240" w:lineRule="exact"/>
                    <w:ind w:left="0" w:leftChars="0"/>
                    <w:jc w:val="left"/>
                    <w:rPr>
                      <w:bCs/>
                      <w:color w:val="000000" w:themeColor="text1"/>
                      <w14:textFill>
                        <w14:solidFill>
                          <w14:schemeClr w14:val="tx1"/>
                        </w14:solidFill>
                      </w14:textFill>
                    </w:rPr>
                  </w:pPr>
                  <w:r>
                    <w:rPr>
                      <w:bCs/>
                      <w:color w:val="000000" w:themeColor="text1"/>
                      <w14:textFill>
                        <w14:solidFill>
                          <w14:schemeClr w14:val="tx1"/>
                        </w14:solidFill>
                      </w14:textFill>
                    </w:rPr>
                    <w:t>成品堆场四周设置不低于堆存成品高度1.1倍的围挡，表面采取防风抑尘网进行覆盖，并设置雾炮机定期对</w:t>
                  </w:r>
                  <w:r>
                    <w:rPr>
                      <w:rFonts w:hint="eastAsia"/>
                      <w:bCs/>
                      <w:color w:val="000000" w:themeColor="text1"/>
                      <w14:textFill>
                        <w14:solidFill>
                          <w14:schemeClr w14:val="tx1"/>
                        </w14:solidFill>
                      </w14:textFill>
                    </w:rPr>
                    <w:t>成品</w:t>
                  </w:r>
                  <w:r>
                    <w:rPr>
                      <w:bCs/>
                      <w:color w:val="000000" w:themeColor="text1"/>
                      <w14:textFill>
                        <w14:solidFill>
                          <w14:schemeClr w14:val="tx1"/>
                        </w14:solidFill>
                      </w14:textFill>
                    </w:rPr>
                    <w:t>堆场进行洒水降尘。</w:t>
                  </w:r>
                </w:p>
              </w:tc>
              <w:tc>
                <w:tcPr>
                  <w:tcW w:w="703" w:type="dxa"/>
                  <w:tcBorders>
                    <w:tl2br w:val="nil"/>
                    <w:tr2bl w:val="nil"/>
                  </w:tcBorders>
                  <w:vAlign w:val="center"/>
                </w:tcPr>
                <w:p>
                  <w:pPr>
                    <w:pStyle w:val="8"/>
                    <w:spacing w:before="0" w:beforeAutospacing="0" w:after="0" w:line="240" w:lineRule="exact"/>
                    <w:ind w:left="0" w:leftChars="0"/>
                    <w:jc w:val="center"/>
                    <w:rPr>
                      <w:b/>
                    </w:rPr>
                  </w:pPr>
                  <w:r>
                    <w:rPr>
                      <w:bCs/>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5" w:hRule="atLeast"/>
              </w:trPr>
              <w:tc>
                <w:tcPr>
                  <w:tcW w:w="1498" w:type="dxa"/>
                  <w:tcBorders>
                    <w:tl2br w:val="nil"/>
                    <w:tr2bl w:val="nil"/>
                  </w:tcBorders>
                  <w:vAlign w:val="center"/>
                </w:tcPr>
                <w:p>
                  <w:pPr>
                    <w:pStyle w:val="8"/>
                    <w:spacing w:before="0" w:beforeAutospacing="0" w:after="0" w:line="240" w:lineRule="exact"/>
                    <w:ind w:left="0" w:leftChars="0"/>
                    <w:jc w:val="center"/>
                    <w:rPr>
                      <w:b/>
                    </w:rPr>
                  </w:pPr>
                  <w:r>
                    <w:rPr>
                      <w:bCs/>
                    </w:rPr>
                    <w:t>《大气污染防治行动计划》（国发[2013]37号）</w:t>
                  </w:r>
                </w:p>
              </w:tc>
              <w:tc>
                <w:tcPr>
                  <w:tcW w:w="4090" w:type="dxa"/>
                  <w:tcBorders>
                    <w:tl2br w:val="nil"/>
                    <w:tr2bl w:val="nil"/>
                  </w:tcBorders>
                  <w:vAlign w:val="center"/>
                </w:tcPr>
                <w:p>
                  <w:pPr>
                    <w:pStyle w:val="8"/>
                    <w:spacing w:before="0" w:beforeAutospacing="0" w:after="0" w:line="240" w:lineRule="exact"/>
                    <w:ind w:left="0" w:leftChars="0"/>
                    <w:rPr>
                      <w:b/>
                    </w:rPr>
                  </w:pPr>
                  <w:r>
                    <w:rPr>
                      <w:bCs/>
                    </w:rPr>
                    <w:t>（二）深化面源污染治理。大型煤堆、料堆要实现封闭储存或建设防风抑尘设施。</w:t>
                  </w:r>
                </w:p>
              </w:tc>
              <w:tc>
                <w:tcPr>
                  <w:tcW w:w="2787" w:type="dxa"/>
                  <w:tcBorders>
                    <w:tl2br w:val="nil"/>
                    <w:tr2bl w:val="nil"/>
                  </w:tcBorders>
                  <w:vAlign w:val="center"/>
                </w:tcPr>
                <w:p>
                  <w:pPr>
                    <w:pStyle w:val="8"/>
                    <w:spacing w:before="0" w:beforeAutospacing="0" w:after="0" w:line="240" w:lineRule="exact"/>
                    <w:ind w:left="0" w:leftChars="0"/>
                    <w:jc w:val="left"/>
                    <w:rPr>
                      <w:b/>
                      <w:color w:val="000000" w:themeColor="text1"/>
                      <w14:textFill>
                        <w14:solidFill>
                          <w14:schemeClr w14:val="tx1"/>
                        </w14:solidFill>
                      </w14:textFill>
                    </w:rPr>
                  </w:pPr>
                  <w:r>
                    <w:rPr>
                      <w:color w:val="000000" w:themeColor="text1"/>
                      <w14:textFill>
                        <w14:solidFill>
                          <w14:schemeClr w14:val="tx1"/>
                        </w14:solidFill>
                      </w14:textFill>
                    </w:rPr>
                    <w:t>设置封闭式砂石生产车间</w:t>
                  </w:r>
                  <w:r>
                    <w:rPr>
                      <w:bCs/>
                      <w:color w:val="000000" w:themeColor="text1"/>
                      <w14:textFill>
                        <w14:solidFill>
                          <w14:schemeClr w14:val="tx1"/>
                        </w14:solidFill>
                      </w14:textFill>
                    </w:rPr>
                    <w:t>，</w:t>
                  </w:r>
                  <w:r>
                    <w:rPr>
                      <w:color w:val="000000" w:themeColor="text1"/>
                      <w14:textFill>
                        <w14:solidFill>
                          <w14:schemeClr w14:val="tx1"/>
                        </w14:solidFill>
                      </w14:textFill>
                    </w:rPr>
                    <w:t>筛分、洗砂等工序</w:t>
                  </w:r>
                  <w:r>
                    <w:rPr>
                      <w:rFonts w:hint="eastAsia"/>
                      <w:color w:val="000000" w:themeColor="text1"/>
                      <w14:textFill>
                        <w14:solidFill>
                          <w14:schemeClr w14:val="tx1"/>
                        </w14:solidFill>
                      </w14:textFill>
                    </w:rPr>
                    <w:t>采用</w:t>
                  </w:r>
                  <w:r>
                    <w:rPr>
                      <w:color w:val="000000" w:themeColor="text1"/>
                      <w14:textFill>
                        <w14:solidFill>
                          <w14:schemeClr w14:val="tx1"/>
                        </w14:solidFill>
                      </w14:textFill>
                    </w:rPr>
                    <w:t>湿法作业，降低粉尘逸散。</w:t>
                  </w:r>
                  <w:r>
                    <w:rPr>
                      <w:bCs/>
                      <w:color w:val="000000" w:themeColor="text1"/>
                      <w14:textFill>
                        <w14:solidFill>
                          <w14:schemeClr w14:val="tx1"/>
                        </w14:solidFill>
                      </w14:textFill>
                    </w:rPr>
                    <w:t>成品堆场四周设置不低于堆存成品高度1.1倍的围挡，表面采取防风抑尘网进行覆盖，并设置雾炮机定期对</w:t>
                  </w:r>
                  <w:r>
                    <w:rPr>
                      <w:rFonts w:hint="eastAsia"/>
                      <w:bCs/>
                      <w:color w:val="000000" w:themeColor="text1"/>
                      <w14:textFill>
                        <w14:solidFill>
                          <w14:schemeClr w14:val="tx1"/>
                        </w14:solidFill>
                      </w14:textFill>
                    </w:rPr>
                    <w:t>成品</w:t>
                  </w:r>
                  <w:r>
                    <w:rPr>
                      <w:bCs/>
                      <w:color w:val="000000" w:themeColor="text1"/>
                      <w14:textFill>
                        <w14:solidFill>
                          <w14:schemeClr w14:val="tx1"/>
                        </w14:solidFill>
                      </w14:textFill>
                    </w:rPr>
                    <w:t>堆场进行洒水降尘。</w:t>
                  </w:r>
                </w:p>
              </w:tc>
              <w:tc>
                <w:tcPr>
                  <w:tcW w:w="703" w:type="dxa"/>
                  <w:tcBorders>
                    <w:tl2br w:val="nil"/>
                    <w:tr2bl w:val="nil"/>
                  </w:tcBorders>
                  <w:vAlign w:val="center"/>
                </w:tcPr>
                <w:p>
                  <w:pPr>
                    <w:pStyle w:val="8"/>
                    <w:spacing w:before="0" w:beforeAutospacing="0" w:after="0" w:line="240" w:lineRule="exact"/>
                    <w:ind w:left="0" w:leftChars="0"/>
                    <w:jc w:val="center"/>
                    <w:rPr>
                      <w:b/>
                    </w:rPr>
                  </w:pPr>
                  <w:r>
                    <w:rPr>
                      <w:bCs/>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6" w:hRule="atLeast"/>
              </w:trPr>
              <w:tc>
                <w:tcPr>
                  <w:tcW w:w="1498" w:type="dxa"/>
                  <w:tcBorders>
                    <w:tl2br w:val="nil"/>
                    <w:tr2bl w:val="nil"/>
                  </w:tcBorders>
                  <w:vAlign w:val="center"/>
                </w:tcPr>
                <w:p>
                  <w:pPr>
                    <w:pStyle w:val="8"/>
                    <w:spacing w:before="0" w:beforeAutospacing="0" w:after="0" w:line="240" w:lineRule="exact"/>
                    <w:ind w:left="0" w:leftChars="0"/>
                    <w:jc w:val="center"/>
                    <w:rPr>
                      <w:bCs/>
                    </w:rPr>
                  </w:pPr>
                  <w:r>
                    <w:rPr>
                      <w:bCs/>
                    </w:rPr>
                    <w:t>四川省蓝天保卫行动方案（2017-2020年）</w:t>
                  </w:r>
                </w:p>
              </w:tc>
              <w:tc>
                <w:tcPr>
                  <w:tcW w:w="4090" w:type="dxa"/>
                  <w:tcBorders>
                    <w:tl2br w:val="nil"/>
                    <w:tr2bl w:val="nil"/>
                  </w:tcBorders>
                  <w:vAlign w:val="center"/>
                </w:tcPr>
                <w:p>
                  <w:pPr>
                    <w:pStyle w:val="8"/>
                    <w:spacing w:before="0" w:beforeAutospacing="0" w:after="0" w:line="240" w:lineRule="exact"/>
                    <w:ind w:left="0" w:leftChars="0"/>
                    <w:rPr>
                      <w:bCs/>
                    </w:rPr>
                  </w:pPr>
                  <w:r>
                    <w:rPr>
                      <w:bCs/>
                    </w:rPr>
                    <w:t>强化堆场扬尘管控：工业企业堆场实施规范化全封闭管理。易产生扬尘的物料堆场采取封闭式库仓，不具备封闭式库仓改造条件的，应设置不低于料堆高度的严密围挡，且采取覆盖措施有效控制扬尘污染；堆场内进行搅拌、粉碎、筛分等作业时应喷水抑尘，在重污染天气时禁止进行产生扬尘的作业。物料装卸配备喷淋等防尘措施，转运物料尽量采取封闭式皮带输送。</w:t>
                  </w:r>
                </w:p>
              </w:tc>
              <w:tc>
                <w:tcPr>
                  <w:tcW w:w="2787" w:type="dxa"/>
                  <w:tcBorders>
                    <w:tl2br w:val="nil"/>
                    <w:tr2bl w:val="nil"/>
                  </w:tcBorders>
                  <w:vAlign w:val="center"/>
                </w:tcPr>
                <w:p>
                  <w:pPr>
                    <w:pStyle w:val="8"/>
                    <w:spacing w:before="0" w:beforeAutospacing="0" w:after="0" w:line="240" w:lineRule="exact"/>
                    <w:ind w:left="0" w:leftChars="0"/>
                    <w:jc w:val="left"/>
                    <w:rPr>
                      <w:bCs/>
                    </w:rPr>
                  </w:pPr>
                  <w:r>
                    <w:rPr>
                      <w:color w:val="000000" w:themeColor="text1"/>
                      <w14:textFill>
                        <w14:solidFill>
                          <w14:schemeClr w14:val="tx1"/>
                        </w14:solidFill>
                      </w14:textFill>
                    </w:rPr>
                    <w:t>将砂石加工生产线布置于封闭的生产车间内，</w:t>
                  </w:r>
                  <w:r>
                    <w:rPr>
                      <w:rFonts w:hint="eastAsia"/>
                      <w:color w:val="000000" w:themeColor="text1"/>
                      <w14:textFill>
                        <w14:solidFill>
                          <w14:schemeClr w14:val="tx1"/>
                        </w14:solidFill>
                      </w14:textFill>
                    </w:rPr>
                    <w:t>车间内</w:t>
                  </w:r>
                  <w:r>
                    <w:rPr>
                      <w:color w:val="000000" w:themeColor="text1"/>
                      <w14:textFill>
                        <w14:solidFill>
                          <w14:schemeClr w14:val="tx1"/>
                        </w14:solidFill>
                      </w14:textFill>
                    </w:rPr>
                    <w:t>地面硬化，筛分、洗砂等工序</w:t>
                  </w:r>
                  <w:r>
                    <w:rPr>
                      <w:rFonts w:hint="eastAsia"/>
                      <w:color w:val="000000" w:themeColor="text1"/>
                      <w14:textFill>
                        <w14:solidFill>
                          <w14:schemeClr w14:val="tx1"/>
                        </w14:solidFill>
                      </w14:textFill>
                    </w:rPr>
                    <w:t>均采用</w:t>
                  </w:r>
                  <w:r>
                    <w:rPr>
                      <w:color w:val="000000" w:themeColor="text1"/>
                      <w14:textFill>
                        <w14:solidFill>
                          <w14:schemeClr w14:val="tx1"/>
                        </w14:solidFill>
                      </w14:textFill>
                    </w:rPr>
                    <w:t>湿法作业，出入口设车辆冲洗平台，降低车辆粉尘的产生</w:t>
                  </w:r>
                  <w:r>
                    <w:t>。</w:t>
                  </w:r>
                </w:p>
              </w:tc>
              <w:tc>
                <w:tcPr>
                  <w:tcW w:w="703" w:type="dxa"/>
                  <w:tcBorders>
                    <w:tl2br w:val="nil"/>
                    <w:tr2bl w:val="nil"/>
                  </w:tcBorders>
                  <w:vAlign w:val="center"/>
                </w:tcPr>
                <w:p>
                  <w:pPr>
                    <w:pStyle w:val="8"/>
                    <w:spacing w:before="0" w:beforeAutospacing="0" w:after="0" w:line="240" w:lineRule="exact"/>
                    <w:ind w:left="0" w:leftChars="0"/>
                    <w:jc w:val="center"/>
                    <w:rPr>
                      <w:bCs/>
                    </w:rPr>
                  </w:pPr>
                  <w:r>
                    <w:rPr>
                      <w:bCs/>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10" w:hRule="atLeast"/>
              </w:trPr>
              <w:tc>
                <w:tcPr>
                  <w:tcW w:w="1498" w:type="dxa"/>
                  <w:tcBorders>
                    <w:tl2br w:val="nil"/>
                    <w:tr2bl w:val="nil"/>
                  </w:tcBorders>
                  <w:vAlign w:val="center"/>
                </w:tcPr>
                <w:p>
                  <w:pPr>
                    <w:jc w:val="center"/>
                    <w:rPr>
                      <w:bCs/>
                      <w:color w:val="000000" w:themeColor="text1"/>
                      <w:sz w:val="21"/>
                      <w14:textFill>
                        <w14:solidFill>
                          <w14:schemeClr w14:val="tx1"/>
                        </w14:solidFill>
                      </w14:textFill>
                    </w:rPr>
                  </w:pPr>
                  <w:r>
                    <w:rPr>
                      <w:rFonts w:hint="eastAsia"/>
                      <w:bCs/>
                      <w:color w:val="000000" w:themeColor="text1"/>
                      <w:sz w:val="21"/>
                      <w14:textFill>
                        <w14:solidFill>
                          <w14:schemeClr w14:val="tx1"/>
                        </w14:solidFill>
                      </w14:textFill>
                    </w:rPr>
                    <w:t>《达州市大气环境质量限期达标规划（2018-2030年）》</w:t>
                  </w:r>
                </w:p>
              </w:tc>
              <w:tc>
                <w:tcPr>
                  <w:tcW w:w="4090" w:type="dxa"/>
                  <w:tcBorders>
                    <w:tl2br w:val="nil"/>
                    <w:tr2bl w:val="nil"/>
                  </w:tcBorders>
                  <w:vAlign w:val="center"/>
                </w:tcPr>
                <w:p>
                  <w:pPr>
                    <w:jc w:val="center"/>
                    <w:rPr>
                      <w:bCs/>
                      <w:color w:val="000000" w:themeColor="text1"/>
                      <w:sz w:val="21"/>
                      <w14:textFill>
                        <w14:solidFill>
                          <w14:schemeClr w14:val="tx1"/>
                        </w14:solidFill>
                      </w14:textFill>
                    </w:rPr>
                  </w:pPr>
                  <w:r>
                    <w:rPr>
                      <w:rFonts w:hint="eastAsia"/>
                      <w:bCs/>
                      <w:color w:val="000000" w:themeColor="text1"/>
                      <w:sz w:val="21"/>
                      <w14:textFill>
                        <w14:solidFill>
                          <w14:schemeClr w14:val="tx1"/>
                        </w14:solidFill>
                      </w14:textFill>
                    </w:rPr>
                    <w:t>以大气环境质量达标为核心，以PM</w:t>
                  </w:r>
                  <w:r>
                    <w:rPr>
                      <w:rFonts w:hint="eastAsia"/>
                      <w:bCs/>
                      <w:color w:val="000000" w:themeColor="text1"/>
                      <w:sz w:val="21"/>
                      <w:vertAlign w:val="subscript"/>
                      <w14:textFill>
                        <w14:solidFill>
                          <w14:schemeClr w14:val="tx1"/>
                        </w14:solidFill>
                      </w14:textFill>
                    </w:rPr>
                    <w:t>2.5</w:t>
                  </w:r>
                  <w:r>
                    <w:rPr>
                      <w:rFonts w:hint="eastAsia"/>
                      <w:bCs/>
                      <w:color w:val="000000" w:themeColor="text1"/>
                      <w:sz w:val="21"/>
                      <w14:textFill>
                        <w14:solidFill>
                          <w14:schemeClr w14:val="tx1"/>
                        </w14:solidFill>
                      </w14:textFill>
                    </w:rPr>
                    <w:t>作为重点控制对象，实施空气质量达标战略，包括：优化产业结构和布局，推进能源结构调整，深化火电超低排放、工业锅炉、建材行业、冶金行业治理整顿，有效控制扬尘、移动源、秸秆焚烧的污染排放，加快推进VOC</w:t>
                  </w:r>
                  <w:r>
                    <w:rPr>
                      <w:rFonts w:hint="eastAsia"/>
                      <w:bCs/>
                      <w:color w:val="000000" w:themeColor="text1"/>
                      <w:sz w:val="21"/>
                      <w:vertAlign w:val="subscript"/>
                      <w14:textFill>
                        <w14:solidFill>
                          <w14:schemeClr w14:val="tx1"/>
                        </w14:solidFill>
                      </w14:textFill>
                    </w:rPr>
                    <w:t>S</w:t>
                  </w:r>
                  <w:r>
                    <w:rPr>
                      <w:rFonts w:hint="eastAsia"/>
                      <w:bCs/>
                      <w:color w:val="000000" w:themeColor="text1"/>
                      <w:sz w:val="21"/>
                      <w14:textFill>
                        <w14:solidFill>
                          <w14:schemeClr w14:val="tx1"/>
                        </w14:solidFill>
                      </w14:textFill>
                    </w:rPr>
                    <w:t>综合整治，促进多污染物协同控制及区域联防联控，提升大气污染精细化防控能力。</w:t>
                  </w:r>
                </w:p>
              </w:tc>
              <w:tc>
                <w:tcPr>
                  <w:tcW w:w="2787" w:type="dxa"/>
                  <w:vMerge w:val="restart"/>
                  <w:tcBorders>
                    <w:tl2br w:val="nil"/>
                    <w:tr2bl w:val="nil"/>
                  </w:tcBorders>
                  <w:vAlign w:val="center"/>
                </w:tcPr>
                <w:p>
                  <w:pPr>
                    <w:jc w:val="center"/>
                    <w:rPr>
                      <w:color w:val="000000" w:themeColor="text1"/>
                      <w:sz w:val="21"/>
                      <w14:textFill>
                        <w14:solidFill>
                          <w14:schemeClr w14:val="tx1"/>
                        </w14:solidFill>
                      </w14:textFill>
                    </w:rPr>
                  </w:pPr>
                  <w:r>
                    <w:rPr>
                      <w:rFonts w:hint="eastAsia"/>
                      <w:bCs/>
                      <w:color w:val="000000" w:themeColor="text1"/>
                      <w:sz w:val="21"/>
                      <w14:textFill>
                        <w14:solidFill>
                          <w14:schemeClr w14:val="tx1"/>
                        </w14:solidFill>
                      </w14:textFill>
                    </w:rPr>
                    <w:t>本项目位于达州市宣汉县内，根据</w:t>
                  </w:r>
                  <w:r>
                    <w:rPr>
                      <w:bCs/>
                      <w:color w:val="000000" w:themeColor="text1"/>
                      <w:sz w:val="21"/>
                      <w14:textFill>
                        <w14:solidFill>
                          <w14:schemeClr w14:val="tx1"/>
                        </w14:solidFill>
                      </w14:textFill>
                    </w:rPr>
                    <w:t>《达州市</w:t>
                  </w:r>
                  <w:r>
                    <w:rPr>
                      <w:rFonts w:hint="eastAsia"/>
                      <w:bCs/>
                      <w:color w:val="000000" w:themeColor="text1"/>
                      <w:sz w:val="21"/>
                      <w14:textFill>
                        <w14:solidFill>
                          <w14:schemeClr w14:val="tx1"/>
                        </w14:solidFill>
                      </w14:textFill>
                    </w:rPr>
                    <w:t>2022</w:t>
                  </w:r>
                  <w:r>
                    <w:rPr>
                      <w:bCs/>
                      <w:color w:val="000000" w:themeColor="text1"/>
                      <w:sz w:val="21"/>
                      <w14:textFill>
                        <w14:solidFill>
                          <w14:schemeClr w14:val="tx1"/>
                        </w14:solidFill>
                      </w14:textFill>
                    </w:rPr>
                    <w:t>年环境空气质量</w:t>
                  </w:r>
                  <w:r>
                    <w:rPr>
                      <w:rFonts w:hint="eastAsia"/>
                      <w:bCs/>
                      <w:color w:val="000000" w:themeColor="text1"/>
                      <w:sz w:val="21"/>
                      <w14:textFill>
                        <w14:solidFill>
                          <w14:schemeClr w14:val="tx1"/>
                        </w14:solidFill>
                      </w14:textFill>
                    </w:rPr>
                    <w:t>状况</w:t>
                  </w:r>
                  <w:r>
                    <w:rPr>
                      <w:bCs/>
                      <w:color w:val="000000" w:themeColor="text1"/>
                      <w:sz w:val="21"/>
                      <w14:textFill>
                        <w14:solidFill>
                          <w14:schemeClr w14:val="tx1"/>
                        </w14:solidFill>
                      </w14:textFill>
                    </w:rPr>
                    <w:t>》中相关数据和结论</w:t>
                  </w:r>
                  <w:r>
                    <w:rPr>
                      <w:rFonts w:hint="eastAsia"/>
                      <w:bCs/>
                      <w:color w:val="000000" w:themeColor="text1"/>
                      <w:sz w:val="21"/>
                      <w14:textFill>
                        <w14:solidFill>
                          <w14:schemeClr w14:val="tx1"/>
                        </w14:solidFill>
                      </w14:textFill>
                    </w:rPr>
                    <w:t>，本项目位于达标区；本项目成品堆场四周设置不低于堆存成品高度1.1倍的围挡</w:t>
                  </w:r>
                  <w:r>
                    <w:rPr>
                      <w:bCs/>
                      <w:color w:val="000000" w:themeColor="text1"/>
                      <w:sz w:val="21"/>
                      <w14:textFill>
                        <w14:solidFill>
                          <w14:schemeClr w14:val="tx1"/>
                        </w14:solidFill>
                      </w14:textFill>
                    </w:rPr>
                    <w:t>，表面采取防风抑尘网进行覆盖，并设置雾炮机定期对</w:t>
                  </w:r>
                  <w:r>
                    <w:rPr>
                      <w:rFonts w:hint="eastAsia"/>
                      <w:bCs/>
                      <w:color w:val="000000" w:themeColor="text1"/>
                      <w:sz w:val="21"/>
                      <w14:textFill>
                        <w14:solidFill>
                          <w14:schemeClr w14:val="tx1"/>
                        </w14:solidFill>
                      </w14:textFill>
                    </w:rPr>
                    <w:t>成品</w:t>
                  </w:r>
                  <w:r>
                    <w:rPr>
                      <w:bCs/>
                      <w:color w:val="000000" w:themeColor="text1"/>
                      <w:sz w:val="21"/>
                      <w14:textFill>
                        <w14:solidFill>
                          <w14:schemeClr w14:val="tx1"/>
                        </w14:solidFill>
                      </w14:textFill>
                    </w:rPr>
                    <w:t>堆场进行洒水降尘</w:t>
                  </w:r>
                  <w:r>
                    <w:rPr>
                      <w:rFonts w:hint="eastAsia"/>
                      <w:bCs/>
                      <w:color w:val="000000" w:themeColor="text1"/>
                      <w:sz w:val="21"/>
                      <w14:textFill>
                        <w14:solidFill>
                          <w14:schemeClr w14:val="tx1"/>
                        </w14:solidFill>
                      </w14:textFill>
                    </w:rPr>
                    <w:t>；将砂石加工生产线布置于封闭的生产车间内，砂石生产区地面硬化，筛分、洗砂等工序均采用湿法作业，出入口设车辆冲洗平台，厂区道路全部硬化，降低车辆粉尘的产生。</w:t>
                  </w:r>
                </w:p>
              </w:tc>
              <w:tc>
                <w:tcPr>
                  <w:tcW w:w="703" w:type="dxa"/>
                  <w:tcBorders>
                    <w:tl2br w:val="nil"/>
                    <w:tr2bl w:val="nil"/>
                  </w:tcBorders>
                  <w:vAlign w:val="center"/>
                </w:tcPr>
                <w:p>
                  <w:pPr>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30" w:hRule="atLeast"/>
              </w:trPr>
              <w:tc>
                <w:tcPr>
                  <w:tcW w:w="1498" w:type="dxa"/>
                  <w:tcBorders>
                    <w:tl2br w:val="nil"/>
                    <w:tr2bl w:val="nil"/>
                  </w:tcBorders>
                  <w:vAlign w:val="center"/>
                </w:tcPr>
                <w:p>
                  <w:pPr>
                    <w:jc w:val="center"/>
                    <w:rPr>
                      <w:bCs/>
                      <w:color w:val="000000" w:themeColor="text1"/>
                      <w:sz w:val="21"/>
                      <w14:textFill>
                        <w14:solidFill>
                          <w14:schemeClr w14:val="tx1"/>
                        </w14:solidFill>
                      </w14:textFill>
                    </w:rPr>
                  </w:pPr>
                  <w:r>
                    <w:rPr>
                      <w:rFonts w:hint="eastAsia"/>
                      <w:bCs/>
                      <w:color w:val="000000" w:themeColor="text1"/>
                      <w:sz w:val="21"/>
                      <w14:textFill>
                        <w14:solidFill>
                          <w14:schemeClr w14:val="tx1"/>
                        </w14:solidFill>
                      </w14:textFill>
                    </w:rPr>
                    <w:t>达州市打赢蓝天保卫战等9个实施方案（达市府函〔2019〕20号）</w:t>
                  </w:r>
                </w:p>
              </w:tc>
              <w:tc>
                <w:tcPr>
                  <w:tcW w:w="4090" w:type="dxa"/>
                  <w:tcBorders>
                    <w:tl2br w:val="nil"/>
                    <w:tr2bl w:val="nil"/>
                  </w:tcBorders>
                  <w:vAlign w:val="center"/>
                </w:tcPr>
                <w:p>
                  <w:pPr>
                    <w:jc w:val="left"/>
                    <w:rPr>
                      <w:bCs/>
                      <w:color w:val="000000" w:themeColor="text1"/>
                      <w:sz w:val="21"/>
                      <w14:textFill>
                        <w14:solidFill>
                          <w14:schemeClr w14:val="tx1"/>
                        </w14:solidFill>
                      </w14:textFill>
                    </w:rPr>
                  </w:pPr>
                  <w:r>
                    <w:rPr>
                      <w:rFonts w:hint="eastAsia"/>
                      <w:bCs/>
                      <w:color w:val="000000" w:themeColor="text1"/>
                      <w:sz w:val="21"/>
                      <w14:textFill>
                        <w14:solidFill>
                          <w14:schemeClr w14:val="tx1"/>
                        </w14:solidFill>
                      </w14:textFill>
                    </w:rPr>
                    <w:t>（四）加强扬尘管控，提高城市环境管理水平。</w:t>
                  </w:r>
                </w:p>
                <w:p>
                  <w:pPr>
                    <w:jc w:val="center"/>
                    <w:rPr>
                      <w:bCs/>
                      <w:color w:val="000000" w:themeColor="text1"/>
                      <w:sz w:val="21"/>
                      <w14:textFill>
                        <w14:solidFill>
                          <w14:schemeClr w14:val="tx1"/>
                        </w14:solidFill>
                      </w14:textFill>
                    </w:rPr>
                  </w:pPr>
                  <w:r>
                    <w:rPr>
                      <w:rFonts w:hint="eastAsia"/>
                      <w:bCs/>
                      <w:color w:val="000000" w:themeColor="text1"/>
                      <w:sz w:val="21"/>
                      <w14:textFill>
                        <w14:solidFill>
                          <w14:schemeClr w14:val="tx1"/>
                        </w14:solidFill>
                      </w14:textFill>
                    </w:rPr>
                    <w:t>强化工业企业堆场扬尘管控。工业企业堆场实施规范化全封闭管理。易产生扬尘的物料堆场采用封闭式库合，不具备封闭式库仓改造条件的，应设置不低于料堆高度的严密围挡，并采取覆盖措施有效控制扬尘污染；堆场内进行搅拌、粉碎、筛分等作业时应喷水抑尘，遇重污染天气时禁止进行产生扬尘的作业。物料装卸配备喷淋等防尘设施，转运物料尽量采取封闭式皮带输送厂区主要运输通道实施硬化并定期冲洗或湿式清扫，堆场进出口设置车辆冲洗设施，运输车辆实施密闭或全覆盖，及时收集清理堆场外道路上撒落的物料。建设工业企业堆场数据库，并组织安装工业堆场视频监控设施，实现工业企业堆场扬尘动态管理。加强砂石厂扬尘管控。</w:t>
                  </w:r>
                </w:p>
              </w:tc>
              <w:tc>
                <w:tcPr>
                  <w:tcW w:w="2787" w:type="dxa"/>
                  <w:vMerge w:val="continue"/>
                  <w:tcBorders>
                    <w:tl2br w:val="nil"/>
                    <w:tr2bl w:val="nil"/>
                  </w:tcBorders>
                  <w:vAlign w:val="center"/>
                </w:tcPr>
                <w:p>
                  <w:pPr>
                    <w:jc w:val="center"/>
                    <w:rPr>
                      <w:color w:val="000000" w:themeColor="text1"/>
                      <w:sz w:val="21"/>
                      <w14:textFill>
                        <w14:solidFill>
                          <w14:schemeClr w14:val="tx1"/>
                        </w14:solidFill>
                      </w14:textFill>
                    </w:rPr>
                  </w:pPr>
                </w:p>
              </w:tc>
              <w:tc>
                <w:tcPr>
                  <w:tcW w:w="703" w:type="dxa"/>
                  <w:tcBorders>
                    <w:tl2br w:val="nil"/>
                    <w:tr2bl w:val="nil"/>
                  </w:tcBorders>
                  <w:vAlign w:val="center"/>
                </w:tcPr>
                <w:p>
                  <w:pPr>
                    <w:jc w:val="center"/>
                    <w:rPr>
                      <w:bCs/>
                      <w:color w:val="000000" w:themeColor="text1"/>
                      <w:sz w:val="21"/>
                      <w14:textFill>
                        <w14:solidFill>
                          <w14:schemeClr w14:val="tx1"/>
                        </w14:solidFill>
                      </w14:textFill>
                    </w:rPr>
                  </w:pPr>
                  <w:r>
                    <w:rPr>
                      <w:bCs/>
                      <w:color w:val="000000" w:themeColor="text1"/>
                      <w:sz w:val="21"/>
                      <w14:textFill>
                        <w14:solidFill>
                          <w14:schemeClr w14:val="tx1"/>
                        </w14:solidFill>
                      </w14:textFill>
                    </w:rPr>
                    <w:t>符合</w:t>
                  </w:r>
                </w:p>
              </w:tc>
            </w:tr>
          </w:tbl>
          <w:p>
            <w:pPr>
              <w:autoSpaceDE w:val="0"/>
              <w:autoSpaceDN w:val="0"/>
              <w:adjustRightInd w:val="0"/>
              <w:spacing w:line="336" w:lineRule="auto"/>
              <w:jc w:val="left"/>
              <w:rPr>
                <w:bCs/>
                <w:szCs w:val="24"/>
              </w:rPr>
            </w:pPr>
          </w:p>
          <w:p>
            <w:pPr>
              <w:autoSpaceDE w:val="0"/>
              <w:autoSpaceDN w:val="0"/>
              <w:adjustRightInd w:val="0"/>
              <w:spacing w:line="360" w:lineRule="auto"/>
              <w:ind w:firstLine="482" w:firstLineChars="200"/>
              <w:jc w:val="left"/>
              <w:rPr>
                <w:b/>
                <w:szCs w:val="24"/>
              </w:rPr>
            </w:pPr>
            <w:r>
              <w:rPr>
                <w:rFonts w:hint="eastAsia"/>
                <w:b/>
                <w:szCs w:val="24"/>
              </w:rPr>
              <w:t>7、</w:t>
            </w:r>
            <w:r>
              <w:rPr>
                <w:b/>
                <w:szCs w:val="24"/>
              </w:rPr>
              <w:t>项目外环境相容性分析</w:t>
            </w:r>
          </w:p>
          <w:p>
            <w:pPr>
              <w:spacing w:line="360" w:lineRule="auto"/>
              <w:ind w:firstLine="482" w:firstLineChars="200"/>
              <w:rPr>
                <w:szCs w:val="24"/>
              </w:rPr>
            </w:pPr>
            <w:r>
              <w:rPr>
                <w:b/>
                <w:bCs/>
                <w:szCs w:val="24"/>
              </w:rPr>
              <w:t>（1）项目</w:t>
            </w:r>
            <w:r>
              <w:rPr>
                <w:b/>
                <w:szCs w:val="24"/>
              </w:rPr>
              <w:t>外环境关系</w:t>
            </w:r>
          </w:p>
          <w:p>
            <w:pPr>
              <w:spacing w:line="360" w:lineRule="auto"/>
              <w:ind w:firstLine="480" w:firstLineChars="200"/>
              <w:rPr>
                <w:szCs w:val="24"/>
              </w:rPr>
            </w:pPr>
            <w:r>
              <w:rPr>
                <w:szCs w:val="24"/>
              </w:rPr>
              <w:t>本项目选址位于四川省达州市</w:t>
            </w:r>
            <w:r>
              <w:rPr>
                <w:rFonts w:hint="eastAsia"/>
                <w:szCs w:val="24"/>
              </w:rPr>
              <w:t>宣汉县南坝镇天台村三组</w:t>
            </w:r>
            <w:r>
              <w:rPr>
                <w:szCs w:val="24"/>
              </w:rPr>
              <w:t>，项目地理位置见附图1。</w:t>
            </w:r>
          </w:p>
          <w:p>
            <w:pPr>
              <w:spacing w:line="360" w:lineRule="auto"/>
              <w:ind w:firstLine="480" w:firstLineChars="200"/>
              <w:rPr>
                <w:color w:val="000000" w:themeColor="text1"/>
                <w:szCs w:val="24"/>
                <w14:textFill>
                  <w14:solidFill>
                    <w14:schemeClr w14:val="tx1"/>
                  </w14:solidFill>
                </w14:textFill>
              </w:rPr>
            </w:pPr>
            <w:r>
              <w:rPr>
                <w:szCs w:val="24"/>
              </w:rPr>
              <w:t>根据现场踏勘，项目</w:t>
            </w:r>
            <w:r>
              <w:rPr>
                <w:rFonts w:hint="eastAsia"/>
                <w:szCs w:val="24"/>
              </w:rPr>
              <w:t>北侧7m处有1户天台村居民，北侧1</w:t>
            </w:r>
            <w:r>
              <w:rPr>
                <w:szCs w:val="24"/>
              </w:rPr>
              <w:t>2</w:t>
            </w:r>
            <w:r>
              <w:rPr>
                <w:rFonts w:hint="eastAsia"/>
                <w:szCs w:val="24"/>
              </w:rPr>
              <w:t>m处分布有天台村居民</w:t>
            </w:r>
            <w:r>
              <w:rPr>
                <w:szCs w:val="24"/>
              </w:rPr>
              <w:t>；</w:t>
            </w:r>
            <w:r>
              <w:rPr>
                <w:rFonts w:hint="eastAsia"/>
                <w:szCs w:val="24"/>
              </w:rPr>
              <w:t>东侧紧邻一木板加工厂；南侧1</w:t>
            </w:r>
            <w:r>
              <w:rPr>
                <w:szCs w:val="24"/>
              </w:rPr>
              <w:t>7</w:t>
            </w:r>
            <w:r>
              <w:rPr>
                <w:rFonts w:hint="eastAsia"/>
                <w:szCs w:val="24"/>
              </w:rPr>
              <w:t>m处为丁家坝河，南侧1</w:t>
            </w:r>
            <w:r>
              <w:rPr>
                <w:szCs w:val="24"/>
              </w:rPr>
              <w:t>20</w:t>
            </w:r>
            <w:r>
              <w:rPr>
                <w:rFonts w:hint="eastAsia"/>
                <w:szCs w:val="24"/>
              </w:rPr>
              <w:t>m处分布有天台村居民；</w:t>
            </w:r>
            <w:r>
              <w:rPr>
                <w:szCs w:val="24"/>
              </w:rPr>
              <w:t>西侧</w:t>
            </w:r>
            <w:r>
              <w:rPr>
                <w:rFonts w:hint="eastAsia"/>
                <w:szCs w:val="24"/>
              </w:rPr>
              <w:t>2</w:t>
            </w:r>
            <w:r>
              <w:rPr>
                <w:szCs w:val="24"/>
              </w:rPr>
              <w:t>2</w:t>
            </w:r>
            <w:r>
              <w:rPr>
                <w:rFonts w:hint="eastAsia"/>
                <w:szCs w:val="24"/>
              </w:rPr>
              <w:t>0</w:t>
            </w:r>
            <w:r>
              <w:rPr>
                <w:szCs w:val="24"/>
              </w:rPr>
              <w:t>m处</w:t>
            </w:r>
            <w:r>
              <w:rPr>
                <w:rFonts w:hint="eastAsia"/>
                <w:szCs w:val="24"/>
              </w:rPr>
              <w:t>分布有天台村居民</w:t>
            </w:r>
            <w:r>
              <w:rPr>
                <w:szCs w:val="24"/>
              </w:rPr>
              <w:t>，</w:t>
            </w:r>
            <w:r>
              <w:rPr>
                <w:rFonts w:hint="eastAsia"/>
                <w:szCs w:val="24"/>
              </w:rPr>
              <w:t>西侧310m处为前河。</w:t>
            </w:r>
            <w:r>
              <w:rPr>
                <w:color w:val="000000" w:themeColor="text1"/>
                <w:szCs w:val="24"/>
                <w14:textFill>
                  <w14:solidFill>
                    <w14:schemeClr w14:val="tx1"/>
                  </w14:solidFill>
                </w14:textFill>
              </w:rPr>
              <w:t>项目外环境关系见附图</w:t>
            </w:r>
            <w:r>
              <w:rPr>
                <w:rFonts w:hint="eastAsia"/>
                <w:color w:val="000000" w:themeColor="text1"/>
                <w:szCs w:val="24"/>
                <w14:textFill>
                  <w14:solidFill>
                    <w14:schemeClr w14:val="tx1"/>
                  </w14:solidFill>
                </w14:textFill>
              </w:rPr>
              <w:t>3</w:t>
            </w:r>
            <w:r>
              <w:rPr>
                <w:color w:val="000000" w:themeColor="text1"/>
                <w:szCs w:val="24"/>
                <w14:textFill>
                  <w14:solidFill>
                    <w14:schemeClr w14:val="tx1"/>
                  </w14:solidFill>
                </w14:textFill>
              </w:rPr>
              <w:t>。</w:t>
            </w:r>
          </w:p>
          <w:p>
            <w:pPr>
              <w:autoSpaceDE w:val="0"/>
              <w:autoSpaceDN w:val="0"/>
              <w:adjustRightInd w:val="0"/>
              <w:spacing w:line="360" w:lineRule="auto"/>
              <w:ind w:firstLine="482" w:firstLineChars="200"/>
              <w:jc w:val="left"/>
              <w:rPr>
                <w:b/>
                <w:szCs w:val="24"/>
                <w:lang w:val="zh-CN"/>
              </w:rPr>
            </w:pPr>
            <w:r>
              <w:rPr>
                <w:b/>
                <w:szCs w:val="24"/>
              </w:rPr>
              <w:t>（2）与周边环境相容性分析</w:t>
            </w:r>
          </w:p>
          <w:p>
            <w:pPr>
              <w:spacing w:line="360" w:lineRule="auto"/>
              <w:ind w:firstLine="480" w:firstLineChars="200"/>
              <w:rPr>
                <w:szCs w:val="24"/>
              </w:rPr>
            </w:pPr>
            <w:r>
              <w:rPr>
                <w:szCs w:val="24"/>
              </w:rPr>
              <w:t>本项目建成后产生的主要污染物为废水、废气、噪声及固体废物。</w:t>
            </w:r>
          </w:p>
          <w:p>
            <w:pPr>
              <w:spacing w:line="360" w:lineRule="auto"/>
              <w:ind w:firstLine="482" w:firstLineChars="200"/>
              <w:rPr>
                <w:b/>
                <w:kern w:val="0"/>
              </w:rPr>
            </w:pPr>
            <w:r>
              <w:rPr>
                <w:b/>
                <w:bCs/>
                <w:szCs w:val="24"/>
              </w:rPr>
              <w:t>废水：</w:t>
            </w:r>
            <w:r>
              <w:rPr>
                <w:szCs w:val="24"/>
              </w:rPr>
              <w:t>项目废水</w:t>
            </w:r>
            <w:r>
              <w:rPr>
                <w:bCs/>
              </w:rPr>
              <w:t>经废水处理系统（采用絮凝沉淀+压滤工艺）处理后全部回用；生活污水经</w:t>
            </w:r>
            <w:r>
              <w:rPr>
                <w:rFonts w:hint="eastAsia"/>
                <w:bCs/>
              </w:rPr>
              <w:t>厂区已建化粪池</w:t>
            </w:r>
            <w:r>
              <w:rPr>
                <w:bCs/>
              </w:rPr>
              <w:t>收集后用作农肥。</w:t>
            </w:r>
          </w:p>
          <w:p>
            <w:pPr>
              <w:spacing w:line="360" w:lineRule="auto"/>
              <w:ind w:firstLine="482" w:firstLineChars="200"/>
              <w:rPr>
                <w:b/>
                <w:bCs/>
                <w:szCs w:val="24"/>
              </w:rPr>
            </w:pPr>
            <w:r>
              <w:rPr>
                <w:b/>
                <w:bCs/>
                <w:szCs w:val="24"/>
              </w:rPr>
              <w:t>废气：</w:t>
            </w:r>
            <w:r>
              <w:rPr>
                <w:szCs w:val="24"/>
              </w:rPr>
              <w:t>项目砂石加工工艺采取湿法作业，为更有效的抑制生产过程中粉尘的无组织排放，将整个生产工序设置在封闭的</w:t>
            </w:r>
            <w:r>
              <w:rPr>
                <w:color w:val="000000" w:themeColor="text1"/>
                <w:szCs w:val="24"/>
                <w14:textFill>
                  <w14:solidFill>
                    <w14:schemeClr w14:val="tx1"/>
                  </w14:solidFill>
                </w14:textFill>
              </w:rPr>
              <w:t>生产车间内</w:t>
            </w:r>
            <w:r>
              <w:rPr>
                <w:rFonts w:eastAsiaTheme="minorEastAsia"/>
                <w:color w:val="000000" w:themeColor="text1"/>
                <w:szCs w:val="24"/>
                <w14:textFill>
                  <w14:solidFill>
                    <w14:schemeClr w14:val="tx1"/>
                  </w14:solidFill>
                </w14:textFill>
              </w:rPr>
              <w:t>将破碎、筛分、制砂、</w:t>
            </w:r>
            <w:r>
              <w:rPr>
                <w:rFonts w:hint="eastAsia" w:eastAsiaTheme="minorEastAsia"/>
                <w:color w:val="000000" w:themeColor="text1"/>
                <w:szCs w:val="24"/>
                <w14:textFill>
                  <w14:solidFill>
                    <w14:schemeClr w14:val="tx1"/>
                  </w14:solidFill>
                </w14:textFill>
              </w:rPr>
              <w:t>冼砂</w:t>
            </w:r>
            <w:r>
              <w:rPr>
                <w:rFonts w:eastAsiaTheme="minorEastAsia"/>
                <w:color w:val="000000" w:themeColor="text1"/>
                <w:szCs w:val="24"/>
                <w14:textFill>
                  <w14:solidFill>
                    <w14:schemeClr w14:val="tx1"/>
                  </w14:solidFill>
                </w14:textFill>
              </w:rPr>
              <w:t>等工序布置在封闭厂房内，在给料口三面设置钢结构围挡，配备喷雾喷头对原料表面进行洒水降尘</w:t>
            </w:r>
            <w:r>
              <w:rPr>
                <w:rFonts w:eastAsiaTheme="minorEastAsia"/>
                <w:szCs w:val="24"/>
              </w:rPr>
              <w:t>。在厂区</w:t>
            </w:r>
            <w:r>
              <w:rPr>
                <w:rFonts w:hint="eastAsia" w:eastAsiaTheme="minorEastAsia"/>
                <w:szCs w:val="24"/>
              </w:rPr>
              <w:t>西</w:t>
            </w:r>
            <w:r>
              <w:rPr>
                <w:rFonts w:eastAsiaTheme="minorEastAsia"/>
                <w:szCs w:val="24"/>
              </w:rPr>
              <w:t>侧出入口处设置1套车辆冲洗平台对运输车辆车胎进行冲洗，厂区</w:t>
            </w:r>
            <w:r>
              <w:rPr>
                <w:rFonts w:hint="eastAsia" w:eastAsiaTheme="minorEastAsia"/>
                <w:szCs w:val="24"/>
              </w:rPr>
              <w:t>道路</w:t>
            </w:r>
            <w:r>
              <w:rPr>
                <w:rFonts w:eastAsiaTheme="minorEastAsia"/>
                <w:szCs w:val="24"/>
              </w:rPr>
              <w:t>地面</w:t>
            </w:r>
            <w:r>
              <w:rPr>
                <w:rFonts w:hint="eastAsia" w:eastAsiaTheme="minorEastAsia"/>
                <w:szCs w:val="24"/>
              </w:rPr>
              <w:t>全部</w:t>
            </w:r>
            <w:r>
              <w:rPr>
                <w:rFonts w:eastAsiaTheme="minorEastAsia"/>
                <w:szCs w:val="24"/>
              </w:rPr>
              <w:t>硬化，加强管理，定期清扫。</w:t>
            </w:r>
            <w:r>
              <w:rPr>
                <w:rFonts w:hint="eastAsia" w:eastAsiaTheme="minorEastAsia"/>
                <w:szCs w:val="24"/>
              </w:rPr>
              <w:t>成品</w:t>
            </w:r>
            <w:r>
              <w:rPr>
                <w:rFonts w:eastAsiaTheme="minorEastAsia"/>
                <w:szCs w:val="24"/>
              </w:rPr>
              <w:t>堆场四周设置不低于堆存</w:t>
            </w:r>
            <w:r>
              <w:rPr>
                <w:rFonts w:hint="eastAsia" w:eastAsiaTheme="minorEastAsia"/>
                <w:szCs w:val="24"/>
              </w:rPr>
              <w:t>成品</w:t>
            </w:r>
            <w:r>
              <w:rPr>
                <w:rFonts w:eastAsiaTheme="minorEastAsia"/>
                <w:szCs w:val="24"/>
              </w:rPr>
              <w:t>高度</w:t>
            </w:r>
            <w:r>
              <w:rPr>
                <w:rFonts w:hint="eastAsia" w:eastAsiaTheme="minorEastAsia"/>
                <w:szCs w:val="24"/>
              </w:rPr>
              <w:t>1.1倍的</w:t>
            </w:r>
            <w:r>
              <w:rPr>
                <w:rFonts w:eastAsiaTheme="minorEastAsia"/>
                <w:szCs w:val="24"/>
              </w:rPr>
              <w:t>围挡，表面采用防风抑尘网进行覆盖，并设置</w:t>
            </w:r>
            <w:r>
              <w:rPr>
                <w:rFonts w:hint="eastAsia" w:eastAsiaTheme="minorEastAsia"/>
                <w:szCs w:val="24"/>
              </w:rPr>
              <w:t>2</w:t>
            </w:r>
            <w:r>
              <w:rPr>
                <w:rFonts w:eastAsiaTheme="minorEastAsia"/>
                <w:szCs w:val="24"/>
              </w:rPr>
              <w:t>台雾炮机定期对</w:t>
            </w:r>
            <w:r>
              <w:rPr>
                <w:rFonts w:hint="eastAsia" w:eastAsiaTheme="minorEastAsia"/>
                <w:szCs w:val="24"/>
              </w:rPr>
              <w:t>成品</w:t>
            </w:r>
            <w:r>
              <w:rPr>
                <w:rFonts w:eastAsiaTheme="minorEastAsia"/>
                <w:szCs w:val="24"/>
              </w:rPr>
              <w:t>堆场进行洒水降尘，使物料表面保持湿润等措施，降低粉尘的产生。</w:t>
            </w:r>
          </w:p>
          <w:p>
            <w:pPr>
              <w:spacing w:line="360" w:lineRule="auto"/>
              <w:ind w:firstLine="482" w:firstLineChars="200"/>
              <w:rPr>
                <w:szCs w:val="24"/>
              </w:rPr>
            </w:pPr>
            <w:r>
              <w:rPr>
                <w:b/>
                <w:bCs/>
                <w:szCs w:val="24"/>
              </w:rPr>
              <w:t>噪声：</w:t>
            </w:r>
            <w:r>
              <w:rPr>
                <w:szCs w:val="24"/>
              </w:rPr>
              <w:t>项目选用低噪声设备、基础减振、合理布局和厂房隔声等措施减小噪声对周边环境的影响。</w:t>
            </w:r>
          </w:p>
          <w:p>
            <w:pPr>
              <w:spacing w:line="360" w:lineRule="auto"/>
              <w:ind w:firstLine="482" w:firstLineChars="200"/>
              <w:rPr>
                <w:szCs w:val="24"/>
              </w:rPr>
            </w:pPr>
            <w:r>
              <w:rPr>
                <w:b/>
                <w:bCs/>
                <w:szCs w:val="24"/>
              </w:rPr>
              <w:t>固废：</w:t>
            </w:r>
            <w:r>
              <w:rPr>
                <w:szCs w:val="24"/>
              </w:rPr>
              <w:t>沉渣/泥饼直接</w:t>
            </w:r>
            <w:r>
              <w:rPr>
                <w:rFonts w:hint="eastAsia"/>
                <w:szCs w:val="24"/>
              </w:rPr>
              <w:t>堆放</w:t>
            </w:r>
            <w:r>
              <w:rPr>
                <w:szCs w:val="24"/>
              </w:rPr>
              <w:t>到弃渣场</w:t>
            </w:r>
            <w:r>
              <w:rPr>
                <w:rFonts w:hint="eastAsia"/>
                <w:szCs w:val="24"/>
              </w:rPr>
              <w:t>内；</w:t>
            </w:r>
            <w:r>
              <w:rPr>
                <w:szCs w:val="24"/>
              </w:rPr>
              <w:t>生活垃圾经袋装收集后定期交由环卫部门统一清运</w:t>
            </w:r>
            <w:r>
              <w:rPr>
                <w:rFonts w:hint="eastAsia"/>
                <w:szCs w:val="24"/>
              </w:rPr>
              <w:t>；废机油</w:t>
            </w:r>
            <w:r>
              <w:rPr>
                <w:szCs w:val="24"/>
              </w:rPr>
              <w:t>、</w:t>
            </w:r>
            <w:r>
              <w:rPr>
                <w:rFonts w:hint="eastAsia"/>
                <w:szCs w:val="24"/>
              </w:rPr>
              <w:t>废机油</w:t>
            </w:r>
            <w:r>
              <w:rPr>
                <w:szCs w:val="24"/>
              </w:rPr>
              <w:t>桶等危险废物分类收集后暂存于危废暂存间，定期交由资质单位处理，对外环境影响小</w:t>
            </w:r>
            <w:r>
              <w:rPr>
                <w:rFonts w:hint="eastAsia"/>
                <w:szCs w:val="24"/>
              </w:rPr>
              <w:t>。</w:t>
            </w:r>
            <w:r>
              <w:rPr>
                <w:szCs w:val="24"/>
              </w:rPr>
              <w:t xml:space="preserve"> </w:t>
            </w:r>
          </w:p>
          <w:p>
            <w:pPr>
              <w:spacing w:line="360" w:lineRule="auto"/>
              <w:ind w:firstLine="480" w:firstLineChars="200"/>
              <w:rPr>
                <w:szCs w:val="24"/>
              </w:rPr>
            </w:pPr>
            <w:r>
              <w:rPr>
                <w:szCs w:val="24"/>
              </w:rPr>
              <w:t>综上所述，本项目营运期在严格执行本环评提出措施的情况下，对区域环境不会产生明显影响，与外环境较为相容。</w:t>
            </w:r>
          </w:p>
          <w:p>
            <w:pPr>
              <w:spacing w:line="360" w:lineRule="auto"/>
              <w:ind w:firstLine="482" w:firstLineChars="200"/>
              <w:rPr>
                <w:szCs w:val="24"/>
              </w:rPr>
            </w:pPr>
            <w:r>
              <w:rPr>
                <w:b/>
                <w:bCs/>
                <w:szCs w:val="24"/>
              </w:rPr>
              <w:t>（3）与饮用水源关系</w:t>
            </w:r>
          </w:p>
          <w:p>
            <w:pPr>
              <w:spacing w:line="360" w:lineRule="auto"/>
              <w:ind w:firstLine="480" w:firstLineChars="200"/>
              <w:rPr>
                <w:szCs w:val="24"/>
                <w:highlight w:val="yellow"/>
              </w:rPr>
            </w:pPr>
            <w:r>
              <w:rPr>
                <w:szCs w:val="24"/>
              </w:rPr>
              <w:t>根据达州市人民政府《关于划定万源市、宣汉县和大竹县乡镇及以下集中式饮用水水源地保护区的批复》（达市府函</w:t>
            </w:r>
            <w:r>
              <w:rPr>
                <w:rFonts w:hint="eastAsia"/>
                <w:szCs w:val="24"/>
                <w:lang w:eastAsia="zh-CN"/>
              </w:rPr>
              <w:t>〔2020〕</w:t>
            </w:r>
            <w:r>
              <w:rPr>
                <w:szCs w:val="24"/>
              </w:rPr>
              <w:t>124号），</w:t>
            </w:r>
            <w:r>
              <w:rPr>
                <w:rFonts w:hint="eastAsia"/>
                <w:szCs w:val="24"/>
              </w:rPr>
              <w:t>南坝镇</w:t>
            </w:r>
            <w:r>
              <w:rPr>
                <w:szCs w:val="24"/>
              </w:rPr>
              <w:t>共设置有2处集中式饮用水水源地，取水口分别位于</w:t>
            </w:r>
            <w:r>
              <w:rPr>
                <w:rFonts w:hint="eastAsia"/>
                <w:szCs w:val="24"/>
              </w:rPr>
              <w:t>南坝镇双柏村1组</w:t>
            </w:r>
            <w:r>
              <w:rPr>
                <w:szCs w:val="24"/>
              </w:rPr>
              <w:t>（取水口坐标107°59′6.16″，31°28′35.459″）及</w:t>
            </w:r>
            <w:r>
              <w:rPr>
                <w:rFonts w:hint="eastAsia"/>
                <w:szCs w:val="24"/>
              </w:rPr>
              <w:t>南坝镇二塘村3组</w:t>
            </w:r>
            <w:r>
              <w:rPr>
                <w:szCs w:val="24"/>
              </w:rPr>
              <w:t>（取水口坐标108°3′13.227″，31°24′17.507″），本项目建设区域位于</w:t>
            </w:r>
            <w:r>
              <w:rPr>
                <w:rFonts w:hint="eastAsia"/>
                <w:szCs w:val="24"/>
              </w:rPr>
              <w:t>宣汉县南坝镇天台村三组</w:t>
            </w:r>
            <w:r>
              <w:rPr>
                <w:szCs w:val="24"/>
              </w:rPr>
              <w:t>，均不在其集中式饮用水水源地的一级、二级保护区范围内。</w:t>
            </w:r>
          </w:p>
          <w:p>
            <w:pPr>
              <w:spacing w:line="360" w:lineRule="auto"/>
              <w:ind w:firstLine="480" w:firstLineChars="200"/>
              <w:rPr>
                <w:szCs w:val="24"/>
              </w:rPr>
            </w:pPr>
            <w:r>
              <w:rPr>
                <w:szCs w:val="24"/>
              </w:rPr>
              <w:t>项目与集中式饮用水水源保护区关系表见下表。</w:t>
            </w:r>
          </w:p>
          <w:p>
            <w:pPr>
              <w:autoSpaceDE w:val="0"/>
              <w:autoSpaceDN w:val="0"/>
              <w:adjustRightInd w:val="0"/>
              <w:snapToGrid w:val="0"/>
              <w:spacing w:line="360" w:lineRule="auto"/>
              <w:jc w:val="center"/>
              <w:rPr>
                <w:rFonts w:eastAsia="黑体"/>
                <w:b/>
                <w:bCs/>
                <w:color w:val="000000" w:themeColor="text1"/>
                <w:kern w:val="0"/>
                <w:sz w:val="20"/>
                <w14:textFill>
                  <w14:solidFill>
                    <w14:schemeClr w14:val="tx1"/>
                  </w14:solidFill>
                </w14:textFill>
              </w:rPr>
            </w:pPr>
            <w:r>
              <w:rPr>
                <w:rFonts w:eastAsia="黑体"/>
                <w:b/>
                <w:bCs/>
                <w:color w:val="000000" w:themeColor="text1"/>
                <w:kern w:val="0"/>
                <w:sz w:val="20"/>
                <w14:textFill>
                  <w14:solidFill>
                    <w14:schemeClr w14:val="tx1"/>
                  </w14:solidFill>
                </w14:textFill>
              </w:rPr>
              <w:t>表1-</w:t>
            </w:r>
            <w:r>
              <w:rPr>
                <w:rFonts w:hint="eastAsia" w:eastAsia="黑体"/>
                <w:b/>
                <w:bCs/>
                <w:color w:val="000000" w:themeColor="text1"/>
                <w:kern w:val="0"/>
                <w:sz w:val="20"/>
                <w14:textFill>
                  <w14:solidFill>
                    <w14:schemeClr w14:val="tx1"/>
                  </w14:solidFill>
                </w14:textFill>
              </w:rPr>
              <w:t>5</w:t>
            </w:r>
            <w:r>
              <w:rPr>
                <w:rFonts w:eastAsia="黑体"/>
                <w:b/>
                <w:bCs/>
                <w:color w:val="000000" w:themeColor="text1"/>
                <w:kern w:val="0"/>
                <w:sz w:val="20"/>
                <w14:textFill>
                  <w14:solidFill>
                    <w14:schemeClr w14:val="tx1"/>
                  </w14:solidFill>
                </w14:textFill>
              </w:rPr>
              <w:t xml:space="preserve"> 本项目与集中式饮用水水源保护区关系表</w:t>
            </w:r>
          </w:p>
          <w:tbl>
            <w:tblPr>
              <w:tblStyle w:val="15"/>
              <w:tblW w:w="859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2485"/>
              <w:gridCol w:w="2898"/>
              <w:gridCol w:w="1103"/>
              <w:gridCol w:w="11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1" w:type="dxa"/>
                  <w:tcBorders>
                    <w:tl2br w:val="nil"/>
                    <w:tr2bl w:val="nil"/>
                  </w:tcBorders>
                  <w:vAlign w:val="center"/>
                </w:tcPr>
                <w:p>
                  <w:pPr>
                    <w:pStyle w:val="8"/>
                    <w:spacing w:before="0" w:beforeAutospacing="0" w:after="0" w:line="240" w:lineRule="auto"/>
                    <w:ind w:left="0" w:leftChars="0"/>
                    <w:jc w:val="center"/>
                    <w:rPr>
                      <w:b/>
                    </w:rPr>
                  </w:pPr>
                  <w:r>
                    <w:rPr>
                      <w:b/>
                    </w:rPr>
                    <w:t>取水点地名</w:t>
                  </w:r>
                </w:p>
              </w:tc>
              <w:tc>
                <w:tcPr>
                  <w:tcW w:w="2485" w:type="dxa"/>
                  <w:tcBorders>
                    <w:tl2br w:val="nil"/>
                    <w:tr2bl w:val="nil"/>
                  </w:tcBorders>
                  <w:vAlign w:val="center"/>
                </w:tcPr>
                <w:p>
                  <w:pPr>
                    <w:pStyle w:val="8"/>
                    <w:spacing w:before="0" w:beforeAutospacing="0" w:after="0" w:line="240" w:lineRule="auto"/>
                    <w:ind w:left="0" w:leftChars="0"/>
                    <w:jc w:val="center"/>
                    <w:rPr>
                      <w:b/>
                    </w:rPr>
                  </w:pPr>
                  <w:r>
                    <w:rPr>
                      <w:b/>
                    </w:rPr>
                    <w:t>一级保护区</w:t>
                  </w:r>
                </w:p>
              </w:tc>
              <w:tc>
                <w:tcPr>
                  <w:tcW w:w="2898" w:type="dxa"/>
                  <w:tcBorders>
                    <w:tl2br w:val="nil"/>
                    <w:tr2bl w:val="nil"/>
                  </w:tcBorders>
                  <w:vAlign w:val="center"/>
                </w:tcPr>
                <w:p>
                  <w:pPr>
                    <w:pStyle w:val="8"/>
                    <w:spacing w:before="0" w:beforeAutospacing="0" w:after="0" w:line="240" w:lineRule="auto"/>
                    <w:ind w:left="0" w:leftChars="0"/>
                    <w:jc w:val="center"/>
                    <w:rPr>
                      <w:b/>
                    </w:rPr>
                  </w:pPr>
                  <w:r>
                    <w:rPr>
                      <w:b/>
                    </w:rPr>
                    <w:t>二级保护区</w:t>
                  </w:r>
                </w:p>
              </w:tc>
              <w:tc>
                <w:tcPr>
                  <w:tcW w:w="1103" w:type="dxa"/>
                  <w:tcBorders>
                    <w:tl2br w:val="nil"/>
                    <w:tr2bl w:val="nil"/>
                  </w:tcBorders>
                  <w:vAlign w:val="center"/>
                </w:tcPr>
                <w:p>
                  <w:pPr>
                    <w:pStyle w:val="8"/>
                    <w:spacing w:before="0" w:beforeAutospacing="0" w:after="0" w:line="240" w:lineRule="auto"/>
                    <w:ind w:left="0" w:leftChars="0"/>
                    <w:jc w:val="center"/>
                    <w:rPr>
                      <w:b/>
                    </w:rPr>
                  </w:pPr>
                  <w:r>
                    <w:rPr>
                      <w:b/>
                    </w:rPr>
                    <w:t>本项目与取水点位置关系</w:t>
                  </w:r>
                </w:p>
              </w:tc>
              <w:tc>
                <w:tcPr>
                  <w:tcW w:w="1134" w:type="dxa"/>
                  <w:tcBorders>
                    <w:tl2br w:val="nil"/>
                    <w:tr2bl w:val="nil"/>
                  </w:tcBorders>
                  <w:vAlign w:val="center"/>
                </w:tcPr>
                <w:p>
                  <w:pPr>
                    <w:pStyle w:val="8"/>
                    <w:spacing w:before="0" w:beforeAutospacing="0" w:after="0" w:line="240" w:lineRule="auto"/>
                    <w:ind w:left="0" w:leftChars="0"/>
                    <w:jc w:val="center"/>
                    <w:rPr>
                      <w:b/>
                    </w:rPr>
                  </w:pPr>
                  <w:r>
                    <w:rPr>
                      <w:b/>
                    </w:rPr>
                    <w:t>是否设计饮用水源保护区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1" w:type="dxa"/>
                  <w:tcBorders>
                    <w:tl2br w:val="nil"/>
                    <w:tr2bl w:val="nil"/>
                  </w:tcBorders>
                  <w:vAlign w:val="center"/>
                </w:tcPr>
                <w:p>
                  <w:pPr>
                    <w:pStyle w:val="8"/>
                    <w:spacing w:before="0" w:beforeAutospacing="0" w:after="0" w:line="240" w:lineRule="auto"/>
                    <w:ind w:left="0" w:leftChars="0"/>
                    <w:jc w:val="center"/>
                  </w:pPr>
                  <w:r>
                    <w:rPr>
                      <w:rFonts w:hint="eastAsia"/>
                      <w:szCs w:val="24"/>
                    </w:rPr>
                    <w:t>南坝镇双柏村1组</w:t>
                  </w:r>
                </w:p>
              </w:tc>
              <w:tc>
                <w:tcPr>
                  <w:tcW w:w="2485" w:type="dxa"/>
                  <w:tcBorders>
                    <w:tl2br w:val="nil"/>
                    <w:tr2bl w:val="nil"/>
                  </w:tcBorders>
                  <w:vAlign w:val="center"/>
                </w:tcPr>
                <w:p>
                  <w:pPr>
                    <w:pStyle w:val="8"/>
                    <w:spacing w:before="0" w:beforeAutospacing="0" w:after="0" w:line="240" w:lineRule="auto"/>
                    <w:ind w:left="0" w:leftChars="0"/>
                    <w:jc w:val="left"/>
                  </w:pPr>
                  <w:r>
                    <w:rPr>
                      <w:b/>
                      <w:bCs/>
                    </w:rPr>
                    <w:t>水域范围：</w:t>
                  </w:r>
                  <w:r>
                    <w:rPr>
                      <w:rFonts w:hint="eastAsia"/>
                      <w:bCs/>
                    </w:rPr>
                    <w:t>团结</w:t>
                  </w:r>
                  <w:r>
                    <w:t>水库多年平均水位对应的高程线（727.6米）以下的全部水域范围。</w:t>
                  </w:r>
                </w:p>
                <w:p>
                  <w:pPr>
                    <w:pStyle w:val="8"/>
                    <w:spacing w:before="0" w:beforeAutospacing="0" w:after="0" w:line="240" w:lineRule="auto"/>
                    <w:ind w:left="0" w:leftChars="0"/>
                    <w:jc w:val="left"/>
                  </w:pPr>
                  <w:r>
                    <w:rPr>
                      <w:b/>
                      <w:bCs/>
                    </w:rPr>
                    <w:t>陆域范围：</w:t>
                  </w:r>
                  <w:r>
                    <w:rPr>
                      <w:rFonts w:hint="eastAsia"/>
                      <w:bCs/>
                    </w:rPr>
                    <w:t>团结</w:t>
                  </w:r>
                  <w:r>
                    <w:t>水库一级保护区水域外200米范围内，但不超过分水岭和水库沿岸</w:t>
                  </w:r>
                  <w:r>
                    <w:rPr>
                      <w:rFonts w:hint="eastAsia"/>
                    </w:rPr>
                    <w:t>村道外侧</w:t>
                  </w:r>
                  <w:r>
                    <w:t>的全部陆域范围。</w:t>
                  </w:r>
                </w:p>
              </w:tc>
              <w:tc>
                <w:tcPr>
                  <w:tcW w:w="2898" w:type="dxa"/>
                  <w:tcBorders>
                    <w:tl2br w:val="nil"/>
                    <w:tr2bl w:val="nil"/>
                  </w:tcBorders>
                  <w:vAlign w:val="center"/>
                </w:tcPr>
                <w:p>
                  <w:pPr>
                    <w:pStyle w:val="8"/>
                    <w:spacing w:before="0" w:beforeAutospacing="0" w:after="0" w:line="240" w:lineRule="auto"/>
                    <w:ind w:left="0" w:leftChars="0"/>
                    <w:jc w:val="left"/>
                  </w:pPr>
                  <w:r>
                    <w:rPr>
                      <w:b/>
                      <w:bCs/>
                    </w:rPr>
                    <w:t>水域、陆域范围：</w:t>
                  </w:r>
                  <w:r>
                    <w:t>除一级保护区</w:t>
                  </w:r>
                  <w:r>
                    <w:rPr>
                      <w:rFonts w:hint="eastAsia"/>
                    </w:rPr>
                    <w:t>和峰城镇场镇规划区</w:t>
                  </w:r>
                  <w:r>
                    <w:t>外，</w:t>
                  </w:r>
                  <w:r>
                    <w:rPr>
                      <w:rFonts w:hint="eastAsia"/>
                      <w:bCs/>
                    </w:rPr>
                    <w:t>团结</w:t>
                  </w:r>
                  <w:r>
                    <w:t>水库坝顶以上汇水范围内的全部水域陆域范围。</w:t>
                  </w:r>
                </w:p>
              </w:tc>
              <w:tc>
                <w:tcPr>
                  <w:tcW w:w="1103" w:type="dxa"/>
                  <w:tcBorders>
                    <w:tl2br w:val="nil"/>
                    <w:tr2bl w:val="nil"/>
                  </w:tcBorders>
                  <w:vAlign w:val="center"/>
                </w:tcPr>
                <w:p>
                  <w:pPr>
                    <w:pStyle w:val="8"/>
                    <w:spacing w:before="0" w:beforeAutospacing="0" w:after="0" w:line="240" w:lineRule="auto"/>
                    <w:ind w:left="0" w:leftChars="0"/>
                    <w:jc w:val="center"/>
                  </w:pPr>
                  <w:r>
                    <w:t>直线距离约9.8km</w:t>
                  </w:r>
                </w:p>
              </w:tc>
              <w:tc>
                <w:tcPr>
                  <w:tcW w:w="1134" w:type="dxa"/>
                  <w:tcBorders>
                    <w:tl2br w:val="nil"/>
                    <w:tr2bl w:val="nil"/>
                  </w:tcBorders>
                  <w:vAlign w:val="center"/>
                </w:tcPr>
                <w:p>
                  <w:pPr>
                    <w:pStyle w:val="8"/>
                    <w:spacing w:before="0" w:beforeAutospacing="0" w:after="0" w:line="240" w:lineRule="auto"/>
                    <w:ind w:left="0" w:leftChars="0"/>
                    <w:jc w:val="center"/>
                  </w:pPr>
                  <w: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71" w:type="dxa"/>
                  <w:tcBorders>
                    <w:tl2br w:val="nil"/>
                    <w:tr2bl w:val="nil"/>
                  </w:tcBorders>
                  <w:vAlign w:val="center"/>
                </w:tcPr>
                <w:p>
                  <w:pPr>
                    <w:pStyle w:val="8"/>
                    <w:spacing w:before="0" w:beforeAutospacing="0" w:after="0" w:line="240" w:lineRule="auto"/>
                    <w:ind w:left="0" w:leftChars="0"/>
                    <w:jc w:val="center"/>
                  </w:pPr>
                  <w:r>
                    <w:rPr>
                      <w:rFonts w:hint="eastAsia"/>
                      <w:szCs w:val="24"/>
                    </w:rPr>
                    <w:t>南坝镇二塘村3组</w:t>
                  </w:r>
                </w:p>
              </w:tc>
              <w:tc>
                <w:tcPr>
                  <w:tcW w:w="2485" w:type="dxa"/>
                  <w:tcBorders>
                    <w:tl2br w:val="nil"/>
                    <w:tr2bl w:val="nil"/>
                  </w:tcBorders>
                  <w:vAlign w:val="center"/>
                </w:tcPr>
                <w:p>
                  <w:pPr>
                    <w:pStyle w:val="8"/>
                    <w:spacing w:before="0" w:beforeAutospacing="0" w:after="0" w:line="240" w:lineRule="auto"/>
                    <w:ind w:left="0" w:leftChars="0"/>
                    <w:jc w:val="left"/>
                  </w:pPr>
                  <w:r>
                    <w:rPr>
                      <w:b/>
                      <w:bCs/>
                    </w:rPr>
                    <w:t>水域范围：</w:t>
                  </w:r>
                  <w:r>
                    <w:t>取水口下游</w:t>
                  </w:r>
                  <w:r>
                    <w:rPr>
                      <w:rFonts w:hint="eastAsia"/>
                    </w:rPr>
                    <w:t>小河口汇口</w:t>
                  </w:r>
                  <w:r>
                    <w:t>处至取水口上游1000米，多年平均水位对应的高程线下的水域范围。</w:t>
                  </w:r>
                </w:p>
                <w:p>
                  <w:pPr>
                    <w:pStyle w:val="8"/>
                    <w:spacing w:before="0" w:beforeAutospacing="0" w:after="0" w:line="240" w:lineRule="auto"/>
                    <w:ind w:left="0" w:leftChars="0"/>
                    <w:jc w:val="left"/>
                  </w:pPr>
                  <w:r>
                    <w:rPr>
                      <w:b/>
                      <w:bCs/>
                    </w:rPr>
                    <w:t>陆域范围：</w:t>
                  </w:r>
                  <w:r>
                    <w:t>与一级保护区水域长度一致，水域边界两岸纵深50米，但右岸不超过</w:t>
                  </w:r>
                  <w:r>
                    <w:rPr>
                      <w:rFonts w:hint="eastAsia"/>
                    </w:rPr>
                    <w:t>X</w:t>
                  </w:r>
                  <w:r>
                    <w:t>029临河侧、左岸不超过</w:t>
                  </w:r>
                  <w:r>
                    <w:rPr>
                      <w:rFonts w:hint="eastAsia"/>
                    </w:rPr>
                    <w:t>村道</w:t>
                  </w:r>
                  <w:r>
                    <w:t>临河侧的全部陆域范围。</w:t>
                  </w:r>
                </w:p>
              </w:tc>
              <w:tc>
                <w:tcPr>
                  <w:tcW w:w="2898" w:type="dxa"/>
                  <w:tcBorders>
                    <w:tl2br w:val="nil"/>
                    <w:tr2bl w:val="nil"/>
                  </w:tcBorders>
                  <w:vAlign w:val="center"/>
                </w:tcPr>
                <w:p>
                  <w:pPr>
                    <w:pStyle w:val="8"/>
                    <w:spacing w:before="0" w:beforeAutospacing="0" w:after="0" w:line="240" w:lineRule="auto"/>
                    <w:ind w:left="0" w:leftChars="0"/>
                    <w:jc w:val="left"/>
                  </w:pPr>
                  <w:r>
                    <w:rPr>
                      <w:b/>
                      <w:bCs/>
                    </w:rPr>
                    <w:t>水域范围：</w:t>
                  </w:r>
                  <w:r>
                    <w:t>一级保护区的上游边界起向上游（包括汇入的上游支流）延伸至</w:t>
                  </w:r>
                  <w:r>
                    <w:rPr>
                      <w:rFonts w:hint="eastAsia"/>
                    </w:rPr>
                    <w:t>人行索桥</w:t>
                  </w:r>
                  <w:r>
                    <w:t>（约</w:t>
                  </w:r>
                  <w:r>
                    <w:rPr>
                      <w:rFonts w:hint="eastAsia"/>
                    </w:rPr>
                    <w:t>1</w:t>
                  </w:r>
                  <w:r>
                    <w:t>240米），多年平均水位对应的高程线下的水域范围。</w:t>
                  </w:r>
                </w:p>
                <w:p>
                  <w:pPr>
                    <w:pStyle w:val="8"/>
                    <w:spacing w:before="0" w:beforeAutospacing="0" w:after="0" w:line="240" w:lineRule="auto"/>
                    <w:ind w:left="0" w:leftChars="0"/>
                    <w:jc w:val="left"/>
                  </w:pPr>
                  <w:r>
                    <w:rPr>
                      <w:b/>
                      <w:bCs/>
                    </w:rPr>
                    <w:t>陆域范围：</w:t>
                  </w:r>
                  <w:r>
                    <w:t>除一级保护区外，一二级保护区水域边界两岸纵深1000米，但不超过流域分水岭的全部陆域范围。</w:t>
                  </w:r>
                </w:p>
              </w:tc>
              <w:tc>
                <w:tcPr>
                  <w:tcW w:w="1103" w:type="dxa"/>
                  <w:tcBorders>
                    <w:tl2br w:val="nil"/>
                    <w:tr2bl w:val="nil"/>
                  </w:tcBorders>
                  <w:vAlign w:val="center"/>
                </w:tcPr>
                <w:p>
                  <w:pPr>
                    <w:pStyle w:val="8"/>
                    <w:spacing w:before="0" w:beforeAutospacing="0" w:after="0" w:line="240" w:lineRule="auto"/>
                    <w:ind w:left="0" w:leftChars="0"/>
                    <w:jc w:val="center"/>
                  </w:pPr>
                  <w:r>
                    <w:t>直线距离约2.8km</w:t>
                  </w:r>
                </w:p>
              </w:tc>
              <w:tc>
                <w:tcPr>
                  <w:tcW w:w="1134" w:type="dxa"/>
                  <w:tcBorders>
                    <w:tl2br w:val="nil"/>
                    <w:tr2bl w:val="nil"/>
                  </w:tcBorders>
                  <w:vAlign w:val="center"/>
                </w:tcPr>
                <w:p>
                  <w:pPr>
                    <w:pStyle w:val="8"/>
                    <w:spacing w:before="0" w:beforeAutospacing="0" w:after="0" w:line="240" w:lineRule="auto"/>
                    <w:ind w:left="0" w:leftChars="0"/>
                    <w:jc w:val="center"/>
                  </w:pPr>
                  <w:r>
                    <w:t>否</w:t>
                  </w:r>
                </w:p>
              </w:tc>
            </w:tr>
          </w:tbl>
          <w:p>
            <w:pPr>
              <w:spacing w:line="360" w:lineRule="auto"/>
              <w:ind w:firstLine="482" w:firstLineChars="200"/>
              <w:rPr>
                <w:b/>
                <w:bCs/>
                <w:szCs w:val="24"/>
              </w:rPr>
            </w:pPr>
            <w:r>
              <w:rPr>
                <w:b/>
                <w:bCs/>
                <w:szCs w:val="24"/>
              </w:rPr>
              <w:t>（4）选址合理性分析</w:t>
            </w:r>
          </w:p>
          <w:p>
            <w:pPr>
              <w:spacing w:line="360" w:lineRule="auto"/>
              <w:ind w:firstLine="480" w:firstLineChars="200"/>
              <w:rPr>
                <w:szCs w:val="24"/>
              </w:rPr>
            </w:pPr>
            <w:r>
              <w:rPr>
                <w:szCs w:val="24"/>
              </w:rPr>
              <w:t>本项目位于达州市</w:t>
            </w:r>
            <w:r>
              <w:rPr>
                <w:rFonts w:hint="eastAsia"/>
                <w:szCs w:val="24"/>
              </w:rPr>
              <w:t>宣汉县南坝镇天台村三组</w:t>
            </w:r>
            <w:r>
              <w:rPr>
                <w:szCs w:val="24"/>
              </w:rPr>
              <w:t>，周边环境500m范围内敏感目标主要是</w:t>
            </w:r>
            <w:r>
              <w:rPr>
                <w:rFonts w:hint="eastAsia"/>
                <w:szCs w:val="24"/>
              </w:rPr>
              <w:t>农户，</w:t>
            </w:r>
            <w:r>
              <w:rPr>
                <w:rFonts w:hint="eastAsia"/>
                <w:color w:val="000000" w:themeColor="text1"/>
                <w:szCs w:val="24"/>
                <w14:textFill>
                  <w14:solidFill>
                    <w14:schemeClr w14:val="tx1"/>
                  </w14:solidFill>
                </w14:textFill>
              </w:rPr>
              <w:t>经核实项目选址未在场镇规划区内，不涉及基本农田，另外本</w:t>
            </w:r>
            <w:r>
              <w:rPr>
                <w:color w:val="000000" w:themeColor="text1"/>
                <w:szCs w:val="24"/>
                <w14:textFill>
                  <w14:solidFill>
                    <w14:schemeClr w14:val="tx1"/>
                  </w14:solidFill>
                </w14:textFill>
              </w:rPr>
              <w:t>项目选址不占用河道，加工区范围内无重要水利工程设施，未在饮用水源保护区。</w:t>
            </w:r>
            <w:r>
              <w:rPr>
                <w:szCs w:val="24"/>
              </w:rPr>
              <w:t>项目所在地无自然保护区、文物景观、风景名胜区等特殊敏感保护点，无珍稀、濒危动植物物种。</w:t>
            </w:r>
          </w:p>
          <w:p>
            <w:pPr>
              <w:spacing w:line="360" w:lineRule="auto"/>
              <w:ind w:firstLine="480" w:firstLineChars="200"/>
              <w:rPr>
                <w:szCs w:val="24"/>
              </w:rPr>
            </w:pPr>
            <w:r>
              <w:rPr>
                <w:szCs w:val="24"/>
              </w:rPr>
              <w:t xml:space="preserve"> 为减轻项目生产过程中，对周边农户的影响，项目将砂石加工生产线设置于封闭的生产车间内</w:t>
            </w:r>
            <w:r>
              <w:rPr>
                <w:rFonts w:hint="eastAsia"/>
                <w:szCs w:val="24"/>
              </w:rPr>
              <w:t>，项目采取湿法作业；成品</w:t>
            </w:r>
            <w:r>
              <w:rPr>
                <w:rFonts w:eastAsiaTheme="minorEastAsia"/>
                <w:szCs w:val="24"/>
              </w:rPr>
              <w:t>堆场四周设置不低于堆存物料高度1.1倍的围挡，表面采用防风抑尘网进行覆盖，并设置</w:t>
            </w:r>
            <w:r>
              <w:rPr>
                <w:rFonts w:hint="eastAsia" w:eastAsiaTheme="minorEastAsia"/>
                <w:szCs w:val="24"/>
              </w:rPr>
              <w:t>2</w:t>
            </w:r>
            <w:r>
              <w:rPr>
                <w:rFonts w:eastAsiaTheme="minorEastAsia"/>
                <w:szCs w:val="24"/>
              </w:rPr>
              <w:t>台雾炮机定期对</w:t>
            </w:r>
            <w:r>
              <w:rPr>
                <w:rFonts w:hint="eastAsia" w:eastAsiaTheme="minorEastAsia"/>
                <w:szCs w:val="24"/>
              </w:rPr>
              <w:t>成品</w:t>
            </w:r>
            <w:r>
              <w:rPr>
                <w:rFonts w:eastAsiaTheme="minorEastAsia"/>
                <w:szCs w:val="24"/>
              </w:rPr>
              <w:t>堆场进行洒水降尘，使物料表面保持湿润等措施，降低粉尘的产生。</w:t>
            </w:r>
          </w:p>
          <w:p>
            <w:pPr>
              <w:pStyle w:val="18"/>
              <w:ind w:firstLine="482" w:firstLineChars="200"/>
              <w:outlineLvl w:val="9"/>
              <w:rPr>
                <w:rFonts w:asciiTheme="minorEastAsia" w:hAnsiTheme="minorEastAsia" w:eastAsiaTheme="minorEastAsia"/>
                <w:b w:val="0"/>
                <w:color w:val="000000" w:themeColor="text1"/>
                <w:kern w:val="0"/>
                <w:sz w:val="24"/>
                <w:lang w:bidi="en-US"/>
                <w14:textFill>
                  <w14:solidFill>
                    <w14:schemeClr w14:val="tx1"/>
                  </w14:solidFill>
                </w14:textFill>
              </w:rPr>
            </w:pPr>
            <w:r>
              <w:rPr>
                <w:sz w:val="24"/>
                <w:szCs w:val="24"/>
              </w:rPr>
              <w:t>综上所述，本项目与周边环境较相容，不在国家限制、禁止用地项目的范围内，项目选址合理。</w:t>
            </w:r>
          </w:p>
        </w:tc>
      </w:tr>
    </w:tbl>
    <w:p>
      <w:pPr>
        <w:pStyle w:val="18"/>
        <w:jc w:val="center"/>
        <w:outlineLvl w:val="9"/>
        <w:rPr>
          <w:rFonts w:eastAsia="黑体"/>
          <w:b w:val="0"/>
          <w:color w:val="000000" w:themeColor="text1"/>
          <w:sz w:val="30"/>
          <w:szCs w:val="30"/>
          <w14:textFill>
            <w14:solidFill>
              <w14:schemeClr w14:val="tx1"/>
            </w14:solidFill>
          </w14:textFill>
        </w:rPr>
        <w:sectPr>
          <w:pgSz w:w="11906" w:h="16838"/>
          <w:pgMar w:top="1440" w:right="1080" w:bottom="1440" w:left="1080" w:header="851" w:footer="992" w:gutter="0"/>
          <w:cols w:space="720" w:num="1"/>
          <w:docGrid w:type="lines" w:linePitch="312" w:charSpace="0"/>
        </w:sectPr>
      </w:pPr>
    </w:p>
    <w:p>
      <w:pPr>
        <w:pStyle w:val="18"/>
        <w:jc w:val="center"/>
        <w:rPr>
          <w:rFonts w:eastAsia="黑体"/>
          <w:b w:val="0"/>
          <w:sz w:val="30"/>
          <w:szCs w:val="30"/>
        </w:rPr>
      </w:pPr>
      <w:r>
        <w:rPr>
          <w:rFonts w:eastAsia="黑体"/>
          <w:b w:val="0"/>
          <w:sz w:val="30"/>
          <w:szCs w:val="30"/>
        </w:rPr>
        <w:t>二、建设项目工程分析</w:t>
      </w:r>
    </w:p>
    <w:tbl>
      <w:tblPr>
        <w:tblStyle w:val="15"/>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3" w:hRule="atLeast"/>
          <w:jc w:val="center"/>
        </w:trPr>
        <w:tc>
          <w:tcPr>
            <w:tcW w:w="453" w:type="dxa"/>
            <w:vAlign w:val="center"/>
          </w:tcPr>
          <w:p>
            <w:pPr>
              <w:spacing w:line="360"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建设内容</w:t>
            </w:r>
          </w:p>
        </w:tc>
        <w:tc>
          <w:tcPr>
            <w:tcW w:w="9509" w:type="dxa"/>
            <w:vAlign w:val="center"/>
          </w:tcPr>
          <w:p>
            <w:pPr>
              <w:spacing w:line="360" w:lineRule="auto"/>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1、</w:t>
            </w:r>
            <w:r>
              <w:rPr>
                <w:b/>
                <w:color w:val="000000" w:themeColor="text1"/>
                <w:szCs w:val="24"/>
                <w14:textFill>
                  <w14:solidFill>
                    <w14:schemeClr w14:val="tx1"/>
                  </w14:solidFill>
                </w14:textFill>
              </w:rPr>
              <w:t>项目概况</w:t>
            </w:r>
          </w:p>
          <w:p>
            <w:pPr>
              <w:spacing w:line="360" w:lineRule="auto"/>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 xml:space="preserve"> </w:t>
            </w:r>
            <w:r>
              <w:rPr>
                <w:color w:val="000000" w:themeColor="text1"/>
                <w:szCs w:val="24"/>
                <w14:textFill>
                  <w14:solidFill>
                    <w14:schemeClr w14:val="tx1"/>
                  </w14:solidFill>
                </w14:textFill>
              </w:rPr>
              <w:t xml:space="preserve">   </w:t>
            </w:r>
            <w:r>
              <w:rPr>
                <w:rFonts w:hint="eastAsia"/>
                <w:color w:val="000000" w:themeColor="text1"/>
                <w:szCs w:val="24"/>
                <w14:textFill>
                  <w14:solidFill>
                    <w14:schemeClr w14:val="tx1"/>
                  </w14:solidFill>
                </w14:textFill>
              </w:rPr>
              <w:t>（1）项目由来</w:t>
            </w:r>
          </w:p>
          <w:p>
            <w:pPr>
              <w:spacing w:line="360" w:lineRule="auto"/>
              <w:ind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随着社会经济快速发展、国家城镇化发展规划的实施，新城镇化、新农村，道路建设等各项建设的投资预算基本到位，在有力促进大规模基础设施建设发展的同时，助推了各地房地产、保障房、铁路及高速公路等一系列重点建设项目的投资，各种基础设施及工业、民用建筑等建设工程快速增加，而作为重要工程原材料的砂石料目前尚无有效替代品，其使用量剧增，明显推动砂石行业快速发展。</w:t>
            </w:r>
          </w:p>
          <w:p>
            <w:pPr>
              <w:spacing w:line="360" w:lineRule="auto"/>
              <w:ind w:firstLine="480" w:firstLineChars="200"/>
              <w:rPr>
                <w:color w:val="000000" w:themeColor="text1"/>
                <w:szCs w:val="24"/>
                <w14:textFill>
                  <w14:solidFill>
                    <w14:schemeClr w14:val="tx1"/>
                  </w14:solidFill>
                </w14:textFill>
              </w:rPr>
            </w:pPr>
            <w:r>
              <w:t>为了满足市场对优质的砂石原料需求，</w:t>
            </w:r>
            <w:r>
              <w:rPr>
                <w:rFonts w:hint="eastAsia"/>
              </w:rPr>
              <w:t>宣汉县中诺建材有限公司</w:t>
            </w:r>
            <w:r>
              <w:t>租用了</w:t>
            </w:r>
            <w:r>
              <w:rPr>
                <w:rFonts w:hint="eastAsia"/>
              </w:rPr>
              <w:t>位于</w:t>
            </w:r>
            <w:r>
              <w:rPr>
                <w:rFonts w:hint="eastAsia"/>
                <w:szCs w:val="24"/>
              </w:rPr>
              <w:t>宣汉县南坝镇天台村三组</w:t>
            </w:r>
            <w:r>
              <w:t>的</w:t>
            </w:r>
            <w:r>
              <w:rPr>
                <w:rFonts w:hint="eastAsia"/>
              </w:rPr>
              <w:t>原堆码场</w:t>
            </w:r>
            <w:r>
              <w:t>，建设</w:t>
            </w:r>
            <w:r>
              <w:rPr>
                <w:rFonts w:hint="eastAsia"/>
              </w:rPr>
              <w:t>年产9万方砂石加工厂项目</w:t>
            </w:r>
            <w:r>
              <w:rPr>
                <w:spacing w:val="-1"/>
              </w:rPr>
              <w:t>。该项目主要是</w:t>
            </w:r>
            <w:r>
              <w:rPr>
                <w:spacing w:val="7"/>
              </w:rPr>
              <w:t>外购</w:t>
            </w:r>
            <w:r>
              <w:rPr>
                <w:rFonts w:hint="eastAsia"/>
                <w:spacing w:val="7"/>
              </w:rPr>
              <w:t>河砂石</w:t>
            </w:r>
            <w:r>
              <w:rPr>
                <w:spacing w:val="7"/>
              </w:rPr>
              <w:t>原料以及建筑工地废砂石料，通过破碎筛</w:t>
            </w:r>
            <w:r>
              <w:rPr>
                <w:spacing w:val="-1"/>
              </w:rPr>
              <w:t>分、制砂、螺旋洗砂等工艺，</w:t>
            </w:r>
            <w:r>
              <w:rPr>
                <w:rFonts w:hint="eastAsia"/>
                <w:color w:val="000000" w:themeColor="text1"/>
                <w:szCs w:val="24"/>
                <w14:textFill>
                  <w14:solidFill>
                    <w14:schemeClr w14:val="tx1"/>
                  </w14:solidFill>
                </w14:textFill>
              </w:rPr>
              <w:t>生产</w:t>
            </w:r>
            <w:r>
              <w:rPr>
                <w:color w:val="000000" w:themeColor="text1"/>
                <w:szCs w:val="24"/>
                <w14:textFill>
                  <w14:solidFill>
                    <w14:schemeClr w14:val="tx1"/>
                  </w14:solidFill>
                </w14:textFill>
              </w:rPr>
              <w:t>高品质砂石产品。</w:t>
            </w:r>
            <w:r>
              <w:rPr>
                <w:rFonts w:hint="eastAsia"/>
                <w:color w:val="000000" w:themeColor="text1"/>
                <w:szCs w:val="24"/>
                <w14:textFill>
                  <w14:solidFill>
                    <w14:schemeClr w14:val="tx1"/>
                  </w14:solidFill>
                </w14:textFill>
              </w:rPr>
              <w:t>本项目建设后，从原年产5万吨碎石，扩建至年产9万方砂石产品。</w:t>
            </w:r>
          </w:p>
          <w:p>
            <w:pPr>
              <w:spacing w:line="360" w:lineRule="auto"/>
              <w:ind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宣汉县中诺建材有限公司原为</w:t>
            </w:r>
            <w:r>
              <w:rPr>
                <w:color w:val="000000" w:themeColor="text1"/>
                <w:szCs w:val="24"/>
                <w14:textFill>
                  <w14:solidFill>
                    <w14:schemeClr w14:val="tx1"/>
                  </w14:solidFill>
                </w14:textFill>
              </w:rPr>
              <w:t>宣汉县天台文武沙石厂</w:t>
            </w:r>
            <w:r>
              <w:rPr>
                <w:rFonts w:hint="eastAsia"/>
                <w:color w:val="000000" w:themeColor="text1"/>
                <w:szCs w:val="24"/>
                <w14:textFill>
                  <w14:solidFill>
                    <w14:schemeClr w14:val="tx1"/>
                  </w14:solidFill>
                </w14:textFill>
              </w:rPr>
              <w:t>，于2</w:t>
            </w:r>
            <w:r>
              <w:rPr>
                <w:color w:val="000000" w:themeColor="text1"/>
                <w:szCs w:val="24"/>
                <w14:textFill>
                  <w14:solidFill>
                    <w14:schemeClr w14:val="tx1"/>
                  </w14:solidFill>
                </w14:textFill>
              </w:rPr>
              <w:t>022</w:t>
            </w:r>
            <w:r>
              <w:rPr>
                <w:rFonts w:hint="eastAsia"/>
                <w:color w:val="000000" w:themeColor="text1"/>
                <w:szCs w:val="24"/>
                <w14:textFill>
                  <w14:solidFill>
                    <w14:schemeClr w14:val="tx1"/>
                  </w14:solidFill>
                </w14:textFill>
              </w:rPr>
              <w:t>年1</w:t>
            </w:r>
            <w:r>
              <w:rPr>
                <w:color w:val="000000" w:themeColor="text1"/>
                <w:szCs w:val="24"/>
                <w14:textFill>
                  <w14:solidFill>
                    <w14:schemeClr w14:val="tx1"/>
                  </w14:solidFill>
                </w14:textFill>
              </w:rPr>
              <w:t>1</w:t>
            </w:r>
            <w:r>
              <w:rPr>
                <w:rFonts w:hint="eastAsia"/>
                <w:color w:val="000000" w:themeColor="text1"/>
                <w:szCs w:val="24"/>
                <w14:textFill>
                  <w14:solidFill>
                    <w14:schemeClr w14:val="tx1"/>
                  </w14:solidFill>
                </w14:textFill>
              </w:rPr>
              <w:t>月2</w:t>
            </w:r>
            <w:r>
              <w:rPr>
                <w:color w:val="000000" w:themeColor="text1"/>
                <w:szCs w:val="24"/>
                <w14:textFill>
                  <w14:solidFill>
                    <w14:schemeClr w14:val="tx1"/>
                  </w14:solidFill>
                </w14:textFill>
              </w:rPr>
              <w:t>2</w:t>
            </w:r>
            <w:r>
              <w:rPr>
                <w:rFonts w:hint="eastAsia"/>
                <w:color w:val="000000" w:themeColor="text1"/>
                <w:szCs w:val="24"/>
                <w14:textFill>
                  <w14:solidFill>
                    <w14:schemeClr w14:val="tx1"/>
                  </w14:solidFill>
                </w14:textFill>
              </w:rPr>
              <w:t>日进行了工商变更，变更为宣汉县中诺建材有限公司。该项目已与2</w:t>
            </w:r>
            <w:r>
              <w:rPr>
                <w:color w:val="000000" w:themeColor="text1"/>
                <w:szCs w:val="24"/>
                <w14:textFill>
                  <w14:solidFill>
                    <w14:schemeClr w14:val="tx1"/>
                  </w14:solidFill>
                </w14:textFill>
              </w:rPr>
              <w:t>023</w:t>
            </w:r>
            <w:r>
              <w:rPr>
                <w:rFonts w:hint="eastAsia"/>
                <w:color w:val="000000" w:themeColor="text1"/>
                <w:szCs w:val="24"/>
                <w14:textFill>
                  <w14:solidFill>
                    <w14:schemeClr w14:val="tx1"/>
                  </w14:solidFill>
                </w14:textFill>
              </w:rPr>
              <w:t>年2月建设完成，2</w:t>
            </w:r>
            <w:r>
              <w:rPr>
                <w:color w:val="000000" w:themeColor="text1"/>
                <w:szCs w:val="24"/>
                <w14:textFill>
                  <w14:solidFill>
                    <w14:schemeClr w14:val="tx1"/>
                  </w14:solidFill>
                </w14:textFill>
              </w:rPr>
              <w:t>023</w:t>
            </w:r>
            <w:r>
              <w:rPr>
                <w:rFonts w:hint="eastAsia"/>
                <w:color w:val="000000" w:themeColor="text1"/>
                <w:szCs w:val="24"/>
                <w14:textFill>
                  <w14:solidFill>
                    <w14:schemeClr w14:val="tx1"/>
                  </w14:solidFill>
                </w14:textFill>
              </w:rPr>
              <w:t>年</w:t>
            </w:r>
            <w:r>
              <w:rPr>
                <w:color w:val="000000" w:themeColor="text1"/>
                <w:szCs w:val="24"/>
                <w14:textFill>
                  <w14:solidFill>
                    <w14:schemeClr w14:val="tx1"/>
                  </w14:solidFill>
                </w14:textFill>
              </w:rPr>
              <w:t>9</w:t>
            </w:r>
            <w:r>
              <w:rPr>
                <w:rFonts w:hint="eastAsia"/>
                <w:color w:val="000000" w:themeColor="text1"/>
                <w:szCs w:val="24"/>
                <w14:textFill>
                  <w14:solidFill>
                    <w14:schemeClr w14:val="tx1"/>
                  </w14:solidFill>
                </w14:textFill>
              </w:rPr>
              <w:t>月1</w:t>
            </w:r>
            <w:r>
              <w:rPr>
                <w:color w:val="000000" w:themeColor="text1"/>
                <w:szCs w:val="24"/>
                <w14:textFill>
                  <w14:solidFill>
                    <w14:schemeClr w14:val="tx1"/>
                  </w14:solidFill>
                </w14:textFill>
              </w:rPr>
              <w:t>8</w:t>
            </w:r>
            <w:r>
              <w:rPr>
                <w:rFonts w:hint="eastAsia"/>
                <w:color w:val="000000" w:themeColor="text1"/>
                <w:szCs w:val="24"/>
                <w14:textFill>
                  <w14:solidFill>
                    <w14:schemeClr w14:val="tx1"/>
                  </w14:solidFill>
                </w14:textFill>
              </w:rPr>
              <w:t>日，达州市生态环境局执法人员在宣汉县中诺建材有限公司检查时，发现存在砂石加工技改、扩能建设，但未办理环评手续。项目涉嫌未批先建违法，达州市生态环境局以《行政处罚事先告知书》 （达市环罚告〔2023〕195号）进行了行政处罚 。建设单位已如数缴纳了罚款，完善了处罚手续。</w:t>
            </w:r>
          </w:p>
          <w:p>
            <w:pPr>
              <w:spacing w:line="360" w:lineRule="auto"/>
              <w:ind w:firstLine="480" w:firstLineChars="200"/>
              <w:rPr>
                <w:szCs w:val="24"/>
              </w:rPr>
            </w:pPr>
            <w:r>
              <w:rPr>
                <w:rFonts w:hint="eastAsia"/>
                <w:szCs w:val="24"/>
              </w:rPr>
              <w:t>根据《国民经济行业分类》（GB/T 4754-2017），本项目属于制造业中的“C3039  其他建筑材料制造 ”类别。根据《建设项目环境影响评价分类 管理名录（2021年版）》，该项目属于 “二十七、非金属矿物制品业 ”的“56 砖瓦、石材等建筑材料制造”中“其他建筑材料制造 ”，环评类别为编制环境影响报告表。</w:t>
            </w:r>
          </w:p>
          <w:p>
            <w:pPr>
              <w:spacing w:line="360" w:lineRule="auto"/>
              <w:ind w:firstLine="480" w:firstLineChars="200"/>
              <w:rPr>
                <w:szCs w:val="24"/>
              </w:rPr>
            </w:pPr>
            <w:r>
              <w:rPr>
                <w:rFonts w:hint="eastAsia"/>
                <w:szCs w:val="24"/>
              </w:rPr>
              <w:t>（2）项目基本情况</w:t>
            </w:r>
          </w:p>
          <w:p>
            <w:pPr>
              <w:spacing w:line="360" w:lineRule="auto"/>
              <w:ind w:firstLine="482" w:firstLineChars="200"/>
              <w:rPr>
                <w:color w:val="000000" w:themeColor="text1"/>
                <w:szCs w:val="24"/>
                <w14:textFill>
                  <w14:solidFill>
                    <w14:schemeClr w14:val="tx1"/>
                  </w14:solidFill>
                </w14:textFill>
              </w:rPr>
            </w:pPr>
            <w:r>
              <w:rPr>
                <w:b/>
                <w:bCs/>
                <w:color w:val="000000" w:themeColor="text1"/>
                <w:szCs w:val="24"/>
                <w14:textFill>
                  <w14:solidFill>
                    <w14:schemeClr w14:val="tx1"/>
                  </w14:solidFill>
                </w14:textFill>
              </w:rPr>
              <w:t>项目名称：</w:t>
            </w:r>
            <w:r>
              <w:rPr>
                <w:rFonts w:hint="eastAsia"/>
                <w:color w:val="000000" w:themeColor="text1"/>
                <w:szCs w:val="24"/>
                <w14:textFill>
                  <w14:solidFill>
                    <w14:schemeClr w14:val="tx1"/>
                  </w14:solidFill>
                </w14:textFill>
              </w:rPr>
              <w:t>年产9万方砂石加工厂项目</w:t>
            </w:r>
          </w:p>
          <w:p>
            <w:pPr>
              <w:spacing w:line="360" w:lineRule="auto"/>
              <w:ind w:left="1685" w:leftChars="200" w:hanging="1205" w:hangingChars="500"/>
              <w:rPr>
                <w:color w:val="000000" w:themeColor="text1"/>
                <w:szCs w:val="24"/>
                <w14:textFill>
                  <w14:solidFill>
                    <w14:schemeClr w14:val="tx1"/>
                  </w14:solidFill>
                </w14:textFill>
              </w:rPr>
            </w:pPr>
            <w:r>
              <w:rPr>
                <w:b/>
                <w:bCs/>
                <w:color w:val="000000" w:themeColor="text1"/>
                <w:szCs w:val="24"/>
                <w14:textFill>
                  <w14:solidFill>
                    <w14:schemeClr w14:val="tx1"/>
                  </w14:solidFill>
                </w14:textFill>
              </w:rPr>
              <w:t>建设单位：</w:t>
            </w:r>
            <w:r>
              <w:rPr>
                <w:rFonts w:hint="eastAsia"/>
                <w:color w:val="000000" w:themeColor="text1"/>
                <w:szCs w:val="24"/>
                <w14:textFill>
                  <w14:solidFill>
                    <w14:schemeClr w14:val="tx1"/>
                  </w14:solidFill>
                </w14:textFill>
              </w:rPr>
              <w:t>宣汉县中诺建材有限公司</w:t>
            </w:r>
          </w:p>
          <w:p>
            <w:pPr>
              <w:spacing w:line="360" w:lineRule="auto"/>
              <w:ind w:left="1685" w:leftChars="200" w:hanging="1205" w:hangingChars="500"/>
              <w:rPr>
                <w:color w:val="000000" w:themeColor="text1"/>
                <w:szCs w:val="24"/>
                <w14:textFill>
                  <w14:solidFill>
                    <w14:schemeClr w14:val="tx1"/>
                  </w14:solidFill>
                </w14:textFill>
              </w:rPr>
            </w:pPr>
            <w:r>
              <w:rPr>
                <w:b/>
                <w:bCs/>
                <w:color w:val="000000" w:themeColor="text1"/>
                <w:szCs w:val="24"/>
                <w14:textFill>
                  <w14:solidFill>
                    <w14:schemeClr w14:val="tx1"/>
                  </w14:solidFill>
                </w14:textFill>
              </w:rPr>
              <w:t>建设地点：</w:t>
            </w:r>
            <w:r>
              <w:rPr>
                <w:color w:val="000000" w:themeColor="text1"/>
                <w:szCs w:val="24"/>
                <w14:textFill>
                  <w14:solidFill>
                    <w14:schemeClr w14:val="tx1"/>
                  </w14:solidFill>
                </w14:textFill>
              </w:rPr>
              <w:t>四川省达州市</w:t>
            </w:r>
            <w:r>
              <w:rPr>
                <w:rFonts w:hint="eastAsia"/>
                <w:szCs w:val="24"/>
              </w:rPr>
              <w:t>宣汉县南坝镇天台村三组</w:t>
            </w:r>
          </w:p>
          <w:p>
            <w:pPr>
              <w:spacing w:line="360" w:lineRule="auto"/>
              <w:ind w:firstLine="482" w:firstLineChars="200"/>
              <w:rPr>
                <w:color w:val="000000" w:themeColor="text1"/>
                <w:szCs w:val="24"/>
                <w14:textFill>
                  <w14:solidFill>
                    <w14:schemeClr w14:val="tx1"/>
                  </w14:solidFill>
                </w14:textFill>
              </w:rPr>
            </w:pPr>
            <w:r>
              <w:rPr>
                <w:b/>
                <w:bCs/>
                <w:color w:val="000000" w:themeColor="text1"/>
                <w:szCs w:val="24"/>
                <w14:textFill>
                  <w14:solidFill>
                    <w14:schemeClr w14:val="tx1"/>
                  </w14:solidFill>
                </w14:textFill>
              </w:rPr>
              <w:t>建设性质：</w:t>
            </w:r>
            <w:r>
              <w:rPr>
                <w:rFonts w:hint="eastAsia"/>
                <w:bCs/>
                <w:color w:val="000000" w:themeColor="text1"/>
                <w:szCs w:val="24"/>
                <w14:textFill>
                  <w14:solidFill>
                    <w14:schemeClr w14:val="tx1"/>
                  </w14:solidFill>
                </w14:textFill>
              </w:rPr>
              <w:t>扩建</w:t>
            </w:r>
          </w:p>
          <w:p>
            <w:pPr>
              <w:spacing w:line="360" w:lineRule="auto"/>
              <w:ind w:firstLine="482" w:firstLineChars="200"/>
              <w:rPr>
                <w:color w:val="000000" w:themeColor="text1"/>
                <w:szCs w:val="24"/>
                <w14:textFill>
                  <w14:solidFill>
                    <w14:schemeClr w14:val="tx1"/>
                  </w14:solidFill>
                </w14:textFill>
              </w:rPr>
            </w:pPr>
            <w:r>
              <w:rPr>
                <w:b/>
                <w:bCs/>
                <w:color w:val="000000" w:themeColor="text1"/>
                <w:szCs w:val="24"/>
                <w14:textFill>
                  <w14:solidFill>
                    <w14:schemeClr w14:val="tx1"/>
                  </w14:solidFill>
                </w14:textFill>
              </w:rPr>
              <w:t>项目投资：</w:t>
            </w:r>
            <w:r>
              <w:rPr>
                <w:color w:val="000000" w:themeColor="text1"/>
                <w:szCs w:val="24"/>
                <w14:textFill>
                  <w14:solidFill>
                    <w14:schemeClr w14:val="tx1"/>
                  </w14:solidFill>
                </w14:textFill>
              </w:rPr>
              <w:t>总投资50</w:t>
            </w:r>
            <w:r>
              <w:rPr>
                <w:rFonts w:hint="eastAsia"/>
                <w:color w:val="000000" w:themeColor="text1"/>
                <w:szCs w:val="24"/>
                <w14:textFill>
                  <w14:solidFill>
                    <w14:schemeClr w14:val="tx1"/>
                  </w14:solidFill>
                </w14:textFill>
              </w:rPr>
              <w:t>0</w:t>
            </w:r>
            <w:r>
              <w:rPr>
                <w:color w:val="000000" w:themeColor="text1"/>
                <w:szCs w:val="24"/>
                <w14:textFill>
                  <w14:solidFill>
                    <w14:schemeClr w14:val="tx1"/>
                  </w14:solidFill>
                </w14:textFill>
              </w:rPr>
              <w:t xml:space="preserve">万元 </w:t>
            </w:r>
          </w:p>
          <w:p>
            <w:pPr>
              <w:pStyle w:val="34"/>
              <w:spacing w:before="41" w:line="359" w:lineRule="auto"/>
              <w:ind w:left="126" w:right="100" w:firstLine="464"/>
              <w:jc w:val="both"/>
              <w:rPr>
                <w:color w:val="000000" w:themeColor="text1"/>
                <w:lang w:eastAsia="zh-CN"/>
                <w14:textFill>
                  <w14:solidFill>
                    <w14:schemeClr w14:val="tx1"/>
                  </w14:solidFill>
                </w14:textFill>
              </w:rPr>
            </w:pPr>
            <w:r>
              <w:rPr>
                <w:b/>
                <w:bCs/>
                <w:color w:val="000000" w:themeColor="text1"/>
                <w:lang w:eastAsia="zh-CN"/>
                <w14:textFill>
                  <w14:solidFill>
                    <w14:schemeClr w14:val="tx1"/>
                  </w14:solidFill>
                </w14:textFill>
              </w:rPr>
              <w:t>建设内容：</w:t>
            </w:r>
            <w:r>
              <w:rPr>
                <w:spacing w:val="2"/>
                <w:lang w:eastAsia="zh-CN"/>
              </w:rPr>
              <w:t>本项目</w:t>
            </w:r>
            <w:r>
              <w:rPr>
                <w:rFonts w:hint="eastAsia"/>
                <w:spacing w:val="2"/>
                <w:lang w:eastAsia="zh-CN"/>
              </w:rPr>
              <w:t>利用现有</w:t>
            </w:r>
            <w:r>
              <w:rPr>
                <w:spacing w:val="2"/>
                <w:lang w:eastAsia="zh-CN"/>
              </w:rPr>
              <w:t>租用土地面积约</w:t>
            </w:r>
            <w:r>
              <w:rPr>
                <w:rFonts w:eastAsia="Times New Roman"/>
                <w:spacing w:val="2"/>
                <w:lang w:eastAsia="zh-CN"/>
              </w:rPr>
              <w:t>60</w:t>
            </w:r>
            <w:r>
              <w:rPr>
                <w:spacing w:val="2"/>
                <w:lang w:eastAsia="zh-CN"/>
              </w:rPr>
              <w:t>亩（约</w:t>
            </w:r>
            <w:r>
              <w:rPr>
                <w:rFonts w:ascii="Times New Roman" w:hAnsi="Times New Roman" w:eastAsia="Times New Roman" w:cs="Times New Roman"/>
                <w:spacing w:val="2"/>
                <w:lang w:eastAsia="zh-CN"/>
              </w:rPr>
              <w:t>40</w:t>
            </w:r>
            <w:r>
              <w:rPr>
                <w:rFonts w:eastAsia="Times New Roman"/>
                <w:spacing w:val="2"/>
                <w:lang w:eastAsia="zh-CN"/>
              </w:rPr>
              <w:t>0</w:t>
            </w:r>
            <w:r>
              <w:rPr>
                <w:rFonts w:ascii="Times New Roman" w:hAnsi="Times New Roman" w:eastAsia="Times New Roman" w:cs="Times New Roman"/>
                <w:spacing w:val="2"/>
                <w:lang w:eastAsia="zh-CN"/>
              </w:rPr>
              <w:t>00m</w:t>
            </w:r>
            <w:r>
              <w:rPr>
                <w:rFonts w:ascii="Times New Roman" w:hAnsi="Times New Roman" w:eastAsia="Times New Roman" w:cs="Times New Roman"/>
                <w:spacing w:val="2"/>
                <w:position w:val="7"/>
                <w:sz w:val="15"/>
                <w:szCs w:val="15"/>
                <w:lang w:eastAsia="zh-CN"/>
              </w:rPr>
              <w:t xml:space="preserve">2 </w:t>
            </w:r>
            <w:r>
              <w:rPr>
                <w:spacing w:val="-3"/>
                <w:lang w:eastAsia="zh-CN"/>
              </w:rPr>
              <w:t>）</w:t>
            </w:r>
            <w:r>
              <w:rPr>
                <w:rFonts w:hint="eastAsia"/>
                <w:spacing w:val="-3"/>
                <w:lang w:eastAsia="zh-CN"/>
              </w:rPr>
              <w:t>，</w:t>
            </w:r>
            <w:r>
              <w:rPr>
                <w:rFonts w:hint="eastAsia"/>
                <w:color w:val="000000" w:themeColor="text1"/>
                <w:lang w:eastAsia="zh-CN"/>
                <w14:textFill>
                  <w14:solidFill>
                    <w14:schemeClr w14:val="tx1"/>
                  </w14:solidFill>
                </w14:textFill>
              </w:rPr>
              <w:t>对原有生产设备及厂房进行升级改造，从原年产5万吨碎石，扩建至年产9 万方砂石。</w:t>
            </w:r>
          </w:p>
          <w:p>
            <w:pPr>
              <w:spacing w:line="360" w:lineRule="auto"/>
              <w:ind w:firstLine="482" w:firstLineChars="200"/>
              <w:rPr>
                <w:color w:val="000000" w:themeColor="text1"/>
                <w:szCs w:val="24"/>
                <w14:textFill>
                  <w14:solidFill>
                    <w14:schemeClr w14:val="tx1"/>
                  </w14:solidFill>
                </w14:textFill>
              </w:rPr>
            </w:pPr>
            <w:r>
              <w:rPr>
                <w:b/>
                <w:color w:val="000000" w:themeColor="text1"/>
                <w:szCs w:val="24"/>
                <w14:textFill>
                  <w14:solidFill>
                    <w14:schemeClr w14:val="tx1"/>
                  </w14:solidFill>
                </w14:textFill>
              </w:rPr>
              <w:t>劳动定员：</w:t>
            </w:r>
            <w:r>
              <w:rPr>
                <w:color w:val="000000" w:themeColor="text1"/>
                <w:szCs w:val="24"/>
                <w14:textFill>
                  <w14:solidFill>
                    <w14:schemeClr w14:val="tx1"/>
                  </w14:solidFill>
                </w14:textFill>
              </w:rPr>
              <w:t>项目营运期</w:t>
            </w:r>
            <w:r>
              <w:rPr>
                <w:rFonts w:hint="eastAsia"/>
                <w:color w:val="000000" w:themeColor="text1"/>
                <w:szCs w:val="24"/>
                <w14:textFill>
                  <w14:solidFill>
                    <w14:schemeClr w14:val="tx1"/>
                  </w14:solidFill>
                </w14:textFill>
              </w:rPr>
              <w:t>新增劳动定员3人</w:t>
            </w:r>
            <w:r>
              <w:rPr>
                <w:color w:val="000000" w:themeColor="text1"/>
                <w:szCs w:val="24"/>
                <w14:textFill>
                  <w14:solidFill>
                    <w14:schemeClr w14:val="tx1"/>
                  </w14:solidFill>
                </w14:textFill>
              </w:rPr>
              <w:t>；项目厂区内设置食堂</w:t>
            </w:r>
            <w:r>
              <w:rPr>
                <w:rFonts w:hint="eastAsia"/>
                <w:color w:val="000000" w:themeColor="text1"/>
                <w:szCs w:val="24"/>
                <w14:textFill>
                  <w14:solidFill>
                    <w14:schemeClr w14:val="tx1"/>
                  </w14:solidFill>
                </w14:textFill>
              </w:rPr>
              <w:t>，不涉及</w:t>
            </w:r>
            <w:r>
              <w:rPr>
                <w:color w:val="000000" w:themeColor="text1"/>
                <w:szCs w:val="24"/>
                <w14:textFill>
                  <w14:solidFill>
                    <w14:schemeClr w14:val="tx1"/>
                  </w14:solidFill>
                </w14:textFill>
              </w:rPr>
              <w:t>住宿；</w:t>
            </w:r>
          </w:p>
          <w:p>
            <w:pPr>
              <w:spacing w:line="360" w:lineRule="auto"/>
              <w:ind w:firstLine="482" w:firstLineChars="200"/>
              <w:rPr>
                <w:color w:val="000000" w:themeColor="text1"/>
                <w:szCs w:val="24"/>
                <w14:textFill>
                  <w14:solidFill>
                    <w14:schemeClr w14:val="tx1"/>
                  </w14:solidFill>
                </w14:textFill>
              </w:rPr>
            </w:pPr>
            <w:r>
              <w:rPr>
                <w:b/>
                <w:color w:val="000000" w:themeColor="text1"/>
                <w:szCs w:val="24"/>
                <w14:textFill>
                  <w14:solidFill>
                    <w14:schemeClr w14:val="tx1"/>
                  </w14:solidFill>
                </w14:textFill>
              </w:rPr>
              <w:t>工作制度：</w:t>
            </w:r>
            <w:r>
              <w:rPr>
                <w:color w:val="000000" w:themeColor="text1"/>
                <w:szCs w:val="24"/>
                <w14:textFill>
                  <w14:solidFill>
                    <w14:schemeClr w14:val="tx1"/>
                  </w14:solidFill>
                </w14:textFill>
              </w:rPr>
              <w:t>年工作日 300 天，实行一班制，每班 8 小时，夜间不生产、不开展运输作业。</w:t>
            </w:r>
          </w:p>
          <w:p>
            <w:pPr>
              <w:spacing w:line="360" w:lineRule="auto"/>
              <w:ind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（3）产品方案、产能及执行标准</w:t>
            </w:r>
          </w:p>
          <w:p>
            <w:pPr>
              <w:spacing w:line="360" w:lineRule="auto"/>
              <w:ind w:firstLine="480" w:firstLineChars="200"/>
              <w:rPr>
                <w:color w:val="000000" w:themeColor="text1"/>
                <w:szCs w:val="24"/>
                <w14:textFill>
                  <w14:solidFill>
                    <w14:schemeClr w14:val="tx1"/>
                  </w14:solidFill>
                </w14:textFill>
              </w:rPr>
            </w:pPr>
            <w:r>
              <w:t>本项目不进行</w:t>
            </w:r>
            <w:r>
              <w:rPr>
                <w:rFonts w:hint="eastAsia"/>
              </w:rPr>
              <w:t>河道砂石</w:t>
            </w:r>
            <w:r>
              <w:t>开采，项目原料主要外购于</w:t>
            </w:r>
            <w:r>
              <w:rPr>
                <w:rFonts w:hint="eastAsia"/>
              </w:rPr>
              <w:t>河道砂石</w:t>
            </w:r>
            <w:r>
              <w:t>原料</w:t>
            </w:r>
            <w:r>
              <w:rPr>
                <w:rFonts w:hint="eastAsia"/>
              </w:rPr>
              <w:t>及</w:t>
            </w:r>
            <w:r>
              <w:t>施工场地的建筑废料等，采用汽车运输至原料堆场暂存后，再进行破碎、</w:t>
            </w:r>
            <w:r>
              <w:rPr>
                <w:spacing w:val="-1"/>
              </w:rPr>
              <w:t>筛分、制砂和洗砂，得到项目所需</w:t>
            </w:r>
            <w:r>
              <w:rPr>
                <w:color w:val="000000" w:themeColor="text1"/>
                <w:szCs w:val="24"/>
                <w14:textFill>
                  <w14:solidFill>
                    <w14:schemeClr w14:val="tx1"/>
                  </w14:solidFill>
                </w14:textFill>
              </w:rPr>
              <w:t>的成品砂石料。</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根据经验系数 ， 1.0</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机砂的重量约1.2~ 1.6t ， 1.0</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碎石的重量约1.3~ 1.7t；本次环评机砂及碎石容重均按1.5t/</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计，则</w:t>
            </w:r>
            <w:r>
              <w:rPr>
                <w:rFonts w:hint="eastAsia"/>
                <w:color w:val="000000" w:themeColor="text1"/>
                <w:szCs w:val="24"/>
                <w14:textFill>
                  <w14:solidFill>
                    <w14:schemeClr w14:val="tx1"/>
                  </w14:solidFill>
                </w14:textFill>
              </w:rPr>
              <w:t>扩建后</w:t>
            </w:r>
            <w:r>
              <w:rPr>
                <w:color w:val="000000" w:themeColor="text1"/>
                <w:szCs w:val="24"/>
                <w14:textFill>
                  <w14:solidFill>
                    <w14:schemeClr w14:val="tx1"/>
                  </w14:solidFill>
                </w14:textFill>
              </w:rPr>
              <w:t>9万</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砂石产品约13.5万吨。项目建筑用砂执行《GB/T14684-2011 建设用砂》；建筑用碎石执行 《GB/T14685-2011 建筑用卵石、碎石》。</w:t>
            </w:r>
          </w:p>
          <w:p>
            <w:pPr>
              <w:spacing w:line="360" w:lineRule="auto"/>
              <w:ind w:firstLine="472" w:firstLineChars="200"/>
              <w:rPr>
                <w:spacing w:val="-2"/>
              </w:rPr>
            </w:pPr>
            <w:r>
              <w:rPr>
                <w:rFonts w:hint="eastAsia"/>
                <w:spacing w:val="-2"/>
              </w:rPr>
              <w:t>扩建后</w:t>
            </w:r>
            <w:r>
              <w:rPr>
                <w:spacing w:val="-2"/>
              </w:rPr>
              <w:t>项目主要产品方案如下所示。</w:t>
            </w:r>
          </w:p>
          <w:p>
            <w:pPr>
              <w:autoSpaceDE w:val="0"/>
              <w:autoSpaceDN w:val="0"/>
              <w:adjustRightInd w:val="0"/>
              <w:snapToGrid w:val="0"/>
              <w:spacing w:line="360" w:lineRule="auto"/>
              <w:jc w:val="center"/>
              <w:rPr>
                <w:rFonts w:eastAsia="黑体"/>
                <w:b/>
                <w:bCs/>
                <w:color w:val="000000" w:themeColor="text1"/>
                <w:kern w:val="0"/>
                <w:sz w:val="20"/>
                <w14:textFill>
                  <w14:solidFill>
                    <w14:schemeClr w14:val="tx1"/>
                  </w14:solidFill>
                </w14:textFill>
              </w:rPr>
            </w:pPr>
            <w:r>
              <w:rPr>
                <w:rFonts w:eastAsia="黑体"/>
                <w:b/>
                <w:bCs/>
                <w:color w:val="000000" w:themeColor="text1"/>
                <w:kern w:val="0"/>
                <w:sz w:val="20"/>
                <w14:textFill>
                  <w14:solidFill>
                    <w14:schemeClr w14:val="tx1"/>
                  </w14:solidFill>
                </w14:textFill>
              </w:rPr>
              <w:t>表2-1  产品方案一览表</w:t>
            </w:r>
          </w:p>
          <w:tbl>
            <w:tblPr>
              <w:tblStyle w:val="15"/>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72"/>
              <w:gridCol w:w="2020"/>
              <w:gridCol w:w="2016"/>
              <w:gridCol w:w="1873"/>
              <w:gridCol w:w="19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类型</w:t>
                  </w:r>
                </w:p>
              </w:tc>
              <w:tc>
                <w:tcPr>
                  <w:tcW w:w="1069"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粒径</w:t>
                  </w:r>
                </w:p>
              </w:tc>
              <w:tc>
                <w:tcPr>
                  <w:tcW w:w="1067"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改建前</w:t>
                  </w:r>
                </w:p>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（万t/a）</w:t>
                  </w:r>
                </w:p>
              </w:tc>
              <w:tc>
                <w:tcPr>
                  <w:tcW w:w="991"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改建后</w:t>
                  </w:r>
                </w:p>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（万t/a）</w:t>
                  </w:r>
                </w:p>
              </w:tc>
              <w:tc>
                <w:tcPr>
                  <w:tcW w:w="1041"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本次扩建新增</w:t>
                  </w:r>
                </w:p>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（万t/a）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restar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碎石</w:t>
                  </w:r>
                </w:p>
              </w:tc>
              <w:tc>
                <w:tcPr>
                  <w:tcW w:w="1069"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1</w:t>
                  </w:r>
                  <w:r>
                    <w:rPr>
                      <w:rFonts w:ascii="Times New Roman" w:cs="Times New Roman"/>
                      <w:color w:val="auto"/>
                      <w:sz w:val="21"/>
                      <w:szCs w:val="21"/>
                    </w:rPr>
                    <w:t>0~30</w:t>
                  </w:r>
                  <w:r>
                    <w:rPr>
                      <w:rFonts w:hint="eastAsia" w:ascii="Times New Roman" w:cs="Times New Roman"/>
                      <w:color w:val="auto"/>
                      <w:sz w:val="21"/>
                      <w:szCs w:val="21"/>
                    </w:rPr>
                    <w:t>cm</w:t>
                  </w:r>
                </w:p>
              </w:tc>
              <w:tc>
                <w:tcPr>
                  <w:tcW w:w="1067"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1</w:t>
                  </w:r>
                  <w:r>
                    <w:rPr>
                      <w:rFonts w:ascii="Times New Roman" w:cs="Times New Roman"/>
                      <w:color w:val="auto"/>
                      <w:sz w:val="21"/>
                      <w:szCs w:val="21"/>
                    </w:rPr>
                    <w:t>.7</w:t>
                  </w:r>
                </w:p>
              </w:tc>
              <w:tc>
                <w:tcPr>
                  <w:tcW w:w="991"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4</w:t>
                  </w:r>
                  <w:r>
                    <w:rPr>
                      <w:rFonts w:ascii="Times New Roman" w:cs="Times New Roman"/>
                      <w:color w:val="auto"/>
                      <w:sz w:val="21"/>
                      <w:szCs w:val="21"/>
                    </w:rPr>
                    <w:t>.5</w:t>
                  </w:r>
                </w:p>
              </w:tc>
              <w:tc>
                <w:tcPr>
                  <w:tcW w:w="1041"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w:t>
                  </w:r>
                  <w:r>
                    <w:rPr>
                      <w:rFonts w:ascii="Times New Roman" w:cs="Times New Roman"/>
                      <w:color w:val="auto"/>
                      <w:sz w:val="21"/>
                      <w:szCs w:val="21"/>
                    </w:rPr>
                    <w:t>2.8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vAlign w:val="center"/>
                </w:tcPr>
                <w:p>
                  <w:pPr>
                    <w:pStyle w:val="37"/>
                    <w:ind w:left="120" w:right="120" w:firstLine="0"/>
                    <w:jc w:val="center"/>
                    <w:rPr>
                      <w:rFonts w:ascii="Times New Roman" w:cs="Times New Roman"/>
                      <w:color w:val="auto"/>
                      <w:sz w:val="21"/>
                      <w:szCs w:val="21"/>
                    </w:rPr>
                  </w:pPr>
                </w:p>
              </w:tc>
              <w:tc>
                <w:tcPr>
                  <w:tcW w:w="1069"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1</w:t>
                  </w:r>
                  <w:r>
                    <w:rPr>
                      <w:rFonts w:ascii="Times New Roman" w:cs="Times New Roman"/>
                      <w:color w:val="auto"/>
                      <w:sz w:val="21"/>
                      <w:szCs w:val="21"/>
                    </w:rPr>
                    <w:t>0~20</w:t>
                  </w:r>
                  <w:r>
                    <w:rPr>
                      <w:rFonts w:hint="eastAsia" w:ascii="Times New Roman" w:cs="Times New Roman"/>
                      <w:color w:val="auto"/>
                      <w:sz w:val="21"/>
                      <w:szCs w:val="21"/>
                    </w:rPr>
                    <w:t>cm</w:t>
                  </w:r>
                </w:p>
              </w:tc>
              <w:tc>
                <w:tcPr>
                  <w:tcW w:w="1067"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0</w:t>
                  </w:r>
                  <w:r>
                    <w:rPr>
                      <w:rFonts w:ascii="Times New Roman" w:cs="Times New Roman"/>
                      <w:color w:val="auto"/>
                      <w:sz w:val="21"/>
                      <w:szCs w:val="21"/>
                    </w:rPr>
                    <w:t>.7</w:t>
                  </w:r>
                </w:p>
              </w:tc>
              <w:tc>
                <w:tcPr>
                  <w:tcW w:w="991"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2</w:t>
                  </w:r>
                  <w:r>
                    <w:rPr>
                      <w:rFonts w:ascii="Times New Roman" w:cs="Times New Roman"/>
                      <w:color w:val="auto"/>
                      <w:sz w:val="21"/>
                      <w:szCs w:val="21"/>
                    </w:rPr>
                    <w:t>.0</w:t>
                  </w:r>
                </w:p>
              </w:tc>
              <w:tc>
                <w:tcPr>
                  <w:tcW w:w="1041"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w:t>
                  </w:r>
                  <w:r>
                    <w:rPr>
                      <w:rFonts w:ascii="Times New Roman" w:cs="Times New Roman"/>
                      <w:color w:val="auto"/>
                      <w:sz w:val="21"/>
                      <w:szCs w:val="21"/>
                    </w:rPr>
                    <w:t>1.3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Merge w:val="continue"/>
                  <w:vAlign w:val="center"/>
                </w:tcPr>
                <w:p>
                  <w:pPr>
                    <w:pStyle w:val="37"/>
                    <w:ind w:left="120" w:right="120" w:firstLine="0"/>
                    <w:jc w:val="center"/>
                    <w:rPr>
                      <w:rFonts w:ascii="Times New Roman" w:cs="Times New Roman"/>
                      <w:color w:val="auto"/>
                      <w:sz w:val="21"/>
                      <w:szCs w:val="21"/>
                    </w:rPr>
                  </w:pPr>
                </w:p>
              </w:tc>
              <w:tc>
                <w:tcPr>
                  <w:tcW w:w="1069" w:type="pct"/>
                  <w:vAlign w:val="center"/>
                </w:tcPr>
                <w:p>
                  <w:pPr>
                    <w:pStyle w:val="37"/>
                    <w:ind w:left="120" w:right="120" w:firstLine="0"/>
                    <w:jc w:val="center"/>
                    <w:rPr>
                      <w:rFonts w:ascii="Times New Roman" w:cs="Times New Roman"/>
                      <w:color w:val="auto"/>
                      <w:sz w:val="21"/>
                      <w:szCs w:val="21"/>
                    </w:rPr>
                  </w:pPr>
                  <w:r>
                    <w:rPr>
                      <w:rFonts w:ascii="Times New Roman" w:cs="Times New Roman"/>
                      <w:color w:val="auto"/>
                      <w:sz w:val="21"/>
                      <w:szCs w:val="21"/>
                    </w:rPr>
                    <w:t>5~10</w:t>
                  </w:r>
                  <w:r>
                    <w:rPr>
                      <w:rFonts w:hint="eastAsia" w:ascii="Times New Roman" w:cs="Times New Roman"/>
                      <w:color w:val="auto"/>
                      <w:sz w:val="21"/>
                      <w:szCs w:val="21"/>
                    </w:rPr>
                    <w:t>cm</w:t>
                  </w:r>
                </w:p>
              </w:tc>
              <w:tc>
                <w:tcPr>
                  <w:tcW w:w="1067"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1</w:t>
                  </w:r>
                  <w:r>
                    <w:rPr>
                      <w:rFonts w:ascii="Times New Roman" w:cs="Times New Roman"/>
                      <w:color w:val="auto"/>
                      <w:sz w:val="21"/>
                      <w:szCs w:val="21"/>
                    </w:rPr>
                    <w:t>.3</w:t>
                  </w:r>
                </w:p>
              </w:tc>
              <w:tc>
                <w:tcPr>
                  <w:tcW w:w="991"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3</w:t>
                  </w:r>
                  <w:r>
                    <w:rPr>
                      <w:rFonts w:ascii="Times New Roman" w:cs="Times New Roman"/>
                      <w:color w:val="auto"/>
                      <w:sz w:val="21"/>
                      <w:szCs w:val="21"/>
                    </w:rPr>
                    <w:t>.5</w:t>
                  </w:r>
                </w:p>
              </w:tc>
              <w:tc>
                <w:tcPr>
                  <w:tcW w:w="1041"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w:t>
                  </w:r>
                  <w:r>
                    <w:rPr>
                      <w:rFonts w:ascii="Times New Roman" w:cs="Times New Roman"/>
                      <w:color w:val="auto"/>
                      <w:sz w:val="21"/>
                      <w:szCs w:val="21"/>
                    </w:rPr>
                    <w:t>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2"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机制砂</w:t>
                  </w:r>
                </w:p>
              </w:tc>
              <w:tc>
                <w:tcPr>
                  <w:tcW w:w="1069" w:type="pct"/>
                  <w:vAlign w:val="center"/>
                </w:tcPr>
                <w:p>
                  <w:pPr>
                    <w:pStyle w:val="37"/>
                    <w:ind w:left="120" w:right="120" w:firstLine="0"/>
                    <w:jc w:val="center"/>
                    <w:rPr>
                      <w:rFonts w:ascii="Times New Roman" w:cs="Times New Roman"/>
                      <w:color w:val="auto"/>
                      <w:sz w:val="21"/>
                      <w:szCs w:val="21"/>
                    </w:rPr>
                  </w:pPr>
                  <w:r>
                    <w:rPr>
                      <w:rFonts w:ascii="Times New Roman" w:cs="Times New Roman"/>
                      <w:color w:val="auto"/>
                      <w:sz w:val="21"/>
                      <w:szCs w:val="21"/>
                    </w:rPr>
                    <w:t>0~5mm</w:t>
                  </w:r>
                </w:p>
              </w:tc>
              <w:tc>
                <w:tcPr>
                  <w:tcW w:w="1067"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1</w:t>
                  </w:r>
                  <w:r>
                    <w:rPr>
                      <w:rFonts w:ascii="Times New Roman" w:cs="Times New Roman"/>
                      <w:color w:val="auto"/>
                      <w:sz w:val="21"/>
                      <w:szCs w:val="21"/>
                    </w:rPr>
                    <w:t>.3</w:t>
                  </w:r>
                </w:p>
              </w:tc>
              <w:tc>
                <w:tcPr>
                  <w:tcW w:w="991"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3</w:t>
                  </w:r>
                  <w:r>
                    <w:rPr>
                      <w:rFonts w:ascii="Times New Roman" w:cs="Times New Roman"/>
                      <w:color w:val="auto"/>
                      <w:sz w:val="21"/>
                      <w:szCs w:val="21"/>
                    </w:rPr>
                    <w:t>.5</w:t>
                  </w:r>
                </w:p>
              </w:tc>
              <w:tc>
                <w:tcPr>
                  <w:tcW w:w="1041"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w:t>
                  </w:r>
                  <w:r>
                    <w:rPr>
                      <w:rFonts w:ascii="Times New Roman" w:cs="Times New Roman"/>
                      <w:color w:val="auto"/>
                      <w:sz w:val="21"/>
                      <w:szCs w:val="21"/>
                    </w:rPr>
                    <w:t>2.2</w:t>
                  </w:r>
                </w:p>
              </w:tc>
            </w:tr>
          </w:tbl>
          <w:p>
            <w:pPr>
              <w:spacing w:line="360" w:lineRule="auto"/>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2、项目组成</w:t>
            </w:r>
          </w:p>
          <w:p>
            <w:pPr>
              <w:spacing w:line="360" w:lineRule="auto"/>
              <w:ind w:firstLine="480" w:firstLineChars="200"/>
              <w:rPr>
                <w:rFonts w:eastAsia="黑体"/>
                <w:b/>
                <w:bCs/>
                <w:color w:val="000000" w:themeColor="text1"/>
                <w:kern w:val="0"/>
                <w:sz w:val="20"/>
                <w14:textFill>
                  <w14:solidFill>
                    <w14:schemeClr w14:val="tx1"/>
                  </w14:solidFill>
                </w14:textFill>
              </w:rPr>
            </w:pPr>
            <w:r>
              <w:rPr>
                <w:color w:val="000000" w:themeColor="text1"/>
                <w:szCs w:val="24"/>
                <w14:textFill>
                  <w14:solidFill>
                    <w14:schemeClr w14:val="tx1"/>
                  </w14:solidFill>
                </w14:textFill>
              </w:rPr>
              <w:t xml:space="preserve">本项目组成及主要环境问题见表2-2。  </w:t>
            </w:r>
          </w:p>
          <w:p>
            <w:pPr>
              <w:autoSpaceDE w:val="0"/>
              <w:autoSpaceDN w:val="0"/>
              <w:adjustRightInd w:val="0"/>
              <w:snapToGrid w:val="0"/>
              <w:spacing w:line="360" w:lineRule="auto"/>
              <w:jc w:val="center"/>
              <w:rPr>
                <w:rFonts w:eastAsia="黑体"/>
                <w:b/>
                <w:bCs/>
                <w:color w:val="000000" w:themeColor="text1"/>
                <w:kern w:val="0"/>
                <w:sz w:val="20"/>
                <w14:textFill>
                  <w14:solidFill>
                    <w14:schemeClr w14:val="tx1"/>
                  </w14:solidFill>
                </w14:textFill>
              </w:rPr>
            </w:pPr>
            <w:r>
              <w:rPr>
                <w:rFonts w:eastAsia="黑体"/>
                <w:b/>
                <w:bCs/>
                <w:color w:val="000000" w:themeColor="text1"/>
                <w:kern w:val="0"/>
                <w:sz w:val="20"/>
                <w14:textFill>
                  <w14:solidFill>
                    <w14:schemeClr w14:val="tx1"/>
                  </w14:solidFill>
                </w14:textFill>
              </w:rPr>
              <w:t>表2-2  项目组成及主要环境问题</w:t>
            </w:r>
          </w:p>
          <w:tbl>
            <w:tblPr>
              <w:tblStyle w:val="15"/>
              <w:tblW w:w="9448" w:type="dxa"/>
              <w:jc w:val="center"/>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Layout w:type="autofit"/>
              <w:tblCellMar>
                <w:top w:w="0" w:type="dxa"/>
                <w:left w:w="108" w:type="dxa"/>
                <w:bottom w:w="0" w:type="dxa"/>
                <w:right w:w="108" w:type="dxa"/>
              </w:tblCellMar>
            </w:tblPr>
            <w:tblGrid>
              <w:gridCol w:w="775"/>
              <w:gridCol w:w="1134"/>
              <w:gridCol w:w="5670"/>
              <w:gridCol w:w="1040"/>
              <w:gridCol w:w="829"/>
            </w:tblGrid>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58" w:hRule="atLeast"/>
                <w:jc w:val="center"/>
              </w:trPr>
              <w:tc>
                <w:tcPr>
                  <w:tcW w:w="1909" w:type="dxa"/>
                  <w:gridSpan w:val="2"/>
                  <w:tcBorders>
                    <w:tl2br w:val="nil"/>
                    <w:tr2bl w:val="nil"/>
                  </w:tcBorders>
                  <w:vAlign w:val="center"/>
                </w:tcPr>
                <w:p>
                  <w:pPr>
                    <w:adjustRightInd w:val="0"/>
                    <w:snapToGrid w:val="0"/>
                    <w:spacing w:line="288" w:lineRule="auto"/>
                    <w:jc w:val="center"/>
                    <w:rPr>
                      <w:b/>
                      <w:bCs/>
                      <w:snapToGrid w:val="0"/>
                      <w:color w:val="000000" w:themeColor="text1"/>
                      <w:kern w:val="0"/>
                      <w:sz w:val="21"/>
                      <w14:textFill>
                        <w14:solidFill>
                          <w14:schemeClr w14:val="tx1"/>
                        </w14:solidFill>
                      </w14:textFill>
                    </w:rPr>
                  </w:pPr>
                  <w:bookmarkStart w:id="0" w:name="_Hlk165897683"/>
                  <w:r>
                    <w:rPr>
                      <w:b/>
                      <w:bCs/>
                      <w:snapToGrid w:val="0"/>
                      <w:color w:val="000000" w:themeColor="text1"/>
                      <w:kern w:val="0"/>
                      <w:sz w:val="21"/>
                      <w14:textFill>
                        <w14:solidFill>
                          <w14:schemeClr w14:val="tx1"/>
                        </w14:solidFill>
                      </w14:textFill>
                    </w:rPr>
                    <w:t>项目名称</w:t>
                  </w:r>
                </w:p>
              </w:tc>
              <w:tc>
                <w:tcPr>
                  <w:tcW w:w="5670" w:type="dxa"/>
                  <w:tcBorders>
                    <w:tl2br w:val="nil"/>
                    <w:tr2bl w:val="nil"/>
                  </w:tcBorders>
                  <w:vAlign w:val="center"/>
                </w:tcPr>
                <w:p>
                  <w:pPr>
                    <w:adjustRightInd w:val="0"/>
                    <w:snapToGrid w:val="0"/>
                    <w:spacing w:line="288" w:lineRule="auto"/>
                    <w:jc w:val="center"/>
                    <w:rPr>
                      <w:b/>
                      <w:bCs/>
                      <w:snapToGrid w:val="0"/>
                      <w:color w:val="000000" w:themeColor="text1"/>
                      <w:kern w:val="0"/>
                      <w:sz w:val="21"/>
                      <w14:textFill>
                        <w14:solidFill>
                          <w14:schemeClr w14:val="tx1"/>
                        </w14:solidFill>
                      </w14:textFill>
                    </w:rPr>
                  </w:pPr>
                  <w:r>
                    <w:rPr>
                      <w:b/>
                      <w:bCs/>
                      <w:snapToGrid w:val="0"/>
                      <w:color w:val="000000" w:themeColor="text1"/>
                      <w:kern w:val="0"/>
                      <w:sz w:val="21"/>
                      <w14:textFill>
                        <w14:solidFill>
                          <w14:schemeClr w14:val="tx1"/>
                        </w14:solidFill>
                      </w14:textFill>
                    </w:rPr>
                    <w:t>建设内容及规模</w:t>
                  </w:r>
                </w:p>
              </w:tc>
              <w:tc>
                <w:tcPr>
                  <w:tcW w:w="1040" w:type="dxa"/>
                  <w:tcBorders>
                    <w:tl2br w:val="nil"/>
                    <w:tr2bl w:val="nil"/>
                  </w:tcBorders>
                  <w:vAlign w:val="center"/>
                </w:tcPr>
                <w:p>
                  <w:pPr>
                    <w:adjustRightInd w:val="0"/>
                    <w:snapToGrid w:val="0"/>
                    <w:spacing w:line="288" w:lineRule="auto"/>
                    <w:ind w:left="-158" w:leftChars="-66" w:right="-149" w:rightChars="-62"/>
                    <w:jc w:val="center"/>
                    <w:rPr>
                      <w:b/>
                      <w:bCs/>
                      <w:snapToGrid w:val="0"/>
                      <w:color w:val="000000" w:themeColor="text1"/>
                      <w:kern w:val="0"/>
                      <w:sz w:val="21"/>
                      <w14:textFill>
                        <w14:solidFill>
                          <w14:schemeClr w14:val="tx1"/>
                        </w14:solidFill>
                      </w14:textFill>
                    </w:rPr>
                  </w:pPr>
                  <w:r>
                    <w:rPr>
                      <w:b/>
                      <w:bCs/>
                      <w:snapToGrid w:val="0"/>
                      <w:color w:val="000000" w:themeColor="text1"/>
                      <w:kern w:val="0"/>
                      <w:sz w:val="21"/>
                      <w14:textFill>
                        <w14:solidFill>
                          <w14:schemeClr w14:val="tx1"/>
                        </w14:solidFill>
                      </w14:textFill>
                    </w:rPr>
                    <w:t>主要环</w:t>
                  </w:r>
                </w:p>
                <w:p>
                  <w:pPr>
                    <w:adjustRightInd w:val="0"/>
                    <w:snapToGrid w:val="0"/>
                    <w:spacing w:line="288" w:lineRule="auto"/>
                    <w:ind w:left="-158" w:leftChars="-66" w:right="-149" w:rightChars="-62"/>
                    <w:jc w:val="center"/>
                    <w:rPr>
                      <w:b/>
                      <w:bCs/>
                      <w:snapToGrid w:val="0"/>
                      <w:color w:val="000000" w:themeColor="text1"/>
                      <w:kern w:val="0"/>
                      <w:sz w:val="21"/>
                      <w14:textFill>
                        <w14:solidFill>
                          <w14:schemeClr w14:val="tx1"/>
                        </w14:solidFill>
                      </w14:textFill>
                    </w:rPr>
                  </w:pPr>
                  <w:r>
                    <w:rPr>
                      <w:b/>
                      <w:bCs/>
                      <w:snapToGrid w:val="0"/>
                      <w:color w:val="000000" w:themeColor="text1"/>
                      <w:kern w:val="0"/>
                      <w:sz w:val="21"/>
                      <w14:textFill>
                        <w14:solidFill>
                          <w14:schemeClr w14:val="tx1"/>
                        </w14:solidFill>
                      </w14:textFill>
                    </w:rPr>
                    <w:t>境问题</w:t>
                  </w:r>
                </w:p>
              </w:tc>
              <w:tc>
                <w:tcPr>
                  <w:tcW w:w="829" w:type="dxa"/>
                  <w:tcBorders>
                    <w:tl2br w:val="nil"/>
                    <w:tr2bl w:val="nil"/>
                  </w:tcBorders>
                  <w:vAlign w:val="center"/>
                </w:tcPr>
                <w:p>
                  <w:pPr>
                    <w:adjustRightInd w:val="0"/>
                    <w:snapToGrid w:val="0"/>
                    <w:spacing w:line="288" w:lineRule="auto"/>
                    <w:ind w:left="-158" w:leftChars="-66" w:right="-149" w:rightChars="-62"/>
                    <w:jc w:val="center"/>
                    <w:rPr>
                      <w:b/>
                      <w:bCs/>
                      <w:snapToGrid w:val="0"/>
                      <w:color w:val="000000" w:themeColor="text1"/>
                      <w:kern w:val="0"/>
                      <w:sz w:val="21"/>
                      <w14:textFill>
                        <w14:solidFill>
                          <w14:schemeClr w14:val="tx1"/>
                        </w14:solidFill>
                      </w14:textFill>
                    </w:rPr>
                  </w:pPr>
                  <w:r>
                    <w:rPr>
                      <w:rFonts w:hint="eastAsia"/>
                      <w:b/>
                      <w:bCs/>
                      <w:snapToGrid w:val="0"/>
                      <w:color w:val="000000" w:themeColor="text1"/>
                      <w:kern w:val="0"/>
                      <w:sz w:val="21"/>
                      <w14:textFill>
                        <w14:solidFill>
                          <w14:schemeClr w14:val="tx1"/>
                        </w14:solidFill>
                      </w14:textFill>
                    </w:rPr>
                    <w:t>备注</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1307" w:hRule="atLeast"/>
                <w:jc w:val="center"/>
              </w:trPr>
              <w:tc>
                <w:tcPr>
                  <w:tcW w:w="775"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snapToGrid w:val="0"/>
                      <w:color w:val="000000" w:themeColor="text1"/>
                      <w:kern w:val="0"/>
                      <w:sz w:val="21"/>
                      <w14:textFill>
                        <w14:solidFill>
                          <w14:schemeClr w14:val="tx1"/>
                        </w14:solidFill>
                      </w14:textFill>
                    </w:rPr>
                    <w:t>主体工程</w:t>
                  </w:r>
                </w:p>
              </w:tc>
              <w:tc>
                <w:tcPr>
                  <w:tcW w:w="1134"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snapToGrid w:val="0"/>
                      <w:color w:val="000000" w:themeColor="text1"/>
                      <w:kern w:val="0"/>
                      <w:sz w:val="21"/>
                      <w14:textFill>
                        <w14:solidFill>
                          <w14:schemeClr w14:val="tx1"/>
                        </w14:solidFill>
                      </w14:textFill>
                    </w:rPr>
                    <w:t>砂石生产区</w:t>
                  </w:r>
                </w:p>
              </w:tc>
              <w:tc>
                <w:tcPr>
                  <w:tcW w:w="5670" w:type="dxa"/>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建设一个封闭式生产车间，占地约</w:t>
                  </w:r>
                  <w:r>
                    <w:rPr>
                      <w:snapToGrid w:val="0"/>
                      <w:color w:val="000000" w:themeColor="text1"/>
                      <w:kern w:val="0"/>
                      <w:sz w:val="21"/>
                      <w14:textFill>
                        <w14:solidFill>
                          <w14:schemeClr w14:val="tx1"/>
                        </w14:solidFill>
                      </w14:textFill>
                    </w:rPr>
                    <w:t>3500</w:t>
                  </w:r>
                  <w:r>
                    <w:rPr>
                      <w:rFonts w:hint="eastAsia"/>
                      <w:snapToGrid w:val="0"/>
                      <w:color w:val="000000" w:themeColor="text1"/>
                      <w:kern w:val="0"/>
                      <w:sz w:val="21"/>
                      <w14:textFill>
                        <w14:solidFill>
                          <w14:schemeClr w14:val="tx1"/>
                        </w14:solidFill>
                      </w14:textFill>
                    </w:rPr>
                    <w:t>㎡，车间内设砂石水洗加工生产线1条，主要有鄂破机、破碎机、振动筛、筛分机、压滤机、制砂机、洗砂机等，项目建成后产能为13.5万吨（9万m³）</w:t>
                  </w:r>
                </w:p>
              </w:tc>
              <w:tc>
                <w:tcPr>
                  <w:tcW w:w="1040"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snapToGrid w:val="0"/>
                      <w:color w:val="000000" w:themeColor="text1"/>
                      <w:kern w:val="0"/>
                      <w:sz w:val="21"/>
                      <w14:textFill>
                        <w14:solidFill>
                          <w14:schemeClr w14:val="tx1"/>
                        </w14:solidFill>
                      </w14:textFill>
                    </w:rPr>
                    <w:t>废水、噪声、废气、</w:t>
                  </w:r>
                  <w:r>
                    <w:rPr>
                      <w:rFonts w:hint="eastAsia"/>
                      <w:snapToGrid w:val="0"/>
                      <w:color w:val="000000" w:themeColor="text1"/>
                      <w:kern w:val="0"/>
                      <w:sz w:val="21"/>
                      <w14:textFill>
                        <w14:solidFill>
                          <w14:schemeClr w14:val="tx1"/>
                        </w14:solidFill>
                      </w14:textFill>
                    </w:rPr>
                    <w:t>固废</w:t>
                  </w:r>
                </w:p>
              </w:tc>
              <w:tc>
                <w:tcPr>
                  <w:tcW w:w="829"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已建</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1061" w:hRule="atLeast"/>
                <w:jc w:val="center"/>
              </w:trPr>
              <w:tc>
                <w:tcPr>
                  <w:tcW w:w="775" w:type="dxa"/>
                  <w:vMerge w:val="restart"/>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r>
                    <w:rPr>
                      <w:snapToGrid w:val="0"/>
                      <w:color w:val="000000" w:themeColor="text1"/>
                      <w:kern w:val="0"/>
                      <w:sz w:val="21"/>
                      <w14:textFill>
                        <w14:solidFill>
                          <w14:schemeClr w14:val="tx1"/>
                        </w14:solidFill>
                      </w14:textFill>
                    </w:rPr>
                    <w:t>辅助工程</w:t>
                  </w:r>
                </w:p>
              </w:tc>
              <w:tc>
                <w:tcPr>
                  <w:tcW w:w="1134" w:type="dxa"/>
                  <w:tcBorders>
                    <w:tl2br w:val="nil"/>
                    <w:tr2bl w:val="nil"/>
                  </w:tcBorders>
                  <w:vAlign w:val="center"/>
                </w:tcPr>
                <w:p>
                  <w:pPr>
                    <w:adjustRightInd w:val="0"/>
                    <w:snapToGrid w:val="0"/>
                    <w:spacing w:line="288"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成品堆场</w:t>
                  </w:r>
                </w:p>
              </w:tc>
              <w:tc>
                <w:tcPr>
                  <w:tcW w:w="5670" w:type="dxa"/>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在厂区西侧生产车间北侧设置成品堆场，堆场占地面积约1</w:t>
                  </w:r>
                  <w:r>
                    <w:rPr>
                      <w:snapToGrid w:val="0"/>
                      <w:color w:val="000000" w:themeColor="text1"/>
                      <w:kern w:val="0"/>
                      <w:sz w:val="21"/>
                      <w14:textFill>
                        <w14:solidFill>
                          <w14:schemeClr w14:val="tx1"/>
                        </w14:solidFill>
                      </w14:textFill>
                    </w:rPr>
                    <w:t>000</w:t>
                  </w:r>
                  <w:r>
                    <w:rPr>
                      <w:rFonts w:hint="eastAsia"/>
                      <w:snapToGrid w:val="0"/>
                      <w:color w:val="000000" w:themeColor="text1"/>
                      <w:kern w:val="0"/>
                      <w:sz w:val="21"/>
                      <w14:textFill>
                        <w14:solidFill>
                          <w14:schemeClr w14:val="tx1"/>
                        </w14:solidFill>
                      </w14:textFill>
                    </w:rPr>
                    <w:t xml:space="preserve">m³，各规格成品之间设实体墙体隔断 </w:t>
                  </w:r>
                </w:p>
              </w:tc>
              <w:tc>
                <w:tcPr>
                  <w:tcW w:w="1040"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渗滤水、噪声</w:t>
                  </w:r>
                </w:p>
              </w:tc>
              <w:tc>
                <w:tcPr>
                  <w:tcW w:w="829"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未建</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66" w:hRule="atLeast"/>
                <w:jc w:val="center"/>
              </w:trPr>
              <w:tc>
                <w:tcPr>
                  <w:tcW w:w="775" w:type="dxa"/>
                  <w:vMerge w:val="continue"/>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p>
              </w:tc>
              <w:tc>
                <w:tcPr>
                  <w:tcW w:w="1134" w:type="dxa"/>
                  <w:tcBorders>
                    <w:tl2br w:val="nil"/>
                    <w:tr2bl w:val="nil"/>
                  </w:tcBorders>
                  <w:vAlign w:val="center"/>
                </w:tcPr>
                <w:p>
                  <w:pPr>
                    <w:adjustRightInd w:val="0"/>
                    <w:snapToGrid w:val="0"/>
                    <w:spacing w:line="288" w:lineRule="auto"/>
                    <w:ind w:left="-158" w:leftChars="-66" w:right="-149" w:rightChars="-62"/>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原料堆场</w:t>
                  </w:r>
                </w:p>
              </w:tc>
              <w:tc>
                <w:tcPr>
                  <w:tcW w:w="5670" w:type="dxa"/>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在厂区东侧设置原料堆场，占地约2</w:t>
                  </w:r>
                  <w:r>
                    <w:rPr>
                      <w:snapToGrid w:val="0"/>
                      <w:color w:val="000000" w:themeColor="text1"/>
                      <w:kern w:val="0"/>
                      <w:sz w:val="21"/>
                      <w14:textFill>
                        <w14:solidFill>
                          <w14:schemeClr w14:val="tx1"/>
                        </w14:solidFill>
                      </w14:textFill>
                    </w:rPr>
                    <w:t>000</w:t>
                  </w:r>
                  <w:r>
                    <w:rPr>
                      <w:rFonts w:hint="eastAsia"/>
                      <w:snapToGrid w:val="0"/>
                      <w:color w:val="000000" w:themeColor="text1"/>
                      <w:kern w:val="0"/>
                      <w:sz w:val="21"/>
                      <w14:textFill>
                        <w14:solidFill>
                          <w14:schemeClr w14:val="tx1"/>
                        </w14:solidFill>
                      </w14:textFill>
                    </w:rPr>
                    <w:t>m³，卸料区设置喷雾降尘装置</w:t>
                  </w:r>
                  <w:r>
                    <w:rPr>
                      <w:snapToGrid w:val="0"/>
                      <w:color w:val="000000" w:themeColor="text1"/>
                      <w:kern w:val="0"/>
                      <w:sz w:val="21"/>
                      <w14:textFill>
                        <w14:solidFill>
                          <w14:schemeClr w14:val="tx1"/>
                        </w14:solidFill>
                      </w14:textFill>
                    </w:rPr>
                    <w:t>。</w:t>
                  </w:r>
                </w:p>
              </w:tc>
              <w:tc>
                <w:tcPr>
                  <w:tcW w:w="1040"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扬尘、噪声</w:t>
                  </w:r>
                </w:p>
              </w:tc>
              <w:tc>
                <w:tcPr>
                  <w:tcW w:w="829"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未建</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66" w:hRule="atLeast"/>
                <w:jc w:val="center"/>
              </w:trPr>
              <w:tc>
                <w:tcPr>
                  <w:tcW w:w="775" w:type="dxa"/>
                  <w:vMerge w:val="continue"/>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p>
              </w:tc>
              <w:tc>
                <w:tcPr>
                  <w:tcW w:w="1134" w:type="dxa"/>
                  <w:tcBorders>
                    <w:tl2br w:val="nil"/>
                    <w:tr2bl w:val="nil"/>
                  </w:tcBorders>
                  <w:vAlign w:val="center"/>
                </w:tcPr>
                <w:p>
                  <w:pPr>
                    <w:adjustRightInd w:val="0"/>
                    <w:snapToGrid w:val="0"/>
                    <w:spacing w:line="288" w:lineRule="auto"/>
                    <w:ind w:left="-158" w:leftChars="-66" w:right="-149" w:rightChars="-62"/>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运输道路</w:t>
                  </w:r>
                </w:p>
              </w:tc>
              <w:tc>
                <w:tcPr>
                  <w:tcW w:w="5670" w:type="dxa"/>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依托附近道路开展运输工作</w:t>
                  </w:r>
                </w:p>
              </w:tc>
              <w:tc>
                <w:tcPr>
                  <w:tcW w:w="1040"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扬尘、噪声</w:t>
                  </w:r>
                </w:p>
              </w:tc>
              <w:tc>
                <w:tcPr>
                  <w:tcW w:w="829"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依托</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58" w:hRule="atLeast"/>
                <w:jc w:val="center"/>
              </w:trPr>
              <w:tc>
                <w:tcPr>
                  <w:tcW w:w="775" w:type="dxa"/>
                  <w:vMerge w:val="restart"/>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r>
                    <w:rPr>
                      <w:snapToGrid w:val="0"/>
                      <w:color w:val="000000" w:themeColor="text1"/>
                      <w:kern w:val="0"/>
                      <w:sz w:val="21"/>
                      <w14:textFill>
                        <w14:solidFill>
                          <w14:schemeClr w14:val="tx1"/>
                        </w14:solidFill>
                      </w14:textFill>
                    </w:rPr>
                    <w:t>公用工程</w:t>
                  </w:r>
                </w:p>
              </w:tc>
              <w:tc>
                <w:tcPr>
                  <w:tcW w:w="1134" w:type="dxa"/>
                  <w:tcBorders>
                    <w:tl2br w:val="nil"/>
                    <w:tr2bl w:val="nil"/>
                  </w:tcBorders>
                  <w:vAlign w:val="center"/>
                </w:tcPr>
                <w:p>
                  <w:pPr>
                    <w:adjustRightInd w:val="0"/>
                    <w:snapToGrid w:val="0"/>
                    <w:spacing w:line="288"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供电</w:t>
                  </w:r>
                </w:p>
                <w:p>
                  <w:pPr>
                    <w:adjustRightInd w:val="0"/>
                    <w:snapToGrid w:val="0"/>
                    <w:spacing w:line="288"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工程</w:t>
                  </w:r>
                </w:p>
              </w:tc>
              <w:tc>
                <w:tcPr>
                  <w:tcW w:w="5670" w:type="dxa"/>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由乡镇供电所供给，项目内安装有一台变压器</w:t>
                  </w:r>
                </w:p>
              </w:tc>
              <w:tc>
                <w:tcPr>
                  <w:tcW w:w="1040"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snapToGrid w:val="0"/>
                      <w:color w:val="000000" w:themeColor="text1"/>
                      <w:kern w:val="0"/>
                      <w:sz w:val="21"/>
                      <w14:textFill>
                        <w14:solidFill>
                          <w14:schemeClr w14:val="tx1"/>
                        </w14:solidFill>
                      </w14:textFill>
                    </w:rPr>
                    <w:t>/</w:t>
                  </w:r>
                </w:p>
              </w:tc>
              <w:tc>
                <w:tcPr>
                  <w:tcW w:w="829"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依托</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58" w:hRule="atLeast"/>
                <w:jc w:val="center"/>
              </w:trPr>
              <w:tc>
                <w:tcPr>
                  <w:tcW w:w="775" w:type="dxa"/>
                  <w:vMerge w:val="continue"/>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p>
              </w:tc>
              <w:tc>
                <w:tcPr>
                  <w:tcW w:w="1134" w:type="dxa"/>
                  <w:tcBorders>
                    <w:tl2br w:val="nil"/>
                    <w:tr2bl w:val="nil"/>
                  </w:tcBorders>
                  <w:vAlign w:val="center"/>
                </w:tcPr>
                <w:p>
                  <w:pPr>
                    <w:adjustRightInd w:val="0"/>
                    <w:snapToGrid w:val="0"/>
                    <w:spacing w:line="288"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供水</w:t>
                  </w:r>
                </w:p>
                <w:p>
                  <w:pPr>
                    <w:adjustRightInd w:val="0"/>
                    <w:snapToGrid w:val="0"/>
                    <w:spacing w:line="288"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工程</w:t>
                  </w:r>
                </w:p>
              </w:tc>
              <w:tc>
                <w:tcPr>
                  <w:tcW w:w="5670" w:type="dxa"/>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生产用水取自项目南侧丁家坝河；生活用水由天台村自来水系统供给</w:t>
                  </w:r>
                  <w:r>
                    <w:rPr>
                      <w:snapToGrid w:val="0"/>
                      <w:color w:val="000000" w:themeColor="text1"/>
                      <w:kern w:val="0"/>
                      <w:sz w:val="21"/>
                      <w14:textFill>
                        <w14:solidFill>
                          <w14:schemeClr w14:val="tx1"/>
                        </w14:solidFill>
                      </w14:textFill>
                    </w:rPr>
                    <w:t>。</w:t>
                  </w:r>
                </w:p>
              </w:tc>
              <w:tc>
                <w:tcPr>
                  <w:tcW w:w="1040"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snapToGrid w:val="0"/>
                      <w:color w:val="000000" w:themeColor="text1"/>
                      <w:kern w:val="0"/>
                      <w:sz w:val="21"/>
                      <w14:textFill>
                        <w14:solidFill>
                          <w14:schemeClr w14:val="tx1"/>
                        </w14:solidFill>
                      </w14:textFill>
                    </w:rPr>
                    <w:t>/</w:t>
                  </w:r>
                </w:p>
              </w:tc>
              <w:tc>
                <w:tcPr>
                  <w:tcW w:w="829"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依托</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547" w:hRule="atLeast"/>
                <w:jc w:val="center"/>
              </w:trPr>
              <w:tc>
                <w:tcPr>
                  <w:tcW w:w="775" w:type="dxa"/>
                  <w:vMerge w:val="continue"/>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p>
              </w:tc>
              <w:tc>
                <w:tcPr>
                  <w:tcW w:w="1134" w:type="dxa"/>
                  <w:vMerge w:val="restart"/>
                  <w:tcBorders>
                    <w:tl2br w:val="nil"/>
                    <w:tr2bl w:val="nil"/>
                  </w:tcBorders>
                  <w:vAlign w:val="center"/>
                </w:tcPr>
                <w:p>
                  <w:pPr>
                    <w:adjustRightInd w:val="0"/>
                    <w:snapToGrid w:val="0"/>
                    <w:spacing w:line="288"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排水</w:t>
                  </w:r>
                </w:p>
                <w:p>
                  <w:pPr>
                    <w:adjustRightInd w:val="0"/>
                    <w:snapToGrid w:val="0"/>
                    <w:spacing w:line="288"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工程</w:t>
                  </w:r>
                </w:p>
              </w:tc>
              <w:tc>
                <w:tcPr>
                  <w:tcW w:w="5670" w:type="dxa"/>
                  <w:tcBorders>
                    <w:tl2br w:val="nil"/>
                    <w:tr2bl w:val="nil"/>
                  </w:tcBorders>
                  <w:vAlign w:val="center"/>
                </w:tcPr>
                <w:p>
                  <w:pPr>
                    <w:adjustRightInd w:val="0"/>
                    <w:snapToGrid w:val="0"/>
                    <w:spacing w:line="288" w:lineRule="auto"/>
                    <w:jc w:val="left"/>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采用雨污分流制，雨水排入就近沟渠，</w:t>
                  </w:r>
                  <w:r>
                    <w:rPr>
                      <w:color w:val="000000" w:themeColor="text1"/>
                      <w:sz w:val="21"/>
                      <w14:textFill>
                        <w14:solidFill>
                          <w14:schemeClr w14:val="tx1"/>
                        </w14:solidFill>
                      </w14:textFill>
                    </w:rPr>
                    <w:t>生产废水经</w:t>
                  </w:r>
                  <w:r>
                    <w:rPr>
                      <w:rFonts w:hint="eastAsia"/>
                      <w:color w:val="000000" w:themeColor="text1"/>
                      <w:sz w:val="21"/>
                      <w14:textFill>
                        <w14:solidFill>
                          <w14:schemeClr w14:val="tx1"/>
                        </w14:solidFill>
                      </w14:textFill>
                    </w:rPr>
                    <w:t>沉淀及压滤</w:t>
                  </w:r>
                  <w:r>
                    <w:rPr>
                      <w:color w:val="000000" w:themeColor="text1"/>
                      <w:sz w:val="21"/>
                      <w14:textFill>
                        <w14:solidFill>
                          <w14:schemeClr w14:val="tx1"/>
                        </w14:solidFill>
                      </w14:textFill>
                    </w:rPr>
                    <w:t>处理后</w:t>
                  </w:r>
                  <w:r>
                    <w:rPr>
                      <w:rFonts w:hint="eastAsia"/>
                      <w:color w:val="000000" w:themeColor="text1"/>
                      <w:sz w:val="21"/>
                      <w14:textFill>
                        <w14:solidFill>
                          <w14:schemeClr w14:val="tx1"/>
                        </w14:solidFill>
                      </w14:textFill>
                    </w:rPr>
                    <w:t>回用于生产，不外排</w:t>
                  </w:r>
                  <w:r>
                    <w:rPr>
                      <w:color w:val="000000" w:themeColor="text1"/>
                      <w:sz w:val="21"/>
                      <w14:textFill>
                        <w14:solidFill>
                          <w14:schemeClr w14:val="tx1"/>
                        </w14:solidFill>
                      </w14:textFill>
                    </w:rPr>
                    <w:t>。</w:t>
                  </w:r>
                </w:p>
              </w:tc>
              <w:tc>
                <w:tcPr>
                  <w:tcW w:w="1040"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污泥</w:t>
                  </w:r>
                </w:p>
              </w:tc>
              <w:tc>
                <w:tcPr>
                  <w:tcW w:w="829"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依托</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58" w:hRule="atLeast"/>
                <w:jc w:val="center"/>
              </w:trPr>
              <w:tc>
                <w:tcPr>
                  <w:tcW w:w="775" w:type="dxa"/>
                  <w:vMerge w:val="continue"/>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p>
              </w:tc>
              <w:tc>
                <w:tcPr>
                  <w:tcW w:w="1134" w:type="dxa"/>
                  <w:vMerge w:val="continue"/>
                  <w:tcBorders>
                    <w:tl2br w:val="nil"/>
                    <w:tr2bl w:val="nil"/>
                  </w:tcBorders>
                  <w:vAlign w:val="center"/>
                </w:tcPr>
                <w:p>
                  <w:pPr>
                    <w:adjustRightInd w:val="0"/>
                    <w:snapToGrid w:val="0"/>
                    <w:spacing w:line="288" w:lineRule="auto"/>
                    <w:jc w:val="center"/>
                    <w:rPr>
                      <w:color w:val="000000" w:themeColor="text1"/>
                      <w:sz w:val="21"/>
                      <w14:textFill>
                        <w14:solidFill>
                          <w14:schemeClr w14:val="tx1"/>
                        </w14:solidFill>
                      </w14:textFill>
                    </w:rPr>
                  </w:pPr>
                </w:p>
              </w:tc>
              <w:tc>
                <w:tcPr>
                  <w:tcW w:w="5670" w:type="dxa"/>
                  <w:tcBorders>
                    <w:tl2br w:val="nil"/>
                    <w:tr2bl w:val="nil"/>
                  </w:tcBorders>
                  <w:vAlign w:val="center"/>
                </w:tcPr>
                <w:p>
                  <w:pPr>
                    <w:adjustRightInd w:val="0"/>
                    <w:snapToGrid w:val="0"/>
                    <w:spacing w:line="288" w:lineRule="auto"/>
                    <w:jc w:val="left"/>
                    <w:rPr>
                      <w:color w:val="000000" w:themeColor="text1"/>
                      <w:sz w:val="21"/>
                      <w14:textFill>
                        <w14:solidFill>
                          <w14:schemeClr w14:val="tx1"/>
                        </w14:solidFill>
                      </w14:textFill>
                    </w:rPr>
                  </w:pPr>
                  <w:r>
                    <w:rPr>
                      <w:color w:val="000000" w:themeColor="text1"/>
                      <w:sz w:val="21"/>
                      <w14:textFill>
                        <w14:solidFill>
                          <w14:schemeClr w14:val="tx1"/>
                        </w14:solidFill>
                      </w14:textFill>
                    </w:rPr>
                    <w:t>生活污水经</w:t>
                  </w:r>
                  <w:r>
                    <w:rPr>
                      <w:rFonts w:hint="eastAsia"/>
                      <w:color w:val="000000" w:themeColor="text1"/>
                      <w:sz w:val="21"/>
                      <w14:textFill>
                        <w14:solidFill>
                          <w14:schemeClr w14:val="tx1"/>
                        </w14:solidFill>
                      </w14:textFill>
                    </w:rPr>
                    <w:t>厂区已建的化粪池处理后</w:t>
                  </w:r>
                  <w:r>
                    <w:rPr>
                      <w:color w:val="000000" w:themeColor="text1"/>
                      <w:sz w:val="21"/>
                      <w14:textFill>
                        <w14:solidFill>
                          <w14:schemeClr w14:val="tx1"/>
                        </w14:solidFill>
                      </w14:textFill>
                    </w:rPr>
                    <w:t>用作农肥。</w:t>
                  </w:r>
                </w:p>
              </w:tc>
              <w:tc>
                <w:tcPr>
                  <w:tcW w:w="1040"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snapToGrid w:val="0"/>
                      <w:color w:val="000000" w:themeColor="text1"/>
                      <w:kern w:val="0"/>
                      <w:sz w:val="21"/>
                      <w14:textFill>
                        <w14:solidFill>
                          <w14:schemeClr w14:val="tx1"/>
                        </w14:solidFill>
                      </w14:textFill>
                    </w:rPr>
                    <w:t>生活污水</w:t>
                  </w:r>
                </w:p>
              </w:tc>
              <w:tc>
                <w:tcPr>
                  <w:tcW w:w="829"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依托</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58" w:hRule="atLeast"/>
                <w:jc w:val="center"/>
              </w:trPr>
              <w:tc>
                <w:tcPr>
                  <w:tcW w:w="775" w:type="dxa"/>
                  <w:vMerge w:val="restart"/>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办公及生活</w:t>
                  </w:r>
                </w:p>
              </w:tc>
              <w:tc>
                <w:tcPr>
                  <w:tcW w:w="1134" w:type="dxa"/>
                  <w:tcBorders>
                    <w:tl2br w:val="nil"/>
                    <w:tr2bl w:val="nil"/>
                  </w:tcBorders>
                  <w:vAlign w:val="center"/>
                </w:tcPr>
                <w:p>
                  <w:pPr>
                    <w:adjustRightInd w:val="0"/>
                    <w:snapToGrid w:val="0"/>
                    <w:spacing w:line="288"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办公休息区</w:t>
                  </w:r>
                </w:p>
              </w:tc>
              <w:tc>
                <w:tcPr>
                  <w:tcW w:w="5670" w:type="dxa"/>
                  <w:tcBorders>
                    <w:tl2br w:val="nil"/>
                    <w:tr2bl w:val="nil"/>
                  </w:tcBorders>
                  <w:vAlign w:val="center"/>
                </w:tcPr>
                <w:p>
                  <w:pPr>
                    <w:adjustRightInd w:val="0"/>
                    <w:snapToGrid w:val="0"/>
                    <w:spacing w:line="288" w:lineRule="auto"/>
                    <w:jc w:val="left"/>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在厂区入口北侧设置办公室及休息室，面积约</w:t>
                  </w:r>
                  <w:r>
                    <w:rPr>
                      <w:color w:val="000000" w:themeColor="text1"/>
                      <w:sz w:val="21"/>
                      <w14:textFill>
                        <w14:solidFill>
                          <w14:schemeClr w14:val="tx1"/>
                        </w14:solidFill>
                      </w14:textFill>
                    </w:rPr>
                    <w:t>160</w:t>
                  </w:r>
                  <w:r>
                    <w:rPr>
                      <w:rFonts w:hint="eastAsia"/>
                      <w:color w:val="000000" w:themeColor="text1"/>
                      <w:sz w:val="21"/>
                      <w14:textFill>
                        <w14:solidFill>
                          <w14:schemeClr w14:val="tx1"/>
                        </w14:solidFill>
                      </w14:textFill>
                    </w:rPr>
                    <w:t>平方米，设置办公室、休息室及值班室</w:t>
                  </w:r>
                </w:p>
              </w:tc>
              <w:tc>
                <w:tcPr>
                  <w:tcW w:w="1040"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生活垃圾</w:t>
                  </w:r>
                </w:p>
              </w:tc>
              <w:tc>
                <w:tcPr>
                  <w:tcW w:w="829"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依托</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58" w:hRule="atLeast"/>
                <w:jc w:val="center"/>
              </w:trPr>
              <w:tc>
                <w:tcPr>
                  <w:tcW w:w="775" w:type="dxa"/>
                  <w:vMerge w:val="continue"/>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p>
              </w:tc>
              <w:tc>
                <w:tcPr>
                  <w:tcW w:w="1134" w:type="dxa"/>
                  <w:tcBorders>
                    <w:tl2br w:val="nil"/>
                    <w:tr2bl w:val="nil"/>
                  </w:tcBorders>
                  <w:vAlign w:val="center"/>
                </w:tcPr>
                <w:p>
                  <w:pPr>
                    <w:adjustRightInd w:val="0"/>
                    <w:snapToGrid w:val="0"/>
                    <w:spacing w:line="288"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食堂</w:t>
                  </w:r>
                </w:p>
              </w:tc>
              <w:tc>
                <w:tcPr>
                  <w:tcW w:w="5670" w:type="dxa"/>
                  <w:tcBorders>
                    <w:tl2br w:val="nil"/>
                    <w:tr2bl w:val="nil"/>
                  </w:tcBorders>
                  <w:vAlign w:val="center"/>
                </w:tcPr>
                <w:p>
                  <w:pPr>
                    <w:adjustRightInd w:val="0"/>
                    <w:snapToGrid w:val="0"/>
                    <w:spacing w:line="288" w:lineRule="auto"/>
                    <w:jc w:val="left"/>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在厂区入口北侧办公室区域设置厨房及食堂，供员工就餐</w:t>
                  </w:r>
                </w:p>
              </w:tc>
              <w:tc>
                <w:tcPr>
                  <w:tcW w:w="1040"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油烟、生活垃圾</w:t>
                  </w:r>
                </w:p>
              </w:tc>
              <w:tc>
                <w:tcPr>
                  <w:tcW w:w="829"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依托</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2138" w:hRule="atLeast"/>
                <w:jc w:val="center"/>
              </w:trPr>
              <w:tc>
                <w:tcPr>
                  <w:tcW w:w="775" w:type="dxa"/>
                  <w:vMerge w:val="restart"/>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r>
                    <w:rPr>
                      <w:snapToGrid w:val="0"/>
                      <w:color w:val="000000" w:themeColor="text1"/>
                      <w:kern w:val="0"/>
                      <w:sz w:val="21"/>
                      <w14:textFill>
                        <w14:solidFill>
                          <w14:schemeClr w14:val="tx1"/>
                        </w14:solidFill>
                      </w14:textFill>
                    </w:rPr>
                    <w:t>环保工程</w:t>
                  </w:r>
                </w:p>
              </w:tc>
              <w:tc>
                <w:tcPr>
                  <w:tcW w:w="1134" w:type="dxa"/>
                  <w:vMerge w:val="restart"/>
                  <w:tcBorders>
                    <w:tl2br w:val="nil"/>
                    <w:tr2bl w:val="nil"/>
                  </w:tcBorders>
                  <w:vAlign w:val="center"/>
                </w:tcPr>
                <w:p>
                  <w:pPr>
                    <w:pStyle w:val="23"/>
                    <w:spacing w:before="0" w:after="0" w:line="288" w:lineRule="auto"/>
                    <w:rPr>
                      <w:rFonts w:ascii="Times New Roman"/>
                      <w:snapToGrid w:val="0"/>
                      <w:color w:val="000000" w:themeColor="text1"/>
                      <w:kern w:val="0"/>
                      <w:szCs w:val="21"/>
                      <w14:textFill>
                        <w14:solidFill>
                          <w14:schemeClr w14:val="tx1"/>
                        </w14:solidFill>
                      </w14:textFill>
                    </w:rPr>
                  </w:pPr>
                  <w:r>
                    <w:rPr>
                      <w:rFonts w:ascii="Times New Roman"/>
                      <w:snapToGrid w:val="0"/>
                      <w:color w:val="000000" w:themeColor="text1"/>
                      <w:kern w:val="0"/>
                      <w:szCs w:val="21"/>
                      <w14:textFill>
                        <w14:solidFill>
                          <w14:schemeClr w14:val="tx1"/>
                        </w14:solidFill>
                      </w14:textFill>
                    </w:rPr>
                    <w:t>废水处理设施</w:t>
                  </w:r>
                </w:p>
              </w:tc>
              <w:tc>
                <w:tcPr>
                  <w:tcW w:w="5670" w:type="dxa"/>
                  <w:tcBorders>
                    <w:tl2br w:val="nil"/>
                    <w:tr2bl w:val="nil"/>
                  </w:tcBorders>
                  <w:vAlign w:val="center"/>
                </w:tcPr>
                <w:p>
                  <w:pPr>
                    <w:spacing w:line="264" w:lineRule="auto"/>
                    <w:rPr>
                      <w:color w:val="000000" w:themeColor="text1"/>
                      <w:sz w:val="21"/>
                      <w14:textFill>
                        <w14:solidFill>
                          <w14:schemeClr w14:val="tx1"/>
                        </w14:solidFill>
                      </w14:textFill>
                    </w:rPr>
                  </w:pPr>
                  <w:r>
                    <w:rPr>
                      <w:b/>
                      <w:bCs/>
                      <w:color w:val="000000" w:themeColor="text1"/>
                      <w:sz w:val="21"/>
                      <w14:textFill>
                        <w14:solidFill>
                          <w14:schemeClr w14:val="tx1"/>
                        </w14:solidFill>
                      </w14:textFill>
                    </w:rPr>
                    <w:t>废水处理系统：</w:t>
                  </w:r>
                  <w:r>
                    <w:rPr>
                      <w:color w:val="000000" w:themeColor="text1"/>
                      <w:sz w:val="21"/>
                      <w14:textFill>
                        <w14:solidFill>
                          <w14:schemeClr w14:val="tx1"/>
                        </w14:solidFill>
                      </w14:textFill>
                    </w:rPr>
                    <w:t>厂区</w:t>
                  </w:r>
                  <w:r>
                    <w:rPr>
                      <w:rFonts w:hint="eastAsia"/>
                      <w:color w:val="000000" w:themeColor="text1"/>
                      <w:sz w:val="21"/>
                      <w14:textFill>
                        <w14:solidFill>
                          <w14:schemeClr w14:val="tx1"/>
                        </w14:solidFill>
                      </w14:textFill>
                    </w:rPr>
                    <w:t>南</w:t>
                  </w:r>
                  <w:r>
                    <w:rPr>
                      <w:color w:val="000000" w:themeColor="text1"/>
                      <w:sz w:val="21"/>
                      <w14:textFill>
                        <w14:solidFill>
                          <w14:schemeClr w14:val="tx1"/>
                        </w14:solidFill>
                      </w14:textFill>
                    </w:rPr>
                    <w:t>侧设置1套废水处理系统，</w:t>
                  </w:r>
                  <w:r>
                    <w:rPr>
                      <w:rFonts w:hint="eastAsia"/>
                      <w:color w:val="000000" w:themeColor="text1"/>
                      <w:sz w:val="21"/>
                      <w14:textFill>
                        <w14:solidFill>
                          <w14:schemeClr w14:val="tx1"/>
                        </w14:solidFill>
                      </w14:textFill>
                    </w:rPr>
                    <w:t>处理能理</w:t>
                  </w:r>
                  <w:r>
                    <w:rPr>
                      <w:color w:val="000000" w:themeColor="text1"/>
                      <w:sz w:val="21"/>
                      <w14:textFill>
                        <w14:solidFill>
                          <w14:schemeClr w14:val="tx1"/>
                        </w14:solidFill>
                      </w14:textFill>
                    </w:rPr>
                    <w:t>40</w:t>
                  </w:r>
                  <w:r>
                    <w:rPr>
                      <w:rFonts w:hint="eastAsia"/>
                      <w:color w:val="000000" w:themeColor="text1"/>
                      <w:sz w:val="21"/>
                      <w14:textFill>
                        <w14:solidFill>
                          <w14:schemeClr w14:val="tx1"/>
                        </w14:solidFill>
                      </w14:textFill>
                    </w:rPr>
                    <w:t>0m</w:t>
                  </w:r>
                  <w:r>
                    <w:rPr>
                      <w:rFonts w:hint="eastAsia"/>
                      <w:color w:val="000000" w:themeColor="text1"/>
                      <w:sz w:val="21"/>
                      <w:vertAlign w:val="superscript"/>
                      <w14:textFill>
                        <w14:solidFill>
                          <w14:schemeClr w14:val="tx1"/>
                        </w14:solidFill>
                      </w14:textFill>
                    </w:rPr>
                    <w:t>3</w:t>
                  </w:r>
                  <w:r>
                    <w:rPr>
                      <w:rFonts w:hint="eastAsia"/>
                      <w:color w:val="000000" w:themeColor="text1"/>
                      <w:sz w:val="21"/>
                      <w14:textFill>
                        <w14:solidFill>
                          <w14:schemeClr w14:val="tx1"/>
                        </w14:solidFill>
                      </w14:textFill>
                    </w:rPr>
                    <w:t>/d，</w:t>
                  </w:r>
                  <w:r>
                    <w:rPr>
                      <w:bCs/>
                      <w:color w:val="000000" w:themeColor="text1"/>
                      <w:sz w:val="21"/>
                      <w14:textFill>
                        <w14:solidFill>
                          <w14:schemeClr w14:val="tx1"/>
                        </w14:solidFill>
                      </w14:textFill>
                    </w:rPr>
                    <w:t>包括2个洗砂废水</w:t>
                  </w:r>
                  <w:r>
                    <w:rPr>
                      <w:rFonts w:hint="eastAsia"/>
                      <w:bCs/>
                      <w:color w:val="000000" w:themeColor="text1"/>
                      <w:sz w:val="21"/>
                      <w14:textFill>
                        <w14:solidFill>
                          <w14:schemeClr w14:val="tx1"/>
                        </w14:solidFill>
                      </w14:textFill>
                    </w:rPr>
                    <w:t>沉淀池</w:t>
                  </w:r>
                  <w:r>
                    <w:rPr>
                      <w:bCs/>
                      <w:color w:val="000000" w:themeColor="text1"/>
                      <w:sz w:val="21"/>
                      <w14:textFill>
                        <w14:solidFill>
                          <w14:schemeClr w14:val="tx1"/>
                        </w14:solidFill>
                      </w14:textFill>
                    </w:rPr>
                    <w:t>（</w:t>
                  </w:r>
                  <w:r>
                    <w:rPr>
                      <w:rFonts w:hint="eastAsia"/>
                      <w:bCs/>
                      <w:color w:val="000000" w:themeColor="text1"/>
                      <w:sz w:val="21"/>
                      <w14:textFill>
                        <w14:solidFill>
                          <w14:schemeClr w14:val="tx1"/>
                        </w14:solidFill>
                      </w14:textFill>
                    </w:rPr>
                    <w:t>每个20</w:t>
                  </w:r>
                  <w:r>
                    <w:rPr>
                      <w:bCs/>
                      <w:color w:val="000000" w:themeColor="text1"/>
                      <w:sz w:val="21"/>
                      <w14:textFill>
                        <w14:solidFill>
                          <w14:schemeClr w14:val="tx1"/>
                        </w14:solidFill>
                      </w14:textFill>
                    </w:rPr>
                    <w:t>m</w:t>
                  </w:r>
                  <w:r>
                    <w:rPr>
                      <w:bCs/>
                      <w:color w:val="000000" w:themeColor="text1"/>
                      <w:sz w:val="21"/>
                      <w:vertAlign w:val="superscript"/>
                      <w14:textFill>
                        <w14:solidFill>
                          <w14:schemeClr w14:val="tx1"/>
                        </w14:solidFill>
                      </w14:textFill>
                    </w:rPr>
                    <w:t>3</w:t>
                  </w:r>
                  <w:r>
                    <w:rPr>
                      <w:bCs/>
                      <w:color w:val="000000" w:themeColor="text1"/>
                      <w:sz w:val="21"/>
                      <w14:textFill>
                        <w14:solidFill>
                          <w14:schemeClr w14:val="tx1"/>
                        </w14:solidFill>
                      </w14:textFill>
                    </w:rPr>
                    <w:t>）、</w:t>
                  </w:r>
                  <w:r>
                    <w:rPr>
                      <w:rFonts w:hint="eastAsia"/>
                      <w:bCs/>
                      <w:color w:val="000000" w:themeColor="text1"/>
                      <w:sz w:val="21"/>
                      <w14:textFill>
                        <w14:solidFill>
                          <w14:schemeClr w14:val="tx1"/>
                        </w14:solidFill>
                      </w14:textFill>
                    </w:rPr>
                    <w:t>1</w:t>
                  </w:r>
                  <w:r>
                    <w:rPr>
                      <w:bCs/>
                      <w:color w:val="000000" w:themeColor="text1"/>
                      <w:sz w:val="21"/>
                      <w14:textFill>
                        <w14:solidFill>
                          <w14:schemeClr w14:val="tx1"/>
                        </w14:solidFill>
                      </w14:textFill>
                    </w:rPr>
                    <w:t>个污泥浓缩罐（1</w:t>
                  </w:r>
                  <w:r>
                    <w:rPr>
                      <w:rFonts w:hint="eastAsia"/>
                      <w:bCs/>
                      <w:color w:val="000000" w:themeColor="text1"/>
                      <w:sz w:val="21"/>
                      <w14:textFill>
                        <w14:solidFill>
                          <w14:schemeClr w14:val="tx1"/>
                        </w14:solidFill>
                      </w14:textFill>
                    </w:rPr>
                    <w:t>00t</w:t>
                  </w:r>
                  <w:r>
                    <w:rPr>
                      <w:bCs/>
                      <w:color w:val="000000" w:themeColor="text1"/>
                      <w:sz w:val="21"/>
                      <w14:textFill>
                        <w14:solidFill>
                          <w14:schemeClr w14:val="tx1"/>
                        </w14:solidFill>
                      </w14:textFill>
                    </w:rPr>
                    <w:t>）、1个清水池（40</w:t>
                  </w:r>
                  <w:r>
                    <w:rPr>
                      <w:rFonts w:hint="eastAsia"/>
                      <w:bCs/>
                      <w:color w:val="000000" w:themeColor="text1"/>
                      <w:sz w:val="21"/>
                      <w14:textFill>
                        <w14:solidFill>
                          <w14:schemeClr w14:val="tx1"/>
                        </w14:solidFill>
                      </w14:textFill>
                    </w:rPr>
                    <w:t>0</w:t>
                  </w:r>
                  <w:r>
                    <w:rPr>
                      <w:bCs/>
                      <w:color w:val="000000" w:themeColor="text1"/>
                      <w:sz w:val="21"/>
                      <w14:textFill>
                        <w14:solidFill>
                          <w14:schemeClr w14:val="tx1"/>
                        </w14:solidFill>
                      </w14:textFill>
                    </w:rPr>
                    <w:t>m</w:t>
                  </w:r>
                  <w:r>
                    <w:rPr>
                      <w:bCs/>
                      <w:color w:val="000000" w:themeColor="text1"/>
                      <w:sz w:val="21"/>
                      <w:vertAlign w:val="superscript"/>
                      <w14:textFill>
                        <w14:solidFill>
                          <w14:schemeClr w14:val="tx1"/>
                        </w14:solidFill>
                      </w14:textFill>
                    </w:rPr>
                    <w:t>3</w:t>
                  </w:r>
                  <w:r>
                    <w:rPr>
                      <w:bCs/>
                      <w:color w:val="000000" w:themeColor="text1"/>
                      <w:sz w:val="21"/>
                      <w14:textFill>
                        <w14:solidFill>
                          <w14:schemeClr w14:val="tx1"/>
                        </w14:solidFill>
                      </w14:textFill>
                    </w:rPr>
                    <w:t>）、加药系统、压滤系统</w:t>
                  </w:r>
                  <w:r>
                    <w:rPr>
                      <w:color w:val="000000" w:themeColor="text1"/>
                      <w:sz w:val="21"/>
                      <w14:textFill>
                        <w14:solidFill>
                          <w14:schemeClr w14:val="tx1"/>
                        </w14:solidFill>
                      </w14:textFill>
                    </w:rPr>
                    <w:t>等组成。筛分洗砂废水经收集后由泵抽至</w:t>
                  </w: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套污</w:t>
                  </w:r>
                  <w:r>
                    <w:rPr>
                      <w:rFonts w:hint="eastAsia"/>
                      <w:color w:val="000000" w:themeColor="text1"/>
                      <w:sz w:val="21"/>
                      <w14:textFill>
                        <w14:solidFill>
                          <w14:schemeClr w14:val="tx1"/>
                        </w14:solidFill>
                      </w14:textFill>
                    </w:rPr>
                    <w:t>泥</w:t>
                  </w:r>
                  <w:r>
                    <w:rPr>
                      <w:color w:val="000000" w:themeColor="text1"/>
                      <w:sz w:val="21"/>
                      <w14:textFill>
                        <w14:solidFill>
                          <w14:schemeClr w14:val="tx1"/>
                        </w14:solidFill>
                      </w14:textFill>
                    </w:rPr>
                    <w:t>浓缩罐，经添加絮凝剂快速沉淀后，废水循环使用。</w:t>
                  </w:r>
                </w:p>
              </w:tc>
              <w:tc>
                <w:tcPr>
                  <w:tcW w:w="1040" w:type="dxa"/>
                  <w:tcBorders>
                    <w:tl2br w:val="nil"/>
                    <w:tr2bl w:val="nil"/>
                  </w:tcBorders>
                  <w:vAlign w:val="center"/>
                </w:tcPr>
                <w:p>
                  <w:pPr>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沉淀泥沙</w:t>
                  </w:r>
                  <w:r>
                    <w:rPr>
                      <w:snapToGrid w:val="0"/>
                      <w:color w:val="000000" w:themeColor="text1"/>
                      <w:kern w:val="0"/>
                      <w:sz w:val="21"/>
                      <w14:textFill>
                        <w14:solidFill>
                          <w14:schemeClr w14:val="tx1"/>
                        </w14:solidFill>
                      </w14:textFill>
                    </w:rPr>
                    <w:t>、噪声</w:t>
                  </w:r>
                </w:p>
              </w:tc>
              <w:tc>
                <w:tcPr>
                  <w:tcW w:w="829" w:type="dxa"/>
                  <w:tcBorders>
                    <w:tl2br w:val="nil"/>
                    <w:tr2bl w:val="nil"/>
                  </w:tcBorders>
                  <w:vAlign w:val="center"/>
                </w:tcPr>
                <w:p>
                  <w:pPr>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依托</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91" w:hRule="atLeast"/>
                <w:jc w:val="center"/>
              </w:trPr>
              <w:tc>
                <w:tcPr>
                  <w:tcW w:w="775" w:type="dxa"/>
                  <w:vMerge w:val="continue"/>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p>
              </w:tc>
              <w:tc>
                <w:tcPr>
                  <w:tcW w:w="1134" w:type="dxa"/>
                  <w:vMerge w:val="continue"/>
                  <w:tcBorders>
                    <w:tl2br w:val="nil"/>
                    <w:tr2bl w:val="nil"/>
                  </w:tcBorders>
                  <w:vAlign w:val="center"/>
                </w:tcPr>
                <w:p>
                  <w:pPr>
                    <w:pStyle w:val="23"/>
                    <w:spacing w:before="0" w:after="0" w:line="288" w:lineRule="auto"/>
                    <w:rPr>
                      <w:rFonts w:ascii="Times New Roman"/>
                      <w:snapToGrid w:val="0"/>
                      <w:color w:val="000000" w:themeColor="text1"/>
                      <w:kern w:val="0"/>
                      <w:szCs w:val="21"/>
                      <w14:textFill>
                        <w14:solidFill>
                          <w14:schemeClr w14:val="tx1"/>
                        </w14:solidFill>
                      </w14:textFill>
                    </w:rPr>
                  </w:pPr>
                </w:p>
              </w:tc>
              <w:tc>
                <w:tcPr>
                  <w:tcW w:w="5670" w:type="dxa"/>
                  <w:tcBorders>
                    <w:tl2br w:val="nil"/>
                    <w:tr2bl w:val="nil"/>
                  </w:tcBorders>
                  <w:vAlign w:val="center"/>
                </w:tcPr>
                <w:p>
                  <w:pPr>
                    <w:spacing w:line="264" w:lineRule="auto"/>
                    <w:jc w:val="left"/>
                    <w:rPr>
                      <w:color w:val="000000" w:themeColor="text1"/>
                      <w:sz w:val="21"/>
                      <w14:textFill>
                        <w14:solidFill>
                          <w14:schemeClr w14:val="tx1"/>
                        </w14:solidFill>
                      </w14:textFill>
                    </w:rPr>
                  </w:pPr>
                  <w:r>
                    <w:rPr>
                      <w:b/>
                      <w:bCs/>
                      <w:color w:val="000000" w:themeColor="text1"/>
                      <w:sz w:val="21"/>
                      <w14:textFill>
                        <w14:solidFill>
                          <w14:schemeClr w14:val="tx1"/>
                        </w14:solidFill>
                      </w14:textFill>
                    </w:rPr>
                    <w:t>生活污水：</w:t>
                  </w:r>
                  <w:r>
                    <w:rPr>
                      <w:rFonts w:hint="eastAsia"/>
                      <w:color w:val="000000" w:themeColor="text1"/>
                      <w:sz w:val="21"/>
                      <w14:textFill>
                        <w14:solidFill>
                          <w14:schemeClr w14:val="tx1"/>
                        </w14:solidFill>
                      </w14:textFill>
                    </w:rPr>
                    <w:t>依托厂区内已建的</w:t>
                  </w:r>
                  <w:r>
                    <w:rPr>
                      <w:color w:val="000000" w:themeColor="text1"/>
                      <w:sz w:val="21"/>
                      <w14:textFill>
                        <w14:solidFill>
                          <w14:schemeClr w14:val="tx1"/>
                        </w14:solidFill>
                      </w14:textFill>
                    </w:rPr>
                    <w:t>1个容积3m</w:t>
                  </w:r>
                  <w:r>
                    <w:rPr>
                      <w:color w:val="000000" w:themeColor="text1"/>
                      <w:sz w:val="21"/>
                      <w:vertAlign w:val="superscript"/>
                      <w14:textFill>
                        <w14:solidFill>
                          <w14:schemeClr w14:val="tx1"/>
                        </w14:solidFill>
                      </w14:textFill>
                    </w:rPr>
                    <w:t>3</w:t>
                  </w:r>
                  <w:r>
                    <w:rPr>
                      <w:rFonts w:hint="eastAsia"/>
                      <w:color w:val="000000" w:themeColor="text1"/>
                      <w:sz w:val="21"/>
                      <w14:textFill>
                        <w14:solidFill>
                          <w14:schemeClr w14:val="tx1"/>
                        </w14:solidFill>
                      </w14:textFill>
                    </w:rPr>
                    <w:t>的化粪池</w:t>
                  </w:r>
                  <w:r>
                    <w:rPr>
                      <w:color w:val="000000" w:themeColor="text1"/>
                      <w:sz w:val="21"/>
                      <w14:textFill>
                        <w14:solidFill>
                          <w14:schemeClr w14:val="tx1"/>
                        </w14:solidFill>
                      </w14:textFill>
                    </w:rPr>
                    <w:t>，员工日常生活污水经</w:t>
                  </w:r>
                  <w:r>
                    <w:rPr>
                      <w:rFonts w:hint="eastAsia"/>
                      <w:color w:val="000000" w:themeColor="text1"/>
                      <w:sz w:val="21"/>
                      <w14:textFill>
                        <w14:solidFill>
                          <w14:schemeClr w14:val="tx1"/>
                        </w14:solidFill>
                      </w14:textFill>
                    </w:rPr>
                    <w:t>厂区化粪池</w:t>
                  </w:r>
                  <w:r>
                    <w:rPr>
                      <w:color w:val="000000" w:themeColor="text1"/>
                      <w:sz w:val="21"/>
                      <w14:textFill>
                        <w14:solidFill>
                          <w14:schemeClr w14:val="tx1"/>
                        </w14:solidFill>
                      </w14:textFill>
                    </w:rPr>
                    <w:t>处理后用作农肥。</w:t>
                  </w:r>
                </w:p>
              </w:tc>
              <w:tc>
                <w:tcPr>
                  <w:tcW w:w="1040" w:type="dxa"/>
                  <w:tcBorders>
                    <w:tl2br w:val="nil"/>
                    <w:tr2bl w:val="nil"/>
                  </w:tcBorders>
                  <w:vAlign w:val="center"/>
                </w:tcPr>
                <w:p>
                  <w:pPr>
                    <w:snapToGrid w:val="0"/>
                    <w:spacing w:line="288" w:lineRule="auto"/>
                    <w:jc w:val="center"/>
                    <w:rPr>
                      <w:snapToGrid w:val="0"/>
                      <w:color w:val="000000" w:themeColor="text1"/>
                      <w:kern w:val="0"/>
                      <w:sz w:val="21"/>
                      <w14:textFill>
                        <w14:solidFill>
                          <w14:schemeClr w14:val="tx1"/>
                        </w14:solidFill>
                      </w14:textFill>
                    </w:rPr>
                  </w:pPr>
                  <w:r>
                    <w:rPr>
                      <w:snapToGrid w:val="0"/>
                      <w:color w:val="000000" w:themeColor="text1"/>
                      <w:kern w:val="0"/>
                      <w:sz w:val="21"/>
                      <w14:textFill>
                        <w14:solidFill>
                          <w14:schemeClr w14:val="tx1"/>
                        </w14:solidFill>
                      </w14:textFill>
                    </w:rPr>
                    <w:t>/</w:t>
                  </w:r>
                </w:p>
              </w:tc>
              <w:tc>
                <w:tcPr>
                  <w:tcW w:w="829" w:type="dxa"/>
                  <w:tcBorders>
                    <w:tl2br w:val="nil"/>
                    <w:tr2bl w:val="nil"/>
                  </w:tcBorders>
                  <w:vAlign w:val="center"/>
                </w:tcPr>
                <w:p>
                  <w:pPr>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依托</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1157" w:hRule="atLeast"/>
                <w:jc w:val="center"/>
              </w:trPr>
              <w:tc>
                <w:tcPr>
                  <w:tcW w:w="775" w:type="dxa"/>
                  <w:vMerge w:val="continue"/>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p>
              </w:tc>
              <w:tc>
                <w:tcPr>
                  <w:tcW w:w="1134" w:type="dxa"/>
                  <w:vMerge w:val="continue"/>
                  <w:tcBorders>
                    <w:tl2br w:val="nil"/>
                    <w:tr2bl w:val="nil"/>
                  </w:tcBorders>
                  <w:vAlign w:val="center"/>
                </w:tcPr>
                <w:p>
                  <w:pPr>
                    <w:pStyle w:val="23"/>
                    <w:spacing w:before="0" w:after="0" w:line="288" w:lineRule="auto"/>
                    <w:rPr>
                      <w:rFonts w:ascii="Times New Roman"/>
                      <w:snapToGrid w:val="0"/>
                      <w:color w:val="000000" w:themeColor="text1"/>
                      <w:kern w:val="0"/>
                      <w:szCs w:val="21"/>
                      <w14:textFill>
                        <w14:solidFill>
                          <w14:schemeClr w14:val="tx1"/>
                        </w14:solidFill>
                      </w14:textFill>
                    </w:rPr>
                  </w:pPr>
                </w:p>
              </w:tc>
              <w:tc>
                <w:tcPr>
                  <w:tcW w:w="5670" w:type="dxa"/>
                  <w:tcBorders>
                    <w:tl2br w:val="nil"/>
                    <w:tr2bl w:val="nil"/>
                  </w:tcBorders>
                  <w:vAlign w:val="center"/>
                </w:tcPr>
                <w:p>
                  <w:pPr>
                    <w:spacing w:line="264" w:lineRule="auto"/>
                    <w:jc w:val="left"/>
                    <w:rPr>
                      <w:snapToGrid w:val="0"/>
                      <w:color w:val="000000" w:themeColor="text1"/>
                      <w:kern w:val="0"/>
                      <w:sz w:val="21"/>
                      <w14:textFill>
                        <w14:solidFill>
                          <w14:schemeClr w14:val="tx1"/>
                        </w14:solidFill>
                      </w14:textFill>
                    </w:rPr>
                  </w:pPr>
                  <w:r>
                    <w:rPr>
                      <w:rFonts w:hint="eastAsia"/>
                      <w:b/>
                      <w:bCs/>
                      <w:color w:val="000000" w:themeColor="text1"/>
                      <w:sz w:val="21"/>
                      <w14:textFill>
                        <w14:solidFill>
                          <w14:schemeClr w14:val="tx1"/>
                        </w14:solidFill>
                      </w14:textFill>
                    </w:rPr>
                    <w:t>产品渗沥水</w:t>
                  </w:r>
                  <w:r>
                    <w:rPr>
                      <w:b/>
                      <w:bCs/>
                      <w:color w:val="000000" w:themeColor="text1"/>
                      <w:sz w:val="21"/>
                      <w14:textFill>
                        <w14:solidFill>
                          <w14:schemeClr w14:val="tx1"/>
                        </w14:solidFill>
                      </w14:textFill>
                    </w:rPr>
                    <w:t>：</w:t>
                  </w:r>
                  <w:r>
                    <w:rPr>
                      <w:rFonts w:hint="eastAsia"/>
                      <w:snapToGrid w:val="0"/>
                      <w:color w:val="000000" w:themeColor="text1"/>
                      <w:kern w:val="0"/>
                      <w:sz w:val="21"/>
                      <w14:textFill>
                        <w14:solidFill>
                          <w14:schemeClr w14:val="tx1"/>
                        </w14:solidFill>
                      </w14:textFill>
                    </w:rPr>
                    <w:t>目前成品堆场为露天堆场，堆场未设置导水沟；</w:t>
                  </w:r>
                </w:p>
                <w:p>
                  <w:pPr>
                    <w:spacing w:line="264" w:lineRule="auto"/>
                    <w:jc w:val="left"/>
                    <w:rPr>
                      <w:b/>
                      <w:bCs/>
                      <w:color w:val="000000" w:themeColor="text1"/>
                      <w:sz w:val="21"/>
                      <w14:textFill>
                        <w14:solidFill>
                          <w14:schemeClr w14:val="tx1"/>
                        </w14:solidFill>
                      </w14:textFill>
                    </w:rPr>
                  </w:pPr>
                  <w:r>
                    <w:rPr>
                      <w:rFonts w:hint="eastAsia"/>
                      <w:b/>
                      <w:snapToGrid w:val="0"/>
                      <w:color w:val="000000" w:themeColor="text1"/>
                      <w:kern w:val="0"/>
                      <w:sz w:val="21"/>
                      <w14:textFill>
                        <w14:solidFill>
                          <w14:schemeClr w14:val="tx1"/>
                        </w14:solidFill>
                      </w14:textFill>
                    </w:rPr>
                    <w:t>整改措施：成品堆场设导水沟接通沉淀池，将渗沥水收集至洗砂废水处理设施处理后回用不外排</w:t>
                  </w:r>
                </w:p>
              </w:tc>
              <w:tc>
                <w:tcPr>
                  <w:tcW w:w="1040" w:type="dxa"/>
                  <w:tcBorders>
                    <w:tl2br w:val="nil"/>
                    <w:tr2bl w:val="nil"/>
                  </w:tcBorders>
                  <w:vAlign w:val="center"/>
                </w:tcPr>
                <w:p>
                  <w:pPr>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w:t>
                  </w:r>
                </w:p>
              </w:tc>
              <w:tc>
                <w:tcPr>
                  <w:tcW w:w="829" w:type="dxa"/>
                  <w:tcBorders>
                    <w:tl2br w:val="nil"/>
                    <w:tr2bl w:val="nil"/>
                  </w:tcBorders>
                  <w:vAlign w:val="center"/>
                </w:tcPr>
                <w:p>
                  <w:pPr>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整改</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1157" w:hRule="atLeast"/>
                <w:jc w:val="center"/>
              </w:trPr>
              <w:tc>
                <w:tcPr>
                  <w:tcW w:w="775" w:type="dxa"/>
                  <w:vMerge w:val="continue"/>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p>
              </w:tc>
              <w:tc>
                <w:tcPr>
                  <w:tcW w:w="1134" w:type="dxa"/>
                  <w:vMerge w:val="continue"/>
                  <w:tcBorders>
                    <w:tl2br w:val="nil"/>
                    <w:tr2bl w:val="nil"/>
                  </w:tcBorders>
                  <w:vAlign w:val="center"/>
                </w:tcPr>
                <w:p>
                  <w:pPr>
                    <w:pStyle w:val="23"/>
                    <w:spacing w:before="0" w:after="0" w:line="288" w:lineRule="auto"/>
                    <w:rPr>
                      <w:rFonts w:ascii="Times New Roman"/>
                      <w:snapToGrid w:val="0"/>
                      <w:color w:val="000000" w:themeColor="text1"/>
                      <w:kern w:val="0"/>
                      <w:szCs w:val="21"/>
                      <w14:textFill>
                        <w14:solidFill>
                          <w14:schemeClr w14:val="tx1"/>
                        </w14:solidFill>
                      </w14:textFill>
                    </w:rPr>
                  </w:pPr>
                </w:p>
              </w:tc>
              <w:tc>
                <w:tcPr>
                  <w:tcW w:w="5670" w:type="dxa"/>
                  <w:tcBorders>
                    <w:tl2br w:val="nil"/>
                    <w:tr2bl w:val="nil"/>
                  </w:tcBorders>
                  <w:vAlign w:val="center"/>
                </w:tcPr>
                <w:p>
                  <w:pPr>
                    <w:spacing w:line="264" w:lineRule="auto"/>
                    <w:jc w:val="left"/>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场地初期雨水：</w:t>
                  </w:r>
                  <w:r>
                    <w:rPr>
                      <w:rFonts w:hint="eastAsia"/>
                      <w:bCs/>
                      <w:color w:val="000000" w:themeColor="text1"/>
                      <w:sz w:val="21"/>
                      <w14:textFill>
                        <w14:solidFill>
                          <w14:schemeClr w14:val="tx1"/>
                        </w14:solidFill>
                      </w14:textFill>
                    </w:rPr>
                    <w:t>在厂区地势最低处设置1个雨水收集池，容积约50m³ ，初期雨水回用生产，不外排。</w:t>
                  </w:r>
                </w:p>
              </w:tc>
              <w:tc>
                <w:tcPr>
                  <w:tcW w:w="1040" w:type="dxa"/>
                  <w:tcBorders>
                    <w:tl2br w:val="nil"/>
                    <w:tr2bl w:val="nil"/>
                  </w:tcBorders>
                  <w:vAlign w:val="center"/>
                </w:tcPr>
                <w:p>
                  <w:pPr>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w:t>
                  </w:r>
                </w:p>
              </w:tc>
              <w:tc>
                <w:tcPr>
                  <w:tcW w:w="829" w:type="dxa"/>
                  <w:tcBorders>
                    <w:tl2br w:val="nil"/>
                    <w:tr2bl w:val="nil"/>
                  </w:tcBorders>
                  <w:vAlign w:val="center"/>
                </w:tcPr>
                <w:p>
                  <w:pPr>
                    <w:snapToGrid w:val="0"/>
                    <w:spacing w:line="288" w:lineRule="auto"/>
                    <w:jc w:val="center"/>
                    <w:rPr>
                      <w:snapToGrid w:val="0"/>
                      <w:color w:val="000000" w:themeColor="text1"/>
                      <w:kern w:val="0"/>
                      <w:sz w:val="21"/>
                      <w14:textFill>
                        <w14:solidFill>
                          <w14:schemeClr w14:val="tx1"/>
                        </w14:solidFill>
                      </w14:textFill>
                    </w:rPr>
                  </w:pPr>
                  <w:r>
                    <w:rPr>
                      <w:rFonts w:hint="eastAsia"/>
                      <w:snapToGrid w:val="0"/>
                      <w:kern w:val="0"/>
                      <w:sz w:val="21"/>
                    </w:rPr>
                    <w:t>已建</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24" w:hRule="atLeast"/>
                <w:jc w:val="center"/>
              </w:trPr>
              <w:tc>
                <w:tcPr>
                  <w:tcW w:w="775" w:type="dxa"/>
                  <w:vMerge w:val="continue"/>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p>
              </w:tc>
              <w:tc>
                <w:tcPr>
                  <w:tcW w:w="1134" w:type="dxa"/>
                  <w:vMerge w:val="continue"/>
                  <w:tcBorders>
                    <w:tl2br w:val="nil"/>
                    <w:tr2bl w:val="nil"/>
                  </w:tcBorders>
                  <w:vAlign w:val="center"/>
                </w:tcPr>
                <w:p>
                  <w:pPr>
                    <w:pStyle w:val="23"/>
                    <w:spacing w:before="0" w:after="0" w:line="288" w:lineRule="auto"/>
                    <w:rPr>
                      <w:rFonts w:ascii="Times New Roman"/>
                      <w:snapToGrid w:val="0"/>
                      <w:color w:val="000000" w:themeColor="text1"/>
                      <w:kern w:val="0"/>
                      <w:szCs w:val="21"/>
                      <w14:textFill>
                        <w14:solidFill>
                          <w14:schemeClr w14:val="tx1"/>
                        </w14:solidFill>
                      </w14:textFill>
                    </w:rPr>
                  </w:pPr>
                </w:p>
              </w:tc>
              <w:tc>
                <w:tcPr>
                  <w:tcW w:w="5670" w:type="dxa"/>
                  <w:tcBorders>
                    <w:tl2br w:val="nil"/>
                    <w:tr2bl w:val="nil"/>
                  </w:tcBorders>
                  <w:vAlign w:val="center"/>
                </w:tcPr>
                <w:p>
                  <w:pPr>
                    <w:spacing w:line="264" w:lineRule="auto"/>
                    <w:jc w:val="left"/>
                    <w:rPr>
                      <w:color w:val="000000" w:themeColor="text1"/>
                      <w:sz w:val="21"/>
                      <w14:textFill>
                        <w14:solidFill>
                          <w14:schemeClr w14:val="tx1"/>
                        </w14:solidFill>
                      </w14:textFill>
                    </w:rPr>
                  </w:pPr>
                  <w:r>
                    <w:rPr>
                      <w:b/>
                      <w:bCs/>
                      <w:color w:val="000000" w:themeColor="text1"/>
                      <w:sz w:val="21"/>
                      <w14:textFill>
                        <w14:solidFill>
                          <w14:schemeClr w14:val="tx1"/>
                        </w14:solidFill>
                      </w14:textFill>
                    </w:rPr>
                    <w:t>车辆冲洗废水：</w:t>
                  </w:r>
                  <w:r>
                    <w:rPr>
                      <w:rFonts w:hint="eastAsia"/>
                      <w:color w:val="000000" w:themeColor="text1"/>
                      <w:sz w:val="21"/>
                      <w14:textFill>
                        <w14:solidFill>
                          <w14:schemeClr w14:val="tx1"/>
                        </w14:solidFill>
                      </w14:textFill>
                    </w:rPr>
                    <w:t>设沉淀池（容积 4m³）收集冲洗废水，沉淀处理后回用不外排</w:t>
                  </w:r>
                  <w:r>
                    <w:rPr>
                      <w:color w:val="000000" w:themeColor="text1"/>
                      <w:sz w:val="21"/>
                      <w14:textFill>
                        <w14:solidFill>
                          <w14:schemeClr w14:val="tx1"/>
                        </w14:solidFill>
                      </w14:textFill>
                    </w:rPr>
                    <w:t>。</w:t>
                  </w:r>
                </w:p>
              </w:tc>
              <w:tc>
                <w:tcPr>
                  <w:tcW w:w="1040" w:type="dxa"/>
                  <w:tcBorders>
                    <w:tl2br w:val="nil"/>
                    <w:tr2bl w:val="nil"/>
                  </w:tcBorders>
                  <w:vAlign w:val="center"/>
                </w:tcPr>
                <w:p>
                  <w:pPr>
                    <w:snapToGrid w:val="0"/>
                    <w:spacing w:line="288" w:lineRule="auto"/>
                    <w:jc w:val="center"/>
                    <w:rPr>
                      <w:snapToGrid w:val="0"/>
                      <w:color w:val="000000" w:themeColor="text1"/>
                      <w:kern w:val="0"/>
                      <w:sz w:val="21"/>
                      <w14:textFill>
                        <w14:solidFill>
                          <w14:schemeClr w14:val="tx1"/>
                        </w14:solidFill>
                      </w14:textFill>
                    </w:rPr>
                  </w:pPr>
                  <w:r>
                    <w:rPr>
                      <w:snapToGrid w:val="0"/>
                      <w:color w:val="000000" w:themeColor="text1"/>
                      <w:kern w:val="0"/>
                      <w:sz w:val="21"/>
                      <w14:textFill>
                        <w14:solidFill>
                          <w14:schemeClr w14:val="tx1"/>
                        </w14:solidFill>
                      </w14:textFill>
                    </w:rPr>
                    <w:t>泥砂</w:t>
                  </w:r>
                </w:p>
              </w:tc>
              <w:tc>
                <w:tcPr>
                  <w:tcW w:w="829" w:type="dxa"/>
                  <w:tcBorders>
                    <w:tl2br w:val="nil"/>
                    <w:tr2bl w:val="nil"/>
                  </w:tcBorders>
                  <w:vAlign w:val="center"/>
                </w:tcPr>
                <w:p>
                  <w:pPr>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新建</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1713" w:hRule="atLeast"/>
                <w:jc w:val="center"/>
              </w:trPr>
              <w:tc>
                <w:tcPr>
                  <w:tcW w:w="775" w:type="dxa"/>
                  <w:vMerge w:val="continue"/>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p>
              </w:tc>
              <w:tc>
                <w:tcPr>
                  <w:tcW w:w="1134" w:type="dxa"/>
                  <w:vMerge w:val="restart"/>
                  <w:tcBorders>
                    <w:tl2br w:val="nil"/>
                    <w:tr2bl w:val="nil"/>
                  </w:tcBorders>
                  <w:vAlign w:val="center"/>
                </w:tcPr>
                <w:p>
                  <w:pPr>
                    <w:pStyle w:val="23"/>
                    <w:spacing w:before="0" w:after="0" w:line="288" w:lineRule="auto"/>
                    <w:rPr>
                      <w:rFonts w:ascii="Times New Roman"/>
                      <w:snapToGrid w:val="0"/>
                      <w:color w:val="000000" w:themeColor="text1"/>
                      <w:kern w:val="0"/>
                      <w:szCs w:val="21"/>
                      <w14:textFill>
                        <w14:solidFill>
                          <w14:schemeClr w14:val="tx1"/>
                        </w14:solidFill>
                      </w14:textFill>
                    </w:rPr>
                  </w:pPr>
                  <w:r>
                    <w:rPr>
                      <w:rFonts w:ascii="Times New Roman"/>
                      <w:snapToGrid w:val="0"/>
                      <w:color w:val="000000" w:themeColor="text1"/>
                      <w:kern w:val="0"/>
                      <w:szCs w:val="21"/>
                      <w14:textFill>
                        <w14:solidFill>
                          <w14:schemeClr w14:val="tx1"/>
                        </w14:solidFill>
                      </w14:textFill>
                    </w:rPr>
                    <w:t>废气处理设施</w:t>
                  </w:r>
                </w:p>
              </w:tc>
              <w:tc>
                <w:tcPr>
                  <w:tcW w:w="5670" w:type="dxa"/>
                  <w:tcBorders>
                    <w:tl2br w:val="nil"/>
                    <w:tr2bl w:val="nil"/>
                  </w:tcBorders>
                  <w:vAlign w:val="center"/>
                </w:tcPr>
                <w:p>
                  <w:pPr>
                    <w:spacing w:line="264" w:lineRule="auto"/>
                    <w:rPr>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原料卸料</w:t>
                  </w:r>
                  <w:r>
                    <w:rPr>
                      <w:b/>
                      <w:bCs/>
                      <w:color w:val="000000" w:themeColor="text1"/>
                      <w:sz w:val="21"/>
                      <w14:textFill>
                        <w14:solidFill>
                          <w14:schemeClr w14:val="tx1"/>
                        </w14:solidFill>
                      </w14:textFill>
                    </w:rPr>
                    <w:t>粉尘：</w:t>
                  </w:r>
                  <w:r>
                    <w:rPr>
                      <w:rFonts w:hint="eastAsia"/>
                      <w:color w:val="000000" w:themeColor="text1"/>
                      <w:sz w:val="21"/>
                      <w14:textFill>
                        <w14:solidFill>
                          <w14:schemeClr w14:val="tx1"/>
                        </w14:solidFill>
                      </w14:textFill>
                    </w:rPr>
                    <w:t>未设置封闭式原料堆场，未采取喷雾降尘措施</w:t>
                  </w:r>
                  <w:r>
                    <w:rPr>
                      <w:color w:val="000000" w:themeColor="text1"/>
                      <w:sz w:val="21"/>
                      <w14:textFill>
                        <w14:solidFill>
                          <w14:schemeClr w14:val="tx1"/>
                        </w14:solidFill>
                      </w14:textFill>
                    </w:rPr>
                    <w:t>。</w:t>
                  </w:r>
                </w:p>
                <w:p>
                  <w:pPr>
                    <w:spacing w:line="264" w:lineRule="auto"/>
                  </w:pPr>
                  <w:r>
                    <w:rPr>
                      <w:rFonts w:hint="eastAsia"/>
                      <w:b/>
                      <w:bCs/>
                      <w:color w:val="000000" w:themeColor="text1"/>
                      <w:sz w:val="21"/>
                      <w14:textFill>
                        <w14:solidFill>
                          <w14:schemeClr w14:val="tx1"/>
                        </w14:solidFill>
                      </w14:textFill>
                    </w:rPr>
                    <w:t>整改措施：建设一个封闭式厂房，将原料堆场设置在厂房内，在堆场卸料作业区上方采取喷雾降尘措施</w:t>
                  </w:r>
                </w:p>
              </w:tc>
              <w:tc>
                <w:tcPr>
                  <w:tcW w:w="1040"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snapToGrid w:val="0"/>
                      <w:color w:val="000000" w:themeColor="text1"/>
                      <w:kern w:val="0"/>
                      <w:sz w:val="21"/>
                      <w14:textFill>
                        <w14:solidFill>
                          <w14:schemeClr w14:val="tx1"/>
                        </w14:solidFill>
                      </w14:textFill>
                    </w:rPr>
                    <w:t>/</w:t>
                  </w:r>
                </w:p>
              </w:tc>
              <w:tc>
                <w:tcPr>
                  <w:tcW w:w="829"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整改</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91" w:hRule="atLeast"/>
                <w:jc w:val="center"/>
              </w:trPr>
              <w:tc>
                <w:tcPr>
                  <w:tcW w:w="775" w:type="dxa"/>
                  <w:vMerge w:val="continue"/>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p>
              </w:tc>
              <w:tc>
                <w:tcPr>
                  <w:tcW w:w="1134" w:type="dxa"/>
                  <w:vMerge w:val="continue"/>
                  <w:tcBorders>
                    <w:tl2br w:val="nil"/>
                    <w:tr2bl w:val="nil"/>
                  </w:tcBorders>
                  <w:vAlign w:val="center"/>
                </w:tcPr>
                <w:p>
                  <w:pPr>
                    <w:pStyle w:val="23"/>
                    <w:spacing w:before="0" w:after="0" w:line="288" w:lineRule="auto"/>
                    <w:rPr>
                      <w:rFonts w:ascii="Times New Roman"/>
                      <w:snapToGrid w:val="0"/>
                      <w:color w:val="000000" w:themeColor="text1"/>
                      <w:kern w:val="0"/>
                      <w:szCs w:val="21"/>
                      <w14:textFill>
                        <w14:solidFill>
                          <w14:schemeClr w14:val="tx1"/>
                        </w14:solidFill>
                      </w14:textFill>
                    </w:rPr>
                  </w:pPr>
                </w:p>
              </w:tc>
              <w:tc>
                <w:tcPr>
                  <w:tcW w:w="5670" w:type="dxa"/>
                  <w:tcBorders>
                    <w:tl2br w:val="nil"/>
                    <w:tr2bl w:val="nil"/>
                  </w:tcBorders>
                  <w:vAlign w:val="center"/>
                </w:tcPr>
                <w:p>
                  <w:pPr>
                    <w:spacing w:line="264" w:lineRule="auto"/>
                    <w:rPr>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给料机上料</w:t>
                  </w:r>
                  <w:r>
                    <w:rPr>
                      <w:b/>
                      <w:bCs/>
                      <w:color w:val="000000" w:themeColor="text1"/>
                      <w:sz w:val="21"/>
                      <w14:textFill>
                        <w14:solidFill>
                          <w14:schemeClr w14:val="tx1"/>
                        </w14:solidFill>
                      </w14:textFill>
                    </w:rPr>
                    <w:t>粉尘：</w:t>
                  </w:r>
                  <w:r>
                    <w:rPr>
                      <w:rFonts w:hint="eastAsia"/>
                      <w:bCs/>
                      <w:color w:val="000000" w:themeColor="text1"/>
                      <w:sz w:val="21"/>
                      <w14:textFill>
                        <w14:solidFill>
                          <w14:schemeClr w14:val="tx1"/>
                        </w14:solidFill>
                      </w14:textFill>
                    </w:rPr>
                    <w:t>未采取三面封闭及喷雾降尘措施</w:t>
                  </w:r>
                  <w:r>
                    <w:rPr>
                      <w:bCs/>
                      <w:color w:val="000000" w:themeColor="text1"/>
                      <w:sz w:val="21"/>
                      <w14:textFill>
                        <w14:solidFill>
                          <w14:schemeClr w14:val="tx1"/>
                        </w14:solidFill>
                      </w14:textFill>
                    </w:rPr>
                    <w:t>。</w:t>
                  </w:r>
                </w:p>
                <w:p>
                  <w:pPr>
                    <w:spacing w:line="264" w:lineRule="auto"/>
                  </w:pPr>
                  <w:r>
                    <w:rPr>
                      <w:rFonts w:hint="eastAsia"/>
                      <w:b/>
                      <w:bCs/>
                      <w:color w:val="000000" w:themeColor="text1"/>
                      <w:sz w:val="21"/>
                      <w14:textFill>
                        <w14:solidFill>
                          <w14:schemeClr w14:val="tx1"/>
                        </w14:solidFill>
                      </w14:textFill>
                    </w:rPr>
                    <w:t>整改措施：给料机入料口进行二次封闭，设三面围挡及顶部遮盖并采取喷雾降尘</w:t>
                  </w:r>
                </w:p>
              </w:tc>
              <w:tc>
                <w:tcPr>
                  <w:tcW w:w="1040"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w:t>
                  </w:r>
                </w:p>
              </w:tc>
              <w:tc>
                <w:tcPr>
                  <w:tcW w:w="829"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整改</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382" w:hRule="atLeast"/>
                <w:jc w:val="center"/>
              </w:trPr>
              <w:tc>
                <w:tcPr>
                  <w:tcW w:w="775" w:type="dxa"/>
                  <w:vMerge w:val="continue"/>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p>
              </w:tc>
              <w:tc>
                <w:tcPr>
                  <w:tcW w:w="1134" w:type="dxa"/>
                  <w:vMerge w:val="continue"/>
                  <w:tcBorders>
                    <w:tl2br w:val="nil"/>
                    <w:tr2bl w:val="nil"/>
                  </w:tcBorders>
                  <w:vAlign w:val="center"/>
                </w:tcPr>
                <w:p>
                  <w:pPr>
                    <w:pStyle w:val="23"/>
                    <w:spacing w:before="0" w:after="0" w:line="288" w:lineRule="auto"/>
                    <w:rPr>
                      <w:rFonts w:ascii="Times New Roman"/>
                      <w:snapToGrid w:val="0"/>
                      <w:color w:val="000000" w:themeColor="text1"/>
                      <w:kern w:val="0"/>
                      <w:szCs w:val="21"/>
                      <w14:textFill>
                        <w14:solidFill>
                          <w14:schemeClr w14:val="tx1"/>
                        </w14:solidFill>
                      </w14:textFill>
                    </w:rPr>
                  </w:pPr>
                </w:p>
              </w:tc>
              <w:tc>
                <w:tcPr>
                  <w:tcW w:w="5670" w:type="dxa"/>
                  <w:tcBorders>
                    <w:tl2br w:val="nil"/>
                    <w:tr2bl w:val="nil"/>
                  </w:tcBorders>
                  <w:vAlign w:val="center"/>
                </w:tcPr>
                <w:p>
                  <w:pPr>
                    <w:spacing w:line="288" w:lineRule="auto"/>
                    <w:rPr>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破碎粉尘</w:t>
                  </w:r>
                  <w:r>
                    <w:rPr>
                      <w:b/>
                      <w:bCs/>
                      <w:color w:val="000000" w:themeColor="text1"/>
                      <w:sz w:val="21"/>
                      <w14:textFill>
                        <w14:solidFill>
                          <w14:schemeClr w14:val="tx1"/>
                        </w14:solidFill>
                      </w14:textFill>
                    </w:rPr>
                    <w:t>：</w:t>
                  </w:r>
                  <w:r>
                    <w:rPr>
                      <w:rFonts w:hint="eastAsia"/>
                      <w:bCs/>
                      <w:color w:val="000000" w:themeColor="text1"/>
                      <w:sz w:val="21"/>
                      <w14:textFill>
                        <w14:solidFill>
                          <w14:schemeClr w14:val="tx1"/>
                        </w14:solidFill>
                      </w14:textFill>
                    </w:rPr>
                    <w:t>已对颚式破碎机、反击式破碎机以及之间的输送皮带采取了封闭措施，在鄂破机进料口设置了喷雾降尘</w:t>
                  </w:r>
                  <w:r>
                    <w:rPr>
                      <w:bCs/>
                      <w:color w:val="000000" w:themeColor="text1"/>
                      <w:sz w:val="21"/>
                      <w14:textFill>
                        <w14:solidFill>
                          <w14:schemeClr w14:val="tx1"/>
                        </w14:solidFill>
                      </w14:textFill>
                    </w:rPr>
                    <w:t>。</w:t>
                  </w:r>
                </w:p>
                <w:p>
                  <w:pPr>
                    <w:spacing w:line="264" w:lineRule="auto"/>
                  </w:pPr>
                  <w:r>
                    <w:rPr>
                      <w:rFonts w:hint="eastAsia"/>
                      <w:b/>
                      <w:bCs/>
                      <w:sz w:val="21"/>
                    </w:rPr>
                    <w:t>整改措施：建设一个封闭厂房，将破碎设备布置在厂房内</w:t>
                  </w:r>
                  <w:r>
                    <w:rPr>
                      <w:rFonts w:hint="eastAsia"/>
                    </w:rPr>
                    <w:t xml:space="preserve"> </w:t>
                  </w:r>
                </w:p>
              </w:tc>
              <w:tc>
                <w:tcPr>
                  <w:tcW w:w="1040"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w:t>
                  </w:r>
                </w:p>
              </w:tc>
              <w:tc>
                <w:tcPr>
                  <w:tcW w:w="829"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kern w:val="0"/>
                      <w:sz w:val="21"/>
                    </w:rPr>
                    <w:t>整改</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382" w:hRule="atLeast"/>
                <w:jc w:val="center"/>
              </w:trPr>
              <w:tc>
                <w:tcPr>
                  <w:tcW w:w="775" w:type="dxa"/>
                  <w:vMerge w:val="continue"/>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p>
              </w:tc>
              <w:tc>
                <w:tcPr>
                  <w:tcW w:w="1134" w:type="dxa"/>
                  <w:vMerge w:val="continue"/>
                  <w:tcBorders>
                    <w:tl2br w:val="nil"/>
                    <w:tr2bl w:val="nil"/>
                  </w:tcBorders>
                  <w:vAlign w:val="center"/>
                </w:tcPr>
                <w:p>
                  <w:pPr>
                    <w:pStyle w:val="23"/>
                    <w:spacing w:before="0" w:after="0" w:line="288" w:lineRule="auto"/>
                    <w:rPr>
                      <w:rFonts w:ascii="Times New Roman"/>
                      <w:snapToGrid w:val="0"/>
                      <w:color w:val="000000" w:themeColor="text1"/>
                      <w:kern w:val="0"/>
                      <w:szCs w:val="21"/>
                      <w14:textFill>
                        <w14:solidFill>
                          <w14:schemeClr w14:val="tx1"/>
                        </w14:solidFill>
                      </w14:textFill>
                    </w:rPr>
                  </w:pPr>
                </w:p>
              </w:tc>
              <w:tc>
                <w:tcPr>
                  <w:tcW w:w="5670" w:type="dxa"/>
                  <w:tcBorders>
                    <w:tl2br w:val="nil"/>
                    <w:tr2bl w:val="nil"/>
                  </w:tcBorders>
                  <w:vAlign w:val="center"/>
                </w:tcPr>
                <w:p>
                  <w:pPr>
                    <w:spacing w:line="288" w:lineRule="auto"/>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振动筛分粉尘：</w:t>
                  </w:r>
                  <w:r>
                    <w:rPr>
                      <w:rFonts w:hint="eastAsia"/>
                      <w:bCs/>
                      <w:color w:val="000000" w:themeColor="text1"/>
                      <w:sz w:val="21"/>
                      <w14:textFill>
                        <w14:solidFill>
                          <w14:schemeClr w14:val="tx1"/>
                        </w14:solidFill>
                      </w14:textFill>
                    </w:rPr>
                    <w:t>已对多级振动筛分机采取了封闭措施，生产时对振动筛分环节采取不间断冲水、实现湿法作业。</w:t>
                  </w:r>
                </w:p>
              </w:tc>
              <w:tc>
                <w:tcPr>
                  <w:tcW w:w="1040"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w:t>
                  </w:r>
                </w:p>
              </w:tc>
              <w:tc>
                <w:tcPr>
                  <w:tcW w:w="829" w:type="dxa"/>
                  <w:tcBorders>
                    <w:tl2br w:val="nil"/>
                    <w:tr2bl w:val="nil"/>
                  </w:tcBorders>
                  <w:vAlign w:val="center"/>
                </w:tcPr>
                <w:p>
                  <w:pPr>
                    <w:adjustRightInd w:val="0"/>
                    <w:snapToGrid w:val="0"/>
                    <w:spacing w:line="288" w:lineRule="auto"/>
                    <w:jc w:val="center"/>
                    <w:rPr>
                      <w:snapToGrid w:val="0"/>
                      <w:color w:val="FF0000"/>
                      <w:kern w:val="0"/>
                      <w:sz w:val="21"/>
                    </w:rPr>
                  </w:pPr>
                  <w:r>
                    <w:rPr>
                      <w:rFonts w:hint="eastAsia"/>
                      <w:snapToGrid w:val="0"/>
                      <w:kern w:val="0"/>
                      <w:sz w:val="21"/>
                    </w:rPr>
                    <w:t>已建</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382" w:hRule="atLeast"/>
                <w:jc w:val="center"/>
              </w:trPr>
              <w:tc>
                <w:tcPr>
                  <w:tcW w:w="775" w:type="dxa"/>
                  <w:vMerge w:val="continue"/>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p>
              </w:tc>
              <w:tc>
                <w:tcPr>
                  <w:tcW w:w="1134" w:type="dxa"/>
                  <w:vMerge w:val="continue"/>
                  <w:tcBorders>
                    <w:tl2br w:val="nil"/>
                    <w:tr2bl w:val="nil"/>
                  </w:tcBorders>
                  <w:vAlign w:val="center"/>
                </w:tcPr>
                <w:p>
                  <w:pPr>
                    <w:pStyle w:val="23"/>
                    <w:spacing w:before="0" w:after="0" w:line="288" w:lineRule="auto"/>
                    <w:rPr>
                      <w:rFonts w:ascii="Times New Roman"/>
                      <w:snapToGrid w:val="0"/>
                      <w:color w:val="000000" w:themeColor="text1"/>
                      <w:kern w:val="0"/>
                      <w:szCs w:val="21"/>
                      <w14:textFill>
                        <w14:solidFill>
                          <w14:schemeClr w14:val="tx1"/>
                        </w14:solidFill>
                      </w14:textFill>
                    </w:rPr>
                  </w:pPr>
                </w:p>
              </w:tc>
              <w:tc>
                <w:tcPr>
                  <w:tcW w:w="5670" w:type="dxa"/>
                  <w:tcBorders>
                    <w:tl2br w:val="nil"/>
                    <w:tr2bl w:val="nil"/>
                  </w:tcBorders>
                  <w:vAlign w:val="center"/>
                </w:tcPr>
                <w:p>
                  <w:pPr>
                    <w:spacing w:line="288" w:lineRule="auto"/>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皮带输送粉尘：</w:t>
                  </w:r>
                  <w:r>
                    <w:rPr>
                      <w:rFonts w:hint="eastAsia"/>
                      <w:bCs/>
                      <w:color w:val="000000" w:themeColor="text1"/>
                      <w:sz w:val="21"/>
                      <w14:textFill>
                        <w14:solidFill>
                          <w14:schemeClr w14:val="tx1"/>
                        </w14:solidFill>
                      </w14:textFill>
                    </w:rPr>
                    <w:t>皮带平稳运行、采取全封闭措施，采取湿法生产工艺。</w:t>
                  </w:r>
                </w:p>
              </w:tc>
              <w:tc>
                <w:tcPr>
                  <w:tcW w:w="1040"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w:t>
                  </w:r>
                </w:p>
              </w:tc>
              <w:tc>
                <w:tcPr>
                  <w:tcW w:w="829" w:type="dxa"/>
                  <w:tcBorders>
                    <w:tl2br w:val="nil"/>
                    <w:tr2bl w:val="nil"/>
                  </w:tcBorders>
                  <w:vAlign w:val="center"/>
                </w:tcPr>
                <w:p>
                  <w:pPr>
                    <w:adjustRightInd w:val="0"/>
                    <w:snapToGrid w:val="0"/>
                    <w:spacing w:line="288" w:lineRule="auto"/>
                    <w:jc w:val="center"/>
                    <w:rPr>
                      <w:snapToGrid w:val="0"/>
                      <w:kern w:val="0"/>
                      <w:sz w:val="21"/>
                    </w:rPr>
                  </w:pPr>
                  <w:r>
                    <w:rPr>
                      <w:rFonts w:hint="eastAsia"/>
                      <w:snapToGrid w:val="0"/>
                      <w:kern w:val="0"/>
                      <w:sz w:val="21"/>
                    </w:rPr>
                    <w:t>已建</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382" w:hRule="atLeast"/>
                <w:jc w:val="center"/>
              </w:trPr>
              <w:tc>
                <w:tcPr>
                  <w:tcW w:w="775" w:type="dxa"/>
                  <w:vMerge w:val="continue"/>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p>
              </w:tc>
              <w:tc>
                <w:tcPr>
                  <w:tcW w:w="1134" w:type="dxa"/>
                  <w:vMerge w:val="continue"/>
                  <w:tcBorders>
                    <w:tl2br w:val="nil"/>
                    <w:tr2bl w:val="nil"/>
                  </w:tcBorders>
                  <w:vAlign w:val="center"/>
                </w:tcPr>
                <w:p>
                  <w:pPr>
                    <w:pStyle w:val="23"/>
                    <w:spacing w:before="0" w:after="0" w:line="288" w:lineRule="auto"/>
                    <w:rPr>
                      <w:rFonts w:ascii="Times New Roman"/>
                      <w:snapToGrid w:val="0"/>
                      <w:color w:val="000000" w:themeColor="text1"/>
                      <w:kern w:val="0"/>
                      <w:szCs w:val="21"/>
                      <w14:textFill>
                        <w14:solidFill>
                          <w14:schemeClr w14:val="tx1"/>
                        </w14:solidFill>
                      </w14:textFill>
                    </w:rPr>
                  </w:pPr>
                </w:p>
              </w:tc>
              <w:tc>
                <w:tcPr>
                  <w:tcW w:w="5670" w:type="dxa"/>
                  <w:tcBorders>
                    <w:tl2br w:val="nil"/>
                    <w:tr2bl w:val="nil"/>
                  </w:tcBorders>
                  <w:vAlign w:val="center"/>
                </w:tcPr>
                <w:p>
                  <w:pPr>
                    <w:spacing w:line="288" w:lineRule="auto"/>
                    <w:rPr>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成品堆场扬尘：</w:t>
                  </w:r>
                  <w:r>
                    <w:rPr>
                      <w:rFonts w:hint="eastAsia"/>
                      <w:bCs/>
                      <w:color w:val="000000" w:themeColor="text1"/>
                      <w:sz w:val="21"/>
                      <w14:textFill>
                        <w14:solidFill>
                          <w14:schemeClr w14:val="tx1"/>
                        </w14:solidFill>
                      </w14:textFill>
                    </w:rPr>
                    <w:t>现为露天堆场， 未采取封闭措施。</w:t>
                  </w:r>
                </w:p>
                <w:p>
                  <w:pPr>
                    <w:spacing w:line="264" w:lineRule="auto"/>
                  </w:pPr>
                  <w:r>
                    <w:rPr>
                      <w:rFonts w:hint="eastAsia"/>
                      <w:b/>
                      <w:bCs/>
                      <w:color w:val="000000" w:themeColor="text1"/>
                      <w:sz w:val="21"/>
                      <w14:textFill>
                        <w14:solidFill>
                          <w14:schemeClr w14:val="tx1"/>
                        </w14:solidFill>
                      </w14:textFill>
                    </w:rPr>
                    <w:t>整改措施：将成品堆场布置在封闭式厂房内，采取喷雾降尘，加强装车作业管理</w:t>
                  </w:r>
                </w:p>
              </w:tc>
              <w:tc>
                <w:tcPr>
                  <w:tcW w:w="1040"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w:t>
                  </w:r>
                </w:p>
              </w:tc>
              <w:tc>
                <w:tcPr>
                  <w:tcW w:w="829" w:type="dxa"/>
                  <w:tcBorders>
                    <w:tl2br w:val="nil"/>
                    <w:tr2bl w:val="nil"/>
                  </w:tcBorders>
                  <w:vAlign w:val="center"/>
                </w:tcPr>
                <w:p>
                  <w:pPr>
                    <w:adjustRightInd w:val="0"/>
                    <w:snapToGrid w:val="0"/>
                    <w:spacing w:line="288" w:lineRule="auto"/>
                    <w:jc w:val="center"/>
                    <w:rPr>
                      <w:snapToGrid w:val="0"/>
                      <w:kern w:val="0"/>
                      <w:sz w:val="21"/>
                    </w:rPr>
                  </w:pPr>
                  <w:r>
                    <w:rPr>
                      <w:rFonts w:hint="eastAsia"/>
                      <w:snapToGrid w:val="0"/>
                      <w:kern w:val="0"/>
                      <w:sz w:val="21"/>
                    </w:rPr>
                    <w:t>整改</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382" w:hRule="atLeast"/>
                <w:jc w:val="center"/>
              </w:trPr>
              <w:tc>
                <w:tcPr>
                  <w:tcW w:w="775" w:type="dxa"/>
                  <w:vMerge w:val="continue"/>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p>
              </w:tc>
              <w:tc>
                <w:tcPr>
                  <w:tcW w:w="1134" w:type="dxa"/>
                  <w:vMerge w:val="continue"/>
                  <w:tcBorders>
                    <w:tl2br w:val="nil"/>
                    <w:tr2bl w:val="nil"/>
                  </w:tcBorders>
                  <w:vAlign w:val="center"/>
                </w:tcPr>
                <w:p>
                  <w:pPr>
                    <w:pStyle w:val="23"/>
                    <w:spacing w:before="0" w:after="0" w:line="288" w:lineRule="auto"/>
                    <w:rPr>
                      <w:rFonts w:ascii="Times New Roman"/>
                      <w:snapToGrid w:val="0"/>
                      <w:color w:val="000000" w:themeColor="text1"/>
                      <w:kern w:val="0"/>
                      <w:szCs w:val="21"/>
                      <w14:textFill>
                        <w14:solidFill>
                          <w14:schemeClr w14:val="tx1"/>
                        </w14:solidFill>
                      </w14:textFill>
                    </w:rPr>
                  </w:pPr>
                </w:p>
              </w:tc>
              <w:tc>
                <w:tcPr>
                  <w:tcW w:w="5670" w:type="dxa"/>
                  <w:tcBorders>
                    <w:tl2br w:val="nil"/>
                    <w:tr2bl w:val="nil"/>
                  </w:tcBorders>
                  <w:vAlign w:val="center"/>
                </w:tcPr>
                <w:p>
                  <w:pPr>
                    <w:spacing w:line="288" w:lineRule="auto"/>
                    <w:rPr>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运输扬尘：</w:t>
                  </w:r>
                  <w:r>
                    <w:rPr>
                      <w:rFonts w:hint="eastAsia"/>
                      <w:bCs/>
                      <w:color w:val="000000" w:themeColor="text1"/>
                      <w:sz w:val="21"/>
                      <w14:textFill>
                        <w14:solidFill>
                          <w14:schemeClr w14:val="tx1"/>
                        </w14:solidFill>
                      </w14:textFill>
                    </w:rPr>
                    <w:t>厂区地面未采取硬化处理，进出口未设置车辆冲洗设施。</w:t>
                  </w:r>
                </w:p>
                <w:p>
                  <w:pPr>
                    <w:spacing w:line="288" w:lineRule="auto"/>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整改措施：厂区地面硬化处理，进出口设车辆冲洗设施，运输车辆加盖篷布密闭运输</w:t>
                  </w:r>
                </w:p>
              </w:tc>
              <w:tc>
                <w:tcPr>
                  <w:tcW w:w="1040"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废水</w:t>
                  </w:r>
                </w:p>
              </w:tc>
              <w:tc>
                <w:tcPr>
                  <w:tcW w:w="829" w:type="dxa"/>
                  <w:tcBorders>
                    <w:tl2br w:val="nil"/>
                    <w:tr2bl w:val="nil"/>
                  </w:tcBorders>
                  <w:vAlign w:val="center"/>
                </w:tcPr>
                <w:p>
                  <w:pPr>
                    <w:adjustRightInd w:val="0"/>
                    <w:snapToGrid w:val="0"/>
                    <w:spacing w:line="288" w:lineRule="auto"/>
                    <w:jc w:val="center"/>
                    <w:rPr>
                      <w:snapToGrid w:val="0"/>
                      <w:kern w:val="0"/>
                      <w:sz w:val="21"/>
                    </w:rPr>
                  </w:pPr>
                  <w:r>
                    <w:rPr>
                      <w:rFonts w:hint="eastAsia"/>
                      <w:snapToGrid w:val="0"/>
                      <w:kern w:val="0"/>
                      <w:sz w:val="21"/>
                    </w:rPr>
                    <w:t>整改</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51" w:hRule="atLeast"/>
                <w:jc w:val="center"/>
              </w:trPr>
              <w:tc>
                <w:tcPr>
                  <w:tcW w:w="775" w:type="dxa"/>
                  <w:vMerge w:val="continue"/>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p>
              </w:tc>
              <w:tc>
                <w:tcPr>
                  <w:tcW w:w="1134" w:type="dxa"/>
                  <w:vMerge w:val="continue"/>
                  <w:tcBorders>
                    <w:tl2br w:val="nil"/>
                    <w:tr2bl w:val="nil"/>
                  </w:tcBorders>
                  <w:vAlign w:val="center"/>
                </w:tcPr>
                <w:p>
                  <w:pPr>
                    <w:pStyle w:val="23"/>
                    <w:spacing w:before="0" w:after="0" w:line="288" w:lineRule="auto"/>
                    <w:rPr>
                      <w:rFonts w:ascii="Times New Roman"/>
                      <w:snapToGrid w:val="0"/>
                      <w:color w:val="000000" w:themeColor="text1"/>
                      <w:kern w:val="0"/>
                      <w:szCs w:val="21"/>
                      <w14:textFill>
                        <w14:solidFill>
                          <w14:schemeClr w14:val="tx1"/>
                        </w14:solidFill>
                      </w14:textFill>
                    </w:rPr>
                  </w:pPr>
                </w:p>
              </w:tc>
              <w:tc>
                <w:tcPr>
                  <w:tcW w:w="5670" w:type="dxa"/>
                  <w:tcBorders>
                    <w:tl2br w:val="nil"/>
                    <w:tr2bl w:val="nil"/>
                  </w:tcBorders>
                  <w:vAlign w:val="center"/>
                </w:tcPr>
                <w:p>
                  <w:pPr>
                    <w:spacing w:line="288" w:lineRule="auto"/>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食堂油烟</w:t>
                  </w:r>
                  <w:r>
                    <w:rPr>
                      <w:b/>
                      <w:bCs/>
                      <w:color w:val="000000" w:themeColor="text1"/>
                      <w:sz w:val="21"/>
                      <w14:textFill>
                        <w14:solidFill>
                          <w14:schemeClr w14:val="tx1"/>
                        </w14:solidFill>
                      </w14:textFill>
                    </w:rPr>
                    <w:t>：</w:t>
                  </w:r>
                  <w:r>
                    <w:rPr>
                      <w:spacing w:val="6"/>
                      <w:sz w:val="20"/>
                      <w:szCs w:val="20"/>
                    </w:rPr>
                    <w:t>厨房设抽油烟机净化处</w:t>
                  </w:r>
                  <w:r>
                    <w:rPr>
                      <w:sz w:val="20"/>
                      <w:szCs w:val="20"/>
                    </w:rPr>
                    <w:t>理</w:t>
                  </w:r>
                  <w:r>
                    <w:rPr>
                      <w:bCs/>
                      <w:color w:val="000000" w:themeColor="text1"/>
                      <w:sz w:val="21"/>
                      <w14:textFill>
                        <w14:solidFill>
                          <w14:schemeClr w14:val="tx1"/>
                        </w14:solidFill>
                      </w14:textFill>
                    </w:rPr>
                    <w:t>。</w:t>
                  </w:r>
                </w:p>
              </w:tc>
              <w:tc>
                <w:tcPr>
                  <w:tcW w:w="1040"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w:t>
                  </w:r>
                </w:p>
              </w:tc>
              <w:tc>
                <w:tcPr>
                  <w:tcW w:w="829" w:type="dxa"/>
                  <w:tcBorders>
                    <w:tl2br w:val="nil"/>
                    <w:tr2bl w:val="nil"/>
                  </w:tcBorders>
                  <w:vAlign w:val="center"/>
                </w:tcPr>
                <w:p>
                  <w:pPr>
                    <w:adjustRightInd w:val="0"/>
                    <w:snapToGrid w:val="0"/>
                    <w:spacing w:line="288" w:lineRule="auto"/>
                    <w:jc w:val="center"/>
                    <w:rPr>
                      <w:snapToGrid w:val="0"/>
                      <w:kern w:val="0"/>
                      <w:sz w:val="21"/>
                    </w:rPr>
                  </w:pPr>
                  <w:r>
                    <w:rPr>
                      <w:rFonts w:hint="eastAsia"/>
                      <w:snapToGrid w:val="0"/>
                      <w:kern w:val="0"/>
                      <w:sz w:val="21"/>
                    </w:rPr>
                    <w:t>依托</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1125" w:hRule="atLeast"/>
                <w:jc w:val="center"/>
              </w:trPr>
              <w:tc>
                <w:tcPr>
                  <w:tcW w:w="775" w:type="dxa"/>
                  <w:vMerge w:val="continue"/>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p>
              </w:tc>
              <w:tc>
                <w:tcPr>
                  <w:tcW w:w="1134" w:type="dxa"/>
                  <w:tcBorders>
                    <w:tl2br w:val="nil"/>
                    <w:tr2bl w:val="nil"/>
                  </w:tcBorders>
                  <w:vAlign w:val="center"/>
                </w:tcPr>
                <w:p>
                  <w:pPr>
                    <w:pStyle w:val="23"/>
                    <w:spacing w:before="0" w:after="0" w:line="288" w:lineRule="auto"/>
                    <w:rPr>
                      <w:rFonts w:ascii="Times New Roman"/>
                      <w:snapToGrid w:val="0"/>
                      <w:color w:val="000000" w:themeColor="text1"/>
                      <w:kern w:val="0"/>
                      <w:szCs w:val="21"/>
                      <w14:textFill>
                        <w14:solidFill>
                          <w14:schemeClr w14:val="tx1"/>
                        </w14:solidFill>
                      </w14:textFill>
                    </w:rPr>
                  </w:pPr>
                  <w:r>
                    <w:rPr>
                      <w:rFonts w:ascii="Times New Roman"/>
                      <w:snapToGrid w:val="0"/>
                      <w:color w:val="000000" w:themeColor="text1"/>
                      <w:kern w:val="0"/>
                      <w:szCs w:val="21"/>
                      <w14:textFill>
                        <w14:solidFill>
                          <w14:schemeClr w14:val="tx1"/>
                        </w14:solidFill>
                      </w14:textFill>
                    </w:rPr>
                    <w:t>噪声治理设施</w:t>
                  </w:r>
                </w:p>
              </w:tc>
              <w:tc>
                <w:tcPr>
                  <w:tcW w:w="5670" w:type="dxa"/>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r>
                    <w:rPr>
                      <w:snapToGrid w:val="0"/>
                      <w:color w:val="000000" w:themeColor="text1"/>
                      <w:kern w:val="0"/>
                      <w:sz w:val="21"/>
                      <w14:textFill>
                        <w14:solidFill>
                          <w14:schemeClr w14:val="tx1"/>
                        </w14:solidFill>
                      </w14:textFill>
                    </w:rPr>
                    <w:t>对砂石生产区设置封闭厂房，利用建筑物进行隔声</w:t>
                  </w:r>
                  <w:r>
                    <w:rPr>
                      <w:rFonts w:hint="eastAsia"/>
                      <w:snapToGrid w:val="0"/>
                      <w:color w:val="000000" w:themeColor="text1"/>
                      <w:kern w:val="0"/>
                      <w:sz w:val="21"/>
                      <w14:textFill>
                        <w14:solidFill>
                          <w14:schemeClr w14:val="tx1"/>
                        </w14:solidFill>
                      </w14:textFill>
                    </w:rPr>
                    <w:t>；</w:t>
                  </w:r>
                  <w:r>
                    <w:rPr>
                      <w:snapToGrid w:val="0"/>
                      <w:color w:val="000000" w:themeColor="text1"/>
                      <w:kern w:val="0"/>
                      <w:sz w:val="21"/>
                      <w14:textFill>
                        <w14:solidFill>
                          <w14:schemeClr w14:val="tx1"/>
                        </w14:solidFill>
                      </w14:textFill>
                    </w:rPr>
                    <w:t>选用低噪声设备，合理布局，产噪较大设备采取混凝土基座减震。加强日常管理，设备定期维护、检修。</w:t>
                  </w:r>
                </w:p>
              </w:tc>
              <w:tc>
                <w:tcPr>
                  <w:tcW w:w="1040"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snapToGrid w:val="0"/>
                      <w:color w:val="000000" w:themeColor="text1"/>
                      <w:kern w:val="0"/>
                      <w:sz w:val="21"/>
                      <w14:textFill>
                        <w14:solidFill>
                          <w14:schemeClr w14:val="tx1"/>
                        </w14:solidFill>
                      </w14:textFill>
                    </w:rPr>
                    <w:t>/</w:t>
                  </w:r>
                </w:p>
              </w:tc>
              <w:tc>
                <w:tcPr>
                  <w:tcW w:w="829"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已建</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1632" w:hRule="atLeast"/>
                <w:jc w:val="center"/>
              </w:trPr>
              <w:tc>
                <w:tcPr>
                  <w:tcW w:w="775" w:type="dxa"/>
                  <w:vMerge w:val="continue"/>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p>
              </w:tc>
              <w:tc>
                <w:tcPr>
                  <w:tcW w:w="1134" w:type="dxa"/>
                  <w:vMerge w:val="restart"/>
                  <w:tcBorders>
                    <w:tl2br w:val="nil"/>
                    <w:tr2bl w:val="nil"/>
                  </w:tcBorders>
                  <w:vAlign w:val="center"/>
                </w:tcPr>
                <w:p>
                  <w:pPr>
                    <w:pStyle w:val="23"/>
                    <w:spacing w:before="0" w:after="0" w:line="288" w:lineRule="auto"/>
                    <w:rPr>
                      <w:rFonts w:ascii="Times New Roman"/>
                      <w:snapToGrid w:val="0"/>
                      <w:color w:val="000000" w:themeColor="text1"/>
                      <w:kern w:val="0"/>
                      <w:szCs w:val="21"/>
                      <w14:textFill>
                        <w14:solidFill>
                          <w14:schemeClr w14:val="tx1"/>
                        </w14:solidFill>
                      </w14:textFill>
                    </w:rPr>
                  </w:pPr>
                  <w:r>
                    <w:rPr>
                      <w:rFonts w:ascii="Times New Roman"/>
                      <w:snapToGrid w:val="0"/>
                      <w:color w:val="000000" w:themeColor="text1"/>
                      <w:kern w:val="0"/>
                      <w:szCs w:val="21"/>
                      <w14:textFill>
                        <w14:solidFill>
                          <w14:schemeClr w14:val="tx1"/>
                        </w14:solidFill>
                      </w14:textFill>
                    </w:rPr>
                    <w:t>固废处置设施</w:t>
                  </w:r>
                </w:p>
              </w:tc>
              <w:tc>
                <w:tcPr>
                  <w:tcW w:w="5670" w:type="dxa"/>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r>
                    <w:rPr>
                      <w:b/>
                      <w:color w:val="000000" w:themeColor="text1"/>
                      <w:sz w:val="21"/>
                      <w14:textFill>
                        <w14:solidFill>
                          <w14:schemeClr w14:val="tx1"/>
                        </w14:solidFill>
                      </w14:textFill>
                    </w:rPr>
                    <w:t>危废暂存间：</w:t>
                  </w:r>
                  <w:r>
                    <w:rPr>
                      <w:bCs/>
                      <w:color w:val="000000" w:themeColor="text1"/>
                      <w:sz w:val="21"/>
                      <w14:textFill>
                        <w14:solidFill>
                          <w14:schemeClr w14:val="tx1"/>
                        </w14:solidFill>
                      </w14:textFill>
                    </w:rPr>
                    <w:t>在厂区东侧</w:t>
                  </w:r>
                  <w:r>
                    <w:rPr>
                      <w:rFonts w:hint="eastAsia"/>
                      <w:bCs/>
                      <w:color w:val="000000" w:themeColor="text1"/>
                      <w:sz w:val="21"/>
                      <w14:textFill>
                        <w14:solidFill>
                          <w14:schemeClr w14:val="tx1"/>
                        </w14:solidFill>
                      </w14:textFill>
                    </w:rPr>
                    <w:t>设置有</w:t>
                  </w:r>
                  <w:r>
                    <w:rPr>
                      <w:bCs/>
                      <w:color w:val="000000" w:themeColor="text1"/>
                      <w:sz w:val="21"/>
                      <w14:textFill>
                        <w14:solidFill>
                          <w14:schemeClr w14:val="tx1"/>
                        </w14:solidFill>
                      </w14:textFill>
                    </w:rPr>
                    <w:t>1间危废暂存间，面积约</w:t>
                  </w:r>
                  <w:r>
                    <w:rPr>
                      <w:color w:val="000000" w:themeColor="text1"/>
                      <w:sz w:val="21"/>
                      <w14:textFill>
                        <w14:solidFill>
                          <w14:schemeClr w14:val="tx1"/>
                        </w14:solidFill>
                      </w14:textFill>
                    </w:rPr>
                    <w:t>10m</w:t>
                  </w:r>
                  <w:r>
                    <w:rPr>
                      <w:color w:val="000000" w:themeColor="text1"/>
                      <w:sz w:val="21"/>
                      <w:vertAlign w:val="superscript"/>
                      <w14:textFill>
                        <w14:solidFill>
                          <w14:schemeClr w14:val="tx1"/>
                        </w14:solidFill>
                      </w14:textFill>
                    </w:rPr>
                    <w:t>2</w:t>
                  </w:r>
                  <w:r>
                    <w:rPr>
                      <w:bCs/>
                      <w:color w:val="000000" w:themeColor="text1"/>
                      <w:sz w:val="21"/>
                      <w14:textFill>
                        <w14:solidFill>
                          <w14:schemeClr w14:val="tx1"/>
                        </w14:solidFill>
                      </w14:textFill>
                    </w:rPr>
                    <w:t>，用于设备维护过程中产生的</w:t>
                  </w:r>
                  <w:r>
                    <w:rPr>
                      <w:rFonts w:hint="eastAsia"/>
                      <w:bCs/>
                      <w:color w:val="000000" w:themeColor="text1"/>
                      <w:sz w:val="21"/>
                      <w14:textFill>
                        <w14:solidFill>
                          <w14:schemeClr w14:val="tx1"/>
                        </w14:solidFill>
                      </w14:textFill>
                    </w:rPr>
                    <w:t>废机油</w:t>
                  </w:r>
                  <w:r>
                    <w:rPr>
                      <w:bCs/>
                      <w:color w:val="000000" w:themeColor="text1"/>
                      <w:sz w:val="21"/>
                      <w14:textFill>
                        <w14:solidFill>
                          <w14:schemeClr w14:val="tx1"/>
                        </w14:solidFill>
                      </w14:textFill>
                    </w:rPr>
                    <w:t>、</w:t>
                  </w:r>
                  <w:r>
                    <w:rPr>
                      <w:rFonts w:hint="eastAsia"/>
                      <w:bCs/>
                      <w:color w:val="000000" w:themeColor="text1"/>
                      <w:sz w:val="21"/>
                      <w14:textFill>
                        <w14:solidFill>
                          <w14:schemeClr w14:val="tx1"/>
                        </w14:solidFill>
                      </w14:textFill>
                    </w:rPr>
                    <w:t>废机油</w:t>
                  </w:r>
                  <w:r>
                    <w:rPr>
                      <w:bCs/>
                      <w:color w:val="000000" w:themeColor="text1"/>
                      <w:sz w:val="21"/>
                      <w14:textFill>
                        <w14:solidFill>
                          <w14:schemeClr w14:val="tx1"/>
                        </w14:solidFill>
                      </w14:textFill>
                    </w:rPr>
                    <w:t>桶等危险废物暂存，危险暂存间地面按要求进行防渗处理（采用不锈钢防渗托盘+环氧树脂地坪+防渗混凝土），并建立危废台账，定期交由有资质单位处理。</w:t>
                  </w:r>
                </w:p>
              </w:tc>
              <w:tc>
                <w:tcPr>
                  <w:tcW w:w="1040"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snapToGrid w:val="0"/>
                      <w:color w:val="000000" w:themeColor="text1"/>
                      <w:kern w:val="0"/>
                      <w:sz w:val="21"/>
                      <w14:textFill>
                        <w14:solidFill>
                          <w14:schemeClr w14:val="tx1"/>
                        </w14:solidFill>
                      </w14:textFill>
                    </w:rPr>
                    <w:t>环境风险</w:t>
                  </w:r>
                </w:p>
              </w:tc>
              <w:tc>
                <w:tcPr>
                  <w:tcW w:w="829"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依托</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30" w:hRule="atLeast"/>
                <w:jc w:val="center"/>
              </w:trPr>
              <w:tc>
                <w:tcPr>
                  <w:tcW w:w="775" w:type="dxa"/>
                  <w:vMerge w:val="continue"/>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p>
              </w:tc>
              <w:tc>
                <w:tcPr>
                  <w:tcW w:w="1134" w:type="dxa"/>
                  <w:vMerge w:val="continue"/>
                  <w:tcBorders>
                    <w:tl2br w:val="nil"/>
                    <w:tr2bl w:val="nil"/>
                  </w:tcBorders>
                  <w:vAlign w:val="center"/>
                </w:tcPr>
                <w:p>
                  <w:pPr>
                    <w:pStyle w:val="23"/>
                    <w:spacing w:before="0" w:after="0" w:line="288" w:lineRule="auto"/>
                    <w:rPr>
                      <w:rFonts w:ascii="Times New Roman"/>
                      <w:snapToGrid w:val="0"/>
                      <w:color w:val="000000" w:themeColor="text1"/>
                      <w:kern w:val="0"/>
                      <w:szCs w:val="21"/>
                      <w14:textFill>
                        <w14:solidFill>
                          <w14:schemeClr w14:val="tx1"/>
                        </w14:solidFill>
                      </w14:textFill>
                    </w:rPr>
                  </w:pPr>
                </w:p>
              </w:tc>
              <w:tc>
                <w:tcPr>
                  <w:tcW w:w="5670" w:type="dxa"/>
                  <w:tcBorders>
                    <w:tl2br w:val="nil"/>
                    <w:tr2bl w:val="nil"/>
                  </w:tcBorders>
                  <w:vAlign w:val="center"/>
                </w:tcPr>
                <w:p>
                  <w:pPr>
                    <w:rPr>
                      <w:b/>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沉淀泥沙：</w:t>
                  </w:r>
                  <w:r>
                    <w:rPr>
                      <w:rFonts w:hint="eastAsia"/>
                      <w:bCs/>
                      <w:color w:val="000000" w:themeColor="text1"/>
                      <w:sz w:val="21"/>
                      <w14:textFill>
                        <w14:solidFill>
                          <w14:schemeClr w14:val="tx1"/>
                        </w14:solidFill>
                      </w14:textFill>
                    </w:rPr>
                    <w:t>定期清理至板框压滤机压滤处理后，临时堆存在压滤机下方的贮存池，容积约</w:t>
                  </w:r>
                  <w:r>
                    <w:rPr>
                      <w:bCs/>
                      <w:color w:val="000000" w:themeColor="text1"/>
                      <w:sz w:val="21"/>
                      <w14:textFill>
                        <w14:solidFill>
                          <w14:schemeClr w14:val="tx1"/>
                        </w14:solidFill>
                      </w14:textFill>
                    </w:rPr>
                    <w:t>2</w:t>
                  </w:r>
                  <w:r>
                    <w:rPr>
                      <w:rFonts w:hint="eastAsia"/>
                      <w:bCs/>
                      <w:color w:val="000000" w:themeColor="text1"/>
                      <w:sz w:val="21"/>
                      <w14:textFill>
                        <w14:solidFill>
                          <w14:schemeClr w14:val="tx1"/>
                        </w14:solidFill>
                      </w14:textFill>
                    </w:rPr>
                    <w:t>0m³；贮存池位于车间内防渗、防雨、 防流失，压滤后的泥饼定期外运至砖厂做原料利用</w:t>
                  </w:r>
                  <w:r>
                    <w:rPr>
                      <w:bCs/>
                      <w:color w:val="000000" w:themeColor="text1"/>
                      <w:sz w:val="21"/>
                      <w14:textFill>
                        <w14:solidFill>
                          <w14:schemeClr w14:val="tx1"/>
                        </w14:solidFill>
                      </w14:textFill>
                    </w:rPr>
                    <w:t>。</w:t>
                  </w:r>
                  <w:r>
                    <w:rPr>
                      <w:rFonts w:hint="eastAsia"/>
                      <w:bCs/>
                      <w:color w:val="000000" w:themeColor="text1"/>
                      <w:sz w:val="21"/>
                      <w14:textFill>
                        <w14:solidFill>
                          <w14:schemeClr w14:val="tx1"/>
                        </w14:solidFill>
                      </w14:textFill>
                    </w:rPr>
                    <w:t>压滤产生的渗滤水回流至沉淀池</w:t>
                  </w:r>
                </w:p>
              </w:tc>
              <w:tc>
                <w:tcPr>
                  <w:tcW w:w="1040"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snapToGrid w:val="0"/>
                      <w:color w:val="000000" w:themeColor="text1"/>
                      <w:kern w:val="0"/>
                      <w:sz w:val="21"/>
                      <w14:textFill>
                        <w14:solidFill>
                          <w14:schemeClr w14:val="tx1"/>
                        </w14:solidFill>
                      </w14:textFill>
                    </w:rPr>
                    <w:t>/</w:t>
                  </w:r>
                </w:p>
              </w:tc>
              <w:tc>
                <w:tcPr>
                  <w:tcW w:w="829"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依托</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30" w:hRule="atLeast"/>
                <w:jc w:val="center"/>
              </w:trPr>
              <w:tc>
                <w:tcPr>
                  <w:tcW w:w="775" w:type="dxa"/>
                  <w:vMerge w:val="continue"/>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p>
              </w:tc>
              <w:tc>
                <w:tcPr>
                  <w:tcW w:w="1134" w:type="dxa"/>
                  <w:vMerge w:val="continue"/>
                  <w:tcBorders>
                    <w:tl2br w:val="nil"/>
                    <w:tr2bl w:val="nil"/>
                  </w:tcBorders>
                  <w:vAlign w:val="center"/>
                </w:tcPr>
                <w:p>
                  <w:pPr>
                    <w:pStyle w:val="23"/>
                    <w:spacing w:before="0" w:after="0" w:line="288" w:lineRule="auto"/>
                    <w:rPr>
                      <w:rFonts w:ascii="Times New Roman"/>
                      <w:snapToGrid w:val="0"/>
                      <w:color w:val="000000" w:themeColor="text1"/>
                      <w:kern w:val="0"/>
                      <w:szCs w:val="21"/>
                      <w14:textFill>
                        <w14:solidFill>
                          <w14:schemeClr w14:val="tx1"/>
                        </w14:solidFill>
                      </w14:textFill>
                    </w:rPr>
                  </w:pPr>
                </w:p>
              </w:tc>
              <w:tc>
                <w:tcPr>
                  <w:tcW w:w="5670" w:type="dxa"/>
                  <w:tcBorders>
                    <w:tl2br w:val="nil"/>
                    <w:tr2bl w:val="nil"/>
                  </w:tcBorders>
                  <w:vAlign w:val="center"/>
                </w:tcPr>
                <w:p>
                  <w:pPr>
                    <w:rPr>
                      <w:b/>
                      <w:color w:val="000000" w:themeColor="text1"/>
                      <w:sz w:val="21"/>
                      <w14:textFill>
                        <w14:solidFill>
                          <w14:schemeClr w14:val="tx1"/>
                        </w14:solidFill>
                      </w14:textFill>
                    </w:rPr>
                  </w:pPr>
                  <w:r>
                    <w:rPr>
                      <w:rFonts w:hint="eastAsia"/>
                      <w:b/>
                      <w:snapToGrid w:val="0"/>
                      <w:color w:val="000000" w:themeColor="text1"/>
                      <w:kern w:val="0"/>
                      <w:sz w:val="21"/>
                      <w14:textFill>
                        <w14:solidFill>
                          <w14:schemeClr w14:val="tx1"/>
                        </w14:solidFill>
                      </w14:textFill>
                    </w:rPr>
                    <w:t>废絮凝剂桶：</w:t>
                  </w:r>
                  <w:r>
                    <w:rPr>
                      <w:rFonts w:hint="eastAsia"/>
                      <w:snapToGrid w:val="0"/>
                      <w:color w:val="000000" w:themeColor="text1"/>
                      <w:kern w:val="0"/>
                      <w:sz w:val="21"/>
                      <w14:textFill>
                        <w14:solidFill>
                          <w14:schemeClr w14:val="tx1"/>
                        </w14:solidFill>
                      </w14:textFill>
                    </w:rPr>
                    <w:t>由厂家定期回收处置。</w:t>
                  </w:r>
                </w:p>
              </w:tc>
              <w:tc>
                <w:tcPr>
                  <w:tcW w:w="1040"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w:t>
                  </w:r>
                </w:p>
              </w:tc>
              <w:tc>
                <w:tcPr>
                  <w:tcW w:w="829"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依托</w:t>
                  </w:r>
                </w:p>
              </w:tc>
            </w:tr>
            <w:tr>
              <w:tblPrEx>
                <w:tblBorders>
                  <w:top w:val="single" w:color="auto" w:sz="4" w:space="0"/>
                  <w:left w:val="none" w:color="auto" w:sz="0" w:space="0"/>
                  <w:bottom w:val="single" w:color="000000" w:sz="4"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630" w:hRule="atLeast"/>
                <w:jc w:val="center"/>
              </w:trPr>
              <w:tc>
                <w:tcPr>
                  <w:tcW w:w="775" w:type="dxa"/>
                  <w:vMerge w:val="continue"/>
                  <w:tcBorders>
                    <w:tl2br w:val="nil"/>
                    <w:tr2bl w:val="nil"/>
                  </w:tcBorders>
                  <w:vAlign w:val="center"/>
                </w:tcPr>
                <w:p>
                  <w:pPr>
                    <w:adjustRightInd w:val="0"/>
                    <w:snapToGrid w:val="0"/>
                    <w:spacing w:line="288" w:lineRule="auto"/>
                    <w:jc w:val="left"/>
                    <w:rPr>
                      <w:snapToGrid w:val="0"/>
                      <w:color w:val="000000" w:themeColor="text1"/>
                      <w:kern w:val="0"/>
                      <w:sz w:val="21"/>
                      <w14:textFill>
                        <w14:solidFill>
                          <w14:schemeClr w14:val="tx1"/>
                        </w14:solidFill>
                      </w14:textFill>
                    </w:rPr>
                  </w:pPr>
                </w:p>
              </w:tc>
              <w:tc>
                <w:tcPr>
                  <w:tcW w:w="1134" w:type="dxa"/>
                  <w:vMerge w:val="continue"/>
                  <w:tcBorders>
                    <w:tl2br w:val="nil"/>
                    <w:tr2bl w:val="nil"/>
                  </w:tcBorders>
                  <w:vAlign w:val="center"/>
                </w:tcPr>
                <w:p>
                  <w:pPr>
                    <w:pStyle w:val="23"/>
                    <w:spacing w:before="0" w:after="0" w:line="288" w:lineRule="auto"/>
                    <w:rPr>
                      <w:rFonts w:ascii="Times New Roman"/>
                      <w:snapToGrid w:val="0"/>
                      <w:color w:val="000000" w:themeColor="text1"/>
                      <w:kern w:val="0"/>
                      <w:szCs w:val="21"/>
                      <w14:textFill>
                        <w14:solidFill>
                          <w14:schemeClr w14:val="tx1"/>
                        </w14:solidFill>
                      </w14:textFill>
                    </w:rPr>
                  </w:pPr>
                </w:p>
              </w:tc>
              <w:tc>
                <w:tcPr>
                  <w:tcW w:w="5670" w:type="dxa"/>
                  <w:tcBorders>
                    <w:tl2br w:val="nil"/>
                    <w:tr2bl w:val="nil"/>
                  </w:tcBorders>
                  <w:vAlign w:val="center"/>
                </w:tcPr>
                <w:p>
                  <w:pPr>
                    <w:rPr>
                      <w:bCs/>
                      <w:color w:val="000000" w:themeColor="text1"/>
                      <w:sz w:val="21"/>
                      <w14:textFill>
                        <w14:solidFill>
                          <w14:schemeClr w14:val="tx1"/>
                        </w14:solidFill>
                      </w14:textFill>
                    </w:rPr>
                  </w:pPr>
                  <w:r>
                    <w:rPr>
                      <w:b/>
                      <w:color w:val="000000" w:themeColor="text1"/>
                      <w:sz w:val="21"/>
                      <w14:textFill>
                        <w14:solidFill>
                          <w14:schemeClr w14:val="tx1"/>
                        </w14:solidFill>
                      </w14:textFill>
                    </w:rPr>
                    <w:t>生活垃圾：</w:t>
                  </w:r>
                  <w:r>
                    <w:rPr>
                      <w:color w:val="000000" w:themeColor="text1"/>
                      <w:sz w:val="21"/>
                      <w14:textFill>
                        <w14:solidFill>
                          <w14:schemeClr w14:val="tx1"/>
                        </w14:solidFill>
                      </w14:textFill>
                    </w:rPr>
                    <w:t>办公区设置垃圾桶，</w:t>
                  </w:r>
                  <w:r>
                    <w:rPr>
                      <w:bCs/>
                      <w:color w:val="000000" w:themeColor="text1"/>
                      <w:sz w:val="21"/>
                      <w14:textFill>
                        <w14:solidFill>
                          <w14:schemeClr w14:val="tx1"/>
                        </w14:solidFill>
                      </w14:textFill>
                    </w:rPr>
                    <w:t>内衬垃圾专用袋，用于收集生活垃圾，定期运送至</w:t>
                  </w:r>
                  <w:r>
                    <w:rPr>
                      <w:rFonts w:hint="eastAsia"/>
                      <w:bCs/>
                      <w:color w:val="000000" w:themeColor="text1"/>
                      <w:sz w:val="21"/>
                      <w14:textFill>
                        <w14:solidFill>
                          <w14:schemeClr w14:val="tx1"/>
                        </w14:solidFill>
                      </w14:textFill>
                    </w:rPr>
                    <w:t>附近村镇</w:t>
                  </w:r>
                  <w:r>
                    <w:rPr>
                      <w:bCs/>
                      <w:color w:val="000000" w:themeColor="text1"/>
                      <w:sz w:val="21"/>
                      <w14:textFill>
                        <w14:solidFill>
                          <w14:schemeClr w14:val="tx1"/>
                        </w14:solidFill>
                      </w14:textFill>
                    </w:rPr>
                    <w:t>设置的</w:t>
                  </w:r>
                  <w:r>
                    <w:rPr>
                      <w:rFonts w:hint="eastAsia"/>
                      <w:bCs/>
                      <w:color w:val="000000" w:themeColor="text1"/>
                      <w:sz w:val="21"/>
                      <w14:textFill>
                        <w14:solidFill>
                          <w14:schemeClr w14:val="tx1"/>
                        </w14:solidFill>
                      </w14:textFill>
                    </w:rPr>
                    <w:t>生活垃圾集中收集点，由环卫负责清运处理</w:t>
                  </w:r>
                  <w:r>
                    <w:rPr>
                      <w:bCs/>
                      <w:color w:val="000000" w:themeColor="text1"/>
                      <w:sz w:val="21"/>
                      <w14:textFill>
                        <w14:solidFill>
                          <w14:schemeClr w14:val="tx1"/>
                        </w14:solidFill>
                      </w14:textFill>
                    </w:rPr>
                    <w:t>。</w:t>
                  </w:r>
                  <w:r>
                    <w:rPr>
                      <w:rFonts w:hint="eastAsia"/>
                      <w:bCs/>
                      <w:color w:val="000000" w:themeColor="text1"/>
                      <w:sz w:val="21"/>
                      <w14:textFill>
                        <w14:solidFill>
                          <w14:schemeClr w14:val="tx1"/>
                        </w14:solidFill>
                      </w14:textFill>
                    </w:rPr>
                    <w:t xml:space="preserve"> </w:t>
                  </w:r>
                </w:p>
              </w:tc>
              <w:tc>
                <w:tcPr>
                  <w:tcW w:w="1040"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snapToGrid w:val="0"/>
                      <w:color w:val="000000" w:themeColor="text1"/>
                      <w:kern w:val="0"/>
                      <w:sz w:val="21"/>
                      <w14:textFill>
                        <w14:solidFill>
                          <w14:schemeClr w14:val="tx1"/>
                        </w14:solidFill>
                      </w14:textFill>
                    </w:rPr>
                    <w:t>/</w:t>
                  </w:r>
                </w:p>
              </w:tc>
              <w:tc>
                <w:tcPr>
                  <w:tcW w:w="829" w:type="dxa"/>
                  <w:tcBorders>
                    <w:tl2br w:val="nil"/>
                    <w:tr2bl w:val="nil"/>
                  </w:tcBorders>
                  <w:vAlign w:val="center"/>
                </w:tcPr>
                <w:p>
                  <w:pPr>
                    <w:adjustRightInd w:val="0"/>
                    <w:snapToGrid w:val="0"/>
                    <w:spacing w:line="288" w:lineRule="auto"/>
                    <w:jc w:val="center"/>
                    <w:rPr>
                      <w:snapToGrid w:val="0"/>
                      <w:color w:val="000000" w:themeColor="text1"/>
                      <w:kern w:val="0"/>
                      <w:sz w:val="21"/>
                      <w14:textFill>
                        <w14:solidFill>
                          <w14:schemeClr w14:val="tx1"/>
                        </w14:solidFill>
                      </w14:textFill>
                    </w:rPr>
                  </w:pPr>
                  <w:r>
                    <w:rPr>
                      <w:rFonts w:hint="eastAsia"/>
                      <w:snapToGrid w:val="0"/>
                      <w:color w:val="000000" w:themeColor="text1"/>
                      <w:kern w:val="0"/>
                      <w:sz w:val="21"/>
                      <w14:textFill>
                        <w14:solidFill>
                          <w14:schemeClr w14:val="tx1"/>
                        </w14:solidFill>
                      </w14:textFill>
                    </w:rPr>
                    <w:t>依托</w:t>
                  </w:r>
                </w:p>
              </w:tc>
            </w:tr>
            <w:bookmarkEnd w:id="0"/>
          </w:tbl>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3、主要生产设施信息</w:t>
            </w:r>
          </w:p>
          <w:p>
            <w:pPr>
              <w:spacing w:line="360" w:lineRule="auto"/>
              <w:ind w:firstLine="480" w:firstLineChars="200"/>
              <w:rPr>
                <w:color w:val="000000" w:themeColor="text1"/>
                <w:kern w:val="24"/>
                <w:szCs w:val="24"/>
                <w14:textFill>
                  <w14:solidFill>
                    <w14:schemeClr w14:val="tx1"/>
                  </w14:solidFill>
                </w14:textFill>
              </w:rPr>
            </w:pPr>
            <w:r>
              <w:rPr>
                <w:color w:val="000000" w:themeColor="text1"/>
                <w:kern w:val="24"/>
                <w:szCs w:val="24"/>
                <w14:textFill>
                  <w14:solidFill>
                    <w14:schemeClr w14:val="tx1"/>
                  </w14:solidFill>
                </w14:textFill>
              </w:rPr>
              <w:t>本项目主要生产设施信息见表2-3。</w:t>
            </w:r>
          </w:p>
          <w:p>
            <w:pPr>
              <w:autoSpaceDE w:val="0"/>
              <w:autoSpaceDN w:val="0"/>
              <w:adjustRightInd w:val="0"/>
              <w:snapToGrid w:val="0"/>
              <w:spacing w:line="360" w:lineRule="auto"/>
              <w:jc w:val="center"/>
              <w:rPr>
                <w:rFonts w:eastAsia="黑体"/>
                <w:b/>
                <w:bCs/>
                <w:color w:val="000000" w:themeColor="text1"/>
                <w:kern w:val="0"/>
                <w:sz w:val="20"/>
                <w14:textFill>
                  <w14:solidFill>
                    <w14:schemeClr w14:val="tx1"/>
                  </w14:solidFill>
                </w14:textFill>
              </w:rPr>
            </w:pPr>
            <w:r>
              <w:rPr>
                <w:rFonts w:eastAsia="黑体"/>
                <w:b/>
                <w:bCs/>
                <w:color w:val="000000" w:themeColor="text1"/>
                <w:kern w:val="0"/>
                <w:sz w:val="20"/>
                <w14:textFill>
                  <w14:solidFill>
                    <w14:schemeClr w14:val="tx1"/>
                  </w14:solidFill>
                </w14:textFill>
              </w:rPr>
              <w:t>表2-3  主要生产设施信息表</w:t>
            </w:r>
          </w:p>
          <w:tbl>
            <w:tblPr>
              <w:tblStyle w:val="15"/>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933"/>
              <w:gridCol w:w="1842"/>
              <w:gridCol w:w="1984"/>
              <w:gridCol w:w="1134"/>
              <w:gridCol w:w="1559"/>
              <w:gridCol w:w="1996"/>
            </w:tblGrid>
            <w:tr>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758" w:hRule="atLeast"/>
              </w:trPr>
              <w:tc>
                <w:tcPr>
                  <w:tcW w:w="494" w:type="pct"/>
                  <w:tcBorders>
                    <w:tl2br w:val="nil"/>
                    <w:tr2bl w:val="nil"/>
                  </w:tcBorders>
                  <w:vAlign w:val="center"/>
                </w:tcPr>
                <w:p>
                  <w:pPr>
                    <w:jc w:val="center"/>
                    <w:rPr>
                      <w:b/>
                      <w:color w:val="000000" w:themeColor="text1"/>
                      <w:sz w:val="21"/>
                      <w14:textFill>
                        <w14:solidFill>
                          <w14:schemeClr w14:val="tx1"/>
                        </w14:solidFill>
                      </w14:textFill>
                    </w:rPr>
                  </w:pPr>
                  <w:r>
                    <w:rPr>
                      <w:rFonts w:hint="eastAsia"/>
                      <w:b/>
                      <w:color w:val="000000" w:themeColor="text1"/>
                      <w:sz w:val="21"/>
                      <w14:textFill>
                        <w14:solidFill>
                          <w14:schemeClr w14:val="tx1"/>
                        </w14:solidFill>
                      </w14:textFill>
                    </w:rPr>
                    <w:t>序号</w:t>
                  </w:r>
                </w:p>
              </w:tc>
              <w:tc>
                <w:tcPr>
                  <w:tcW w:w="975" w:type="pct"/>
                  <w:tcBorders>
                    <w:tl2br w:val="nil"/>
                    <w:tr2bl w:val="nil"/>
                  </w:tcBorders>
                  <w:vAlign w:val="center"/>
                </w:tcPr>
                <w:p>
                  <w:pPr>
                    <w:jc w:val="center"/>
                    <w:rPr>
                      <w:b/>
                      <w:color w:val="000000" w:themeColor="text1"/>
                      <w:sz w:val="21"/>
                      <w14:textFill>
                        <w14:solidFill>
                          <w14:schemeClr w14:val="tx1"/>
                        </w14:solidFill>
                      </w14:textFill>
                    </w:rPr>
                  </w:pPr>
                  <w:r>
                    <w:rPr>
                      <w:b/>
                      <w:color w:val="000000" w:themeColor="text1"/>
                      <w:sz w:val="21"/>
                      <w14:textFill>
                        <w14:solidFill>
                          <w14:schemeClr w14:val="tx1"/>
                        </w14:solidFill>
                      </w14:textFill>
                    </w:rPr>
                    <w:t>设备名称</w:t>
                  </w:r>
                </w:p>
              </w:tc>
              <w:tc>
                <w:tcPr>
                  <w:tcW w:w="1050" w:type="pct"/>
                  <w:tcBorders>
                    <w:tl2br w:val="nil"/>
                    <w:tr2bl w:val="nil"/>
                  </w:tcBorders>
                  <w:vAlign w:val="center"/>
                </w:tcPr>
                <w:p>
                  <w:pPr>
                    <w:jc w:val="center"/>
                    <w:rPr>
                      <w:b/>
                      <w:color w:val="000000" w:themeColor="text1"/>
                      <w:sz w:val="21"/>
                      <w14:textFill>
                        <w14:solidFill>
                          <w14:schemeClr w14:val="tx1"/>
                        </w14:solidFill>
                      </w14:textFill>
                    </w:rPr>
                  </w:pPr>
                  <w:r>
                    <w:rPr>
                      <w:b/>
                      <w:color w:val="000000" w:themeColor="text1"/>
                      <w:sz w:val="21"/>
                      <w14:textFill>
                        <w14:solidFill>
                          <w14:schemeClr w14:val="tx1"/>
                        </w14:solidFill>
                      </w14:textFill>
                    </w:rPr>
                    <w:t>规格、型号</w:t>
                  </w:r>
                </w:p>
              </w:tc>
              <w:tc>
                <w:tcPr>
                  <w:tcW w:w="600" w:type="pct"/>
                  <w:tcBorders>
                    <w:tl2br w:val="nil"/>
                    <w:tr2bl w:val="nil"/>
                  </w:tcBorders>
                  <w:vAlign w:val="center"/>
                </w:tcPr>
                <w:p>
                  <w:pPr>
                    <w:jc w:val="center"/>
                    <w:rPr>
                      <w:b/>
                      <w:color w:val="000000" w:themeColor="text1"/>
                      <w:sz w:val="21"/>
                      <w14:textFill>
                        <w14:solidFill>
                          <w14:schemeClr w14:val="tx1"/>
                        </w14:solidFill>
                      </w14:textFill>
                    </w:rPr>
                  </w:pPr>
                  <w:r>
                    <w:rPr>
                      <w:b/>
                      <w:color w:val="000000" w:themeColor="text1"/>
                      <w:sz w:val="21"/>
                      <w14:textFill>
                        <w14:solidFill>
                          <w14:schemeClr w14:val="tx1"/>
                        </w14:solidFill>
                      </w14:textFill>
                    </w:rPr>
                    <w:t>数量</w:t>
                  </w:r>
                </w:p>
              </w:tc>
              <w:tc>
                <w:tcPr>
                  <w:tcW w:w="825" w:type="pct"/>
                  <w:tcBorders>
                    <w:tl2br w:val="nil"/>
                    <w:tr2bl w:val="nil"/>
                  </w:tcBorders>
                  <w:vAlign w:val="center"/>
                </w:tcPr>
                <w:p>
                  <w:pPr>
                    <w:jc w:val="center"/>
                    <w:rPr>
                      <w:b/>
                      <w:color w:val="000000" w:themeColor="text1"/>
                      <w:sz w:val="21"/>
                      <w14:textFill>
                        <w14:solidFill>
                          <w14:schemeClr w14:val="tx1"/>
                        </w14:solidFill>
                      </w14:textFill>
                    </w:rPr>
                  </w:pPr>
                  <w:r>
                    <w:rPr>
                      <w:rFonts w:hint="eastAsia"/>
                      <w:b/>
                      <w:color w:val="000000" w:themeColor="text1"/>
                      <w:sz w:val="21"/>
                      <w14:textFill>
                        <w14:solidFill>
                          <w14:schemeClr w14:val="tx1"/>
                        </w14:solidFill>
                      </w14:textFill>
                    </w:rPr>
                    <w:t>位置</w:t>
                  </w:r>
                </w:p>
              </w:tc>
              <w:tc>
                <w:tcPr>
                  <w:tcW w:w="1056" w:type="pct"/>
                  <w:tcBorders>
                    <w:tl2br w:val="nil"/>
                    <w:tr2bl w:val="nil"/>
                  </w:tcBorders>
                  <w:vAlign w:val="center"/>
                </w:tcPr>
                <w:p>
                  <w:pPr>
                    <w:jc w:val="center"/>
                    <w:rPr>
                      <w:b/>
                      <w:color w:val="000000" w:themeColor="text1"/>
                      <w:sz w:val="21"/>
                      <w14:textFill>
                        <w14:solidFill>
                          <w14:schemeClr w14:val="tx1"/>
                        </w14:solidFill>
                      </w14:textFill>
                    </w:rPr>
                  </w:pPr>
                  <w:r>
                    <w:rPr>
                      <w:rFonts w:hint="eastAsia"/>
                      <w:b/>
                      <w:color w:val="000000" w:themeColor="text1"/>
                      <w:sz w:val="21"/>
                      <w14:textFill>
                        <w14:solidFill>
                          <w14:schemeClr w14:val="tx1"/>
                        </w14:solidFill>
                      </w14:textFill>
                    </w:rPr>
                    <w:t>用途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05" w:hRule="atLeast"/>
              </w:trPr>
              <w:tc>
                <w:tcPr>
                  <w:tcW w:w="494" w:type="pct"/>
                  <w:tcBorders>
                    <w:tl2br w:val="nil"/>
                    <w:tr2bl w:val="nil"/>
                  </w:tcBorders>
                  <w:vAlign w:val="center"/>
                </w:tcPr>
                <w:p>
                  <w:pPr>
                    <w:snapToGrid w:val="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975"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装载机</w:t>
                  </w:r>
                </w:p>
              </w:tc>
              <w:tc>
                <w:tcPr>
                  <w:tcW w:w="1050" w:type="pct"/>
                  <w:tcBorders>
                    <w:tl2br w:val="nil"/>
                    <w:tr2bl w:val="nil"/>
                  </w:tcBorders>
                  <w:vAlign w:val="center"/>
                </w:tcPr>
                <w:p>
                  <w:pPr>
                    <w:jc w:val="center"/>
                    <w:textAlignment w:val="baseline"/>
                    <w:rPr>
                      <w:snapToGrid w:val="0"/>
                      <w:color w:val="000000" w:themeColor="text1"/>
                      <w:sz w:val="21"/>
                      <w14:textFill>
                        <w14:solidFill>
                          <w14:schemeClr w14:val="tx1"/>
                        </w14:solidFill>
                      </w14:textFill>
                    </w:rPr>
                  </w:pPr>
                  <w:r>
                    <w:rPr>
                      <w:rFonts w:hint="eastAsia"/>
                      <w:snapToGrid w:val="0"/>
                      <w:color w:val="000000" w:themeColor="text1"/>
                      <w:sz w:val="21"/>
                      <w14:textFill>
                        <w14:solidFill>
                          <w14:schemeClr w14:val="tx1"/>
                        </w14:solidFill>
                      </w14:textFill>
                    </w:rPr>
                    <w:t>/</w:t>
                  </w:r>
                </w:p>
              </w:tc>
              <w:tc>
                <w:tcPr>
                  <w:tcW w:w="600"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2 台</w:t>
                  </w:r>
                </w:p>
              </w:tc>
              <w:tc>
                <w:tcPr>
                  <w:tcW w:w="825"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生产厂房内</w:t>
                  </w:r>
                </w:p>
              </w:tc>
              <w:tc>
                <w:tcPr>
                  <w:tcW w:w="1056"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原料及成品装载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539" w:hRule="atLeast"/>
              </w:trPr>
              <w:tc>
                <w:tcPr>
                  <w:tcW w:w="494" w:type="pct"/>
                  <w:tcBorders>
                    <w:tl2br w:val="nil"/>
                    <w:tr2bl w:val="nil"/>
                  </w:tcBorders>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975"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给料机</w:t>
                  </w:r>
                </w:p>
              </w:tc>
              <w:tc>
                <w:tcPr>
                  <w:tcW w:w="1050" w:type="pct"/>
                  <w:tcBorders>
                    <w:tl2br w:val="nil"/>
                    <w:tr2bl w:val="nil"/>
                  </w:tcBorders>
                  <w:vAlign w:val="center"/>
                </w:tcPr>
                <w:p>
                  <w:pPr>
                    <w:jc w:val="center"/>
                    <w:textAlignment w:val="baseline"/>
                    <w:rPr>
                      <w:snapToGrid w:val="0"/>
                      <w:color w:val="000000" w:themeColor="text1"/>
                      <w:sz w:val="21"/>
                      <w14:textFill>
                        <w14:solidFill>
                          <w14:schemeClr w14:val="tx1"/>
                        </w14:solidFill>
                      </w14:textFill>
                    </w:rPr>
                  </w:pPr>
                  <w:r>
                    <w:rPr>
                      <w:rFonts w:hint="eastAsia"/>
                      <w:snapToGrid w:val="0"/>
                      <w:color w:val="000000" w:themeColor="text1"/>
                      <w:sz w:val="21"/>
                      <w14:textFill>
                        <w14:solidFill>
                          <w14:schemeClr w14:val="tx1"/>
                        </w14:solidFill>
                      </w14:textFill>
                    </w:rPr>
                    <w:t>/</w:t>
                  </w:r>
                </w:p>
              </w:tc>
              <w:tc>
                <w:tcPr>
                  <w:tcW w:w="600"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 台</w:t>
                  </w:r>
                </w:p>
              </w:tc>
              <w:tc>
                <w:tcPr>
                  <w:tcW w:w="825"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生产厂房内</w:t>
                  </w:r>
                </w:p>
              </w:tc>
              <w:tc>
                <w:tcPr>
                  <w:tcW w:w="1056"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给料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05" w:hRule="atLeast"/>
              </w:trPr>
              <w:tc>
                <w:tcPr>
                  <w:tcW w:w="494" w:type="pct"/>
                  <w:tcBorders>
                    <w:tl2br w:val="nil"/>
                    <w:tr2bl w:val="nil"/>
                  </w:tcBorders>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975"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颚式破碎机</w:t>
                  </w:r>
                </w:p>
              </w:tc>
              <w:tc>
                <w:tcPr>
                  <w:tcW w:w="1050" w:type="pct"/>
                  <w:tcBorders>
                    <w:tl2br w:val="nil"/>
                    <w:tr2bl w:val="nil"/>
                  </w:tcBorders>
                  <w:vAlign w:val="center"/>
                </w:tcPr>
                <w:p>
                  <w:pPr>
                    <w:jc w:val="center"/>
                    <w:textAlignment w:val="baseline"/>
                    <w:rPr>
                      <w:snapToGrid w:val="0"/>
                      <w:color w:val="000000" w:themeColor="text1"/>
                      <w:sz w:val="21"/>
                      <w14:textFill>
                        <w14:solidFill>
                          <w14:schemeClr w14:val="tx1"/>
                        </w14:solidFill>
                      </w14:textFill>
                    </w:rPr>
                  </w:pPr>
                  <w:r>
                    <w:rPr>
                      <w:rFonts w:hint="eastAsia"/>
                      <w:snapToGrid w:val="0"/>
                      <w:color w:val="000000" w:themeColor="text1"/>
                      <w:sz w:val="21"/>
                      <w14:textFill>
                        <w14:solidFill>
                          <w14:schemeClr w14:val="tx1"/>
                        </w14:solidFill>
                      </w14:textFill>
                    </w:rPr>
                    <w:t>/</w:t>
                  </w:r>
                </w:p>
              </w:tc>
              <w:tc>
                <w:tcPr>
                  <w:tcW w:w="600"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 台</w:t>
                  </w:r>
                </w:p>
              </w:tc>
              <w:tc>
                <w:tcPr>
                  <w:tcW w:w="825"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生产厂房内</w:t>
                  </w:r>
                </w:p>
              </w:tc>
              <w:tc>
                <w:tcPr>
                  <w:tcW w:w="1056"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破碎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05" w:hRule="atLeast"/>
              </w:trPr>
              <w:tc>
                <w:tcPr>
                  <w:tcW w:w="494" w:type="pct"/>
                  <w:tcBorders>
                    <w:tl2br w:val="nil"/>
                    <w:tr2bl w:val="nil"/>
                  </w:tcBorders>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w:t>
                  </w:r>
                </w:p>
              </w:tc>
              <w:tc>
                <w:tcPr>
                  <w:tcW w:w="975"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反击式破碎机</w:t>
                  </w:r>
                </w:p>
              </w:tc>
              <w:tc>
                <w:tcPr>
                  <w:tcW w:w="1050" w:type="pct"/>
                  <w:tcBorders>
                    <w:tl2br w:val="nil"/>
                    <w:tr2bl w:val="nil"/>
                  </w:tcBorders>
                  <w:vAlign w:val="center"/>
                </w:tcPr>
                <w:p>
                  <w:pPr>
                    <w:jc w:val="center"/>
                    <w:textAlignment w:val="baseline"/>
                    <w:rPr>
                      <w:snapToGrid w:val="0"/>
                      <w:color w:val="000000" w:themeColor="text1"/>
                      <w:sz w:val="21"/>
                      <w14:textFill>
                        <w14:solidFill>
                          <w14:schemeClr w14:val="tx1"/>
                        </w14:solidFill>
                      </w14:textFill>
                    </w:rPr>
                  </w:pPr>
                  <w:r>
                    <w:rPr>
                      <w:rFonts w:hint="eastAsia"/>
                      <w:snapToGrid w:val="0"/>
                      <w:color w:val="000000" w:themeColor="text1"/>
                      <w:sz w:val="21"/>
                      <w14:textFill>
                        <w14:solidFill>
                          <w14:schemeClr w14:val="tx1"/>
                        </w14:solidFill>
                      </w14:textFill>
                    </w:rPr>
                    <w:t>/</w:t>
                  </w:r>
                </w:p>
              </w:tc>
              <w:tc>
                <w:tcPr>
                  <w:tcW w:w="600"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 台</w:t>
                  </w:r>
                </w:p>
              </w:tc>
              <w:tc>
                <w:tcPr>
                  <w:tcW w:w="825"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生产厂房内</w:t>
                  </w:r>
                </w:p>
              </w:tc>
              <w:tc>
                <w:tcPr>
                  <w:tcW w:w="1056"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破碎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05" w:hRule="atLeast"/>
              </w:trPr>
              <w:tc>
                <w:tcPr>
                  <w:tcW w:w="494" w:type="pct"/>
                  <w:tcBorders>
                    <w:tl2br w:val="nil"/>
                    <w:tr2bl w:val="nil"/>
                  </w:tcBorders>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w:t>
                  </w:r>
                </w:p>
              </w:tc>
              <w:tc>
                <w:tcPr>
                  <w:tcW w:w="975"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多级振动筛分机</w:t>
                  </w:r>
                </w:p>
              </w:tc>
              <w:tc>
                <w:tcPr>
                  <w:tcW w:w="1050" w:type="pct"/>
                  <w:tcBorders>
                    <w:tl2br w:val="nil"/>
                    <w:tr2bl w:val="nil"/>
                  </w:tcBorders>
                  <w:vAlign w:val="center"/>
                </w:tcPr>
                <w:p>
                  <w:pPr>
                    <w:jc w:val="center"/>
                    <w:textAlignment w:val="baseline"/>
                    <w:rPr>
                      <w:snapToGrid w:val="0"/>
                      <w:color w:val="000000" w:themeColor="text1"/>
                      <w:sz w:val="21"/>
                      <w14:textFill>
                        <w14:solidFill>
                          <w14:schemeClr w14:val="tx1"/>
                        </w14:solidFill>
                      </w14:textFill>
                    </w:rPr>
                  </w:pPr>
                  <w:r>
                    <w:rPr>
                      <w:rFonts w:hint="eastAsia"/>
                      <w:snapToGrid w:val="0"/>
                      <w:color w:val="000000" w:themeColor="text1"/>
                      <w:sz w:val="21"/>
                      <w14:textFill>
                        <w14:solidFill>
                          <w14:schemeClr w14:val="tx1"/>
                        </w14:solidFill>
                      </w14:textFill>
                    </w:rPr>
                    <w:t>/</w:t>
                  </w:r>
                </w:p>
              </w:tc>
              <w:tc>
                <w:tcPr>
                  <w:tcW w:w="600"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 台</w:t>
                  </w:r>
                </w:p>
              </w:tc>
              <w:tc>
                <w:tcPr>
                  <w:tcW w:w="825"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生产厂房内</w:t>
                  </w:r>
                </w:p>
              </w:tc>
              <w:tc>
                <w:tcPr>
                  <w:tcW w:w="1056"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筛分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05" w:hRule="atLeast"/>
              </w:trPr>
              <w:tc>
                <w:tcPr>
                  <w:tcW w:w="494" w:type="pct"/>
                  <w:tcBorders>
                    <w:tl2br w:val="nil"/>
                    <w:tr2bl w:val="nil"/>
                  </w:tcBorders>
                  <w:vAlign w:val="center"/>
                </w:tcPr>
                <w:p>
                  <w:pPr>
                    <w:snapToGrid w:val="0"/>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6</w:t>
                  </w:r>
                </w:p>
              </w:tc>
              <w:tc>
                <w:tcPr>
                  <w:tcW w:w="975"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制砂机</w:t>
                  </w:r>
                </w:p>
              </w:tc>
              <w:tc>
                <w:tcPr>
                  <w:tcW w:w="1050" w:type="pct"/>
                  <w:tcBorders>
                    <w:tl2br w:val="nil"/>
                    <w:tr2bl w:val="nil"/>
                  </w:tcBorders>
                  <w:vAlign w:val="center"/>
                </w:tcPr>
                <w:p>
                  <w:pPr>
                    <w:jc w:val="center"/>
                    <w:textAlignment w:val="baseline"/>
                    <w:rPr>
                      <w:snapToGrid w:val="0"/>
                      <w:color w:val="000000" w:themeColor="text1"/>
                      <w:sz w:val="21"/>
                      <w14:textFill>
                        <w14:solidFill>
                          <w14:schemeClr w14:val="tx1"/>
                        </w14:solidFill>
                      </w14:textFill>
                    </w:rPr>
                  </w:pPr>
                  <w:r>
                    <w:rPr>
                      <w:rFonts w:hint="eastAsia"/>
                      <w:snapToGrid w:val="0"/>
                      <w:color w:val="000000" w:themeColor="text1"/>
                      <w:sz w:val="21"/>
                      <w14:textFill>
                        <w14:solidFill>
                          <w14:schemeClr w14:val="tx1"/>
                        </w14:solidFill>
                      </w14:textFill>
                    </w:rPr>
                    <w:t>/</w:t>
                  </w:r>
                </w:p>
              </w:tc>
              <w:tc>
                <w:tcPr>
                  <w:tcW w:w="600"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 台</w:t>
                  </w:r>
                </w:p>
              </w:tc>
              <w:tc>
                <w:tcPr>
                  <w:tcW w:w="825"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生产厂房内</w:t>
                  </w:r>
                </w:p>
              </w:tc>
              <w:tc>
                <w:tcPr>
                  <w:tcW w:w="1056"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制砂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26" w:hRule="atLeast"/>
              </w:trPr>
              <w:tc>
                <w:tcPr>
                  <w:tcW w:w="494" w:type="pct"/>
                  <w:tcBorders>
                    <w:tl2br w:val="nil"/>
                    <w:tr2bl w:val="nil"/>
                  </w:tcBorders>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w:t>
                  </w:r>
                </w:p>
              </w:tc>
              <w:tc>
                <w:tcPr>
                  <w:tcW w:w="975"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螺旋洗砂机</w:t>
                  </w:r>
                </w:p>
              </w:tc>
              <w:tc>
                <w:tcPr>
                  <w:tcW w:w="1050" w:type="pct"/>
                  <w:tcBorders>
                    <w:tl2br w:val="nil"/>
                    <w:tr2bl w:val="nil"/>
                  </w:tcBorders>
                  <w:vAlign w:val="center"/>
                </w:tcPr>
                <w:p>
                  <w:pPr>
                    <w:jc w:val="center"/>
                    <w:textAlignment w:val="baseline"/>
                    <w:rPr>
                      <w:snapToGrid w:val="0"/>
                      <w:color w:val="000000" w:themeColor="text1"/>
                      <w:sz w:val="21"/>
                      <w14:textFill>
                        <w14:solidFill>
                          <w14:schemeClr w14:val="tx1"/>
                        </w14:solidFill>
                      </w14:textFill>
                    </w:rPr>
                  </w:pPr>
                  <w:r>
                    <w:rPr>
                      <w:rFonts w:hint="eastAsia"/>
                      <w:snapToGrid w:val="0"/>
                      <w:color w:val="000000" w:themeColor="text1"/>
                      <w:sz w:val="21"/>
                      <w14:textFill>
                        <w14:solidFill>
                          <w14:schemeClr w14:val="tx1"/>
                        </w14:solidFill>
                      </w14:textFill>
                    </w:rPr>
                    <w:t>/</w:t>
                  </w:r>
                </w:p>
              </w:tc>
              <w:tc>
                <w:tcPr>
                  <w:tcW w:w="600"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 台</w:t>
                  </w:r>
                </w:p>
              </w:tc>
              <w:tc>
                <w:tcPr>
                  <w:tcW w:w="825"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生产厂房内</w:t>
                  </w:r>
                </w:p>
              </w:tc>
              <w:tc>
                <w:tcPr>
                  <w:tcW w:w="1056"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洗砂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05" w:hRule="atLeast"/>
              </w:trPr>
              <w:tc>
                <w:tcPr>
                  <w:tcW w:w="494" w:type="pct"/>
                  <w:tcBorders>
                    <w:tl2br w:val="nil"/>
                    <w:tr2bl w:val="nil"/>
                  </w:tcBorders>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8</w:t>
                  </w:r>
                </w:p>
              </w:tc>
              <w:tc>
                <w:tcPr>
                  <w:tcW w:w="975"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尾砂回收机</w:t>
                  </w:r>
                </w:p>
              </w:tc>
              <w:tc>
                <w:tcPr>
                  <w:tcW w:w="1050" w:type="pct"/>
                  <w:tcBorders>
                    <w:tl2br w:val="nil"/>
                    <w:tr2bl w:val="nil"/>
                  </w:tcBorders>
                  <w:vAlign w:val="center"/>
                </w:tcPr>
                <w:p>
                  <w:pPr>
                    <w:jc w:val="center"/>
                    <w:textAlignment w:val="baseline"/>
                    <w:rPr>
                      <w:snapToGrid w:val="0"/>
                      <w:color w:val="000000" w:themeColor="text1"/>
                      <w:sz w:val="21"/>
                      <w14:textFill>
                        <w14:solidFill>
                          <w14:schemeClr w14:val="tx1"/>
                        </w14:solidFill>
                      </w14:textFill>
                    </w:rPr>
                  </w:pPr>
                  <w:r>
                    <w:rPr>
                      <w:rFonts w:hint="eastAsia"/>
                      <w:snapToGrid w:val="0"/>
                      <w:color w:val="000000" w:themeColor="text1"/>
                      <w:sz w:val="21"/>
                      <w14:textFill>
                        <w14:solidFill>
                          <w14:schemeClr w14:val="tx1"/>
                        </w14:solidFill>
                      </w14:textFill>
                    </w:rPr>
                    <w:t>/</w:t>
                  </w:r>
                </w:p>
              </w:tc>
              <w:tc>
                <w:tcPr>
                  <w:tcW w:w="600"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 台</w:t>
                  </w:r>
                </w:p>
              </w:tc>
              <w:tc>
                <w:tcPr>
                  <w:tcW w:w="825"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生产厂房内</w:t>
                  </w:r>
                </w:p>
              </w:tc>
              <w:tc>
                <w:tcPr>
                  <w:tcW w:w="1056"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回收尾砂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05" w:hRule="atLeast"/>
              </w:trPr>
              <w:tc>
                <w:tcPr>
                  <w:tcW w:w="494" w:type="pct"/>
                  <w:tcBorders>
                    <w:tl2br w:val="nil"/>
                    <w:tr2bl w:val="nil"/>
                  </w:tcBorders>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9</w:t>
                  </w:r>
                </w:p>
              </w:tc>
              <w:tc>
                <w:tcPr>
                  <w:tcW w:w="975"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传送皮带</w:t>
                  </w:r>
                </w:p>
              </w:tc>
              <w:tc>
                <w:tcPr>
                  <w:tcW w:w="1050" w:type="pct"/>
                  <w:tcBorders>
                    <w:tl2br w:val="nil"/>
                    <w:tr2bl w:val="nil"/>
                  </w:tcBorders>
                  <w:vAlign w:val="center"/>
                </w:tcPr>
                <w:p>
                  <w:pPr>
                    <w:jc w:val="center"/>
                    <w:textAlignment w:val="baseline"/>
                    <w:rPr>
                      <w:snapToGrid w:val="0"/>
                      <w:color w:val="000000" w:themeColor="text1"/>
                      <w:sz w:val="21"/>
                      <w14:textFill>
                        <w14:solidFill>
                          <w14:schemeClr w14:val="tx1"/>
                        </w14:solidFill>
                      </w14:textFill>
                    </w:rPr>
                  </w:pPr>
                  <w:r>
                    <w:rPr>
                      <w:snapToGrid w:val="0"/>
                      <w:color w:val="000000" w:themeColor="text1"/>
                      <w:sz w:val="21"/>
                      <w14:textFill>
                        <w14:solidFill>
                          <w14:schemeClr w14:val="tx1"/>
                        </w14:solidFill>
                      </w14:textFill>
                    </w:rPr>
                    <w:t>/</w:t>
                  </w:r>
                </w:p>
              </w:tc>
              <w:tc>
                <w:tcPr>
                  <w:tcW w:w="600"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7 条</w:t>
                  </w:r>
                </w:p>
              </w:tc>
              <w:tc>
                <w:tcPr>
                  <w:tcW w:w="825"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生产厂房内</w:t>
                  </w:r>
                </w:p>
              </w:tc>
              <w:tc>
                <w:tcPr>
                  <w:tcW w:w="1056"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物料输送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05" w:hRule="atLeast"/>
              </w:trPr>
              <w:tc>
                <w:tcPr>
                  <w:tcW w:w="494" w:type="pct"/>
                  <w:tcBorders>
                    <w:tl2br w:val="nil"/>
                    <w:tr2bl w:val="nil"/>
                  </w:tcBorders>
                  <w:vAlign w:val="center"/>
                </w:tcPr>
                <w:p>
                  <w:pPr>
                    <w:jc w:val="center"/>
                    <w:rPr>
                      <w:snapToGrid w:val="0"/>
                      <w:color w:val="000000" w:themeColor="text1"/>
                      <w:sz w:val="21"/>
                      <w14:textFill>
                        <w14:solidFill>
                          <w14:schemeClr w14:val="tx1"/>
                        </w14:solidFill>
                      </w14:textFill>
                    </w:rPr>
                  </w:pPr>
                  <w:r>
                    <w:rPr>
                      <w:rFonts w:hint="eastAsia"/>
                      <w:snapToGrid w:val="0"/>
                      <w:color w:val="000000" w:themeColor="text1"/>
                      <w:sz w:val="21"/>
                      <w14:textFill>
                        <w14:solidFill>
                          <w14:schemeClr w14:val="tx1"/>
                        </w14:solidFill>
                      </w14:textFill>
                    </w:rPr>
                    <w:t>1</w:t>
                  </w:r>
                  <w:r>
                    <w:rPr>
                      <w:snapToGrid w:val="0"/>
                      <w:color w:val="000000" w:themeColor="text1"/>
                      <w:sz w:val="21"/>
                      <w14:textFill>
                        <w14:solidFill>
                          <w14:schemeClr w14:val="tx1"/>
                        </w14:solidFill>
                      </w14:textFill>
                    </w:rPr>
                    <w:t>0</w:t>
                  </w:r>
                </w:p>
              </w:tc>
              <w:tc>
                <w:tcPr>
                  <w:tcW w:w="975"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雾化喷淋设施</w:t>
                  </w:r>
                </w:p>
              </w:tc>
              <w:tc>
                <w:tcPr>
                  <w:tcW w:w="1050" w:type="pct"/>
                  <w:tcBorders>
                    <w:tl2br w:val="nil"/>
                    <w:tr2bl w:val="nil"/>
                  </w:tcBorders>
                  <w:vAlign w:val="center"/>
                </w:tcPr>
                <w:p>
                  <w:pPr>
                    <w:jc w:val="center"/>
                    <w:textAlignment w:val="baseline"/>
                    <w:rPr>
                      <w:snapToGrid w:val="0"/>
                      <w:color w:val="000000" w:themeColor="text1"/>
                      <w:sz w:val="21"/>
                      <w14:textFill>
                        <w14:solidFill>
                          <w14:schemeClr w14:val="tx1"/>
                        </w14:solidFill>
                      </w14:textFill>
                    </w:rPr>
                  </w:pPr>
                  <w:r>
                    <w:rPr>
                      <w:rFonts w:hint="eastAsia"/>
                      <w:snapToGrid w:val="0"/>
                      <w:color w:val="000000" w:themeColor="text1"/>
                      <w:sz w:val="21"/>
                      <w14:textFill>
                        <w14:solidFill>
                          <w14:schemeClr w14:val="tx1"/>
                        </w14:solidFill>
                      </w14:textFill>
                    </w:rPr>
                    <w:t>/</w:t>
                  </w:r>
                </w:p>
              </w:tc>
              <w:tc>
                <w:tcPr>
                  <w:tcW w:w="600"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多套</w:t>
                  </w:r>
                </w:p>
              </w:tc>
              <w:tc>
                <w:tcPr>
                  <w:tcW w:w="825"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生产厂房内</w:t>
                  </w:r>
                </w:p>
              </w:tc>
              <w:tc>
                <w:tcPr>
                  <w:tcW w:w="1056"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喷淋降尘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05" w:hRule="atLeast"/>
              </w:trPr>
              <w:tc>
                <w:tcPr>
                  <w:tcW w:w="494" w:type="pct"/>
                  <w:tcBorders>
                    <w:tl2br w:val="nil"/>
                    <w:tr2bl w:val="nil"/>
                  </w:tcBorders>
                  <w:vAlign w:val="center"/>
                </w:tcPr>
                <w:p>
                  <w:pPr>
                    <w:jc w:val="center"/>
                    <w:rPr>
                      <w:snapToGrid w:val="0"/>
                      <w:color w:val="000000" w:themeColor="text1"/>
                      <w:sz w:val="21"/>
                      <w14:textFill>
                        <w14:solidFill>
                          <w14:schemeClr w14:val="tx1"/>
                        </w14:solidFill>
                      </w14:textFill>
                    </w:rPr>
                  </w:pPr>
                  <w:r>
                    <w:rPr>
                      <w:rFonts w:hint="eastAsia"/>
                      <w:snapToGrid w:val="0"/>
                      <w:color w:val="000000" w:themeColor="text1"/>
                      <w:sz w:val="21"/>
                      <w14:textFill>
                        <w14:solidFill>
                          <w14:schemeClr w14:val="tx1"/>
                        </w14:solidFill>
                      </w14:textFill>
                    </w:rPr>
                    <w:t>1</w:t>
                  </w:r>
                  <w:r>
                    <w:rPr>
                      <w:snapToGrid w:val="0"/>
                      <w:color w:val="000000" w:themeColor="text1"/>
                      <w:sz w:val="21"/>
                      <w14:textFill>
                        <w14:solidFill>
                          <w14:schemeClr w14:val="tx1"/>
                        </w14:solidFill>
                      </w14:textFill>
                    </w:rPr>
                    <w:t>1</w:t>
                  </w:r>
                </w:p>
              </w:tc>
              <w:tc>
                <w:tcPr>
                  <w:tcW w:w="975"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板框压滤机</w:t>
                  </w:r>
                </w:p>
              </w:tc>
              <w:tc>
                <w:tcPr>
                  <w:tcW w:w="1050" w:type="pct"/>
                  <w:tcBorders>
                    <w:tl2br w:val="nil"/>
                    <w:tr2bl w:val="nil"/>
                  </w:tcBorders>
                  <w:vAlign w:val="center"/>
                </w:tcPr>
                <w:p>
                  <w:pPr>
                    <w:jc w:val="center"/>
                    <w:textAlignment w:val="baseline"/>
                    <w:rPr>
                      <w:snapToGrid w:val="0"/>
                      <w:color w:val="000000" w:themeColor="text1"/>
                      <w:sz w:val="21"/>
                      <w14:textFill>
                        <w14:solidFill>
                          <w14:schemeClr w14:val="tx1"/>
                        </w14:solidFill>
                      </w14:textFill>
                    </w:rPr>
                  </w:pPr>
                  <w:r>
                    <w:rPr>
                      <w:rFonts w:eastAsia="Times New Roman"/>
                      <w:sz w:val="20"/>
                      <w:szCs w:val="20"/>
                    </w:rPr>
                    <w:t>6m</w:t>
                  </w:r>
                  <w:r>
                    <w:rPr>
                      <w:rFonts w:ascii="Arial" w:hAnsi="Arial" w:eastAsia="Arial" w:cs="Arial"/>
                      <w:sz w:val="20"/>
                      <w:szCs w:val="20"/>
                    </w:rPr>
                    <w:t>×</w:t>
                  </w:r>
                  <w:r>
                    <w:rPr>
                      <w:rFonts w:ascii="Arial" w:hAnsi="Arial" w:eastAsia="Arial" w:cs="Arial"/>
                      <w:spacing w:val="-26"/>
                      <w:sz w:val="20"/>
                      <w:szCs w:val="20"/>
                    </w:rPr>
                    <w:t xml:space="preserve"> </w:t>
                  </w:r>
                  <w:r>
                    <w:rPr>
                      <w:rFonts w:eastAsia="Times New Roman"/>
                      <w:sz w:val="20"/>
                      <w:szCs w:val="20"/>
                    </w:rPr>
                    <w:t>1.5m</w:t>
                  </w:r>
                  <w:r>
                    <w:rPr>
                      <w:sz w:val="20"/>
                      <w:szCs w:val="20"/>
                    </w:rPr>
                    <w:t>型</w:t>
                  </w:r>
                </w:p>
              </w:tc>
              <w:tc>
                <w:tcPr>
                  <w:tcW w:w="600"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 台</w:t>
                  </w:r>
                </w:p>
              </w:tc>
              <w:tc>
                <w:tcPr>
                  <w:tcW w:w="825"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生产厂房内</w:t>
                  </w:r>
                </w:p>
              </w:tc>
              <w:tc>
                <w:tcPr>
                  <w:tcW w:w="1056"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泥沙压滤</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15" w:hRule="atLeast"/>
              </w:trPr>
              <w:tc>
                <w:tcPr>
                  <w:tcW w:w="494" w:type="pct"/>
                  <w:tcBorders>
                    <w:tl2br w:val="nil"/>
                    <w:tr2bl w:val="nil"/>
                  </w:tcBorders>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2</w:t>
                  </w:r>
                </w:p>
              </w:tc>
              <w:tc>
                <w:tcPr>
                  <w:tcW w:w="975"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PAC 溶解加药罐</w:t>
                  </w:r>
                </w:p>
              </w:tc>
              <w:tc>
                <w:tcPr>
                  <w:tcW w:w="1050" w:type="pct"/>
                  <w:tcBorders>
                    <w:tl2br w:val="nil"/>
                    <w:tr2bl w:val="nil"/>
                  </w:tcBorders>
                  <w:vAlign w:val="center"/>
                </w:tcPr>
                <w:p>
                  <w:pPr>
                    <w:snapToGrid w:val="0"/>
                    <w:jc w:val="center"/>
                    <w:rPr>
                      <w:snapToGrid w:val="0"/>
                      <w:color w:val="000000" w:themeColor="text1"/>
                      <w:sz w:val="21"/>
                      <w:highlight w:val="yellow"/>
                      <w14:textFill>
                        <w14:solidFill>
                          <w14:schemeClr w14:val="tx1"/>
                        </w14:solidFill>
                      </w14:textFill>
                    </w:rPr>
                  </w:pPr>
                  <w:r>
                    <w:rPr>
                      <w:spacing w:val="2"/>
                      <w:sz w:val="20"/>
                      <w:szCs w:val="20"/>
                    </w:rPr>
                    <w:t>自带搅拌溶解</w:t>
                  </w:r>
                  <w:r>
                    <w:rPr>
                      <w:spacing w:val="8"/>
                      <w:sz w:val="20"/>
                      <w:szCs w:val="20"/>
                    </w:rPr>
                    <w:t>装置，计量泵</w:t>
                  </w:r>
                </w:p>
              </w:tc>
              <w:tc>
                <w:tcPr>
                  <w:tcW w:w="600"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 套</w:t>
                  </w:r>
                </w:p>
              </w:tc>
              <w:tc>
                <w:tcPr>
                  <w:tcW w:w="825"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生产厂房内</w:t>
                  </w:r>
                </w:p>
              </w:tc>
              <w:tc>
                <w:tcPr>
                  <w:tcW w:w="1056"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絮凝沉淀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15" w:hRule="atLeast"/>
              </w:trPr>
              <w:tc>
                <w:tcPr>
                  <w:tcW w:w="494" w:type="pct"/>
                  <w:tcBorders>
                    <w:tl2br w:val="nil"/>
                    <w:tr2bl w:val="nil"/>
                  </w:tcBorders>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3</w:t>
                  </w:r>
                </w:p>
              </w:tc>
              <w:tc>
                <w:tcPr>
                  <w:tcW w:w="975" w:type="pct"/>
                  <w:tcBorders>
                    <w:tl2br w:val="nil"/>
                    <w:tr2bl w:val="nil"/>
                  </w:tcBorders>
                  <w:vAlign w:val="center"/>
                </w:tcPr>
                <w:p>
                  <w:pPr>
                    <w:snapToGrid w:val="0"/>
                    <w:jc w:val="center"/>
                    <w:rPr>
                      <w:color w:val="000000" w:themeColor="text1"/>
                      <w:sz w:val="21"/>
                      <w14:textFill>
                        <w14:solidFill>
                          <w14:schemeClr w14:val="tx1"/>
                        </w14:solidFill>
                      </w14:textFill>
                    </w:rPr>
                  </w:pPr>
                  <w:r>
                    <w:rPr>
                      <w:rFonts w:eastAsia="Times New Roman"/>
                      <w:sz w:val="20"/>
                      <w:szCs w:val="20"/>
                    </w:rPr>
                    <w:t>PAM</w:t>
                  </w:r>
                  <w:r>
                    <w:rPr>
                      <w:rFonts w:eastAsia="Times New Roman"/>
                      <w:spacing w:val="8"/>
                      <w:sz w:val="20"/>
                      <w:szCs w:val="20"/>
                    </w:rPr>
                    <w:t xml:space="preserve"> </w:t>
                  </w:r>
                  <w:r>
                    <w:rPr>
                      <w:spacing w:val="8"/>
                      <w:sz w:val="20"/>
                      <w:szCs w:val="20"/>
                    </w:rPr>
                    <w:t>溶解加药罐</w:t>
                  </w:r>
                </w:p>
              </w:tc>
              <w:tc>
                <w:tcPr>
                  <w:tcW w:w="1050" w:type="pct"/>
                  <w:tcBorders>
                    <w:tl2br w:val="nil"/>
                    <w:tr2bl w:val="nil"/>
                  </w:tcBorders>
                  <w:vAlign w:val="center"/>
                </w:tcPr>
                <w:p>
                  <w:pPr>
                    <w:snapToGrid w:val="0"/>
                    <w:jc w:val="center"/>
                    <w:rPr>
                      <w:color w:val="000000" w:themeColor="text1"/>
                      <w:sz w:val="21"/>
                      <w14:textFill>
                        <w14:solidFill>
                          <w14:schemeClr w14:val="tx1"/>
                        </w14:solidFill>
                      </w14:textFill>
                    </w:rPr>
                  </w:pPr>
                  <w:r>
                    <w:rPr>
                      <w:spacing w:val="2"/>
                      <w:sz w:val="20"/>
                      <w:szCs w:val="20"/>
                    </w:rPr>
                    <w:t>自带搅拌溶解</w:t>
                  </w:r>
                  <w:r>
                    <w:rPr>
                      <w:spacing w:val="8"/>
                      <w:sz w:val="20"/>
                      <w:szCs w:val="20"/>
                    </w:rPr>
                    <w:t>装置，计量泵</w:t>
                  </w:r>
                </w:p>
              </w:tc>
              <w:tc>
                <w:tcPr>
                  <w:tcW w:w="600" w:type="pct"/>
                  <w:tcBorders>
                    <w:tl2br w:val="nil"/>
                    <w:tr2bl w:val="nil"/>
                  </w:tcBorders>
                  <w:vAlign w:val="center"/>
                </w:tcPr>
                <w:p>
                  <w:pPr>
                    <w:jc w:val="center"/>
                    <w:rPr>
                      <w:color w:val="000000" w:themeColor="text1"/>
                      <w:sz w:val="21"/>
                      <w:lang w:bidi="ar"/>
                      <w14:textFill>
                        <w14:solidFill>
                          <w14:schemeClr w14:val="tx1"/>
                        </w14:solidFill>
                      </w14:textFill>
                    </w:rPr>
                  </w:pPr>
                  <w:r>
                    <w:rPr>
                      <w:color w:val="000000" w:themeColor="text1"/>
                      <w:sz w:val="21"/>
                      <w14:textFill>
                        <w14:solidFill>
                          <w14:schemeClr w14:val="tx1"/>
                        </w14:solidFill>
                      </w14:textFill>
                    </w:rPr>
                    <w:t>1 套</w:t>
                  </w:r>
                </w:p>
              </w:tc>
              <w:tc>
                <w:tcPr>
                  <w:tcW w:w="825" w:type="pct"/>
                  <w:tcBorders>
                    <w:tl2br w:val="nil"/>
                    <w:tr2bl w:val="nil"/>
                  </w:tcBorders>
                  <w:vAlign w:val="center"/>
                </w:tcPr>
                <w:p>
                  <w:pPr>
                    <w:snapToGrid w:val="0"/>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生产厂房内</w:t>
                  </w:r>
                </w:p>
              </w:tc>
              <w:tc>
                <w:tcPr>
                  <w:tcW w:w="1056" w:type="pct"/>
                  <w:tcBorders>
                    <w:tl2br w:val="nil"/>
                    <w:tr2bl w:val="nil"/>
                  </w:tcBorders>
                  <w:vAlign w:val="center"/>
                </w:tcPr>
                <w:p>
                  <w:pPr>
                    <w:jc w:val="center"/>
                    <w:textAlignment w:val="baseline"/>
                    <w:rPr>
                      <w:color w:val="000000" w:themeColor="text1"/>
                      <w:sz w:val="21"/>
                      <w14:textFill>
                        <w14:solidFill>
                          <w14:schemeClr w14:val="tx1"/>
                        </w14:solidFill>
                      </w14:textFill>
                    </w:rPr>
                  </w:pPr>
                  <w:r>
                    <w:rPr>
                      <w:color w:val="000000" w:themeColor="text1"/>
                      <w:sz w:val="21"/>
                      <w14:textFill>
                        <w14:solidFill>
                          <w14:schemeClr w14:val="tx1"/>
                        </w14:solidFill>
                      </w14:textFill>
                    </w:rPr>
                    <w:t>絮凝沉淀</w:t>
                  </w:r>
                </w:p>
              </w:tc>
            </w:tr>
          </w:tbl>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4、主要原辅材料及燃料</w:t>
            </w:r>
          </w:p>
          <w:p>
            <w:pPr>
              <w:spacing w:line="360" w:lineRule="auto"/>
              <w:ind w:firstLine="480" w:firstLineChars="200"/>
              <w:rPr>
                <w:color w:val="000000" w:themeColor="text1"/>
                <w:kern w:val="24"/>
                <w:szCs w:val="24"/>
                <w14:textFill>
                  <w14:solidFill>
                    <w14:schemeClr w14:val="tx1"/>
                  </w14:solidFill>
                </w14:textFill>
              </w:rPr>
            </w:pPr>
            <w:r>
              <w:rPr>
                <w:color w:val="000000" w:themeColor="text1"/>
                <w:kern w:val="24"/>
                <w:szCs w:val="24"/>
                <w14:textFill>
                  <w14:solidFill>
                    <w14:schemeClr w14:val="tx1"/>
                  </w14:solidFill>
                </w14:textFill>
              </w:rPr>
              <w:t>本项目主要原辅材料及燃料种类和用量见表2-4。</w:t>
            </w:r>
          </w:p>
          <w:p>
            <w:pPr>
              <w:autoSpaceDE w:val="0"/>
              <w:autoSpaceDN w:val="0"/>
              <w:adjustRightInd w:val="0"/>
              <w:snapToGrid w:val="0"/>
              <w:spacing w:line="360" w:lineRule="auto"/>
              <w:jc w:val="center"/>
              <w:rPr>
                <w:rFonts w:eastAsia="黑体"/>
                <w:b/>
                <w:bCs/>
                <w:color w:val="000000" w:themeColor="text1"/>
                <w:kern w:val="0"/>
                <w:sz w:val="20"/>
                <w14:textFill>
                  <w14:solidFill>
                    <w14:schemeClr w14:val="tx1"/>
                  </w14:solidFill>
                </w14:textFill>
              </w:rPr>
            </w:pPr>
            <w:r>
              <w:rPr>
                <w:rFonts w:eastAsia="黑体"/>
                <w:b/>
                <w:bCs/>
                <w:color w:val="000000" w:themeColor="text1"/>
                <w:kern w:val="0"/>
                <w:sz w:val="20"/>
                <w14:textFill>
                  <w14:solidFill>
                    <w14:schemeClr w14:val="tx1"/>
                  </w14:solidFill>
                </w14:textFill>
              </w:rPr>
              <w:t>表2-4  主要原辅材料及能耗</w:t>
            </w:r>
          </w:p>
          <w:tbl>
            <w:tblPr>
              <w:tblStyle w:val="15"/>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602"/>
              <w:gridCol w:w="1015"/>
              <w:gridCol w:w="1419"/>
              <w:gridCol w:w="1421"/>
              <w:gridCol w:w="974"/>
              <w:gridCol w:w="1160"/>
              <w:gridCol w:w="11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tblHeader/>
              </w:trPr>
              <w:tc>
                <w:tcPr>
                  <w:tcW w:w="366" w:type="pct"/>
                  <w:tcBorders>
                    <w:tl2br w:val="nil"/>
                    <w:tr2bl w:val="nil"/>
                  </w:tcBorders>
                  <w:vAlign w:val="center"/>
                </w:tcPr>
                <w:p>
                  <w:pPr>
                    <w:adjustRightInd w:val="0"/>
                    <w:snapToGrid w:val="0"/>
                    <w:spacing w:line="240" w:lineRule="exact"/>
                    <w:jc w:val="center"/>
                    <w:rPr>
                      <w:b/>
                      <w:snapToGrid w:val="0"/>
                      <w:kern w:val="0"/>
                      <w:sz w:val="21"/>
                    </w:rPr>
                  </w:pPr>
                  <w:r>
                    <w:rPr>
                      <w:b/>
                      <w:snapToGrid w:val="0"/>
                      <w:kern w:val="0"/>
                      <w:sz w:val="21"/>
                    </w:rPr>
                    <w:t>类别</w:t>
                  </w:r>
                </w:p>
              </w:tc>
              <w:tc>
                <w:tcPr>
                  <w:tcW w:w="848" w:type="pct"/>
                  <w:tcBorders>
                    <w:tl2br w:val="nil"/>
                    <w:tr2bl w:val="nil"/>
                  </w:tcBorders>
                  <w:vAlign w:val="center"/>
                </w:tcPr>
                <w:p>
                  <w:pPr>
                    <w:adjustRightInd w:val="0"/>
                    <w:snapToGrid w:val="0"/>
                    <w:spacing w:line="240" w:lineRule="exact"/>
                    <w:jc w:val="center"/>
                    <w:rPr>
                      <w:b/>
                      <w:snapToGrid w:val="0"/>
                      <w:kern w:val="0"/>
                      <w:sz w:val="21"/>
                    </w:rPr>
                  </w:pPr>
                  <w:r>
                    <w:rPr>
                      <w:b/>
                      <w:snapToGrid w:val="0"/>
                      <w:kern w:val="0"/>
                      <w:sz w:val="21"/>
                    </w:rPr>
                    <w:t>名称</w:t>
                  </w:r>
                </w:p>
              </w:tc>
              <w:tc>
                <w:tcPr>
                  <w:tcW w:w="537" w:type="pct"/>
                  <w:tcBorders>
                    <w:tl2br w:val="nil"/>
                    <w:tr2bl w:val="nil"/>
                  </w:tcBorders>
                  <w:vAlign w:val="center"/>
                </w:tcPr>
                <w:p>
                  <w:pPr>
                    <w:adjustRightInd w:val="0"/>
                    <w:snapToGrid w:val="0"/>
                    <w:spacing w:line="240" w:lineRule="exact"/>
                    <w:jc w:val="center"/>
                    <w:rPr>
                      <w:b/>
                      <w:snapToGrid w:val="0"/>
                      <w:kern w:val="0"/>
                      <w:sz w:val="21"/>
                    </w:rPr>
                  </w:pPr>
                  <w:r>
                    <w:rPr>
                      <w:b/>
                      <w:snapToGrid w:val="0"/>
                      <w:kern w:val="0"/>
                      <w:sz w:val="21"/>
                    </w:rPr>
                    <w:t>单位</w:t>
                  </w:r>
                </w:p>
              </w:tc>
              <w:tc>
                <w:tcPr>
                  <w:tcW w:w="751" w:type="pct"/>
                  <w:tcBorders>
                    <w:tl2br w:val="nil"/>
                    <w:tr2bl w:val="nil"/>
                  </w:tcBorders>
                  <w:vAlign w:val="center"/>
                </w:tcPr>
                <w:p>
                  <w:pPr>
                    <w:adjustRightInd w:val="0"/>
                    <w:snapToGrid w:val="0"/>
                    <w:spacing w:line="240" w:lineRule="exact"/>
                    <w:jc w:val="center"/>
                    <w:rPr>
                      <w:b/>
                      <w:snapToGrid w:val="0"/>
                      <w:kern w:val="0"/>
                      <w:sz w:val="21"/>
                    </w:rPr>
                  </w:pPr>
                  <w:r>
                    <w:rPr>
                      <w:rFonts w:hint="eastAsia"/>
                      <w:b/>
                      <w:snapToGrid w:val="0"/>
                      <w:kern w:val="0"/>
                      <w:sz w:val="21"/>
                    </w:rPr>
                    <w:t>扩建前年用量</w:t>
                  </w:r>
                </w:p>
              </w:tc>
              <w:tc>
                <w:tcPr>
                  <w:tcW w:w="752" w:type="pct"/>
                  <w:tcBorders>
                    <w:tl2br w:val="nil"/>
                    <w:tr2bl w:val="nil"/>
                  </w:tcBorders>
                  <w:vAlign w:val="center"/>
                </w:tcPr>
                <w:p>
                  <w:pPr>
                    <w:adjustRightInd w:val="0"/>
                    <w:snapToGrid w:val="0"/>
                    <w:spacing w:line="240" w:lineRule="exact"/>
                    <w:jc w:val="center"/>
                    <w:rPr>
                      <w:b/>
                      <w:snapToGrid w:val="0"/>
                      <w:kern w:val="0"/>
                      <w:sz w:val="21"/>
                    </w:rPr>
                  </w:pPr>
                  <w:r>
                    <w:rPr>
                      <w:rFonts w:hint="eastAsia"/>
                      <w:b/>
                      <w:snapToGrid w:val="0"/>
                      <w:kern w:val="0"/>
                      <w:sz w:val="21"/>
                    </w:rPr>
                    <w:t>扩建后</w:t>
                  </w:r>
                  <w:r>
                    <w:rPr>
                      <w:b/>
                      <w:snapToGrid w:val="0"/>
                      <w:kern w:val="0"/>
                      <w:sz w:val="21"/>
                    </w:rPr>
                    <w:t>年用量</w:t>
                  </w:r>
                </w:p>
              </w:tc>
              <w:tc>
                <w:tcPr>
                  <w:tcW w:w="515" w:type="pct"/>
                  <w:tcBorders>
                    <w:tl2br w:val="nil"/>
                    <w:tr2bl w:val="nil"/>
                  </w:tcBorders>
                  <w:vAlign w:val="center"/>
                </w:tcPr>
                <w:p>
                  <w:pPr>
                    <w:adjustRightInd w:val="0"/>
                    <w:snapToGrid w:val="0"/>
                    <w:spacing w:line="240" w:lineRule="exact"/>
                    <w:jc w:val="center"/>
                    <w:rPr>
                      <w:b/>
                      <w:snapToGrid w:val="0"/>
                      <w:kern w:val="0"/>
                      <w:sz w:val="21"/>
                    </w:rPr>
                  </w:pPr>
                  <w:r>
                    <w:rPr>
                      <w:rFonts w:hint="eastAsia"/>
                      <w:b/>
                      <w:snapToGrid w:val="0"/>
                      <w:kern w:val="0"/>
                      <w:sz w:val="21"/>
                    </w:rPr>
                    <w:t>成分</w:t>
                  </w:r>
                </w:p>
              </w:tc>
              <w:tc>
                <w:tcPr>
                  <w:tcW w:w="614" w:type="pct"/>
                  <w:tcBorders>
                    <w:tl2br w:val="nil"/>
                    <w:tr2bl w:val="nil"/>
                  </w:tcBorders>
                  <w:vAlign w:val="center"/>
                </w:tcPr>
                <w:p>
                  <w:pPr>
                    <w:adjustRightInd w:val="0"/>
                    <w:snapToGrid w:val="0"/>
                    <w:spacing w:line="240" w:lineRule="exact"/>
                    <w:jc w:val="center"/>
                    <w:rPr>
                      <w:b/>
                      <w:snapToGrid w:val="0"/>
                      <w:kern w:val="0"/>
                      <w:sz w:val="21"/>
                    </w:rPr>
                  </w:pPr>
                  <w:r>
                    <w:rPr>
                      <w:b/>
                      <w:snapToGrid w:val="0"/>
                      <w:kern w:val="0"/>
                      <w:sz w:val="21"/>
                    </w:rPr>
                    <w:t>运输方式</w:t>
                  </w:r>
                </w:p>
              </w:tc>
              <w:tc>
                <w:tcPr>
                  <w:tcW w:w="617" w:type="pct"/>
                  <w:tcBorders>
                    <w:tl2br w:val="nil"/>
                    <w:tr2bl w:val="nil"/>
                  </w:tcBorders>
                  <w:vAlign w:val="center"/>
                </w:tcPr>
                <w:p>
                  <w:pPr>
                    <w:adjustRightInd w:val="0"/>
                    <w:snapToGrid w:val="0"/>
                    <w:spacing w:line="240" w:lineRule="exact"/>
                    <w:jc w:val="center"/>
                    <w:rPr>
                      <w:b/>
                      <w:snapToGrid w:val="0"/>
                      <w:kern w:val="0"/>
                      <w:sz w:val="21"/>
                    </w:rPr>
                  </w:pPr>
                  <w:r>
                    <w:rPr>
                      <w:b/>
                      <w:snapToGrid w:val="0"/>
                      <w:kern w:val="0"/>
                      <w:sz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366" w:type="pct"/>
                  <w:tcBorders>
                    <w:tl2br w:val="nil"/>
                    <w:tr2bl w:val="nil"/>
                  </w:tcBorders>
                  <w:vAlign w:val="center"/>
                </w:tcPr>
                <w:p>
                  <w:pPr>
                    <w:adjustRightInd w:val="0"/>
                    <w:snapToGrid w:val="0"/>
                    <w:spacing w:line="240" w:lineRule="exact"/>
                    <w:jc w:val="center"/>
                    <w:rPr>
                      <w:snapToGrid w:val="0"/>
                      <w:kern w:val="0"/>
                      <w:sz w:val="21"/>
                    </w:rPr>
                  </w:pPr>
                  <w:r>
                    <w:rPr>
                      <w:snapToGrid w:val="0"/>
                      <w:kern w:val="0"/>
                      <w:sz w:val="21"/>
                    </w:rPr>
                    <w:t xml:space="preserve">原料  </w:t>
                  </w:r>
                </w:p>
              </w:tc>
              <w:tc>
                <w:tcPr>
                  <w:tcW w:w="848" w:type="pct"/>
                  <w:tcBorders>
                    <w:tl2br w:val="nil"/>
                    <w:tr2bl w:val="nil"/>
                  </w:tcBorders>
                  <w:vAlign w:val="center"/>
                </w:tcPr>
                <w:p>
                  <w:pPr>
                    <w:adjustRightInd w:val="0"/>
                    <w:snapToGrid w:val="0"/>
                    <w:spacing w:line="240" w:lineRule="exact"/>
                    <w:jc w:val="center"/>
                    <w:rPr>
                      <w:snapToGrid w:val="0"/>
                      <w:kern w:val="0"/>
                      <w:sz w:val="21"/>
                    </w:rPr>
                  </w:pPr>
                  <w:r>
                    <w:rPr>
                      <w:rFonts w:hint="eastAsia"/>
                      <w:snapToGrid w:val="0"/>
                      <w:kern w:val="0"/>
                      <w:sz w:val="21"/>
                    </w:rPr>
                    <w:t>河道砂石、建筑废料</w:t>
                  </w:r>
                </w:p>
              </w:tc>
              <w:tc>
                <w:tcPr>
                  <w:tcW w:w="537" w:type="pct"/>
                  <w:tcBorders>
                    <w:tl2br w:val="nil"/>
                    <w:tr2bl w:val="nil"/>
                  </w:tcBorders>
                  <w:vAlign w:val="center"/>
                </w:tcPr>
                <w:p>
                  <w:pPr>
                    <w:adjustRightInd w:val="0"/>
                    <w:snapToGrid w:val="0"/>
                    <w:spacing w:line="240" w:lineRule="exact"/>
                    <w:jc w:val="center"/>
                    <w:rPr>
                      <w:snapToGrid w:val="0"/>
                      <w:kern w:val="0"/>
                      <w:sz w:val="21"/>
                    </w:rPr>
                  </w:pPr>
                  <w:r>
                    <w:rPr>
                      <w:rFonts w:hint="eastAsia"/>
                      <w:snapToGrid w:val="0"/>
                      <w:kern w:val="0"/>
                      <w:sz w:val="21"/>
                    </w:rPr>
                    <w:t>t</w:t>
                  </w:r>
                </w:p>
              </w:tc>
              <w:tc>
                <w:tcPr>
                  <w:tcW w:w="751" w:type="pct"/>
                  <w:tcBorders>
                    <w:tl2br w:val="nil"/>
                    <w:tr2bl w:val="nil"/>
                  </w:tcBorders>
                  <w:vAlign w:val="center"/>
                </w:tcPr>
                <w:p>
                  <w:pPr>
                    <w:adjustRightInd w:val="0"/>
                    <w:snapToGrid w:val="0"/>
                    <w:spacing w:line="240" w:lineRule="exact"/>
                    <w:jc w:val="center"/>
                    <w:rPr>
                      <w:snapToGrid w:val="0"/>
                      <w:kern w:val="0"/>
                      <w:sz w:val="21"/>
                    </w:rPr>
                  </w:pPr>
                  <w:r>
                    <w:rPr>
                      <w:rFonts w:hint="eastAsia"/>
                      <w:snapToGrid w:val="0"/>
                      <w:kern w:val="0"/>
                      <w:sz w:val="21"/>
                    </w:rPr>
                    <w:t>5.43万</w:t>
                  </w:r>
                </w:p>
              </w:tc>
              <w:tc>
                <w:tcPr>
                  <w:tcW w:w="752" w:type="pct"/>
                  <w:tcBorders>
                    <w:tl2br w:val="nil"/>
                    <w:tr2bl w:val="nil"/>
                  </w:tcBorders>
                  <w:vAlign w:val="center"/>
                </w:tcPr>
                <w:p>
                  <w:pPr>
                    <w:adjustRightInd w:val="0"/>
                    <w:snapToGrid w:val="0"/>
                    <w:spacing w:line="240" w:lineRule="exact"/>
                    <w:jc w:val="center"/>
                    <w:rPr>
                      <w:snapToGrid w:val="0"/>
                      <w:kern w:val="0"/>
                      <w:sz w:val="21"/>
                    </w:rPr>
                  </w:pPr>
                  <w:r>
                    <w:rPr>
                      <w:snapToGrid w:val="0"/>
                      <w:kern w:val="0"/>
                      <w:sz w:val="21"/>
                    </w:rPr>
                    <w:t>14.67</w:t>
                  </w:r>
                  <w:r>
                    <w:rPr>
                      <w:rFonts w:hint="eastAsia"/>
                      <w:snapToGrid w:val="0"/>
                      <w:kern w:val="0"/>
                      <w:sz w:val="21"/>
                    </w:rPr>
                    <w:t>万</w:t>
                  </w:r>
                </w:p>
              </w:tc>
              <w:tc>
                <w:tcPr>
                  <w:tcW w:w="515" w:type="pct"/>
                  <w:tcBorders>
                    <w:tl2br w:val="nil"/>
                    <w:tr2bl w:val="nil"/>
                  </w:tcBorders>
                  <w:vAlign w:val="center"/>
                </w:tcPr>
                <w:p>
                  <w:pPr>
                    <w:tabs>
                      <w:tab w:val="right" w:pos="9135"/>
                    </w:tabs>
                    <w:snapToGrid w:val="0"/>
                    <w:spacing w:line="240" w:lineRule="exact"/>
                    <w:jc w:val="center"/>
                    <w:rPr>
                      <w:sz w:val="21"/>
                    </w:rPr>
                  </w:pPr>
                  <w:r>
                    <w:rPr>
                      <w:rFonts w:eastAsia="Times New Roman"/>
                      <w:spacing w:val="-1"/>
                      <w:sz w:val="20"/>
                      <w:szCs w:val="20"/>
                    </w:rPr>
                    <w:t>CaCO</w:t>
                  </w:r>
                  <w:r>
                    <w:rPr>
                      <w:rFonts w:eastAsia="Times New Roman"/>
                      <w:spacing w:val="-1"/>
                      <w:position w:val="-1"/>
                      <w:sz w:val="13"/>
                      <w:szCs w:val="13"/>
                    </w:rPr>
                    <w:t>3</w:t>
                  </w:r>
                  <w:r>
                    <w:rPr>
                      <w:spacing w:val="-1"/>
                      <w:sz w:val="20"/>
                      <w:szCs w:val="20"/>
                    </w:rPr>
                    <w:t>、</w:t>
                  </w:r>
                  <w:r>
                    <w:rPr>
                      <w:sz w:val="20"/>
                      <w:szCs w:val="20"/>
                    </w:rPr>
                    <w:t xml:space="preserve"> </w:t>
                  </w:r>
                  <w:r>
                    <w:rPr>
                      <w:rFonts w:eastAsia="Times New Roman"/>
                      <w:sz w:val="20"/>
                      <w:szCs w:val="20"/>
                    </w:rPr>
                    <w:t>SiO</w:t>
                  </w:r>
                  <w:r>
                    <w:rPr>
                      <w:rFonts w:eastAsia="Times New Roman"/>
                      <w:spacing w:val="5"/>
                      <w:position w:val="-1"/>
                      <w:sz w:val="13"/>
                      <w:szCs w:val="13"/>
                    </w:rPr>
                    <w:t>2</w:t>
                  </w:r>
                </w:p>
              </w:tc>
              <w:tc>
                <w:tcPr>
                  <w:tcW w:w="614" w:type="pct"/>
                  <w:tcBorders>
                    <w:tl2br w:val="nil"/>
                    <w:tr2bl w:val="nil"/>
                  </w:tcBorders>
                  <w:vAlign w:val="center"/>
                </w:tcPr>
                <w:p>
                  <w:pPr>
                    <w:adjustRightInd w:val="0"/>
                    <w:snapToGrid w:val="0"/>
                    <w:spacing w:line="240" w:lineRule="exact"/>
                    <w:jc w:val="center"/>
                    <w:rPr>
                      <w:snapToGrid w:val="0"/>
                      <w:kern w:val="0"/>
                      <w:sz w:val="21"/>
                    </w:rPr>
                  </w:pPr>
                  <w:r>
                    <w:rPr>
                      <w:snapToGrid w:val="0"/>
                      <w:kern w:val="0"/>
                      <w:sz w:val="21"/>
                    </w:rPr>
                    <w:t>汽车运输</w:t>
                  </w:r>
                </w:p>
              </w:tc>
              <w:tc>
                <w:tcPr>
                  <w:tcW w:w="617" w:type="pct"/>
                  <w:tcBorders>
                    <w:tl2br w:val="nil"/>
                    <w:tr2bl w:val="nil"/>
                  </w:tcBorders>
                  <w:vAlign w:val="center"/>
                </w:tcPr>
                <w:p>
                  <w:pPr>
                    <w:adjustRightInd w:val="0"/>
                    <w:snapToGrid w:val="0"/>
                    <w:spacing w:line="240" w:lineRule="exact"/>
                    <w:jc w:val="center"/>
                    <w:rPr>
                      <w:snapToGrid w:val="0"/>
                      <w:kern w:val="0"/>
                      <w:sz w:val="21"/>
                    </w:rPr>
                  </w:pPr>
                  <w:r>
                    <w:rPr>
                      <w:snapToGrid w:val="0"/>
                      <w:kern w:val="0"/>
                      <w:sz w:val="21"/>
                    </w:rPr>
                    <w:t>生产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366" w:type="pct"/>
                  <w:vMerge w:val="restart"/>
                  <w:tcBorders>
                    <w:tl2br w:val="nil"/>
                    <w:tr2bl w:val="nil"/>
                  </w:tcBorders>
                  <w:vAlign w:val="center"/>
                </w:tcPr>
                <w:p>
                  <w:pPr>
                    <w:adjustRightInd w:val="0"/>
                    <w:snapToGrid w:val="0"/>
                    <w:spacing w:line="240" w:lineRule="exact"/>
                    <w:jc w:val="center"/>
                    <w:rPr>
                      <w:snapToGrid w:val="0"/>
                      <w:kern w:val="0"/>
                      <w:sz w:val="21"/>
                    </w:rPr>
                  </w:pPr>
                  <w:r>
                    <w:rPr>
                      <w:snapToGrid w:val="0"/>
                      <w:kern w:val="0"/>
                      <w:sz w:val="21"/>
                    </w:rPr>
                    <w:t xml:space="preserve">辅料 </w:t>
                  </w:r>
                </w:p>
              </w:tc>
              <w:tc>
                <w:tcPr>
                  <w:tcW w:w="848" w:type="pct"/>
                  <w:tcBorders>
                    <w:tl2br w:val="nil"/>
                    <w:tr2bl w:val="nil"/>
                  </w:tcBorders>
                  <w:vAlign w:val="center"/>
                </w:tcPr>
                <w:p>
                  <w:pPr>
                    <w:adjustRightInd w:val="0"/>
                    <w:snapToGrid w:val="0"/>
                    <w:spacing w:line="240" w:lineRule="exact"/>
                    <w:jc w:val="center"/>
                    <w:rPr>
                      <w:snapToGrid w:val="0"/>
                      <w:kern w:val="0"/>
                      <w:sz w:val="21"/>
                    </w:rPr>
                  </w:pPr>
                  <w:r>
                    <w:rPr>
                      <w:spacing w:val="6"/>
                      <w:sz w:val="20"/>
                      <w:szCs w:val="20"/>
                    </w:rPr>
                    <w:t>聚合氯化铝</w:t>
                  </w:r>
                  <w:r>
                    <w:rPr>
                      <w:spacing w:val="1"/>
                      <w:sz w:val="20"/>
                      <w:szCs w:val="20"/>
                    </w:rPr>
                    <w:t xml:space="preserve"> </w:t>
                  </w:r>
                  <w:r>
                    <w:rPr>
                      <w:spacing w:val="-2"/>
                      <w:sz w:val="20"/>
                      <w:szCs w:val="20"/>
                    </w:rPr>
                    <w:t>（</w:t>
                  </w:r>
                  <w:r>
                    <w:rPr>
                      <w:rFonts w:eastAsia="Times New Roman"/>
                      <w:spacing w:val="-2"/>
                      <w:sz w:val="20"/>
                      <w:szCs w:val="20"/>
                    </w:rPr>
                    <w:t>PAC</w:t>
                  </w:r>
                  <w:r>
                    <w:rPr>
                      <w:spacing w:val="-2"/>
                      <w:sz w:val="20"/>
                      <w:szCs w:val="20"/>
                    </w:rPr>
                    <w:t>）</w:t>
                  </w:r>
                </w:p>
              </w:tc>
              <w:tc>
                <w:tcPr>
                  <w:tcW w:w="537" w:type="pct"/>
                  <w:tcBorders>
                    <w:tl2br w:val="nil"/>
                    <w:tr2bl w:val="nil"/>
                  </w:tcBorders>
                  <w:vAlign w:val="center"/>
                </w:tcPr>
                <w:p>
                  <w:pPr>
                    <w:adjustRightInd w:val="0"/>
                    <w:snapToGrid w:val="0"/>
                    <w:spacing w:line="240" w:lineRule="exact"/>
                    <w:jc w:val="center"/>
                    <w:rPr>
                      <w:snapToGrid w:val="0"/>
                      <w:kern w:val="0"/>
                      <w:sz w:val="21"/>
                    </w:rPr>
                  </w:pPr>
                  <w:r>
                    <w:rPr>
                      <w:snapToGrid w:val="0"/>
                      <w:kern w:val="0"/>
                      <w:sz w:val="21"/>
                    </w:rPr>
                    <w:t>t</w:t>
                  </w:r>
                </w:p>
              </w:tc>
              <w:tc>
                <w:tcPr>
                  <w:tcW w:w="751" w:type="pct"/>
                  <w:tcBorders>
                    <w:tl2br w:val="nil"/>
                    <w:tr2bl w:val="nil"/>
                  </w:tcBorders>
                  <w:vAlign w:val="center"/>
                </w:tcPr>
                <w:p>
                  <w:pPr>
                    <w:adjustRightInd w:val="0"/>
                    <w:snapToGrid w:val="0"/>
                    <w:spacing w:line="240" w:lineRule="exact"/>
                    <w:jc w:val="center"/>
                    <w:rPr>
                      <w:snapToGrid w:val="0"/>
                      <w:kern w:val="0"/>
                      <w:sz w:val="21"/>
                    </w:rPr>
                  </w:pPr>
                  <w:r>
                    <w:rPr>
                      <w:rFonts w:hint="eastAsia"/>
                      <w:snapToGrid w:val="0"/>
                      <w:kern w:val="0"/>
                      <w:sz w:val="21"/>
                    </w:rPr>
                    <w:t>0.5</w:t>
                  </w:r>
                </w:p>
              </w:tc>
              <w:tc>
                <w:tcPr>
                  <w:tcW w:w="752" w:type="pct"/>
                  <w:tcBorders>
                    <w:tl2br w:val="nil"/>
                    <w:tr2bl w:val="nil"/>
                  </w:tcBorders>
                  <w:vAlign w:val="center"/>
                </w:tcPr>
                <w:p>
                  <w:pPr>
                    <w:adjustRightInd w:val="0"/>
                    <w:snapToGrid w:val="0"/>
                    <w:spacing w:line="240" w:lineRule="exact"/>
                    <w:jc w:val="center"/>
                    <w:rPr>
                      <w:snapToGrid w:val="0"/>
                      <w:kern w:val="0"/>
                      <w:sz w:val="21"/>
                    </w:rPr>
                  </w:pPr>
                  <w:r>
                    <w:rPr>
                      <w:rFonts w:hint="eastAsia"/>
                      <w:snapToGrid w:val="0"/>
                      <w:kern w:val="0"/>
                      <w:sz w:val="21"/>
                    </w:rPr>
                    <w:t>1.2</w:t>
                  </w:r>
                </w:p>
              </w:tc>
              <w:tc>
                <w:tcPr>
                  <w:tcW w:w="515" w:type="pct"/>
                  <w:tcBorders>
                    <w:tl2br w:val="nil"/>
                    <w:tr2bl w:val="nil"/>
                  </w:tcBorders>
                </w:tcPr>
                <w:p>
                  <w:pPr>
                    <w:tabs>
                      <w:tab w:val="right" w:pos="9135"/>
                    </w:tabs>
                    <w:snapToGrid w:val="0"/>
                    <w:spacing w:line="240" w:lineRule="exact"/>
                    <w:jc w:val="center"/>
                    <w:rPr>
                      <w:sz w:val="21"/>
                    </w:rPr>
                  </w:pPr>
                  <w:r>
                    <w:rPr>
                      <w:spacing w:val="4"/>
                      <w:sz w:val="20"/>
                      <w:szCs w:val="20"/>
                    </w:rPr>
                    <w:t>聚合氯</w:t>
                  </w:r>
                  <w:r>
                    <w:rPr>
                      <w:sz w:val="20"/>
                      <w:szCs w:val="20"/>
                    </w:rPr>
                    <w:t xml:space="preserve"> </w:t>
                  </w:r>
                  <w:r>
                    <w:rPr>
                      <w:spacing w:val="4"/>
                      <w:sz w:val="20"/>
                      <w:szCs w:val="20"/>
                    </w:rPr>
                    <w:t>化铝</w:t>
                  </w:r>
                </w:p>
              </w:tc>
              <w:tc>
                <w:tcPr>
                  <w:tcW w:w="614" w:type="pct"/>
                  <w:tcBorders>
                    <w:tl2br w:val="nil"/>
                    <w:tr2bl w:val="nil"/>
                  </w:tcBorders>
                  <w:vAlign w:val="center"/>
                </w:tcPr>
                <w:p>
                  <w:pPr>
                    <w:adjustRightInd w:val="0"/>
                    <w:snapToGrid w:val="0"/>
                    <w:spacing w:line="240" w:lineRule="exact"/>
                    <w:jc w:val="center"/>
                    <w:rPr>
                      <w:snapToGrid w:val="0"/>
                      <w:kern w:val="0"/>
                      <w:sz w:val="21"/>
                    </w:rPr>
                  </w:pPr>
                  <w:r>
                    <w:rPr>
                      <w:snapToGrid w:val="0"/>
                      <w:kern w:val="0"/>
                      <w:sz w:val="21"/>
                    </w:rPr>
                    <w:t>汽车运输</w:t>
                  </w:r>
                </w:p>
              </w:tc>
              <w:tc>
                <w:tcPr>
                  <w:tcW w:w="617" w:type="pct"/>
                  <w:tcBorders>
                    <w:tl2br w:val="nil"/>
                    <w:tr2bl w:val="nil"/>
                  </w:tcBorders>
                  <w:vAlign w:val="center"/>
                </w:tcPr>
                <w:p>
                  <w:pPr>
                    <w:adjustRightInd w:val="0"/>
                    <w:snapToGrid w:val="0"/>
                    <w:spacing w:line="240" w:lineRule="exact"/>
                    <w:jc w:val="center"/>
                    <w:rPr>
                      <w:snapToGrid w:val="0"/>
                      <w:kern w:val="0"/>
                      <w:sz w:val="21"/>
                    </w:rPr>
                  </w:pPr>
                  <w:r>
                    <w:rPr>
                      <w:snapToGrid w:val="0"/>
                      <w:kern w:val="0"/>
                      <w:sz w:val="21"/>
                    </w:rPr>
                    <w:t>洗砂废水处理系统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366" w:type="pct"/>
                  <w:vMerge w:val="continue"/>
                  <w:tcBorders>
                    <w:tl2br w:val="nil"/>
                    <w:tr2bl w:val="nil"/>
                  </w:tcBorders>
                  <w:vAlign w:val="center"/>
                </w:tcPr>
                <w:p>
                  <w:pPr>
                    <w:adjustRightInd w:val="0"/>
                    <w:snapToGrid w:val="0"/>
                    <w:spacing w:line="240" w:lineRule="exact"/>
                    <w:jc w:val="center"/>
                    <w:rPr>
                      <w:snapToGrid w:val="0"/>
                      <w:kern w:val="0"/>
                      <w:sz w:val="21"/>
                    </w:rPr>
                  </w:pPr>
                </w:p>
              </w:tc>
              <w:tc>
                <w:tcPr>
                  <w:tcW w:w="848" w:type="pct"/>
                  <w:tcBorders>
                    <w:tl2br w:val="nil"/>
                    <w:tr2bl w:val="nil"/>
                  </w:tcBorders>
                  <w:vAlign w:val="center"/>
                </w:tcPr>
                <w:p>
                  <w:pPr>
                    <w:adjustRightInd w:val="0"/>
                    <w:snapToGrid w:val="0"/>
                    <w:spacing w:line="240" w:lineRule="exact"/>
                    <w:jc w:val="center"/>
                    <w:rPr>
                      <w:snapToGrid w:val="0"/>
                      <w:kern w:val="0"/>
                      <w:sz w:val="21"/>
                    </w:rPr>
                  </w:pPr>
                  <w:r>
                    <w:rPr>
                      <w:spacing w:val="6"/>
                      <w:sz w:val="20"/>
                      <w:szCs w:val="20"/>
                    </w:rPr>
                    <w:t>聚丙烯酰胺</w:t>
                  </w:r>
                  <w:r>
                    <w:rPr>
                      <w:spacing w:val="1"/>
                      <w:sz w:val="20"/>
                      <w:szCs w:val="20"/>
                    </w:rPr>
                    <w:t xml:space="preserve"> </w:t>
                  </w:r>
                  <w:r>
                    <w:rPr>
                      <w:spacing w:val="-2"/>
                      <w:sz w:val="20"/>
                      <w:szCs w:val="20"/>
                    </w:rPr>
                    <w:t>（</w:t>
                  </w:r>
                  <w:r>
                    <w:rPr>
                      <w:rFonts w:eastAsia="Times New Roman"/>
                      <w:spacing w:val="-2"/>
                      <w:sz w:val="20"/>
                      <w:szCs w:val="20"/>
                    </w:rPr>
                    <w:t>PAM</w:t>
                  </w:r>
                  <w:r>
                    <w:rPr>
                      <w:spacing w:val="-2"/>
                      <w:sz w:val="20"/>
                      <w:szCs w:val="20"/>
                    </w:rPr>
                    <w:t>）</w:t>
                  </w:r>
                </w:p>
              </w:tc>
              <w:tc>
                <w:tcPr>
                  <w:tcW w:w="537" w:type="pct"/>
                  <w:tcBorders>
                    <w:tl2br w:val="nil"/>
                    <w:tr2bl w:val="nil"/>
                  </w:tcBorders>
                  <w:vAlign w:val="center"/>
                </w:tcPr>
                <w:p>
                  <w:pPr>
                    <w:adjustRightInd w:val="0"/>
                    <w:snapToGrid w:val="0"/>
                    <w:spacing w:line="240" w:lineRule="exact"/>
                    <w:jc w:val="center"/>
                    <w:rPr>
                      <w:snapToGrid w:val="0"/>
                      <w:kern w:val="0"/>
                      <w:sz w:val="21"/>
                    </w:rPr>
                  </w:pPr>
                  <w:r>
                    <w:rPr>
                      <w:snapToGrid w:val="0"/>
                      <w:kern w:val="0"/>
                      <w:sz w:val="21"/>
                    </w:rPr>
                    <w:t>t</w:t>
                  </w:r>
                </w:p>
              </w:tc>
              <w:tc>
                <w:tcPr>
                  <w:tcW w:w="751" w:type="pct"/>
                  <w:tcBorders>
                    <w:tl2br w:val="nil"/>
                    <w:tr2bl w:val="nil"/>
                  </w:tcBorders>
                  <w:vAlign w:val="center"/>
                </w:tcPr>
                <w:p>
                  <w:pPr>
                    <w:adjustRightInd w:val="0"/>
                    <w:snapToGrid w:val="0"/>
                    <w:spacing w:line="240" w:lineRule="exact"/>
                    <w:jc w:val="center"/>
                    <w:rPr>
                      <w:snapToGrid w:val="0"/>
                      <w:kern w:val="0"/>
                      <w:sz w:val="21"/>
                    </w:rPr>
                  </w:pPr>
                  <w:r>
                    <w:rPr>
                      <w:rFonts w:hint="eastAsia"/>
                      <w:snapToGrid w:val="0"/>
                      <w:kern w:val="0"/>
                      <w:sz w:val="21"/>
                    </w:rPr>
                    <w:t>0.1</w:t>
                  </w:r>
                </w:p>
              </w:tc>
              <w:tc>
                <w:tcPr>
                  <w:tcW w:w="752" w:type="pct"/>
                  <w:tcBorders>
                    <w:tl2br w:val="nil"/>
                    <w:tr2bl w:val="nil"/>
                  </w:tcBorders>
                  <w:vAlign w:val="center"/>
                </w:tcPr>
                <w:p>
                  <w:pPr>
                    <w:adjustRightInd w:val="0"/>
                    <w:snapToGrid w:val="0"/>
                    <w:spacing w:line="240" w:lineRule="exact"/>
                    <w:jc w:val="center"/>
                    <w:rPr>
                      <w:snapToGrid w:val="0"/>
                      <w:kern w:val="0"/>
                      <w:sz w:val="21"/>
                    </w:rPr>
                  </w:pPr>
                  <w:r>
                    <w:rPr>
                      <w:rFonts w:hint="eastAsia"/>
                      <w:snapToGrid w:val="0"/>
                      <w:kern w:val="0"/>
                      <w:sz w:val="21"/>
                    </w:rPr>
                    <w:t>0.3</w:t>
                  </w:r>
                </w:p>
              </w:tc>
              <w:tc>
                <w:tcPr>
                  <w:tcW w:w="515" w:type="pct"/>
                  <w:tcBorders>
                    <w:tl2br w:val="nil"/>
                    <w:tr2bl w:val="nil"/>
                  </w:tcBorders>
                </w:tcPr>
                <w:p>
                  <w:pPr>
                    <w:adjustRightInd w:val="0"/>
                    <w:snapToGrid w:val="0"/>
                    <w:spacing w:line="240" w:lineRule="exact"/>
                    <w:jc w:val="center"/>
                    <w:rPr>
                      <w:sz w:val="21"/>
                    </w:rPr>
                  </w:pPr>
                  <w:r>
                    <w:rPr>
                      <w:spacing w:val="4"/>
                      <w:sz w:val="20"/>
                      <w:szCs w:val="20"/>
                    </w:rPr>
                    <w:t>聚丙烯</w:t>
                  </w:r>
                  <w:r>
                    <w:rPr>
                      <w:sz w:val="20"/>
                      <w:szCs w:val="20"/>
                    </w:rPr>
                    <w:t xml:space="preserve"> </w:t>
                  </w:r>
                  <w:r>
                    <w:rPr>
                      <w:spacing w:val="4"/>
                      <w:sz w:val="20"/>
                      <w:szCs w:val="20"/>
                    </w:rPr>
                    <w:t>酰胺</w:t>
                  </w:r>
                </w:p>
              </w:tc>
              <w:tc>
                <w:tcPr>
                  <w:tcW w:w="614" w:type="pct"/>
                  <w:tcBorders>
                    <w:tl2br w:val="nil"/>
                    <w:tr2bl w:val="nil"/>
                  </w:tcBorders>
                  <w:vAlign w:val="center"/>
                </w:tcPr>
                <w:p>
                  <w:pPr>
                    <w:adjustRightInd w:val="0"/>
                    <w:snapToGrid w:val="0"/>
                    <w:spacing w:line="240" w:lineRule="exact"/>
                    <w:jc w:val="center"/>
                    <w:rPr>
                      <w:snapToGrid w:val="0"/>
                      <w:kern w:val="0"/>
                      <w:sz w:val="21"/>
                    </w:rPr>
                  </w:pPr>
                  <w:r>
                    <w:rPr>
                      <w:snapToGrid w:val="0"/>
                      <w:kern w:val="0"/>
                      <w:sz w:val="21"/>
                    </w:rPr>
                    <w:t>汽车运输</w:t>
                  </w:r>
                </w:p>
              </w:tc>
              <w:tc>
                <w:tcPr>
                  <w:tcW w:w="617" w:type="pct"/>
                  <w:tcBorders>
                    <w:tl2br w:val="nil"/>
                    <w:tr2bl w:val="nil"/>
                  </w:tcBorders>
                  <w:vAlign w:val="center"/>
                </w:tcPr>
                <w:p>
                  <w:pPr>
                    <w:adjustRightInd w:val="0"/>
                    <w:snapToGrid w:val="0"/>
                    <w:spacing w:line="240" w:lineRule="exact"/>
                    <w:jc w:val="center"/>
                    <w:rPr>
                      <w:snapToGrid w:val="0"/>
                      <w:kern w:val="0"/>
                      <w:sz w:val="21"/>
                    </w:rPr>
                  </w:pPr>
                  <w:r>
                    <w:rPr>
                      <w:rFonts w:hint="eastAsia"/>
                      <w:snapToGrid w:val="0"/>
                      <w:kern w:val="0"/>
                      <w:sz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366" w:type="pct"/>
                  <w:vMerge w:val="continue"/>
                  <w:tcBorders>
                    <w:tl2br w:val="nil"/>
                    <w:tr2bl w:val="nil"/>
                  </w:tcBorders>
                  <w:vAlign w:val="center"/>
                </w:tcPr>
                <w:p>
                  <w:pPr>
                    <w:adjustRightInd w:val="0"/>
                    <w:snapToGrid w:val="0"/>
                    <w:spacing w:line="240" w:lineRule="exact"/>
                    <w:jc w:val="center"/>
                    <w:rPr>
                      <w:snapToGrid w:val="0"/>
                      <w:kern w:val="0"/>
                      <w:sz w:val="21"/>
                    </w:rPr>
                  </w:pPr>
                </w:p>
              </w:tc>
              <w:tc>
                <w:tcPr>
                  <w:tcW w:w="848" w:type="pct"/>
                  <w:tcBorders>
                    <w:tl2br w:val="nil"/>
                    <w:tr2bl w:val="nil"/>
                  </w:tcBorders>
                  <w:vAlign w:val="center"/>
                </w:tcPr>
                <w:p>
                  <w:pPr>
                    <w:adjustRightInd w:val="0"/>
                    <w:snapToGrid w:val="0"/>
                    <w:spacing w:line="240" w:lineRule="exact"/>
                    <w:jc w:val="center"/>
                    <w:rPr>
                      <w:snapToGrid w:val="0"/>
                      <w:kern w:val="0"/>
                      <w:sz w:val="21"/>
                    </w:rPr>
                  </w:pPr>
                  <w:r>
                    <w:rPr>
                      <w:snapToGrid w:val="0"/>
                      <w:kern w:val="0"/>
                      <w:sz w:val="21"/>
                    </w:rPr>
                    <w:t>润滑油</w:t>
                  </w:r>
                </w:p>
              </w:tc>
              <w:tc>
                <w:tcPr>
                  <w:tcW w:w="537" w:type="pct"/>
                  <w:tcBorders>
                    <w:tl2br w:val="nil"/>
                    <w:tr2bl w:val="nil"/>
                  </w:tcBorders>
                  <w:vAlign w:val="center"/>
                </w:tcPr>
                <w:p>
                  <w:pPr>
                    <w:adjustRightInd w:val="0"/>
                    <w:snapToGrid w:val="0"/>
                    <w:spacing w:line="240" w:lineRule="exact"/>
                    <w:jc w:val="center"/>
                    <w:rPr>
                      <w:snapToGrid w:val="0"/>
                      <w:kern w:val="0"/>
                      <w:sz w:val="21"/>
                    </w:rPr>
                  </w:pPr>
                  <w:r>
                    <w:rPr>
                      <w:snapToGrid w:val="0"/>
                      <w:kern w:val="0"/>
                      <w:sz w:val="21"/>
                    </w:rPr>
                    <w:t>t</w:t>
                  </w:r>
                </w:p>
              </w:tc>
              <w:tc>
                <w:tcPr>
                  <w:tcW w:w="751" w:type="pct"/>
                  <w:tcBorders>
                    <w:tl2br w:val="nil"/>
                    <w:tr2bl w:val="nil"/>
                  </w:tcBorders>
                  <w:vAlign w:val="center"/>
                </w:tcPr>
                <w:p>
                  <w:pPr>
                    <w:adjustRightInd w:val="0"/>
                    <w:snapToGrid w:val="0"/>
                    <w:spacing w:line="240" w:lineRule="exact"/>
                    <w:jc w:val="center"/>
                    <w:rPr>
                      <w:snapToGrid w:val="0"/>
                      <w:kern w:val="0"/>
                      <w:sz w:val="21"/>
                    </w:rPr>
                  </w:pPr>
                  <w:r>
                    <w:rPr>
                      <w:rFonts w:hint="eastAsia"/>
                      <w:snapToGrid w:val="0"/>
                      <w:kern w:val="0"/>
                      <w:sz w:val="21"/>
                    </w:rPr>
                    <w:t>0.1</w:t>
                  </w:r>
                </w:p>
              </w:tc>
              <w:tc>
                <w:tcPr>
                  <w:tcW w:w="752" w:type="pct"/>
                  <w:tcBorders>
                    <w:tl2br w:val="nil"/>
                    <w:tr2bl w:val="nil"/>
                  </w:tcBorders>
                  <w:vAlign w:val="center"/>
                </w:tcPr>
                <w:p>
                  <w:pPr>
                    <w:adjustRightInd w:val="0"/>
                    <w:snapToGrid w:val="0"/>
                    <w:spacing w:line="240" w:lineRule="exact"/>
                    <w:jc w:val="center"/>
                    <w:rPr>
                      <w:snapToGrid w:val="0"/>
                      <w:kern w:val="0"/>
                      <w:sz w:val="21"/>
                    </w:rPr>
                  </w:pPr>
                  <w:r>
                    <w:rPr>
                      <w:rFonts w:hint="eastAsia"/>
                      <w:snapToGrid w:val="0"/>
                      <w:kern w:val="0"/>
                      <w:sz w:val="21"/>
                    </w:rPr>
                    <w:t>0.3</w:t>
                  </w:r>
                </w:p>
              </w:tc>
              <w:tc>
                <w:tcPr>
                  <w:tcW w:w="515" w:type="pct"/>
                  <w:tcBorders>
                    <w:tl2br w:val="nil"/>
                    <w:tr2bl w:val="nil"/>
                  </w:tcBorders>
                  <w:vAlign w:val="center"/>
                </w:tcPr>
                <w:p>
                  <w:pPr>
                    <w:adjustRightInd w:val="0"/>
                    <w:snapToGrid w:val="0"/>
                    <w:spacing w:line="240" w:lineRule="exact"/>
                    <w:jc w:val="center"/>
                    <w:rPr>
                      <w:sz w:val="21"/>
                    </w:rPr>
                  </w:pPr>
                  <w:r>
                    <w:rPr>
                      <w:spacing w:val="5"/>
                      <w:sz w:val="20"/>
                      <w:szCs w:val="20"/>
                    </w:rPr>
                    <w:t>复杂烷</w:t>
                  </w:r>
                  <w:r>
                    <w:rPr>
                      <w:sz w:val="20"/>
                      <w:szCs w:val="20"/>
                    </w:rPr>
                    <w:t xml:space="preserve"> </w:t>
                  </w:r>
                  <w:r>
                    <w:rPr>
                      <w:spacing w:val="4"/>
                      <w:sz w:val="20"/>
                      <w:szCs w:val="20"/>
                    </w:rPr>
                    <w:t>烃类</w:t>
                  </w:r>
                </w:p>
              </w:tc>
              <w:tc>
                <w:tcPr>
                  <w:tcW w:w="614" w:type="pct"/>
                  <w:tcBorders>
                    <w:tl2br w:val="nil"/>
                    <w:tr2bl w:val="nil"/>
                  </w:tcBorders>
                  <w:vAlign w:val="center"/>
                </w:tcPr>
                <w:p>
                  <w:pPr>
                    <w:adjustRightInd w:val="0"/>
                    <w:snapToGrid w:val="0"/>
                    <w:spacing w:line="240" w:lineRule="exact"/>
                    <w:jc w:val="center"/>
                    <w:rPr>
                      <w:snapToGrid w:val="0"/>
                      <w:kern w:val="0"/>
                      <w:sz w:val="21"/>
                    </w:rPr>
                  </w:pPr>
                  <w:r>
                    <w:rPr>
                      <w:snapToGrid w:val="0"/>
                      <w:kern w:val="0"/>
                      <w:sz w:val="21"/>
                    </w:rPr>
                    <w:t>汽车运输</w:t>
                  </w:r>
                </w:p>
              </w:tc>
              <w:tc>
                <w:tcPr>
                  <w:tcW w:w="617" w:type="pct"/>
                  <w:tcBorders>
                    <w:tl2br w:val="nil"/>
                    <w:tr2bl w:val="nil"/>
                  </w:tcBorders>
                  <w:vAlign w:val="center"/>
                </w:tcPr>
                <w:p>
                  <w:pPr>
                    <w:adjustRightInd w:val="0"/>
                    <w:snapToGrid w:val="0"/>
                    <w:spacing w:line="240" w:lineRule="exact"/>
                    <w:jc w:val="center"/>
                    <w:rPr>
                      <w:snapToGrid w:val="0"/>
                      <w:kern w:val="0"/>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366" w:type="pct"/>
                  <w:vMerge w:val="restart"/>
                  <w:tcBorders>
                    <w:tl2br w:val="nil"/>
                    <w:tr2bl w:val="nil"/>
                  </w:tcBorders>
                  <w:vAlign w:val="center"/>
                </w:tcPr>
                <w:p>
                  <w:pPr>
                    <w:adjustRightInd w:val="0"/>
                    <w:snapToGrid w:val="0"/>
                    <w:spacing w:line="240" w:lineRule="exact"/>
                    <w:jc w:val="center"/>
                    <w:rPr>
                      <w:snapToGrid w:val="0"/>
                      <w:kern w:val="0"/>
                      <w:sz w:val="21"/>
                    </w:rPr>
                  </w:pPr>
                  <w:r>
                    <w:rPr>
                      <w:snapToGrid w:val="0"/>
                      <w:kern w:val="0"/>
                      <w:sz w:val="21"/>
                    </w:rPr>
                    <w:t>能源</w:t>
                  </w:r>
                </w:p>
              </w:tc>
              <w:tc>
                <w:tcPr>
                  <w:tcW w:w="848" w:type="pct"/>
                  <w:tcBorders>
                    <w:tl2br w:val="nil"/>
                    <w:tr2bl w:val="nil"/>
                  </w:tcBorders>
                  <w:vAlign w:val="center"/>
                </w:tcPr>
                <w:p>
                  <w:pPr>
                    <w:adjustRightInd w:val="0"/>
                    <w:snapToGrid w:val="0"/>
                    <w:spacing w:line="240" w:lineRule="exact"/>
                    <w:jc w:val="center"/>
                    <w:rPr>
                      <w:snapToGrid w:val="0"/>
                      <w:kern w:val="0"/>
                      <w:sz w:val="21"/>
                    </w:rPr>
                  </w:pPr>
                  <w:r>
                    <w:rPr>
                      <w:snapToGrid w:val="0"/>
                      <w:kern w:val="0"/>
                      <w:sz w:val="21"/>
                    </w:rPr>
                    <w:t>电</w:t>
                  </w:r>
                </w:p>
              </w:tc>
              <w:tc>
                <w:tcPr>
                  <w:tcW w:w="537" w:type="pct"/>
                  <w:tcBorders>
                    <w:tl2br w:val="nil"/>
                    <w:tr2bl w:val="nil"/>
                  </w:tcBorders>
                  <w:vAlign w:val="center"/>
                </w:tcPr>
                <w:p>
                  <w:pPr>
                    <w:adjustRightInd w:val="0"/>
                    <w:snapToGrid w:val="0"/>
                    <w:spacing w:line="240" w:lineRule="exact"/>
                    <w:jc w:val="center"/>
                    <w:rPr>
                      <w:snapToGrid w:val="0"/>
                      <w:kern w:val="0"/>
                      <w:sz w:val="21"/>
                    </w:rPr>
                  </w:pPr>
                  <w:r>
                    <w:rPr>
                      <w:sz w:val="21"/>
                    </w:rPr>
                    <w:t>万</w:t>
                  </w:r>
                  <w:r>
                    <w:rPr>
                      <w:snapToGrid w:val="0"/>
                      <w:kern w:val="0"/>
                      <w:sz w:val="21"/>
                    </w:rPr>
                    <w:t>kW·h</w:t>
                  </w:r>
                </w:p>
              </w:tc>
              <w:tc>
                <w:tcPr>
                  <w:tcW w:w="751" w:type="pct"/>
                  <w:tcBorders>
                    <w:tl2br w:val="nil"/>
                    <w:tr2bl w:val="nil"/>
                  </w:tcBorders>
                  <w:vAlign w:val="center"/>
                </w:tcPr>
                <w:p>
                  <w:pPr>
                    <w:adjustRightInd w:val="0"/>
                    <w:snapToGrid w:val="0"/>
                    <w:spacing w:line="240" w:lineRule="exact"/>
                    <w:jc w:val="center"/>
                    <w:rPr>
                      <w:sz w:val="21"/>
                    </w:rPr>
                  </w:pPr>
                  <w:r>
                    <w:rPr>
                      <w:rFonts w:hint="eastAsia"/>
                      <w:sz w:val="21"/>
                    </w:rPr>
                    <w:t>110</w:t>
                  </w:r>
                </w:p>
              </w:tc>
              <w:tc>
                <w:tcPr>
                  <w:tcW w:w="752" w:type="pct"/>
                  <w:tcBorders>
                    <w:tl2br w:val="nil"/>
                    <w:tr2bl w:val="nil"/>
                  </w:tcBorders>
                  <w:vAlign w:val="center"/>
                </w:tcPr>
                <w:p>
                  <w:pPr>
                    <w:adjustRightInd w:val="0"/>
                    <w:snapToGrid w:val="0"/>
                    <w:spacing w:line="240" w:lineRule="exact"/>
                    <w:jc w:val="center"/>
                    <w:rPr>
                      <w:snapToGrid w:val="0"/>
                      <w:kern w:val="0"/>
                      <w:sz w:val="21"/>
                    </w:rPr>
                  </w:pPr>
                  <w:r>
                    <w:rPr>
                      <w:rFonts w:hint="eastAsia"/>
                      <w:sz w:val="21"/>
                    </w:rPr>
                    <w:t>340</w:t>
                  </w:r>
                </w:p>
              </w:tc>
              <w:tc>
                <w:tcPr>
                  <w:tcW w:w="515" w:type="pct"/>
                  <w:tcBorders>
                    <w:tl2br w:val="nil"/>
                    <w:tr2bl w:val="nil"/>
                  </w:tcBorders>
                  <w:vAlign w:val="center"/>
                </w:tcPr>
                <w:p>
                  <w:pPr>
                    <w:adjustRightInd w:val="0"/>
                    <w:snapToGrid w:val="0"/>
                    <w:spacing w:line="240" w:lineRule="exact"/>
                    <w:jc w:val="center"/>
                    <w:rPr>
                      <w:snapToGrid w:val="0"/>
                      <w:kern w:val="0"/>
                      <w:sz w:val="21"/>
                    </w:rPr>
                  </w:pPr>
                  <w:r>
                    <w:rPr>
                      <w:snapToGrid w:val="0"/>
                      <w:kern w:val="0"/>
                      <w:sz w:val="21"/>
                    </w:rPr>
                    <w:t>/</w:t>
                  </w:r>
                </w:p>
              </w:tc>
              <w:tc>
                <w:tcPr>
                  <w:tcW w:w="614" w:type="pct"/>
                  <w:tcBorders>
                    <w:tl2br w:val="nil"/>
                    <w:tr2bl w:val="nil"/>
                  </w:tcBorders>
                  <w:vAlign w:val="center"/>
                </w:tcPr>
                <w:p>
                  <w:pPr>
                    <w:adjustRightInd w:val="0"/>
                    <w:snapToGrid w:val="0"/>
                    <w:spacing w:line="240" w:lineRule="exact"/>
                    <w:jc w:val="center"/>
                    <w:rPr>
                      <w:snapToGrid w:val="0"/>
                      <w:kern w:val="0"/>
                      <w:sz w:val="21"/>
                    </w:rPr>
                  </w:pPr>
                  <w:r>
                    <w:rPr>
                      <w:rFonts w:hint="eastAsia"/>
                      <w:snapToGrid w:val="0"/>
                      <w:kern w:val="0"/>
                      <w:sz w:val="21"/>
                    </w:rPr>
                    <w:t>/</w:t>
                  </w:r>
                </w:p>
              </w:tc>
              <w:tc>
                <w:tcPr>
                  <w:tcW w:w="617" w:type="pct"/>
                  <w:tcBorders>
                    <w:tl2br w:val="nil"/>
                    <w:tr2bl w:val="nil"/>
                  </w:tcBorders>
                  <w:vAlign w:val="center"/>
                </w:tcPr>
                <w:p>
                  <w:pPr>
                    <w:adjustRightInd w:val="0"/>
                    <w:snapToGrid w:val="0"/>
                    <w:spacing w:line="240" w:lineRule="exact"/>
                    <w:jc w:val="center"/>
                    <w:rPr>
                      <w:snapToGrid w:val="0"/>
                      <w:kern w:val="0"/>
                      <w:sz w:val="21"/>
                    </w:rPr>
                  </w:pPr>
                  <w:r>
                    <w:rPr>
                      <w:snapToGrid w:val="0"/>
                      <w:kern w:val="0"/>
                      <w:sz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366" w:type="pct"/>
                  <w:vMerge w:val="continue"/>
                  <w:tcBorders>
                    <w:tl2br w:val="nil"/>
                    <w:tr2bl w:val="nil"/>
                  </w:tcBorders>
                  <w:vAlign w:val="center"/>
                </w:tcPr>
                <w:p>
                  <w:pPr>
                    <w:adjustRightInd w:val="0"/>
                    <w:snapToGrid w:val="0"/>
                    <w:spacing w:line="240" w:lineRule="exact"/>
                    <w:jc w:val="center"/>
                    <w:rPr>
                      <w:snapToGrid w:val="0"/>
                      <w:kern w:val="0"/>
                      <w:sz w:val="21"/>
                    </w:rPr>
                  </w:pPr>
                </w:p>
              </w:tc>
              <w:tc>
                <w:tcPr>
                  <w:tcW w:w="848" w:type="pct"/>
                  <w:tcBorders>
                    <w:tl2br w:val="nil"/>
                    <w:tr2bl w:val="nil"/>
                  </w:tcBorders>
                  <w:vAlign w:val="center"/>
                </w:tcPr>
                <w:p>
                  <w:pPr>
                    <w:adjustRightInd w:val="0"/>
                    <w:snapToGrid w:val="0"/>
                    <w:spacing w:line="240" w:lineRule="exact"/>
                    <w:jc w:val="center"/>
                    <w:rPr>
                      <w:snapToGrid w:val="0"/>
                      <w:kern w:val="0"/>
                      <w:sz w:val="21"/>
                    </w:rPr>
                  </w:pPr>
                  <w:r>
                    <w:rPr>
                      <w:snapToGrid w:val="0"/>
                      <w:kern w:val="0"/>
                      <w:sz w:val="21"/>
                    </w:rPr>
                    <w:t>生活用水</w:t>
                  </w:r>
                </w:p>
              </w:tc>
              <w:tc>
                <w:tcPr>
                  <w:tcW w:w="537" w:type="pct"/>
                  <w:tcBorders>
                    <w:tl2br w:val="nil"/>
                    <w:tr2bl w:val="nil"/>
                  </w:tcBorders>
                  <w:vAlign w:val="center"/>
                </w:tcPr>
                <w:p>
                  <w:pPr>
                    <w:adjustRightInd w:val="0"/>
                    <w:snapToGrid w:val="0"/>
                    <w:spacing w:line="240" w:lineRule="exact"/>
                    <w:jc w:val="center"/>
                    <w:rPr>
                      <w:snapToGrid w:val="0"/>
                      <w:kern w:val="0"/>
                      <w:sz w:val="21"/>
                    </w:rPr>
                  </w:pPr>
                  <w:r>
                    <w:rPr>
                      <w:snapToGrid w:val="0"/>
                      <w:kern w:val="0"/>
                      <w:sz w:val="21"/>
                    </w:rPr>
                    <w:t>m</w:t>
                  </w:r>
                  <w:r>
                    <w:rPr>
                      <w:snapToGrid w:val="0"/>
                      <w:kern w:val="0"/>
                      <w:sz w:val="21"/>
                      <w:vertAlign w:val="superscript"/>
                    </w:rPr>
                    <w:t>3</w:t>
                  </w:r>
                </w:p>
              </w:tc>
              <w:tc>
                <w:tcPr>
                  <w:tcW w:w="751" w:type="pct"/>
                  <w:tcBorders>
                    <w:tl2br w:val="nil"/>
                    <w:tr2bl w:val="nil"/>
                  </w:tcBorders>
                  <w:vAlign w:val="center"/>
                </w:tcPr>
                <w:p>
                  <w:pPr>
                    <w:adjustRightInd w:val="0"/>
                    <w:snapToGrid w:val="0"/>
                    <w:spacing w:line="240" w:lineRule="exact"/>
                    <w:jc w:val="center"/>
                    <w:rPr>
                      <w:snapToGrid w:val="0"/>
                      <w:kern w:val="0"/>
                      <w:sz w:val="21"/>
                    </w:rPr>
                  </w:pPr>
                  <w:r>
                    <w:rPr>
                      <w:rFonts w:hint="eastAsia"/>
                      <w:snapToGrid w:val="0"/>
                      <w:kern w:val="0"/>
                      <w:sz w:val="21"/>
                    </w:rPr>
                    <w:t>126</w:t>
                  </w:r>
                </w:p>
              </w:tc>
              <w:tc>
                <w:tcPr>
                  <w:tcW w:w="752" w:type="pct"/>
                  <w:tcBorders>
                    <w:tl2br w:val="nil"/>
                    <w:tr2bl w:val="nil"/>
                  </w:tcBorders>
                  <w:vAlign w:val="center"/>
                </w:tcPr>
                <w:p>
                  <w:pPr>
                    <w:adjustRightInd w:val="0"/>
                    <w:snapToGrid w:val="0"/>
                    <w:spacing w:line="240" w:lineRule="exact"/>
                    <w:jc w:val="center"/>
                    <w:rPr>
                      <w:snapToGrid w:val="0"/>
                      <w:kern w:val="0"/>
                      <w:sz w:val="21"/>
                    </w:rPr>
                  </w:pPr>
                  <w:r>
                    <w:rPr>
                      <w:rFonts w:hint="eastAsia"/>
                      <w:snapToGrid w:val="0"/>
                      <w:kern w:val="0"/>
                      <w:sz w:val="21"/>
                    </w:rPr>
                    <w:t>180</w:t>
                  </w:r>
                </w:p>
              </w:tc>
              <w:tc>
                <w:tcPr>
                  <w:tcW w:w="515" w:type="pct"/>
                  <w:tcBorders>
                    <w:tl2br w:val="nil"/>
                    <w:tr2bl w:val="nil"/>
                  </w:tcBorders>
                  <w:vAlign w:val="center"/>
                </w:tcPr>
                <w:p>
                  <w:pPr>
                    <w:adjustRightInd w:val="0"/>
                    <w:snapToGrid w:val="0"/>
                    <w:spacing w:line="240" w:lineRule="exact"/>
                    <w:jc w:val="center"/>
                    <w:rPr>
                      <w:snapToGrid w:val="0"/>
                      <w:kern w:val="0"/>
                      <w:sz w:val="21"/>
                    </w:rPr>
                  </w:pPr>
                  <w:r>
                    <w:rPr>
                      <w:rFonts w:eastAsia="Times New Roman"/>
                      <w:spacing w:val="3"/>
                      <w:sz w:val="20"/>
                      <w:szCs w:val="20"/>
                    </w:rPr>
                    <w:t>H</w:t>
                  </w:r>
                  <w:r>
                    <w:rPr>
                      <w:rFonts w:eastAsia="Times New Roman"/>
                      <w:spacing w:val="3"/>
                      <w:position w:val="-1"/>
                      <w:sz w:val="13"/>
                      <w:szCs w:val="13"/>
                    </w:rPr>
                    <w:t>2</w:t>
                  </w:r>
                  <w:r>
                    <w:rPr>
                      <w:rFonts w:eastAsia="Times New Roman"/>
                      <w:spacing w:val="3"/>
                      <w:sz w:val="20"/>
                      <w:szCs w:val="20"/>
                    </w:rPr>
                    <w:t>O</w:t>
                  </w:r>
                </w:p>
              </w:tc>
              <w:tc>
                <w:tcPr>
                  <w:tcW w:w="614" w:type="pct"/>
                  <w:tcBorders>
                    <w:tl2br w:val="nil"/>
                    <w:tr2bl w:val="nil"/>
                  </w:tcBorders>
                  <w:vAlign w:val="center"/>
                </w:tcPr>
                <w:p>
                  <w:pPr>
                    <w:adjustRightInd w:val="0"/>
                    <w:snapToGrid w:val="0"/>
                    <w:spacing w:line="240" w:lineRule="exact"/>
                    <w:jc w:val="center"/>
                    <w:rPr>
                      <w:snapToGrid w:val="0"/>
                      <w:kern w:val="0"/>
                      <w:sz w:val="21"/>
                    </w:rPr>
                  </w:pPr>
                  <w:r>
                    <w:rPr>
                      <w:rFonts w:hint="eastAsia"/>
                      <w:snapToGrid w:val="0"/>
                      <w:kern w:val="0"/>
                      <w:sz w:val="21"/>
                    </w:rPr>
                    <w:t>/</w:t>
                  </w:r>
                </w:p>
              </w:tc>
              <w:tc>
                <w:tcPr>
                  <w:tcW w:w="617" w:type="pct"/>
                  <w:tcBorders>
                    <w:tl2br w:val="nil"/>
                    <w:tr2bl w:val="nil"/>
                  </w:tcBorders>
                  <w:vAlign w:val="center"/>
                </w:tcPr>
                <w:p>
                  <w:pPr>
                    <w:adjustRightInd w:val="0"/>
                    <w:snapToGrid w:val="0"/>
                    <w:spacing w:line="240" w:lineRule="exact"/>
                    <w:jc w:val="center"/>
                    <w:rPr>
                      <w:snapToGrid w:val="0"/>
                      <w:kern w:val="0"/>
                      <w:sz w:val="21"/>
                    </w:rPr>
                  </w:pPr>
                  <w:r>
                    <w:rPr>
                      <w:rFonts w:hint="eastAsia"/>
                      <w:snapToGrid w:val="0"/>
                      <w:kern w:val="0"/>
                      <w:sz w:val="21"/>
                    </w:rPr>
                    <w:t>自来水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6" w:type="pct"/>
                  <w:vMerge w:val="continue"/>
                  <w:tcBorders>
                    <w:tl2br w:val="nil"/>
                    <w:tr2bl w:val="nil"/>
                  </w:tcBorders>
                  <w:vAlign w:val="center"/>
                </w:tcPr>
                <w:p>
                  <w:pPr>
                    <w:adjustRightInd w:val="0"/>
                    <w:snapToGrid w:val="0"/>
                    <w:spacing w:line="240" w:lineRule="exact"/>
                    <w:jc w:val="center"/>
                    <w:rPr>
                      <w:snapToGrid w:val="0"/>
                      <w:kern w:val="0"/>
                      <w:sz w:val="21"/>
                    </w:rPr>
                  </w:pPr>
                </w:p>
              </w:tc>
              <w:tc>
                <w:tcPr>
                  <w:tcW w:w="848" w:type="pct"/>
                  <w:tcBorders>
                    <w:tl2br w:val="nil"/>
                    <w:tr2bl w:val="nil"/>
                  </w:tcBorders>
                  <w:vAlign w:val="center"/>
                </w:tcPr>
                <w:p>
                  <w:pPr>
                    <w:adjustRightInd w:val="0"/>
                    <w:snapToGrid w:val="0"/>
                    <w:spacing w:line="240" w:lineRule="exact"/>
                    <w:jc w:val="center"/>
                    <w:rPr>
                      <w:snapToGrid w:val="0"/>
                      <w:kern w:val="0"/>
                      <w:sz w:val="21"/>
                    </w:rPr>
                  </w:pPr>
                  <w:r>
                    <w:rPr>
                      <w:snapToGrid w:val="0"/>
                      <w:kern w:val="0"/>
                      <w:sz w:val="21"/>
                    </w:rPr>
                    <w:t>生产用水</w:t>
                  </w:r>
                </w:p>
              </w:tc>
              <w:tc>
                <w:tcPr>
                  <w:tcW w:w="537" w:type="pct"/>
                  <w:tcBorders>
                    <w:tl2br w:val="nil"/>
                    <w:tr2bl w:val="nil"/>
                  </w:tcBorders>
                  <w:vAlign w:val="center"/>
                </w:tcPr>
                <w:p>
                  <w:pPr>
                    <w:adjustRightInd w:val="0"/>
                    <w:snapToGrid w:val="0"/>
                    <w:spacing w:line="240" w:lineRule="exact"/>
                    <w:jc w:val="center"/>
                    <w:rPr>
                      <w:snapToGrid w:val="0"/>
                      <w:kern w:val="0"/>
                      <w:sz w:val="21"/>
                    </w:rPr>
                  </w:pPr>
                  <w:r>
                    <w:rPr>
                      <w:snapToGrid w:val="0"/>
                      <w:kern w:val="0"/>
                      <w:sz w:val="21"/>
                    </w:rPr>
                    <w:t>m</w:t>
                  </w:r>
                  <w:r>
                    <w:rPr>
                      <w:snapToGrid w:val="0"/>
                      <w:kern w:val="0"/>
                      <w:sz w:val="21"/>
                      <w:vertAlign w:val="superscript"/>
                    </w:rPr>
                    <w:t>3</w:t>
                  </w:r>
                </w:p>
              </w:tc>
              <w:tc>
                <w:tcPr>
                  <w:tcW w:w="751" w:type="pct"/>
                  <w:tcBorders>
                    <w:tl2br w:val="nil"/>
                    <w:tr2bl w:val="nil"/>
                  </w:tcBorders>
                  <w:vAlign w:val="center"/>
                </w:tcPr>
                <w:p>
                  <w:pPr>
                    <w:adjustRightInd w:val="0"/>
                    <w:snapToGrid w:val="0"/>
                    <w:spacing w:line="240" w:lineRule="exact"/>
                    <w:jc w:val="center"/>
                    <w:rPr>
                      <w:snapToGrid w:val="0"/>
                      <w:kern w:val="0"/>
                      <w:sz w:val="21"/>
                    </w:rPr>
                  </w:pPr>
                  <w:r>
                    <w:rPr>
                      <w:rFonts w:hint="eastAsia"/>
                      <w:snapToGrid w:val="0"/>
                      <w:kern w:val="0"/>
                      <w:sz w:val="21"/>
                    </w:rPr>
                    <w:t>9492</w:t>
                  </w:r>
                </w:p>
              </w:tc>
              <w:tc>
                <w:tcPr>
                  <w:tcW w:w="752" w:type="pct"/>
                  <w:tcBorders>
                    <w:tl2br w:val="nil"/>
                    <w:tr2bl w:val="nil"/>
                  </w:tcBorders>
                  <w:vAlign w:val="center"/>
                </w:tcPr>
                <w:p>
                  <w:pPr>
                    <w:adjustRightInd w:val="0"/>
                    <w:snapToGrid w:val="0"/>
                    <w:spacing w:line="240" w:lineRule="exact"/>
                    <w:jc w:val="center"/>
                    <w:rPr>
                      <w:snapToGrid w:val="0"/>
                      <w:kern w:val="0"/>
                      <w:sz w:val="21"/>
                    </w:rPr>
                  </w:pPr>
                  <w:r>
                    <w:rPr>
                      <w:rFonts w:hint="eastAsia"/>
                      <w:snapToGrid w:val="0"/>
                      <w:kern w:val="0"/>
                      <w:sz w:val="21"/>
                    </w:rPr>
                    <w:t>25923</w:t>
                  </w:r>
                </w:p>
              </w:tc>
              <w:tc>
                <w:tcPr>
                  <w:tcW w:w="515" w:type="pct"/>
                  <w:tcBorders>
                    <w:tl2br w:val="nil"/>
                    <w:tr2bl w:val="nil"/>
                  </w:tcBorders>
                  <w:vAlign w:val="center"/>
                </w:tcPr>
                <w:p>
                  <w:pPr>
                    <w:adjustRightInd w:val="0"/>
                    <w:snapToGrid w:val="0"/>
                    <w:spacing w:line="240" w:lineRule="exact"/>
                    <w:jc w:val="center"/>
                    <w:rPr>
                      <w:snapToGrid w:val="0"/>
                      <w:kern w:val="0"/>
                      <w:sz w:val="21"/>
                    </w:rPr>
                  </w:pPr>
                  <w:r>
                    <w:rPr>
                      <w:rFonts w:eastAsia="Times New Roman"/>
                      <w:spacing w:val="3"/>
                      <w:sz w:val="20"/>
                      <w:szCs w:val="20"/>
                    </w:rPr>
                    <w:t>H</w:t>
                  </w:r>
                  <w:r>
                    <w:rPr>
                      <w:rFonts w:eastAsia="Times New Roman"/>
                      <w:spacing w:val="3"/>
                      <w:position w:val="-1"/>
                      <w:sz w:val="13"/>
                      <w:szCs w:val="13"/>
                    </w:rPr>
                    <w:t>2</w:t>
                  </w:r>
                  <w:r>
                    <w:rPr>
                      <w:rFonts w:eastAsia="Times New Roman"/>
                      <w:spacing w:val="3"/>
                      <w:sz w:val="20"/>
                      <w:szCs w:val="20"/>
                    </w:rPr>
                    <w:t>O</w:t>
                  </w:r>
                </w:p>
              </w:tc>
              <w:tc>
                <w:tcPr>
                  <w:tcW w:w="614" w:type="pct"/>
                  <w:tcBorders>
                    <w:tl2br w:val="nil"/>
                    <w:tr2bl w:val="nil"/>
                  </w:tcBorders>
                  <w:vAlign w:val="center"/>
                </w:tcPr>
                <w:p>
                  <w:pPr>
                    <w:adjustRightInd w:val="0"/>
                    <w:snapToGrid w:val="0"/>
                    <w:spacing w:line="240" w:lineRule="exact"/>
                    <w:jc w:val="center"/>
                    <w:rPr>
                      <w:snapToGrid w:val="0"/>
                      <w:kern w:val="0"/>
                      <w:sz w:val="21"/>
                    </w:rPr>
                  </w:pPr>
                  <w:r>
                    <w:rPr>
                      <w:rFonts w:hint="eastAsia"/>
                      <w:snapToGrid w:val="0"/>
                      <w:kern w:val="0"/>
                      <w:sz w:val="21"/>
                    </w:rPr>
                    <w:t>/</w:t>
                  </w:r>
                </w:p>
              </w:tc>
              <w:tc>
                <w:tcPr>
                  <w:tcW w:w="617" w:type="pct"/>
                  <w:tcBorders>
                    <w:tl2br w:val="nil"/>
                    <w:tr2bl w:val="nil"/>
                  </w:tcBorders>
                  <w:vAlign w:val="center"/>
                </w:tcPr>
                <w:p>
                  <w:pPr>
                    <w:adjustRightInd w:val="0"/>
                    <w:snapToGrid w:val="0"/>
                    <w:spacing w:line="240" w:lineRule="exact"/>
                    <w:jc w:val="center"/>
                    <w:rPr>
                      <w:snapToGrid w:val="0"/>
                      <w:kern w:val="0"/>
                      <w:sz w:val="21"/>
                    </w:rPr>
                  </w:pPr>
                  <w:r>
                    <w:rPr>
                      <w:rFonts w:hint="eastAsia"/>
                      <w:snapToGrid w:val="0"/>
                      <w:kern w:val="0"/>
                      <w:sz w:val="21"/>
                    </w:rPr>
                    <w:t>丁家坝河水</w:t>
                  </w:r>
                </w:p>
              </w:tc>
            </w:tr>
          </w:tbl>
          <w:p>
            <w:pPr>
              <w:pStyle w:val="34"/>
              <w:spacing w:before="40" w:line="219" w:lineRule="auto"/>
              <w:ind w:left="593"/>
              <w:rPr>
                <w:lang w:eastAsia="zh-CN"/>
              </w:rPr>
            </w:pPr>
            <w:r>
              <w:rPr>
                <w:spacing w:val="-2"/>
                <w:lang w:eastAsia="zh-CN"/>
                <w14:textOutline w14:w="4356" w14:cap="sq" w14:cmpd="sng" w14:algn="ctr">
                  <w14:solidFill>
                    <w14:srgbClr w14:val="000000"/>
                  </w14:solidFill>
                  <w14:prstDash w14:val="solid"/>
                  <w14:bevel/>
                </w14:textOutline>
              </w:rPr>
              <w:t>原辅材料性质：</w:t>
            </w:r>
          </w:p>
          <w:p>
            <w:pPr>
              <w:pStyle w:val="34"/>
              <w:spacing w:before="184" w:line="359" w:lineRule="auto"/>
              <w:ind w:left="109" w:right="103" w:firstLine="488"/>
              <w:rPr>
                <w:lang w:eastAsia="zh-CN"/>
              </w:rPr>
            </w:pPr>
            <w:r>
              <w:rPr>
                <w:spacing w:val="-1"/>
                <w:lang w:eastAsia="zh-CN"/>
                <w14:textOutline w14:w="4356" w14:cap="sq" w14:cmpd="sng" w14:algn="ctr">
                  <w14:solidFill>
                    <w14:srgbClr w14:val="000000"/>
                  </w14:solidFill>
                  <w14:prstDash w14:val="solid"/>
                  <w14:bevel/>
                </w14:textOutline>
              </w:rPr>
              <w:t>聚合氯化铝（</w:t>
            </w:r>
            <w:r>
              <w:rPr>
                <w:rFonts w:ascii="Times New Roman" w:hAnsi="Times New Roman" w:eastAsia="Times New Roman" w:cs="Times New Roman"/>
                <w:b/>
                <w:bCs/>
                <w:spacing w:val="-1"/>
                <w:lang w:eastAsia="zh-CN"/>
              </w:rPr>
              <w:t>PAC</w:t>
            </w:r>
            <w:r>
              <w:rPr>
                <w:spacing w:val="7"/>
                <w:lang w:eastAsia="zh-CN"/>
                <w14:textOutline w14:w="4356" w14:cap="sq" w14:cmpd="sng" w14:algn="ctr">
                  <w14:solidFill>
                    <w14:srgbClr w14:val="000000"/>
                  </w14:solidFill>
                  <w14:prstDash w14:val="solid"/>
                  <w14:bevel/>
                </w14:textOutline>
              </w:rPr>
              <w:t>）</w:t>
            </w:r>
            <w:r>
              <w:rPr>
                <w:spacing w:val="7"/>
                <w:lang w:eastAsia="zh-CN"/>
              </w:rPr>
              <w:t>：</w:t>
            </w:r>
            <w:r>
              <w:rPr>
                <w:spacing w:val="-1"/>
                <w:lang w:eastAsia="zh-CN"/>
              </w:rPr>
              <w:t>别名聚铝、聚合铝、碱式氯化铝等</w:t>
            </w:r>
            <w:r>
              <w:rPr>
                <w:spacing w:val="-2"/>
                <w:lang w:eastAsia="zh-CN"/>
              </w:rPr>
              <w:t>，它是一种新</w:t>
            </w:r>
            <w:r>
              <w:rPr>
                <w:lang w:eastAsia="zh-CN"/>
              </w:rPr>
              <w:t>型高效无机高分子絮凝剂。为无色、淡黄色、灰绿色或棕褐色晶粒或粉末。容易潮解、易溶于水，水解过程伴随着电化学、凝聚、吸附和沉淀等物理化学过程。有效强的架桥吸附性能，净水效果远优于传统的低分子净水剂硫酸 铝、三氯化铁、硫酸亚铁和明矾等。水溶液是介于三氯化铝和氢氧化铝直接</w:t>
            </w:r>
            <w:r>
              <w:rPr>
                <w:spacing w:val="-1"/>
                <w:lang w:eastAsia="zh-CN"/>
              </w:rPr>
              <w:t>的水解产物，带有胶体电荷，故对水中的悬浮物有极强的吸附</w:t>
            </w:r>
            <w:r>
              <w:rPr>
                <w:spacing w:val="-2"/>
                <w:lang w:eastAsia="zh-CN"/>
              </w:rPr>
              <w:t>性。</w:t>
            </w:r>
          </w:p>
          <w:p>
            <w:pPr>
              <w:pStyle w:val="34"/>
              <w:spacing w:before="179" w:line="350" w:lineRule="auto"/>
              <w:ind w:left="107" w:right="103" w:firstLine="490"/>
              <w:rPr>
                <w:lang w:eastAsia="zh-CN"/>
              </w:rPr>
            </w:pPr>
            <w:r>
              <w:rPr>
                <w:spacing w:val="2"/>
                <w:lang w:eastAsia="zh-CN"/>
                <w14:textOutline w14:w="4356" w14:cap="sq" w14:cmpd="sng" w14:algn="ctr">
                  <w14:solidFill>
                    <w14:srgbClr w14:val="000000"/>
                  </w14:solidFill>
                  <w14:prstDash w14:val="solid"/>
                  <w14:bevel/>
                </w14:textOutline>
              </w:rPr>
              <w:t>聚丙烯酰胺：</w:t>
            </w:r>
            <w:r>
              <w:rPr>
                <w:spacing w:val="2"/>
                <w:lang w:eastAsia="zh-CN"/>
              </w:rPr>
              <w:t>聚丙烯酰胺为白色粉末或者小颗粒状物，分子量</w:t>
            </w:r>
            <w:r>
              <w:rPr>
                <w:spacing w:val="-45"/>
                <w:lang w:eastAsia="zh-CN"/>
              </w:rPr>
              <w:t xml:space="preserve"> </w:t>
            </w:r>
            <w:r>
              <w:rPr>
                <w:rFonts w:ascii="Times New Roman" w:hAnsi="Times New Roman" w:eastAsia="Times New Roman" w:cs="Times New Roman"/>
                <w:spacing w:val="2"/>
                <w:lang w:eastAsia="zh-CN"/>
              </w:rPr>
              <w:t>71.07</w:t>
            </w:r>
            <w:r>
              <w:rPr>
                <w:rFonts w:ascii="Times New Roman" w:hAnsi="Times New Roman" w:eastAsia="Times New Roman" w:cs="Times New Roman"/>
                <w:spacing w:val="-29"/>
                <w:lang w:eastAsia="zh-CN"/>
              </w:rPr>
              <w:t xml:space="preserve"> </w:t>
            </w:r>
            <w:r>
              <w:rPr>
                <w:spacing w:val="2"/>
                <w:lang w:eastAsia="zh-CN"/>
              </w:rPr>
              <w:t>，</w:t>
            </w:r>
            <w:r>
              <w:rPr>
                <w:lang w:eastAsia="zh-CN"/>
              </w:rPr>
              <w:t xml:space="preserve"> 易溶于水，几乎不溶于苯，乙醚、酯类、丙酮等一般有机溶剂，其水溶液几</w:t>
            </w:r>
            <w:r>
              <w:rPr>
                <w:spacing w:val="2"/>
                <w:lang w:eastAsia="zh-CN"/>
              </w:rPr>
              <w:t xml:space="preserve"> </w:t>
            </w:r>
            <w:r>
              <w:rPr>
                <w:spacing w:val="14"/>
                <w:lang w:eastAsia="zh-CN"/>
              </w:rPr>
              <w:t>近透明的粘稠液体</w:t>
            </w:r>
            <w:r>
              <w:rPr>
                <w:spacing w:val="-70"/>
                <w:lang w:eastAsia="zh-CN"/>
              </w:rPr>
              <w:t xml:space="preserve"> </w:t>
            </w:r>
            <w:r>
              <w:rPr>
                <w:spacing w:val="14"/>
                <w:lang w:eastAsia="zh-CN"/>
              </w:rPr>
              <w:t>，属非危险品</w:t>
            </w:r>
            <w:r>
              <w:rPr>
                <w:spacing w:val="-70"/>
                <w:lang w:eastAsia="zh-CN"/>
              </w:rPr>
              <w:t xml:space="preserve"> </w:t>
            </w:r>
            <w:r>
              <w:rPr>
                <w:spacing w:val="14"/>
                <w:lang w:eastAsia="zh-CN"/>
              </w:rPr>
              <w:t>，无毒</w:t>
            </w:r>
            <w:r>
              <w:rPr>
                <w:spacing w:val="-69"/>
                <w:lang w:eastAsia="zh-CN"/>
              </w:rPr>
              <w:t xml:space="preserve"> </w:t>
            </w:r>
            <w:r>
              <w:rPr>
                <w:spacing w:val="14"/>
                <w:lang w:eastAsia="zh-CN"/>
              </w:rPr>
              <w:t>、无腐蚀性</w:t>
            </w:r>
            <w:r>
              <w:rPr>
                <w:spacing w:val="-63"/>
                <w:lang w:eastAsia="zh-CN"/>
              </w:rPr>
              <w:t xml:space="preserve"> </w:t>
            </w:r>
            <w:r>
              <w:rPr>
                <w:spacing w:val="14"/>
                <w:lang w:eastAsia="zh-CN"/>
              </w:rPr>
              <w:t>。</w:t>
            </w:r>
            <w:r>
              <w:rPr>
                <w:spacing w:val="13"/>
                <w:lang w:eastAsia="zh-CN"/>
              </w:rPr>
              <w:t>大鼠经口</w:t>
            </w:r>
            <w:r>
              <w:rPr>
                <w:spacing w:val="-32"/>
                <w:lang w:eastAsia="zh-CN"/>
              </w:rPr>
              <w:t xml:space="preserve"> </w:t>
            </w:r>
            <w:r>
              <w:rPr>
                <w:rFonts w:ascii="Times New Roman" w:hAnsi="Times New Roman" w:eastAsia="Times New Roman" w:cs="Times New Roman"/>
                <w:lang w:eastAsia="zh-CN"/>
              </w:rPr>
              <w:t>LD</w:t>
            </w:r>
            <w:r>
              <w:rPr>
                <w:rFonts w:ascii="Times New Roman" w:hAnsi="Times New Roman" w:eastAsia="Times New Roman" w:cs="Times New Roman"/>
                <w:spacing w:val="13"/>
                <w:position w:val="-1"/>
                <w:sz w:val="15"/>
                <w:szCs w:val="15"/>
                <w:lang w:eastAsia="zh-CN"/>
              </w:rPr>
              <w:t>50</w:t>
            </w:r>
            <w:r>
              <w:rPr>
                <w:rFonts w:ascii="Times New Roman" w:hAnsi="Times New Roman" w:eastAsia="Times New Roman" w:cs="Times New Roman"/>
                <w:spacing w:val="-14"/>
                <w:position w:val="-1"/>
                <w:sz w:val="15"/>
                <w:szCs w:val="15"/>
                <w:lang w:eastAsia="zh-CN"/>
              </w:rPr>
              <w:t xml:space="preserve"> </w:t>
            </w:r>
            <w:r>
              <w:rPr>
                <w:spacing w:val="13"/>
                <w:lang w:eastAsia="zh-CN"/>
              </w:rPr>
              <w:t>：</w:t>
            </w:r>
            <w:r>
              <w:rPr>
                <w:rFonts w:ascii="Times New Roman" w:hAnsi="Times New Roman" w:eastAsia="Times New Roman" w:cs="Times New Roman"/>
                <w:spacing w:val="-2"/>
                <w:position w:val="3"/>
                <w:lang w:eastAsia="zh-CN"/>
              </w:rPr>
              <w:t>3530mg/kg</w:t>
            </w:r>
            <w:r>
              <w:rPr>
                <w:rFonts w:ascii="Times New Roman" w:hAnsi="Times New Roman" w:eastAsia="Times New Roman" w:cs="Times New Roman"/>
                <w:spacing w:val="-31"/>
                <w:position w:val="3"/>
                <w:lang w:eastAsia="zh-CN"/>
              </w:rPr>
              <w:t xml:space="preserve"> </w:t>
            </w:r>
            <w:r>
              <w:rPr>
                <w:spacing w:val="-2"/>
                <w:position w:val="3"/>
                <w:lang w:eastAsia="zh-CN"/>
              </w:rPr>
              <w:t>，大鼠吸入</w:t>
            </w:r>
            <w:r>
              <w:rPr>
                <w:spacing w:val="-55"/>
                <w:position w:val="3"/>
                <w:lang w:eastAsia="zh-CN"/>
              </w:rPr>
              <w:t xml:space="preserve"> </w:t>
            </w:r>
            <w:r>
              <w:rPr>
                <w:rFonts w:ascii="Times New Roman" w:hAnsi="Times New Roman" w:eastAsia="Times New Roman" w:cs="Times New Roman"/>
                <w:spacing w:val="-2"/>
                <w:position w:val="3"/>
                <w:lang w:eastAsia="zh-CN"/>
              </w:rPr>
              <w:t>LC</w:t>
            </w:r>
            <w:r>
              <w:rPr>
                <w:rFonts w:ascii="Times New Roman" w:hAnsi="Times New Roman" w:eastAsia="Times New Roman" w:cs="Times New Roman"/>
                <w:spacing w:val="-2"/>
                <w:position w:val="2"/>
                <w:sz w:val="15"/>
                <w:szCs w:val="15"/>
                <w:lang w:eastAsia="zh-CN"/>
              </w:rPr>
              <w:t>50</w:t>
            </w:r>
            <w:r>
              <w:rPr>
                <w:spacing w:val="-2"/>
                <w:position w:val="3"/>
                <w:lang w:eastAsia="zh-CN"/>
              </w:rPr>
              <w:t>：</w:t>
            </w:r>
            <w:r>
              <w:rPr>
                <w:rFonts w:ascii="Times New Roman" w:hAnsi="Times New Roman" w:eastAsia="Times New Roman" w:cs="Times New Roman"/>
                <w:spacing w:val="-2"/>
                <w:position w:val="3"/>
                <w:lang w:eastAsia="zh-CN"/>
              </w:rPr>
              <w:t>&gt;30gm/m</w:t>
            </w:r>
            <w:r>
              <w:rPr>
                <w:rFonts w:ascii="Times New Roman" w:hAnsi="Times New Roman" w:eastAsia="Times New Roman" w:cs="Times New Roman"/>
                <w:spacing w:val="-2"/>
                <w:position w:val="10"/>
                <w:sz w:val="15"/>
                <w:szCs w:val="15"/>
                <w:lang w:eastAsia="zh-CN"/>
              </w:rPr>
              <w:t>3</w:t>
            </w:r>
            <w:r>
              <w:rPr>
                <w:rFonts w:ascii="Times New Roman" w:hAnsi="Times New Roman" w:eastAsia="Times New Roman" w:cs="Times New Roman"/>
                <w:spacing w:val="-2"/>
                <w:position w:val="3"/>
                <w:lang w:eastAsia="zh-CN"/>
              </w:rPr>
              <w:t>/</w:t>
            </w:r>
            <w:r>
              <w:rPr>
                <w:rFonts w:ascii="Times New Roman" w:hAnsi="Times New Roman" w:eastAsia="Times New Roman" w:cs="Times New Roman"/>
                <w:spacing w:val="-32"/>
                <w:position w:val="3"/>
                <w:lang w:eastAsia="zh-CN"/>
              </w:rPr>
              <w:t xml:space="preserve"> </w:t>
            </w:r>
            <w:r>
              <w:rPr>
                <w:rFonts w:ascii="Times New Roman" w:hAnsi="Times New Roman" w:eastAsia="Times New Roman" w:cs="Times New Roman"/>
                <w:spacing w:val="-3"/>
                <w:position w:val="3"/>
                <w:lang w:eastAsia="zh-CN"/>
              </w:rPr>
              <w:t>1H</w:t>
            </w:r>
            <w:r>
              <w:rPr>
                <w:spacing w:val="-3"/>
                <w:position w:val="3"/>
                <w:lang w:eastAsia="zh-CN"/>
              </w:rPr>
              <w:t>。</w:t>
            </w:r>
          </w:p>
          <w:p>
            <w:pPr>
              <w:pStyle w:val="34"/>
              <w:spacing w:before="171" w:line="359" w:lineRule="auto"/>
              <w:ind w:left="107" w:right="103" w:firstLine="482"/>
              <w:rPr>
                <w:b/>
                <w:color w:val="000000" w:themeColor="text1"/>
                <w:lang w:eastAsia="zh-CN"/>
                <w14:textFill>
                  <w14:solidFill>
                    <w14:schemeClr w14:val="tx1"/>
                  </w14:solidFill>
                </w14:textFill>
              </w:rPr>
            </w:pPr>
            <w:r>
              <w:rPr>
                <w:lang w:eastAsia="zh-CN"/>
                <w14:textOutline w14:w="4356" w14:cap="sq" w14:cmpd="sng" w14:algn="ctr">
                  <w14:solidFill>
                    <w14:srgbClr w14:val="000000"/>
                  </w14:solidFill>
                  <w14:prstDash w14:val="solid"/>
                  <w14:bevel/>
                </w14:textOutline>
              </w:rPr>
              <w:t>润滑油：</w:t>
            </w:r>
            <w:r>
              <w:rPr>
                <w:lang w:eastAsia="zh-CN"/>
              </w:rPr>
              <w:t>润滑油是用在各种类型汽车、机械设备上以减少摩擦，保护机 械及加工件的液体或半固体润滑剂，主要起润滑、辅助冷却、防锈、清洁、</w:t>
            </w:r>
            <w:r>
              <w:rPr>
                <w:spacing w:val="2"/>
                <w:lang w:eastAsia="zh-CN"/>
              </w:rPr>
              <w:t xml:space="preserve"> </w:t>
            </w:r>
            <w:r>
              <w:rPr>
                <w:lang w:eastAsia="zh-CN"/>
              </w:rPr>
              <w:t>密封和缓冲等作用。润滑油一般由基础油和添加剂两部分组成。基础油是润</w:t>
            </w:r>
            <w:r>
              <w:rPr>
                <w:spacing w:val="2"/>
                <w:lang w:eastAsia="zh-CN"/>
              </w:rPr>
              <w:t xml:space="preserve"> </w:t>
            </w:r>
            <w:r>
              <w:rPr>
                <w:lang w:eastAsia="zh-CN"/>
              </w:rPr>
              <w:t>滑油的主要成分，决定着润滑油的基本性质，添加剂则可弥补和改善基础油</w:t>
            </w:r>
            <w:r>
              <w:rPr>
                <w:spacing w:val="-1"/>
                <w:lang w:eastAsia="zh-CN"/>
              </w:rPr>
              <w:t>性能方面的不足，赋予某些新的性能，是润滑油的重要组成部分。</w:t>
            </w:r>
          </w:p>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6、公用工程</w:t>
            </w:r>
          </w:p>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 xml:space="preserve">（1）给水、排水   </w:t>
            </w:r>
            <w:r>
              <w:rPr>
                <w:rFonts w:hint="eastAsia"/>
                <w:b/>
                <w:color w:val="000000" w:themeColor="text1"/>
                <w:szCs w:val="24"/>
                <w14:textFill>
                  <w14:solidFill>
                    <w14:schemeClr w14:val="tx1"/>
                  </w14:solidFill>
                </w14:textFill>
              </w:rPr>
              <w:t xml:space="preserve"> </w:t>
            </w:r>
          </w:p>
          <w:p>
            <w:pPr>
              <w:spacing w:line="360" w:lineRule="auto"/>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本项目</w:t>
            </w:r>
            <w:r>
              <w:rPr>
                <w:rFonts w:hint="eastAsia"/>
                <w:color w:val="000000" w:themeColor="text1"/>
                <w:szCs w:val="24"/>
                <w14:textFill>
                  <w14:solidFill>
                    <w14:schemeClr w14:val="tx1"/>
                  </w14:solidFill>
                </w14:textFill>
              </w:rPr>
              <w:t>生产用水取自项目南侧丁家坝河；生活用水由天台村自来水系统供给</w:t>
            </w:r>
            <w:r>
              <w:rPr>
                <w:color w:val="000000" w:themeColor="text1"/>
                <w:szCs w:val="24"/>
                <w14:textFill>
                  <w14:solidFill>
                    <w14:schemeClr w14:val="tx1"/>
                  </w14:solidFill>
                </w14:textFill>
              </w:rPr>
              <w:t>。项目劳动人员均为周边居民，不设员工</w:t>
            </w:r>
            <w:r>
              <w:rPr>
                <w:rFonts w:hint="eastAsia"/>
                <w:color w:val="000000" w:themeColor="text1"/>
                <w:szCs w:val="24"/>
                <w14:textFill>
                  <w14:solidFill>
                    <w14:schemeClr w14:val="tx1"/>
                  </w14:solidFill>
                </w14:textFill>
              </w:rPr>
              <w:t>住宿</w:t>
            </w:r>
            <w:r>
              <w:rPr>
                <w:color w:val="000000" w:themeColor="text1"/>
                <w:szCs w:val="24"/>
                <w14:textFill>
                  <w14:solidFill>
                    <w14:schemeClr w14:val="tx1"/>
                  </w14:solidFill>
                </w14:textFill>
              </w:rPr>
              <w:t>。运营期用水主要</w:t>
            </w:r>
            <w:r>
              <w:rPr>
                <w:color w:val="000000" w:themeColor="text1"/>
                <w:szCs w:val="24"/>
                <w:lang w:val="zh-CN"/>
                <w14:textFill>
                  <w14:solidFill>
                    <w14:schemeClr w14:val="tx1"/>
                  </w14:solidFill>
                </w14:textFill>
              </w:rPr>
              <w:t>包括</w:t>
            </w:r>
            <w:r>
              <w:rPr>
                <w:rFonts w:hint="eastAsia"/>
                <w:color w:val="000000" w:themeColor="text1"/>
                <w:szCs w:val="24"/>
                <w:lang w:val="zh-CN"/>
                <w14:textFill>
                  <w14:solidFill>
                    <w14:schemeClr w14:val="tx1"/>
                  </w14:solidFill>
                </w14:textFill>
              </w:rPr>
              <w:t>生产</w:t>
            </w:r>
            <w:r>
              <w:rPr>
                <w:color w:val="000000" w:themeColor="text1"/>
                <w:szCs w:val="24"/>
                <w:lang w:val="zh-CN"/>
                <w14:textFill>
                  <w14:solidFill>
                    <w14:schemeClr w14:val="tx1"/>
                  </w14:solidFill>
                </w14:textFill>
              </w:rPr>
              <w:t>用水</w:t>
            </w:r>
            <w:r>
              <w:rPr>
                <w:color w:val="000000" w:themeColor="text1"/>
                <w:szCs w:val="24"/>
                <w14:textFill>
                  <w14:solidFill>
                    <w14:schemeClr w14:val="tx1"/>
                  </w14:solidFill>
                </w14:textFill>
              </w:rPr>
              <w:t>和生活用水。</w:t>
            </w:r>
            <w:r>
              <w:rPr>
                <w:rFonts w:hint="eastAsia"/>
                <w:color w:val="000000" w:themeColor="text1"/>
                <w:szCs w:val="24"/>
                <w14:textFill>
                  <w14:solidFill>
                    <w14:schemeClr w14:val="tx1"/>
                  </w14:solidFill>
                </w14:textFill>
              </w:rPr>
              <w:t>本次环评要求生产用水应按相关规定完善取水手续。</w:t>
            </w:r>
          </w:p>
          <w:p>
            <w:pPr>
              <w:spacing w:line="360" w:lineRule="auto"/>
              <w:ind w:firstLine="482"/>
              <w:rPr>
                <w:color w:val="000000" w:themeColor="text1"/>
                <w:szCs w:val="24"/>
                <w14:textFill>
                  <w14:solidFill>
                    <w14:schemeClr w14:val="tx1"/>
                  </w14:solidFill>
                </w14:textFill>
              </w:rPr>
            </w:pPr>
            <w:r>
              <w:rPr>
                <w:b/>
                <w:bCs/>
                <w:color w:val="000000" w:themeColor="text1"/>
                <w:szCs w:val="24"/>
                <w14:textFill>
                  <w14:solidFill>
                    <w14:schemeClr w14:val="tx1"/>
                  </w14:solidFill>
                </w14:textFill>
              </w:rPr>
              <w:t>生活用水：</w:t>
            </w:r>
            <w:r>
              <w:rPr>
                <w:color w:val="000000" w:themeColor="text1"/>
                <w:szCs w:val="24"/>
                <w14:textFill>
                  <w14:solidFill>
                    <w14:schemeClr w14:val="tx1"/>
                  </w14:solidFill>
                </w14:textFill>
              </w:rPr>
              <w:t>项目</w:t>
            </w:r>
            <w:r>
              <w:rPr>
                <w:rFonts w:hint="eastAsia"/>
                <w:color w:val="000000" w:themeColor="text1"/>
                <w:szCs w:val="24"/>
                <w14:textFill>
                  <w14:solidFill>
                    <w14:schemeClr w14:val="tx1"/>
                  </w14:solidFill>
                </w14:textFill>
              </w:rPr>
              <w:t>新增</w:t>
            </w:r>
            <w:r>
              <w:rPr>
                <w:color w:val="000000" w:themeColor="text1"/>
                <w:szCs w:val="24"/>
                <w14:textFill>
                  <w14:solidFill>
                    <w14:schemeClr w14:val="tx1"/>
                  </w14:solidFill>
                </w14:textFill>
              </w:rPr>
              <w:t>劳动定员3人，根据《四川省用水定额》（川府函</w:t>
            </w:r>
            <w:r>
              <w:rPr>
                <w:rFonts w:hint="eastAsia"/>
                <w:color w:val="000000" w:themeColor="text1"/>
                <w:szCs w:val="24"/>
                <w:lang w:eastAsia="zh-CN"/>
                <w14:textFill>
                  <w14:solidFill>
                    <w14:schemeClr w14:val="tx1"/>
                  </w14:solidFill>
                </w14:textFill>
              </w:rPr>
              <w:t>〔2021〕</w:t>
            </w:r>
            <w:r>
              <w:rPr>
                <w:color w:val="000000" w:themeColor="text1"/>
                <w:szCs w:val="24"/>
                <w14:textFill>
                  <w14:solidFill>
                    <w14:schemeClr w14:val="tx1"/>
                  </w14:solidFill>
                </w14:textFill>
              </w:rPr>
              <w:t>8号）中表5农村居民生活用水定额表，同时考虑本项目不设</w:t>
            </w:r>
            <w:r>
              <w:rPr>
                <w:rFonts w:hint="eastAsia"/>
                <w:color w:val="000000" w:themeColor="text1"/>
                <w:szCs w:val="24"/>
                <w14:textFill>
                  <w14:solidFill>
                    <w14:schemeClr w14:val="tx1"/>
                  </w14:solidFill>
                </w14:textFill>
              </w:rPr>
              <w:t>住宿</w:t>
            </w:r>
            <w:r>
              <w:rPr>
                <w:color w:val="000000" w:themeColor="text1"/>
                <w:szCs w:val="24"/>
                <w14:textFill>
                  <w14:solidFill>
                    <w14:schemeClr w14:val="tx1"/>
                  </w14:solidFill>
                </w14:textFill>
              </w:rPr>
              <w:t>，用水量按60L/人·d计，则</w:t>
            </w:r>
            <w:r>
              <w:rPr>
                <w:rFonts w:hint="eastAsia"/>
                <w:color w:val="000000" w:themeColor="text1"/>
                <w:szCs w:val="24"/>
                <w14:textFill>
                  <w14:solidFill>
                    <w14:schemeClr w14:val="tx1"/>
                  </w14:solidFill>
                </w14:textFill>
              </w:rPr>
              <w:t>新增</w:t>
            </w:r>
            <w:r>
              <w:rPr>
                <w:color w:val="000000" w:themeColor="text1"/>
                <w:szCs w:val="24"/>
                <w14:textFill>
                  <w14:solidFill>
                    <w14:schemeClr w14:val="tx1"/>
                  </w14:solidFill>
                </w14:textFill>
              </w:rPr>
              <w:t>生活用水量为0.18m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/d，54m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/a。排放按8</w:t>
            </w:r>
            <w:r>
              <w:rPr>
                <w:rFonts w:hint="eastAsia"/>
                <w:color w:val="000000" w:themeColor="text1"/>
                <w:szCs w:val="24"/>
                <w14:textFill>
                  <w14:solidFill>
                    <w14:schemeClr w14:val="tx1"/>
                  </w14:solidFill>
                </w14:textFill>
              </w:rPr>
              <w:t>0</w:t>
            </w:r>
            <w:r>
              <w:rPr>
                <w:color w:val="000000" w:themeColor="text1"/>
                <w:szCs w:val="24"/>
                <w14:textFill>
                  <w14:solidFill>
                    <w14:schemeClr w14:val="tx1"/>
                  </w14:solidFill>
                </w14:textFill>
              </w:rPr>
              <w:t>%计算，则生活污水</w:t>
            </w:r>
            <w:r>
              <w:rPr>
                <w:rFonts w:hint="eastAsia"/>
                <w:color w:val="000000" w:themeColor="text1"/>
                <w:szCs w:val="24"/>
                <w14:textFill>
                  <w14:solidFill>
                    <w14:schemeClr w14:val="tx1"/>
                  </w14:solidFill>
                </w14:textFill>
              </w:rPr>
              <w:t>新增</w:t>
            </w:r>
            <w:r>
              <w:rPr>
                <w:color w:val="000000" w:themeColor="text1"/>
                <w:szCs w:val="24"/>
                <w14:textFill>
                  <w14:solidFill>
                    <w14:schemeClr w14:val="tx1"/>
                  </w14:solidFill>
                </w14:textFill>
              </w:rPr>
              <w:t>产生量为0.144m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/d，43.2m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/a，</w:t>
            </w:r>
            <w:r>
              <w:rPr>
                <w:rFonts w:hint="eastAsia"/>
                <w:color w:val="000000" w:themeColor="text1"/>
                <w:szCs w:val="24"/>
                <w14:textFill>
                  <w14:solidFill>
                    <w14:schemeClr w14:val="tx1"/>
                  </w14:solidFill>
                </w14:textFill>
              </w:rPr>
              <w:t>员工日常生活污水经厂区化粪池处理后用作农肥</w:t>
            </w:r>
            <w:r>
              <w:rPr>
                <w:color w:val="000000" w:themeColor="text1"/>
                <w:szCs w:val="24"/>
                <w14:textFill>
                  <w14:solidFill>
                    <w14:schemeClr w14:val="tx1"/>
                  </w14:solidFill>
                </w14:textFill>
              </w:rPr>
              <w:t>。</w:t>
            </w:r>
          </w:p>
          <w:p>
            <w:pPr>
              <w:spacing w:line="360" w:lineRule="auto"/>
              <w:ind w:firstLine="482"/>
              <w:rPr>
                <w:b/>
                <w:color w:val="000000" w:themeColor="text1"/>
                <w:szCs w:val="24"/>
                <w:lang w:val="zh-CN"/>
                <w14:textFill>
                  <w14:solidFill>
                    <w14:schemeClr w14:val="tx1"/>
                  </w14:solidFill>
                </w14:textFill>
              </w:rPr>
            </w:pPr>
            <w:r>
              <w:rPr>
                <w:b/>
                <w:color w:val="000000" w:themeColor="text1"/>
                <w:szCs w:val="24"/>
                <w:lang w:val="zh-CN"/>
                <w14:textFill>
                  <w14:solidFill>
                    <w14:schemeClr w14:val="tx1"/>
                  </w14:solidFill>
                </w14:textFill>
              </w:rPr>
              <w:t>生产用水：包括</w:t>
            </w:r>
            <w:r>
              <w:rPr>
                <w:rFonts w:hint="eastAsia"/>
                <w:b/>
                <w:color w:val="000000" w:themeColor="text1"/>
                <w:szCs w:val="24"/>
                <w:lang w:val="zh-CN"/>
                <w14:textFill>
                  <w14:solidFill>
                    <w14:schemeClr w14:val="tx1"/>
                  </w14:solidFill>
                </w14:textFill>
              </w:rPr>
              <w:t>生产线</w:t>
            </w:r>
            <w:r>
              <w:rPr>
                <w:b/>
                <w:color w:val="000000" w:themeColor="text1"/>
                <w:szCs w:val="24"/>
                <w14:textFill>
                  <w14:solidFill>
                    <w14:schemeClr w14:val="tx1"/>
                  </w14:solidFill>
                </w14:textFill>
              </w:rPr>
              <w:t>用水</w:t>
            </w:r>
            <w:r>
              <w:rPr>
                <w:b/>
                <w:color w:val="000000" w:themeColor="text1"/>
                <w:szCs w:val="24"/>
                <w:lang w:val="zh-CN"/>
                <w14:textFill>
                  <w14:solidFill>
                    <w14:schemeClr w14:val="tx1"/>
                  </w14:solidFill>
                </w14:textFill>
              </w:rPr>
              <w:t>、</w:t>
            </w:r>
            <w:r>
              <w:rPr>
                <w:rFonts w:hint="eastAsia"/>
                <w:b/>
                <w:color w:val="000000" w:themeColor="text1"/>
                <w:szCs w:val="24"/>
                <w:lang w:val="zh-CN"/>
                <w14:textFill>
                  <w14:solidFill>
                    <w14:schemeClr w14:val="tx1"/>
                  </w14:solidFill>
                </w14:textFill>
              </w:rPr>
              <w:t>喷雾防尘用水、产品渗沥水、</w:t>
            </w:r>
            <w:r>
              <w:rPr>
                <w:b/>
                <w:color w:val="000000" w:themeColor="text1"/>
                <w:szCs w:val="24"/>
                <w:lang w:val="zh-CN"/>
                <w14:textFill>
                  <w14:solidFill>
                    <w14:schemeClr w14:val="tx1"/>
                  </w14:solidFill>
                </w14:textFill>
              </w:rPr>
              <w:t>车辆冲洗用水、</w:t>
            </w:r>
            <w:r>
              <w:rPr>
                <w:rFonts w:hint="eastAsia"/>
                <w:b/>
                <w:color w:val="000000" w:themeColor="text1"/>
                <w:szCs w:val="24"/>
                <w:lang w:val="zh-CN"/>
                <w14:textFill>
                  <w14:solidFill>
                    <w14:schemeClr w14:val="tx1"/>
                  </w14:solidFill>
                </w14:textFill>
              </w:rPr>
              <w:t>泥浆压滤水</w:t>
            </w:r>
            <w:r>
              <w:rPr>
                <w:b/>
                <w:color w:val="000000" w:themeColor="text1"/>
                <w:szCs w:val="24"/>
                <w:lang w:val="zh-CN"/>
                <w14:textFill>
                  <w14:solidFill>
                    <w14:schemeClr w14:val="tx1"/>
                  </w14:solidFill>
                </w14:textFill>
              </w:rPr>
              <w:t>。</w:t>
            </w:r>
          </w:p>
          <w:p>
            <w:pPr>
              <w:spacing w:line="360" w:lineRule="auto"/>
              <w:ind w:firstLine="482" w:firstLineChars="200"/>
              <w:jc w:val="left"/>
              <w:rPr>
                <w:color w:val="000000" w:themeColor="text1"/>
                <w:kern w:val="24"/>
                <w:szCs w:val="24"/>
                <w14:textFill>
                  <w14:solidFill>
                    <w14:schemeClr w14:val="tx1"/>
                  </w14:solidFill>
                </w14:textFill>
              </w:rPr>
            </w:pPr>
            <w:r>
              <w:rPr>
                <w:rFonts w:hint="eastAsia"/>
                <w:b/>
                <w:bCs/>
                <w:color w:val="000000" w:themeColor="text1"/>
                <w:kern w:val="24"/>
                <w:szCs w:val="24"/>
                <w14:textFill>
                  <w14:solidFill>
                    <w14:schemeClr w14:val="tx1"/>
                  </w14:solidFill>
                </w14:textFill>
              </w:rPr>
              <w:t>喷雾防尘</w:t>
            </w:r>
            <w:r>
              <w:rPr>
                <w:b/>
                <w:bCs/>
                <w:color w:val="000000" w:themeColor="text1"/>
                <w:kern w:val="24"/>
                <w:szCs w:val="24"/>
                <w14:textFill>
                  <w14:solidFill>
                    <w14:schemeClr w14:val="tx1"/>
                  </w14:solidFill>
                </w14:textFill>
              </w:rPr>
              <w:t>用水：</w:t>
            </w:r>
            <w:r>
              <w:rPr>
                <w:rFonts w:hint="eastAsia"/>
                <w:color w:val="000000" w:themeColor="text1"/>
                <w:kern w:val="24"/>
                <w:szCs w:val="24"/>
                <w14:textFill>
                  <w14:solidFill>
                    <w14:schemeClr w14:val="tx1"/>
                  </w14:solidFill>
                </w14:textFill>
              </w:rPr>
              <w:t>本项目采用湿法生产工艺，在多级振动筛分处冲水能够抑制粉尘产生， 运营期产生粉尘的环节主要有原料卸料、破碎环节。项目原料为含水率较低，本次环评不考虑其含水情况。</w:t>
            </w:r>
          </w:p>
          <w:p>
            <w:pPr>
              <w:spacing w:line="360" w:lineRule="auto"/>
              <w:ind w:firstLine="480"/>
              <w:rPr>
                <w:b/>
                <w:color w:val="000000" w:themeColor="text1"/>
                <w:szCs w:val="24"/>
                <w14:textFill>
                  <w14:solidFill>
                    <w14:schemeClr w14:val="tx1"/>
                  </w14:solidFill>
                </w14:textFill>
              </w:rPr>
            </w:pPr>
            <w:r>
              <w:rPr>
                <w:rFonts w:hint="eastAsia"/>
                <w:color w:val="000000" w:themeColor="text1"/>
                <w:kern w:val="24"/>
                <w:szCs w:val="24"/>
                <w14:textFill>
                  <w14:solidFill>
                    <w14:schemeClr w14:val="tx1"/>
                  </w14:solidFill>
                </w14:textFill>
              </w:rPr>
              <w:t>项目设计在原料卸料、原料破碎、成品堆场等处采用高效喷雾装置防尘。根据建设单位介绍，本项目建成后拟在生产车间内共设置</w:t>
            </w:r>
            <w:r>
              <w:rPr>
                <w:color w:val="000000" w:themeColor="text1"/>
                <w:kern w:val="24"/>
                <w:szCs w:val="24"/>
                <w14:textFill>
                  <w14:solidFill>
                    <w14:schemeClr w14:val="tx1"/>
                  </w14:solidFill>
                </w14:textFill>
              </w:rPr>
              <w:t>6</w:t>
            </w:r>
            <w:r>
              <w:rPr>
                <w:rFonts w:hint="eastAsia"/>
                <w:color w:val="000000" w:themeColor="text1"/>
                <w:kern w:val="24"/>
                <w:szCs w:val="24"/>
                <w14:textFill>
                  <w14:solidFill>
                    <w14:schemeClr w14:val="tx1"/>
                  </w14:solidFill>
                </w14:textFill>
              </w:rPr>
              <w:t>0个防尘喷雾喷头（本次扩建新增4</w:t>
            </w:r>
            <w:r>
              <w:rPr>
                <w:color w:val="000000" w:themeColor="text1"/>
                <w:kern w:val="24"/>
                <w:szCs w:val="24"/>
                <w14:textFill>
                  <w14:solidFill>
                    <w14:schemeClr w14:val="tx1"/>
                  </w14:solidFill>
                </w14:textFill>
              </w:rPr>
              <w:t>0</w:t>
            </w:r>
            <w:r>
              <w:rPr>
                <w:rFonts w:hint="eastAsia"/>
                <w:color w:val="000000" w:themeColor="text1"/>
                <w:kern w:val="24"/>
                <w:szCs w:val="24"/>
                <w14:textFill>
                  <w14:solidFill>
                    <w14:schemeClr w14:val="tx1"/>
                  </w14:solidFill>
                </w14:textFill>
              </w:rPr>
              <w:t>个防尘喷雾喷头）。通过查询资料，通常情况下防尘雾化喷头的流量为5L/h至50L/h不等。根据建设单位介绍，本项目喷雾喷头用水量约20L/h•个， 日运行时间为8h ，经计算扩建后项目生产车间内防尘喷雾总用水量为</w:t>
            </w:r>
            <w:r>
              <w:rPr>
                <w:color w:val="000000" w:themeColor="text1"/>
                <w:kern w:val="24"/>
                <w:szCs w:val="24"/>
                <w14:textFill>
                  <w14:solidFill>
                    <w14:schemeClr w14:val="tx1"/>
                  </w14:solidFill>
                </w14:textFill>
              </w:rPr>
              <w:t>9.6</w:t>
            </w:r>
            <w:r>
              <w:rPr>
                <w:rFonts w:hint="eastAsia"/>
                <w:color w:val="000000" w:themeColor="text1"/>
                <w:szCs w:val="24"/>
                <w14:textFill>
                  <w14:solidFill>
                    <w14:schemeClr w14:val="tx1"/>
                  </w14:solidFill>
                </w14:textFill>
              </w:rPr>
              <w:t xml:space="preserve"> m³</w:t>
            </w:r>
            <w:r>
              <w:rPr>
                <w:rFonts w:hint="eastAsia"/>
                <w:color w:val="000000" w:themeColor="text1"/>
                <w:kern w:val="24"/>
                <w:szCs w:val="24"/>
                <w14:textFill>
                  <w14:solidFill>
                    <w14:schemeClr w14:val="tx1"/>
                  </w14:solidFill>
                </w14:textFill>
              </w:rPr>
              <w:t>/d（本次扩建新增防尘喷雾用水量为6</w:t>
            </w:r>
            <w:r>
              <w:rPr>
                <w:color w:val="000000" w:themeColor="text1"/>
                <w:kern w:val="24"/>
                <w:szCs w:val="24"/>
                <w14:textFill>
                  <w14:solidFill>
                    <w14:schemeClr w14:val="tx1"/>
                  </w14:solidFill>
                </w14:textFill>
              </w:rPr>
              <w:t>.4</w:t>
            </w:r>
            <w:r>
              <w:rPr>
                <w:rFonts w:hint="eastAsia"/>
                <w:color w:val="000000" w:themeColor="text1"/>
                <w:szCs w:val="24"/>
                <w14:textFill>
                  <w14:solidFill>
                    <w14:schemeClr w14:val="tx1"/>
                  </w14:solidFill>
                </w14:textFill>
              </w:rPr>
              <w:t xml:space="preserve"> m³</w:t>
            </w:r>
            <w:r>
              <w:rPr>
                <w:rFonts w:hint="eastAsia"/>
                <w:color w:val="000000" w:themeColor="text1"/>
                <w:kern w:val="24"/>
                <w:szCs w:val="24"/>
                <w14:textFill>
                  <w14:solidFill>
                    <w14:schemeClr w14:val="tx1"/>
                  </w14:solidFill>
                </w14:textFill>
              </w:rPr>
              <w:t>/d） 。喷雾降尘水全部蒸发损耗，不会形成径流废水。</w:t>
            </w:r>
          </w:p>
          <w:p>
            <w:pPr>
              <w:spacing w:line="360" w:lineRule="auto"/>
              <w:ind w:firstLine="480"/>
              <w:rPr>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生产线</w:t>
            </w:r>
            <w:r>
              <w:rPr>
                <w:b/>
                <w:color w:val="000000" w:themeColor="text1"/>
                <w:szCs w:val="24"/>
                <w14:textFill>
                  <w14:solidFill>
                    <w14:schemeClr w14:val="tx1"/>
                  </w14:solidFill>
                </w14:textFill>
              </w:rPr>
              <w:t>用水：</w:t>
            </w:r>
            <w:r>
              <w:rPr>
                <w:spacing w:val="-1"/>
              </w:rPr>
              <w:t>项目生产线用水主要是多级振动筛分环节冲水。项目原料来源于</w:t>
            </w:r>
            <w:r>
              <w:rPr>
                <w:rFonts w:hint="eastAsia"/>
                <w:spacing w:val="-1"/>
              </w:rPr>
              <w:t>河道砂</w:t>
            </w:r>
            <w:r>
              <w:rPr>
                <w:rFonts w:hint="eastAsia"/>
                <w:color w:val="000000" w:themeColor="text1"/>
                <w:szCs w:val="24"/>
                <w14:textFill>
                  <w14:solidFill>
                    <w14:schemeClr w14:val="tx1"/>
                  </w14:solidFill>
                </w14:textFill>
              </w:rPr>
              <w:t>石、建筑废料</w:t>
            </w:r>
            <w:r>
              <w:rPr>
                <w:color w:val="000000" w:themeColor="text1"/>
                <w:szCs w:val="24"/>
                <w14:textFill>
                  <w14:solidFill>
                    <w14:schemeClr w14:val="tx1"/>
                  </w14:solidFill>
                </w14:textFill>
              </w:rPr>
              <w:t>等，水洗加工的用水量与原料的含泥量、粒度以及洗砂机的种类等都有关。根据建设单位介绍以及参考行业经验数据，本项目原料含泥量较少，整个生产过程水洗用水量约1.0</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/t-</w:t>
            </w:r>
            <w:r>
              <w:rPr>
                <w:rFonts w:hint="eastAsia"/>
                <w:color w:val="000000" w:themeColor="text1"/>
                <w:szCs w:val="24"/>
                <w14:textFill>
                  <w14:solidFill>
                    <w14:schemeClr w14:val="tx1"/>
                  </w14:solidFill>
                </w14:textFill>
              </w:rPr>
              <w:t>产品</w:t>
            </w:r>
            <w:r>
              <w:rPr>
                <w:color w:val="000000" w:themeColor="text1"/>
                <w:szCs w:val="24"/>
                <w14:textFill>
                  <w14:solidFill>
                    <w14:schemeClr w14:val="tx1"/>
                  </w14:solidFill>
                </w14:textFill>
              </w:rPr>
              <w:t>。根据项目生产工艺，整个生产过程冲水环节包括振动筛和螺旋洗砂机两处；多级振动筛分环节冲水量较大，约为0.7</w:t>
            </w:r>
            <w:r>
              <w:rPr>
                <w:rFonts w:hint="eastAsia"/>
                <w:color w:val="000000" w:themeColor="text1"/>
                <w:szCs w:val="24"/>
                <w14:textFill>
                  <w14:solidFill>
                    <w14:schemeClr w14:val="tx1"/>
                  </w14:solidFill>
                </w14:textFill>
              </w:rPr>
              <w:t xml:space="preserve"> m³</w:t>
            </w:r>
            <w:r>
              <w:rPr>
                <w:color w:val="000000" w:themeColor="text1"/>
                <w:szCs w:val="24"/>
                <w14:textFill>
                  <w14:solidFill>
                    <w14:schemeClr w14:val="tx1"/>
                  </w14:solidFill>
                </w14:textFill>
              </w:rPr>
              <w:t>/t-原料；螺旋洗砂环节冲水量相对较小，约0.3</w:t>
            </w:r>
            <w:r>
              <w:rPr>
                <w:rFonts w:hint="eastAsia"/>
                <w:color w:val="000000" w:themeColor="text1"/>
                <w:szCs w:val="24"/>
                <w14:textFill>
                  <w14:solidFill>
                    <w14:schemeClr w14:val="tx1"/>
                  </w14:solidFill>
                </w14:textFill>
              </w:rPr>
              <w:t xml:space="preserve"> m³</w:t>
            </w:r>
            <w:r>
              <w:rPr>
                <w:color w:val="000000" w:themeColor="text1"/>
                <w:szCs w:val="24"/>
                <w14:textFill>
                  <w14:solidFill>
                    <w14:schemeClr w14:val="tx1"/>
                  </w14:solidFill>
                </w14:textFill>
              </w:rPr>
              <w:t>/t-原料。项目</w:t>
            </w:r>
            <w:r>
              <w:rPr>
                <w:rFonts w:hint="eastAsia"/>
                <w:color w:val="000000" w:themeColor="text1"/>
                <w:szCs w:val="24"/>
                <w14:textFill>
                  <w14:solidFill>
                    <w14:schemeClr w14:val="tx1"/>
                  </w14:solidFill>
                </w14:textFill>
              </w:rPr>
              <w:t>扩建后产品产量为</w:t>
            </w:r>
            <w:r>
              <w:rPr>
                <w:color w:val="000000" w:themeColor="text1"/>
                <w:szCs w:val="24"/>
                <w14:textFill>
                  <w14:solidFill>
                    <w14:schemeClr w14:val="tx1"/>
                  </w14:solidFill>
                </w14:textFill>
              </w:rPr>
              <w:t>135000t/a ，</w:t>
            </w:r>
            <w:r>
              <w:rPr>
                <w:rFonts w:hint="eastAsia"/>
                <w:color w:val="000000" w:themeColor="text1"/>
                <w:szCs w:val="24"/>
                <w14:textFill>
                  <w14:solidFill>
                    <w14:schemeClr w14:val="tx1"/>
                  </w14:solidFill>
                </w14:textFill>
              </w:rPr>
              <w:t>产品新增产量为8</w:t>
            </w:r>
            <w:r>
              <w:rPr>
                <w:color w:val="000000" w:themeColor="text1"/>
                <w:szCs w:val="24"/>
                <w14:textFill>
                  <w14:solidFill>
                    <w14:schemeClr w14:val="tx1"/>
                  </w14:solidFill>
                </w14:textFill>
              </w:rPr>
              <w:t>5000</w:t>
            </w:r>
            <w:r>
              <w:rPr>
                <w:rFonts w:hint="eastAsia"/>
                <w:color w:val="000000" w:themeColor="text1"/>
                <w:szCs w:val="24"/>
                <w14:textFill>
                  <w14:solidFill>
                    <w14:schemeClr w14:val="tx1"/>
                  </w14:solidFill>
                </w14:textFill>
              </w:rPr>
              <w:t>t/a。</w:t>
            </w:r>
            <w:r>
              <w:rPr>
                <w:color w:val="000000" w:themeColor="text1"/>
                <w:szCs w:val="24"/>
                <w14:textFill>
                  <w14:solidFill>
                    <w14:schemeClr w14:val="tx1"/>
                  </w14:solidFill>
                </w14:textFill>
              </w:rPr>
              <w:t>则</w:t>
            </w:r>
            <w:r>
              <w:rPr>
                <w:rFonts w:hint="eastAsia"/>
                <w:color w:val="000000" w:themeColor="text1"/>
                <w:szCs w:val="24"/>
                <w14:textFill>
                  <w14:solidFill>
                    <w14:schemeClr w14:val="tx1"/>
                  </w14:solidFill>
                </w14:textFill>
              </w:rPr>
              <w:t>扩建后</w:t>
            </w:r>
            <w:r>
              <w:rPr>
                <w:color w:val="000000" w:themeColor="text1"/>
                <w:szCs w:val="24"/>
                <w14:textFill>
                  <w14:solidFill>
                    <w14:schemeClr w14:val="tx1"/>
                  </w14:solidFill>
                </w14:textFill>
              </w:rPr>
              <w:t>生产线水洗总用水量135000</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/a（450</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其中振动筛分环节用水量315</w:t>
            </w:r>
            <w:r>
              <w:rPr>
                <w:rFonts w:hint="eastAsia"/>
                <w:color w:val="000000" w:themeColor="text1"/>
                <w:szCs w:val="24"/>
                <w14:textFill>
                  <w14:solidFill>
                    <w14:schemeClr w14:val="tx1"/>
                  </w14:solidFill>
                </w14:textFill>
              </w:rPr>
              <w:t xml:space="preserve"> m³</w:t>
            </w:r>
            <w:r>
              <w:rPr>
                <w:color w:val="000000" w:themeColor="text1"/>
                <w:szCs w:val="24"/>
                <w14:textFill>
                  <w14:solidFill>
                    <w14:schemeClr w14:val="tx1"/>
                  </w14:solidFill>
                </w14:textFill>
              </w:rPr>
              <w:t>/d ， 螺旋洗砂环节用水量135</w:t>
            </w:r>
            <w:r>
              <w:rPr>
                <w:rFonts w:hint="eastAsia"/>
                <w:color w:val="000000" w:themeColor="text1"/>
                <w:szCs w:val="24"/>
                <w14:textFill>
                  <w14:solidFill>
                    <w14:schemeClr w14:val="tx1"/>
                  </w14:solidFill>
                </w14:textFill>
              </w:rPr>
              <w:t xml:space="preserve"> 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扩建后</w:t>
            </w:r>
            <w:r>
              <w:rPr>
                <w:color w:val="000000" w:themeColor="text1"/>
                <w:szCs w:val="24"/>
                <w14:textFill>
                  <w14:solidFill>
                    <w14:schemeClr w14:val="tx1"/>
                  </w14:solidFill>
                </w14:textFill>
              </w:rPr>
              <w:t>生产线水洗</w:t>
            </w:r>
            <w:r>
              <w:rPr>
                <w:rFonts w:hint="eastAsia"/>
                <w:color w:val="000000" w:themeColor="text1"/>
                <w:szCs w:val="24"/>
                <w14:textFill>
                  <w14:solidFill>
                    <w14:schemeClr w14:val="tx1"/>
                  </w14:solidFill>
                </w14:textFill>
              </w:rPr>
              <w:t>新增</w:t>
            </w:r>
            <w:r>
              <w:rPr>
                <w:color w:val="000000" w:themeColor="text1"/>
                <w:szCs w:val="24"/>
                <w14:textFill>
                  <w14:solidFill>
                    <w14:schemeClr w14:val="tx1"/>
                  </w14:solidFill>
                </w14:textFill>
              </w:rPr>
              <w:t>用水量</w:t>
            </w:r>
            <w:r>
              <w:rPr>
                <w:rFonts w:hint="eastAsia"/>
                <w:color w:val="000000" w:themeColor="text1"/>
                <w:szCs w:val="24"/>
                <w14:textFill>
                  <w14:solidFill>
                    <w14:schemeClr w14:val="tx1"/>
                  </w14:solidFill>
                </w14:textFill>
              </w:rPr>
              <w:t>为</w:t>
            </w:r>
            <w:r>
              <w:rPr>
                <w:color w:val="000000" w:themeColor="text1"/>
                <w:szCs w:val="24"/>
                <w14:textFill>
                  <w14:solidFill>
                    <w14:schemeClr w14:val="tx1"/>
                  </w14:solidFill>
                </w14:textFill>
              </w:rPr>
              <w:t>85000</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/a（283.33</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其中振动筛分环节</w:t>
            </w:r>
            <w:r>
              <w:rPr>
                <w:rFonts w:hint="eastAsia"/>
                <w:color w:val="000000" w:themeColor="text1"/>
                <w:szCs w:val="24"/>
                <w14:textFill>
                  <w14:solidFill>
                    <w14:schemeClr w14:val="tx1"/>
                  </w14:solidFill>
                </w14:textFill>
              </w:rPr>
              <w:t>新增</w:t>
            </w:r>
            <w:r>
              <w:rPr>
                <w:color w:val="000000" w:themeColor="text1"/>
                <w:szCs w:val="24"/>
                <w14:textFill>
                  <w14:solidFill>
                    <w14:schemeClr w14:val="tx1"/>
                  </w14:solidFill>
                </w14:textFill>
              </w:rPr>
              <w:t>用水量198.33</w:t>
            </w:r>
            <w:r>
              <w:rPr>
                <w:rFonts w:hint="eastAsia"/>
                <w:color w:val="000000" w:themeColor="text1"/>
                <w:szCs w:val="24"/>
                <w14:textFill>
                  <w14:solidFill>
                    <w14:schemeClr w14:val="tx1"/>
                  </w14:solidFill>
                </w14:textFill>
              </w:rPr>
              <w:t xml:space="preserve"> m³</w:t>
            </w:r>
            <w:r>
              <w:rPr>
                <w:color w:val="000000" w:themeColor="text1"/>
                <w:szCs w:val="24"/>
                <w14:textFill>
                  <w14:solidFill>
                    <w14:schemeClr w14:val="tx1"/>
                  </w14:solidFill>
                </w14:textFill>
              </w:rPr>
              <w:t>/d ， 螺旋洗砂环节</w:t>
            </w:r>
            <w:r>
              <w:rPr>
                <w:rFonts w:hint="eastAsia"/>
                <w:color w:val="000000" w:themeColor="text1"/>
                <w:szCs w:val="24"/>
                <w14:textFill>
                  <w14:solidFill>
                    <w14:schemeClr w14:val="tx1"/>
                  </w14:solidFill>
                </w14:textFill>
              </w:rPr>
              <w:t>新增</w:t>
            </w:r>
            <w:r>
              <w:rPr>
                <w:color w:val="000000" w:themeColor="text1"/>
                <w:szCs w:val="24"/>
                <w14:textFill>
                  <w14:solidFill>
                    <w14:schemeClr w14:val="tx1"/>
                  </w14:solidFill>
                </w14:textFill>
              </w:rPr>
              <w:t>用水量85</w:t>
            </w:r>
            <w:r>
              <w:rPr>
                <w:rFonts w:hint="eastAsia"/>
                <w:color w:val="000000" w:themeColor="text1"/>
                <w:szCs w:val="24"/>
                <w14:textFill>
                  <w14:solidFill>
                    <w14:schemeClr w14:val="tx1"/>
                  </w14:solidFill>
                </w14:textFill>
              </w:rPr>
              <w:t xml:space="preserve"> m³</w:t>
            </w:r>
            <w:r>
              <w:rPr>
                <w:color w:val="000000" w:themeColor="text1"/>
                <w:szCs w:val="24"/>
                <w14:textFill>
                  <w14:solidFill>
                    <w14:schemeClr w14:val="tx1"/>
                  </w14:solidFill>
                </w14:textFill>
              </w:rPr>
              <w:t>/d。</w:t>
            </w:r>
          </w:p>
          <w:p>
            <w:pPr>
              <w:spacing w:line="360" w:lineRule="auto"/>
              <w:ind w:firstLine="482"/>
              <w:rPr>
                <w:color w:val="000000" w:themeColor="text1"/>
                <w:szCs w:val="24"/>
                <w14:textFill>
                  <w14:solidFill>
                    <w14:schemeClr w14:val="tx1"/>
                  </w14:solidFill>
                </w14:textFill>
              </w:rPr>
            </w:pPr>
            <w:r>
              <w:rPr>
                <w:color w:val="000000" w:themeColor="text1"/>
                <w:szCs w:val="24"/>
                <w14:textFill>
                  <w14:solidFill>
                    <w14:schemeClr w14:val="tx1"/>
                  </w14:solidFill>
                </w14:textFill>
              </w:rPr>
              <w:t>根据生产工艺，项目在多级振动筛分处冲水后，筛选出的碎石产品经皮带输送至成品堆场，碎石产品离开生产线时含水率取10% ，</w:t>
            </w:r>
            <w:r>
              <w:rPr>
                <w:rFonts w:hint="eastAsia"/>
                <w:color w:val="000000" w:themeColor="text1"/>
                <w:szCs w:val="24"/>
                <w14:textFill>
                  <w14:solidFill>
                    <w14:schemeClr w14:val="tx1"/>
                  </w14:solidFill>
                </w14:textFill>
              </w:rPr>
              <w:t>扩建后</w:t>
            </w:r>
            <w:r>
              <w:rPr>
                <w:color w:val="000000" w:themeColor="text1"/>
                <w:szCs w:val="24"/>
                <w14:textFill>
                  <w14:solidFill>
                    <w14:schemeClr w14:val="tx1"/>
                  </w14:solidFill>
                </w14:textFill>
              </w:rPr>
              <w:t>带走水分约31.5</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（扩建新增</w:t>
            </w:r>
            <w:r>
              <w:rPr>
                <w:color w:val="000000" w:themeColor="text1"/>
                <w:szCs w:val="24"/>
                <w14:textFill>
                  <w14:solidFill>
                    <w14:schemeClr w14:val="tx1"/>
                  </w14:solidFill>
                </w14:textFill>
              </w:rPr>
              <w:t>带走水分约19.83</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；振动筛分过程蒸发、损耗等约占生产线总用水量的1% ，约4.5</w:t>
            </w:r>
            <w:r>
              <w:rPr>
                <w:rFonts w:hint="eastAsia"/>
                <w:color w:val="000000" w:themeColor="text1"/>
                <w:szCs w:val="24"/>
                <w14:textFill>
                  <w14:solidFill>
                    <w14:schemeClr w14:val="tx1"/>
                  </w14:solidFill>
                </w14:textFill>
              </w:rPr>
              <w:t xml:space="preserve"> 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（扩建新增蒸发、损耗2</w:t>
            </w:r>
            <w:r>
              <w:rPr>
                <w:color w:val="000000" w:themeColor="text1"/>
                <w:szCs w:val="24"/>
                <w14:textFill>
                  <w14:solidFill>
                    <w14:schemeClr w14:val="tx1"/>
                  </w14:solidFill>
                </w14:textFill>
              </w:rPr>
              <w:t>.83</w:t>
            </w:r>
            <w:r>
              <w:rPr>
                <w:rFonts w:hint="eastAsia"/>
                <w:color w:val="000000" w:themeColor="text1"/>
                <w:szCs w:val="24"/>
                <w14:textFill>
                  <w14:solidFill>
                    <w14:schemeClr w14:val="tx1"/>
                  </w14:solidFill>
                </w14:textFill>
              </w:rPr>
              <w:t xml:space="preserve"> 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 xml:space="preserve"> 。经计算，</w:t>
            </w:r>
            <w:r>
              <w:rPr>
                <w:rFonts w:hint="eastAsia"/>
                <w:color w:val="000000" w:themeColor="text1"/>
                <w:szCs w:val="24"/>
                <w14:textFill>
                  <w14:solidFill>
                    <w14:schemeClr w14:val="tx1"/>
                  </w14:solidFill>
                </w14:textFill>
              </w:rPr>
              <w:t>扩建后</w:t>
            </w:r>
            <w:r>
              <w:rPr>
                <w:color w:val="000000" w:themeColor="text1"/>
                <w:szCs w:val="24"/>
                <w14:textFill>
                  <w14:solidFill>
                    <w14:schemeClr w14:val="tx1"/>
                  </w14:solidFill>
                </w14:textFill>
              </w:rPr>
              <w:t>进入洗砂池的砂水混合物的含水量</w:t>
            </w:r>
            <w:r>
              <w:rPr>
                <w:rFonts w:hint="eastAsia"/>
                <w:color w:val="000000" w:themeColor="text1"/>
                <w:szCs w:val="24"/>
                <w14:textFill>
                  <w14:solidFill>
                    <w14:schemeClr w14:val="tx1"/>
                  </w14:solidFill>
                </w14:textFill>
              </w:rPr>
              <w:t>总量</w:t>
            </w:r>
            <w:r>
              <w:rPr>
                <w:color w:val="000000" w:themeColor="text1"/>
                <w:szCs w:val="24"/>
                <w14:textFill>
                  <w14:solidFill>
                    <w14:schemeClr w14:val="tx1"/>
                  </w14:solidFill>
                </w14:textFill>
              </w:rPr>
              <w:t>为279</w:t>
            </w:r>
            <w:r>
              <w:rPr>
                <w:rFonts w:hint="eastAsia"/>
                <w:color w:val="000000" w:themeColor="text1"/>
                <w:szCs w:val="24"/>
                <w14:textFill>
                  <w14:solidFill>
                    <w14:schemeClr w14:val="tx1"/>
                  </w14:solidFill>
                </w14:textFill>
              </w:rPr>
              <w:t xml:space="preserve"> 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进入洗砂池的砂水混合物的含水量</w:t>
            </w:r>
            <w:r>
              <w:rPr>
                <w:rFonts w:hint="eastAsia"/>
                <w:color w:val="000000" w:themeColor="text1"/>
                <w:szCs w:val="24"/>
                <w14:textFill>
                  <w14:solidFill>
                    <w14:schemeClr w14:val="tx1"/>
                  </w14:solidFill>
                </w14:textFill>
              </w:rPr>
              <w:t>新增</w:t>
            </w:r>
            <w:r>
              <w:rPr>
                <w:color w:val="000000" w:themeColor="text1"/>
                <w:szCs w:val="24"/>
                <w14:textFill>
                  <w14:solidFill>
                    <w14:schemeClr w14:val="tx1"/>
                  </w14:solidFill>
                </w14:textFill>
              </w:rPr>
              <w:t>为175.67</w:t>
            </w:r>
            <w:r>
              <w:rPr>
                <w:rFonts w:hint="eastAsia"/>
                <w:color w:val="000000" w:themeColor="text1"/>
                <w:szCs w:val="24"/>
                <w14:textFill>
                  <w14:solidFill>
                    <w14:schemeClr w14:val="tx1"/>
                  </w14:solidFill>
                </w14:textFill>
              </w:rPr>
              <w:t xml:space="preserve"> 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w:t>
            </w:r>
          </w:p>
          <w:p>
            <w:pPr>
              <w:spacing w:line="360" w:lineRule="auto"/>
              <w:ind w:firstLine="482"/>
              <w:rPr>
                <w:color w:val="000000" w:themeColor="text1"/>
                <w:szCs w:val="24"/>
                <w14:textFill>
                  <w14:solidFill>
                    <w14:schemeClr w14:val="tx1"/>
                  </w14:solidFill>
                </w14:textFill>
              </w:rPr>
            </w:pPr>
            <w:r>
              <w:rPr>
                <w:color w:val="000000" w:themeColor="text1"/>
                <w:szCs w:val="24"/>
                <w14:textFill>
                  <w14:solidFill>
                    <w14:schemeClr w14:val="tx1"/>
                  </w14:solidFill>
                </w14:textFill>
              </w:rPr>
              <w:t>砂水混合物进入洗砂池，由螺旋洗砂机将机砂螺旋提升出来，然后在离开螺旋洗砂机之前再次用水进行冲洗，螺旋洗砂环节</w:t>
            </w:r>
            <w:r>
              <w:rPr>
                <w:rFonts w:hint="eastAsia"/>
                <w:color w:val="000000" w:themeColor="text1"/>
                <w:szCs w:val="24"/>
                <w14:textFill>
                  <w14:solidFill>
                    <w14:schemeClr w14:val="tx1"/>
                  </w14:solidFill>
                </w14:textFill>
              </w:rPr>
              <w:t>扩建后总</w:t>
            </w:r>
            <w:r>
              <w:rPr>
                <w:color w:val="000000" w:themeColor="text1"/>
                <w:szCs w:val="24"/>
                <w14:textFill>
                  <w14:solidFill>
                    <w14:schemeClr w14:val="tx1"/>
                  </w14:solidFill>
                </w14:textFill>
              </w:rPr>
              <w:t>用水量135</w:t>
            </w:r>
            <w:r>
              <w:rPr>
                <w:rFonts w:hint="eastAsia"/>
                <w:color w:val="000000" w:themeColor="text1"/>
                <w:szCs w:val="24"/>
                <w14:textFill>
                  <w14:solidFill>
                    <w14:schemeClr w14:val="tx1"/>
                  </w14:solidFill>
                </w14:textFill>
              </w:rPr>
              <w:t xml:space="preserve"> m³</w:t>
            </w:r>
            <w:r>
              <w:rPr>
                <w:color w:val="000000" w:themeColor="text1"/>
                <w:szCs w:val="24"/>
                <w14:textFill>
                  <w14:solidFill>
                    <w14:schemeClr w14:val="tx1"/>
                  </w14:solidFill>
                </w14:textFill>
              </w:rPr>
              <w:t xml:space="preserve">/d </w:t>
            </w:r>
            <w:r>
              <w:rPr>
                <w:rFonts w:hint="eastAsia"/>
                <w:color w:val="000000" w:themeColor="text1"/>
                <w:szCs w:val="24"/>
                <w14:textFill>
                  <w14:solidFill>
                    <w14:schemeClr w14:val="tx1"/>
                  </w14:solidFill>
                </w14:textFill>
              </w:rPr>
              <w:t>（扩建新增用水量为8</w:t>
            </w:r>
            <w:r>
              <w:rPr>
                <w:color w:val="000000" w:themeColor="text1"/>
                <w:szCs w:val="24"/>
                <w14:textFill>
                  <w14:solidFill>
                    <w14:schemeClr w14:val="tx1"/>
                  </w14:solidFill>
                </w14:textFill>
              </w:rPr>
              <w:t>5</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d）</w:t>
            </w:r>
            <w:r>
              <w:rPr>
                <w:color w:val="000000" w:themeColor="text1"/>
                <w:szCs w:val="24"/>
                <w14:textFill>
                  <w14:solidFill>
                    <w14:schemeClr w14:val="tx1"/>
                  </w14:solidFill>
                </w14:textFill>
              </w:rPr>
              <w:t>。冲洗水向下流入洗砂池内。洗砂生产线的机砂产品带走水分约占</w:t>
            </w:r>
            <w:r>
              <w:rPr>
                <w:rFonts w:hint="eastAsia"/>
                <w:color w:val="000000" w:themeColor="text1"/>
                <w:szCs w:val="24"/>
                <w14:textFill>
                  <w14:solidFill>
                    <w14:schemeClr w14:val="tx1"/>
                  </w14:solidFill>
                </w14:textFill>
              </w:rPr>
              <w:t>用水量</w:t>
            </w:r>
            <w:r>
              <w:rPr>
                <w:color w:val="000000" w:themeColor="text1"/>
                <w:szCs w:val="24"/>
                <w14:textFill>
                  <w14:solidFill>
                    <w14:schemeClr w14:val="tx1"/>
                  </w14:solidFill>
                </w14:textFill>
              </w:rPr>
              <w:t>的20%，</w:t>
            </w:r>
            <w:r>
              <w:rPr>
                <w:rFonts w:hint="eastAsia"/>
                <w:color w:val="000000" w:themeColor="text1"/>
                <w:szCs w:val="24"/>
                <w14:textFill>
                  <w14:solidFill>
                    <w14:schemeClr w14:val="tx1"/>
                  </w14:solidFill>
                </w14:textFill>
              </w:rPr>
              <w:t>总水量</w:t>
            </w:r>
            <w:r>
              <w:rPr>
                <w:color w:val="000000" w:themeColor="text1"/>
                <w:szCs w:val="24"/>
                <w14:textFill>
                  <w14:solidFill>
                    <w14:schemeClr w14:val="tx1"/>
                  </w14:solidFill>
                </w14:textFill>
              </w:rPr>
              <w:t>为27</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（新增水量为1</w:t>
            </w:r>
            <w:r>
              <w:rPr>
                <w:color w:val="000000" w:themeColor="text1"/>
                <w:szCs w:val="24"/>
                <w14:textFill>
                  <w14:solidFill>
                    <w14:schemeClr w14:val="tx1"/>
                  </w14:solidFill>
                </w14:textFill>
              </w:rPr>
              <w:t>7</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d）</w:t>
            </w:r>
            <w:r>
              <w:rPr>
                <w:color w:val="000000" w:themeColor="text1"/>
                <w:szCs w:val="24"/>
                <w14:textFill>
                  <w14:solidFill>
                    <w14:schemeClr w14:val="tx1"/>
                  </w14:solidFill>
                </w14:textFill>
              </w:rPr>
              <w:t>；洗砂过程蒸发、损耗等约占</w:t>
            </w:r>
            <w:r>
              <w:rPr>
                <w:rFonts w:hint="eastAsia"/>
                <w:color w:val="000000" w:themeColor="text1"/>
                <w:szCs w:val="24"/>
                <w14:textFill>
                  <w14:solidFill>
                    <w14:schemeClr w14:val="tx1"/>
                  </w14:solidFill>
                </w14:textFill>
              </w:rPr>
              <w:t>螺旋洗砂环节用水</w:t>
            </w:r>
            <w:r>
              <w:rPr>
                <w:color w:val="000000" w:themeColor="text1"/>
                <w:szCs w:val="24"/>
                <w14:textFill>
                  <w14:solidFill>
                    <w14:schemeClr w14:val="tx1"/>
                  </w14:solidFill>
                </w14:textFill>
              </w:rPr>
              <w:t>量的3%，</w:t>
            </w:r>
            <w:r>
              <w:rPr>
                <w:rFonts w:hint="eastAsia"/>
                <w:color w:val="000000" w:themeColor="text1"/>
                <w:szCs w:val="24"/>
                <w14:textFill>
                  <w14:solidFill>
                    <w14:schemeClr w14:val="tx1"/>
                  </w14:solidFill>
                </w14:textFill>
              </w:rPr>
              <w:t>扩建后损耗总量</w:t>
            </w:r>
            <w:r>
              <w:rPr>
                <w:color w:val="000000" w:themeColor="text1"/>
                <w:szCs w:val="24"/>
                <w14:textFill>
                  <w14:solidFill>
                    <w14:schemeClr w14:val="tx1"/>
                  </w14:solidFill>
                </w14:textFill>
              </w:rPr>
              <w:t>约4.05</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（扩建新增损耗量为2</w:t>
            </w:r>
            <w:r>
              <w:rPr>
                <w:color w:val="000000" w:themeColor="text1"/>
                <w:szCs w:val="24"/>
                <w14:textFill>
                  <w14:solidFill>
                    <w14:schemeClr w14:val="tx1"/>
                  </w14:solidFill>
                </w14:textFill>
              </w:rPr>
              <w:t>.55</w:t>
            </w:r>
            <w:r>
              <w:rPr>
                <w:rFonts w:hint="eastAsia"/>
                <w:color w:val="000000" w:themeColor="text1"/>
                <w:szCs w:val="24"/>
                <w14:textFill>
                  <w14:solidFill>
                    <w14:schemeClr w14:val="tx1"/>
                  </w14:solidFill>
                </w14:textFill>
              </w:rPr>
              <w:t xml:space="preserve"> 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。经计算，此时</w:t>
            </w:r>
            <w:r>
              <w:rPr>
                <w:rFonts w:hint="eastAsia"/>
                <w:color w:val="000000" w:themeColor="text1"/>
                <w:szCs w:val="24"/>
                <w14:textFill>
                  <w14:solidFill>
                    <w14:schemeClr w14:val="tx1"/>
                  </w14:solidFill>
                </w14:textFill>
              </w:rPr>
              <w:t>扩建后生产线</w:t>
            </w:r>
            <w:r>
              <w:rPr>
                <w:color w:val="000000" w:themeColor="text1"/>
                <w:szCs w:val="24"/>
                <w14:textFill>
                  <w14:solidFill>
                    <w14:schemeClr w14:val="tx1"/>
                  </w14:solidFill>
                </w14:textFill>
              </w:rPr>
              <w:t>产生的</w:t>
            </w:r>
            <w:r>
              <w:rPr>
                <w:rFonts w:hint="eastAsia"/>
                <w:color w:val="000000" w:themeColor="text1"/>
                <w:szCs w:val="24"/>
                <w14:textFill>
                  <w14:solidFill>
                    <w14:schemeClr w14:val="tx1"/>
                  </w14:solidFill>
                </w14:textFill>
              </w:rPr>
              <w:t>总</w:t>
            </w:r>
            <w:r>
              <w:rPr>
                <w:color w:val="000000" w:themeColor="text1"/>
                <w:szCs w:val="24"/>
                <w14:textFill>
                  <w14:solidFill>
                    <w14:schemeClr w14:val="tx1"/>
                  </w14:solidFill>
                </w14:textFill>
              </w:rPr>
              <w:t>废水约382.95</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（扩建后生产线新增废水量为2</w:t>
            </w:r>
            <w:r>
              <w:rPr>
                <w:color w:val="000000" w:themeColor="text1"/>
                <w:szCs w:val="24"/>
                <w14:textFill>
                  <w14:solidFill>
                    <w14:schemeClr w14:val="tx1"/>
                  </w14:solidFill>
                </w14:textFill>
              </w:rPr>
              <w:t>41.12</w:t>
            </w:r>
            <w:r>
              <w:rPr>
                <w:rFonts w:hint="eastAsia"/>
                <w:color w:val="000000" w:themeColor="text1"/>
                <w:szCs w:val="24"/>
                <w14:textFill>
                  <w14:solidFill>
                    <w14:schemeClr w14:val="tx1"/>
                  </w14:solidFill>
                </w14:textFill>
              </w:rPr>
              <w:t xml:space="preserve"> 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 xml:space="preserve"> ，进入废水处理系统处理后再回用。</w:t>
            </w:r>
          </w:p>
          <w:p>
            <w:pPr>
              <w:spacing w:line="360" w:lineRule="auto"/>
              <w:ind w:firstLine="482" w:firstLineChars="200"/>
              <w:jc w:val="left"/>
              <w:rPr>
                <w:spacing w:val="-1"/>
              </w:rPr>
            </w:pPr>
            <w:r>
              <w:rPr>
                <w:rFonts w:hint="eastAsia"/>
                <w:b/>
                <w:bCs/>
                <w:color w:val="000000" w:themeColor="text1"/>
                <w:kern w:val="24"/>
                <w:szCs w:val="24"/>
                <w14:textFill>
                  <w14:solidFill>
                    <w14:schemeClr w14:val="tx1"/>
                  </w14:solidFill>
                </w14:textFill>
              </w:rPr>
              <w:t>产品渗沥水</w:t>
            </w:r>
            <w:r>
              <w:rPr>
                <w:b/>
                <w:bCs/>
                <w:color w:val="000000" w:themeColor="text1"/>
                <w:kern w:val="24"/>
                <w:szCs w:val="24"/>
                <w14:textFill>
                  <w14:solidFill>
                    <w14:schemeClr w14:val="tx1"/>
                  </w14:solidFill>
                </w14:textFill>
              </w:rPr>
              <w:t>：</w:t>
            </w:r>
            <w:r>
              <w:rPr>
                <w:spacing w:val="-1"/>
              </w:rPr>
              <w:t>根据上述分析，碎石产品离开生产线时含水率约</w:t>
            </w:r>
            <w:r>
              <w:rPr>
                <w:rFonts w:eastAsia="Times New Roman"/>
                <w:spacing w:val="-1"/>
              </w:rPr>
              <w:t>10%</w:t>
            </w:r>
            <w:r>
              <w:rPr>
                <w:rFonts w:eastAsia="Times New Roman"/>
                <w:spacing w:val="-35"/>
              </w:rPr>
              <w:t xml:space="preserve"> </w:t>
            </w:r>
            <w:r>
              <w:rPr>
                <w:spacing w:val="-1"/>
              </w:rPr>
              <w:t>，机制</w:t>
            </w:r>
            <w:r>
              <w:rPr>
                <w:spacing w:val="-2"/>
              </w:rPr>
              <w:t>砂离开生产线时含水率约</w:t>
            </w:r>
            <w:r>
              <w:rPr>
                <w:rFonts w:eastAsia="Times New Roman"/>
                <w:spacing w:val="-2"/>
              </w:rPr>
              <w:t>20%</w:t>
            </w:r>
            <w:r>
              <w:rPr>
                <w:rFonts w:eastAsia="Times New Roman"/>
                <w:spacing w:val="-20"/>
              </w:rPr>
              <w:t xml:space="preserve"> </w:t>
            </w:r>
            <w:r>
              <w:rPr>
                <w:spacing w:val="-2"/>
              </w:rPr>
              <w:t>，</w:t>
            </w:r>
            <w:r>
              <w:rPr>
                <w:rFonts w:hint="eastAsia"/>
                <w:spacing w:val="-2"/>
              </w:rPr>
              <w:t>扩建后项目</w:t>
            </w:r>
            <w:r>
              <w:rPr>
                <w:spacing w:val="-2"/>
              </w:rPr>
              <w:t>总共带走水量为</w:t>
            </w:r>
            <w:r>
              <w:rPr>
                <w:rFonts w:eastAsia="Times New Roman"/>
                <w:spacing w:val="-2"/>
              </w:rPr>
              <w:t>58.5m</w:t>
            </w:r>
            <w:r>
              <w:rPr>
                <w:rFonts w:eastAsia="Times New Roman"/>
                <w:spacing w:val="-2"/>
                <w:position w:val="8"/>
                <w:sz w:val="15"/>
                <w:szCs w:val="15"/>
              </w:rPr>
              <w:t>3</w:t>
            </w:r>
            <w:r>
              <w:rPr>
                <w:rFonts w:eastAsia="Times New Roman"/>
                <w:spacing w:val="-2"/>
              </w:rPr>
              <w:t>/d</w:t>
            </w:r>
            <w:r>
              <w:rPr>
                <w:rFonts w:hint="eastAsia" w:ascii="宋体" w:hAnsi="宋体" w:cs="宋体"/>
                <w:spacing w:val="-2"/>
              </w:rPr>
              <w:t>（扩建后项目新增带走水量为</w:t>
            </w:r>
            <w:r>
              <w:rPr>
                <w:spacing w:val="-2"/>
              </w:rPr>
              <w:t>36.83</w:t>
            </w:r>
            <w:r>
              <w:rPr>
                <w:rFonts w:eastAsia="Times New Roman"/>
                <w:spacing w:val="-2"/>
              </w:rPr>
              <w:t xml:space="preserve"> m</w:t>
            </w:r>
            <w:r>
              <w:rPr>
                <w:rFonts w:eastAsia="Times New Roman"/>
                <w:spacing w:val="-2"/>
                <w:position w:val="8"/>
                <w:sz w:val="15"/>
                <w:szCs w:val="15"/>
              </w:rPr>
              <w:t>3</w:t>
            </w:r>
            <w:r>
              <w:rPr>
                <w:rFonts w:eastAsia="Times New Roman"/>
                <w:spacing w:val="-2"/>
              </w:rPr>
              <w:t>/d</w:t>
            </w:r>
            <w:r>
              <w:rPr>
                <w:rFonts w:hint="eastAsia" w:ascii="宋体" w:hAnsi="宋体" w:cs="宋体"/>
                <w:spacing w:val="-2"/>
              </w:rPr>
              <w:t>）</w:t>
            </w:r>
            <w:r>
              <w:rPr>
                <w:rFonts w:eastAsia="Times New Roman"/>
                <w:spacing w:val="-30"/>
              </w:rPr>
              <w:t xml:space="preserve"> </w:t>
            </w:r>
            <w:r>
              <w:rPr>
                <w:spacing w:val="-2"/>
              </w:rPr>
              <w:t>。项目外售的砂石料成品平均含水率取</w:t>
            </w:r>
            <w:r>
              <w:rPr>
                <w:rFonts w:eastAsia="Times New Roman"/>
                <w:spacing w:val="-2"/>
              </w:rPr>
              <w:t>2%</w:t>
            </w:r>
            <w:r>
              <w:rPr>
                <w:rFonts w:eastAsia="Times New Roman"/>
                <w:spacing w:val="-24"/>
              </w:rPr>
              <w:t xml:space="preserve"> </w:t>
            </w:r>
            <w:r>
              <w:rPr>
                <w:spacing w:val="-2"/>
              </w:rPr>
              <w:t>，则成品外售时带走水量约</w:t>
            </w:r>
            <w:r>
              <w:rPr>
                <w:rFonts w:eastAsia="Times New Roman"/>
                <w:spacing w:val="-2"/>
              </w:rPr>
              <w:t>9 m</w:t>
            </w:r>
            <w:r>
              <w:rPr>
                <w:rFonts w:eastAsia="Times New Roman"/>
                <w:spacing w:val="-2"/>
                <w:position w:val="8"/>
                <w:sz w:val="15"/>
                <w:szCs w:val="15"/>
              </w:rPr>
              <w:t>3</w:t>
            </w:r>
            <w:r>
              <w:rPr>
                <w:color w:val="000000" w:themeColor="text1"/>
                <w:kern w:val="24"/>
                <w:szCs w:val="24"/>
                <w14:textFill>
                  <w14:solidFill>
                    <w14:schemeClr w14:val="tx1"/>
                  </w14:solidFill>
                </w14:textFill>
              </w:rPr>
              <w:t xml:space="preserve">/d </w:t>
            </w:r>
            <w:r>
              <w:rPr>
                <w:rFonts w:hint="eastAsia"/>
                <w:color w:val="000000" w:themeColor="text1"/>
                <w:kern w:val="24"/>
                <w:szCs w:val="24"/>
                <w14:textFill>
                  <w14:solidFill>
                    <w14:schemeClr w14:val="tx1"/>
                  </w14:solidFill>
                </w14:textFill>
              </w:rPr>
              <w:t>（扩建项目新增水量5</w:t>
            </w:r>
            <w:r>
              <w:rPr>
                <w:color w:val="000000" w:themeColor="text1"/>
                <w:kern w:val="24"/>
                <w:szCs w:val="24"/>
                <w14:textFill>
                  <w14:solidFill>
                    <w14:schemeClr w14:val="tx1"/>
                  </w14:solidFill>
                </w14:textFill>
              </w:rPr>
              <w:t>.67</w:t>
            </w:r>
            <w:r>
              <w:rPr>
                <w:rFonts w:hint="eastAsia"/>
                <w:color w:val="000000" w:themeColor="text1"/>
                <w:kern w:val="24"/>
                <w:szCs w:val="24"/>
                <w14:textFill>
                  <w14:solidFill>
                    <w14:schemeClr w14:val="tx1"/>
                  </w14:solidFill>
                </w14:textFill>
              </w:rPr>
              <w:t>m³</w:t>
            </w:r>
            <w:r>
              <w:rPr>
                <w:color w:val="000000" w:themeColor="text1"/>
                <w:kern w:val="24"/>
                <w:szCs w:val="24"/>
                <w14:textFill>
                  <w14:solidFill>
                    <w14:schemeClr w14:val="tx1"/>
                  </w14:solidFill>
                </w14:textFill>
              </w:rPr>
              <w:t>/</w:t>
            </w:r>
            <w:r>
              <w:rPr>
                <w:rFonts w:hint="eastAsia"/>
                <w:color w:val="000000" w:themeColor="text1"/>
                <w:kern w:val="24"/>
                <w:szCs w:val="24"/>
                <w14:textFill>
                  <w14:solidFill>
                    <w14:schemeClr w14:val="tx1"/>
                  </w14:solidFill>
                </w14:textFill>
              </w:rPr>
              <w:t>d）</w:t>
            </w:r>
            <w:r>
              <w:rPr>
                <w:color w:val="000000" w:themeColor="text1"/>
                <w:kern w:val="24"/>
                <w:szCs w:val="24"/>
                <w14:textFill>
                  <w14:solidFill>
                    <w14:schemeClr w14:val="tx1"/>
                  </w14:solidFill>
                </w14:textFill>
              </w:rPr>
              <w:t>。</w:t>
            </w:r>
            <w:r>
              <w:rPr>
                <w:spacing w:val="-2"/>
              </w:rPr>
              <w:t>经计算，</w:t>
            </w:r>
            <w:r>
              <w:rPr>
                <w:rFonts w:hint="eastAsia"/>
                <w:spacing w:val="-2"/>
              </w:rPr>
              <w:t>扩建后</w:t>
            </w:r>
            <w:r>
              <w:rPr>
                <w:spacing w:val="-2"/>
              </w:rPr>
              <w:t>碎石产品渗沥水为</w:t>
            </w:r>
            <w:r>
              <w:rPr>
                <w:rFonts w:hint="eastAsia"/>
                <w:spacing w:val="-2"/>
              </w:rPr>
              <w:t>4</w:t>
            </w:r>
            <w:r>
              <w:rPr>
                <w:spacing w:val="-2"/>
              </w:rPr>
              <w:t>9.5</w:t>
            </w:r>
            <w:r>
              <w:rPr>
                <w:rFonts w:eastAsia="Times New Roman"/>
                <w:spacing w:val="-1"/>
              </w:rPr>
              <w:t>m</w:t>
            </w:r>
            <w:r>
              <w:rPr>
                <w:rFonts w:eastAsia="Times New Roman"/>
                <w:spacing w:val="-1"/>
                <w:position w:val="8"/>
                <w:sz w:val="15"/>
                <w:szCs w:val="15"/>
              </w:rPr>
              <w:t>3</w:t>
            </w:r>
            <w:r>
              <w:rPr>
                <w:rFonts w:eastAsia="Times New Roman"/>
                <w:spacing w:val="-1"/>
              </w:rPr>
              <w:t>/d</w:t>
            </w:r>
            <w:r>
              <w:rPr>
                <w:rFonts w:hint="eastAsia" w:ascii="宋体" w:hAnsi="宋体" w:cs="宋体"/>
                <w:spacing w:val="-1"/>
              </w:rPr>
              <w:t>（扩建新增产品渗沥水</w:t>
            </w:r>
            <w:r>
              <w:rPr>
                <w:spacing w:val="-1"/>
              </w:rPr>
              <w:t>为31.16</w:t>
            </w:r>
            <w:r>
              <w:rPr>
                <w:color w:val="000000" w:themeColor="text1"/>
                <w:kern w:val="24"/>
                <w:szCs w:val="24"/>
                <w14:textFill>
                  <w14:solidFill>
                    <w14:schemeClr w14:val="tx1"/>
                  </w14:solidFill>
                </w14:textFill>
              </w:rPr>
              <w:t xml:space="preserve"> </w:t>
            </w:r>
            <w:r>
              <w:rPr>
                <w:rFonts w:hint="eastAsia"/>
                <w:color w:val="000000" w:themeColor="text1"/>
                <w:kern w:val="24"/>
                <w:szCs w:val="24"/>
                <w14:textFill>
                  <w14:solidFill>
                    <w14:schemeClr w14:val="tx1"/>
                  </w14:solidFill>
                </w14:textFill>
              </w:rPr>
              <w:t>m³</w:t>
            </w:r>
            <w:r>
              <w:rPr>
                <w:color w:val="000000" w:themeColor="text1"/>
                <w:kern w:val="24"/>
                <w:szCs w:val="24"/>
                <w14:textFill>
                  <w14:solidFill>
                    <w14:schemeClr w14:val="tx1"/>
                  </w14:solidFill>
                </w14:textFill>
              </w:rPr>
              <w:t>/</w:t>
            </w:r>
            <w:r>
              <w:rPr>
                <w:rFonts w:hint="eastAsia"/>
                <w:color w:val="000000" w:themeColor="text1"/>
                <w:kern w:val="24"/>
                <w:szCs w:val="24"/>
                <w14:textFill>
                  <w14:solidFill>
                    <w14:schemeClr w14:val="tx1"/>
                  </w14:solidFill>
                </w14:textFill>
              </w:rPr>
              <w:t>d</w:t>
            </w:r>
            <w:r>
              <w:rPr>
                <w:rFonts w:hint="eastAsia" w:ascii="宋体" w:hAnsi="宋体" w:cs="宋体"/>
                <w:spacing w:val="-1"/>
              </w:rPr>
              <w:t>）</w:t>
            </w:r>
            <w:r>
              <w:rPr>
                <w:rFonts w:eastAsia="Times New Roman"/>
                <w:spacing w:val="-28"/>
              </w:rPr>
              <w:t xml:space="preserve"> </w:t>
            </w:r>
            <w:r>
              <w:rPr>
                <w:spacing w:val="-1"/>
              </w:rPr>
              <w:t>。成品堆场设渗沥水导水沟，排入洗砂废水处理设施处理会回用。</w:t>
            </w:r>
          </w:p>
          <w:p>
            <w:pPr>
              <w:spacing w:line="360" w:lineRule="auto"/>
              <w:ind w:firstLine="482" w:firstLineChars="200"/>
              <w:jc w:val="left"/>
              <w:rPr>
                <w:color w:val="000000" w:themeColor="text1"/>
                <w:kern w:val="24"/>
                <w:szCs w:val="24"/>
                <w14:textFill>
                  <w14:solidFill>
                    <w14:schemeClr w14:val="tx1"/>
                  </w14:solidFill>
                </w14:textFill>
              </w:rPr>
            </w:pPr>
            <w:r>
              <w:rPr>
                <w:rFonts w:hint="eastAsia"/>
                <w:b/>
                <w:color w:val="000000" w:themeColor="text1"/>
                <w:kern w:val="24"/>
                <w:szCs w:val="24"/>
                <w14:textFill>
                  <w14:solidFill>
                    <w14:schemeClr w14:val="tx1"/>
                  </w14:solidFill>
                </w14:textFill>
              </w:rPr>
              <w:t>泥浆压滤水：</w:t>
            </w:r>
            <w:r>
              <w:rPr>
                <w:rFonts w:hint="eastAsia"/>
                <w:color w:val="000000" w:themeColor="text1"/>
                <w:kern w:val="24"/>
                <w:szCs w:val="24"/>
                <w14:textFill>
                  <w14:solidFill>
                    <w14:schemeClr w14:val="tx1"/>
                  </w14:solidFill>
                </w14:textFill>
              </w:rPr>
              <w:t>洗砂废水会夹带砂、泥，进入废水处理池并在池底沉淀，每日对池底泥砂进行清理，经板框压滤机压滤后泥饼含水率约60%。根据建设单位介绍， 本项目原料平均含泥量约10% ，则扩建后原料含泥砂量约</w:t>
            </w:r>
            <w:r>
              <w:rPr>
                <w:color w:val="000000" w:themeColor="text1"/>
                <w:kern w:val="24"/>
                <w:szCs w:val="24"/>
                <w14:textFill>
                  <w14:solidFill>
                    <w14:schemeClr w14:val="tx1"/>
                  </w14:solidFill>
                </w14:textFill>
              </w:rPr>
              <w:t>14674</w:t>
            </w:r>
            <w:r>
              <w:rPr>
                <w:rFonts w:hint="eastAsia"/>
                <w:color w:val="000000" w:themeColor="text1"/>
                <w:kern w:val="24"/>
                <w:szCs w:val="24"/>
                <w14:textFill>
                  <w14:solidFill>
                    <w14:schemeClr w14:val="tx1"/>
                  </w14:solidFill>
                </w14:textFill>
              </w:rPr>
              <w:t>t/a（原料新增含泥砂量9</w:t>
            </w:r>
            <w:r>
              <w:rPr>
                <w:color w:val="000000" w:themeColor="text1"/>
                <w:kern w:val="24"/>
                <w:szCs w:val="24"/>
                <w14:textFill>
                  <w14:solidFill>
                    <w14:schemeClr w14:val="tx1"/>
                  </w14:solidFill>
                </w14:textFill>
              </w:rPr>
              <w:t>239</w:t>
            </w:r>
            <w:r>
              <w:rPr>
                <w:rFonts w:hint="eastAsia"/>
                <w:color w:val="000000" w:themeColor="text1"/>
                <w:kern w:val="24"/>
                <w:szCs w:val="24"/>
                <w14:textFill>
                  <w14:solidFill>
                    <w14:schemeClr w14:val="tx1"/>
                  </w14:solidFill>
                </w14:textFill>
              </w:rPr>
              <w:t xml:space="preserve"> t/a）。洗砂过程约洗去80%的泥砂，则扩建后废水中泥砂量约</w:t>
            </w:r>
            <w:r>
              <w:rPr>
                <w:color w:val="000000" w:themeColor="text1"/>
                <w:kern w:val="24"/>
                <w:szCs w:val="24"/>
                <w14:textFill>
                  <w14:solidFill>
                    <w14:schemeClr w14:val="tx1"/>
                  </w14:solidFill>
                </w14:textFill>
              </w:rPr>
              <w:t>11739.2</w:t>
            </w:r>
            <w:r>
              <w:rPr>
                <w:rFonts w:hint="eastAsia"/>
                <w:color w:val="000000" w:themeColor="text1"/>
                <w:kern w:val="24"/>
                <w:szCs w:val="24"/>
                <w14:textFill>
                  <w14:solidFill>
                    <w14:schemeClr w14:val="tx1"/>
                  </w14:solidFill>
                </w14:textFill>
              </w:rPr>
              <w:t>t/a（扩建项目废水中新增泥砂量约</w:t>
            </w:r>
            <w:r>
              <w:rPr>
                <w:color w:val="000000" w:themeColor="text1"/>
                <w:kern w:val="24"/>
                <w:szCs w:val="24"/>
                <w14:textFill>
                  <w14:solidFill>
                    <w14:schemeClr w14:val="tx1"/>
                  </w14:solidFill>
                </w14:textFill>
              </w:rPr>
              <w:t>7391.2</w:t>
            </w:r>
            <w:r>
              <w:rPr>
                <w:rFonts w:hint="eastAsia"/>
                <w:color w:val="000000" w:themeColor="text1"/>
                <w:kern w:val="24"/>
                <w:szCs w:val="24"/>
                <w14:textFill>
                  <w14:solidFill>
                    <w14:schemeClr w14:val="tx1"/>
                  </w14:solidFill>
                </w14:textFill>
              </w:rPr>
              <w:t>t/a）。板框压滤后含水60%的泥饼量约</w:t>
            </w:r>
            <w:r>
              <w:rPr>
                <w:color w:val="000000" w:themeColor="text1"/>
                <w:kern w:val="24"/>
                <w:szCs w:val="24"/>
                <w14:textFill>
                  <w14:solidFill>
                    <w14:schemeClr w14:val="tx1"/>
                  </w14:solidFill>
                </w14:textFill>
              </w:rPr>
              <w:t>29348</w:t>
            </w:r>
            <w:r>
              <w:rPr>
                <w:rFonts w:hint="eastAsia"/>
                <w:color w:val="000000" w:themeColor="text1"/>
                <w:kern w:val="24"/>
                <w:szCs w:val="24"/>
                <w14:textFill>
                  <w14:solidFill>
                    <w14:schemeClr w14:val="tx1"/>
                  </w14:solidFill>
                </w14:textFill>
              </w:rPr>
              <w:t>t/a，</w:t>
            </w:r>
            <w:r>
              <w:rPr>
                <w:color w:val="000000" w:themeColor="text1"/>
                <w:kern w:val="24"/>
                <w:szCs w:val="24"/>
                <w14:textFill>
                  <w14:solidFill>
                    <w14:schemeClr w14:val="tx1"/>
                  </w14:solidFill>
                </w14:textFill>
              </w:rPr>
              <w:t>97.83</w:t>
            </w:r>
            <w:r>
              <w:rPr>
                <w:rFonts w:hint="eastAsia"/>
                <w:color w:val="000000" w:themeColor="text1"/>
                <w:kern w:val="24"/>
                <w:szCs w:val="24"/>
                <w14:textFill>
                  <w14:solidFill>
                    <w14:schemeClr w14:val="tx1"/>
                  </w14:solidFill>
                </w14:textFill>
              </w:rPr>
              <w:t>t/d（扩建后新增含水60%的泥饼量约1</w:t>
            </w:r>
            <w:r>
              <w:rPr>
                <w:color w:val="000000" w:themeColor="text1"/>
                <w:kern w:val="24"/>
                <w:szCs w:val="24"/>
                <w14:textFill>
                  <w14:solidFill>
                    <w14:schemeClr w14:val="tx1"/>
                  </w14:solidFill>
                </w14:textFill>
              </w:rPr>
              <w:t>8478</w:t>
            </w:r>
            <w:r>
              <w:rPr>
                <w:rFonts w:hint="eastAsia"/>
                <w:color w:val="000000" w:themeColor="text1"/>
                <w:kern w:val="24"/>
                <w:szCs w:val="24"/>
                <w14:textFill>
                  <w14:solidFill>
                    <w14:schemeClr w14:val="tx1"/>
                  </w14:solidFill>
                </w14:textFill>
              </w:rPr>
              <w:t xml:space="preserve"> t/a，</w:t>
            </w:r>
            <w:r>
              <w:rPr>
                <w:color w:val="000000" w:themeColor="text1"/>
                <w:kern w:val="24"/>
                <w:szCs w:val="24"/>
                <w14:textFill>
                  <w14:solidFill>
                    <w14:schemeClr w14:val="tx1"/>
                  </w14:solidFill>
                </w14:textFill>
              </w:rPr>
              <w:t>61.59</w:t>
            </w:r>
            <w:r>
              <w:rPr>
                <w:rFonts w:hint="eastAsia"/>
                <w:color w:val="000000" w:themeColor="text1"/>
                <w:kern w:val="24"/>
                <w:szCs w:val="24"/>
                <w14:textFill>
                  <w14:solidFill>
                    <w14:schemeClr w14:val="tx1"/>
                  </w14:solidFill>
                </w14:textFill>
              </w:rPr>
              <w:t>t/d）。泥饼带走水分约</w:t>
            </w:r>
            <w:r>
              <w:rPr>
                <w:color w:val="000000" w:themeColor="text1"/>
                <w:kern w:val="24"/>
                <w:szCs w:val="24"/>
                <w14:textFill>
                  <w14:solidFill>
                    <w14:schemeClr w14:val="tx1"/>
                  </w14:solidFill>
                </w14:textFill>
              </w:rPr>
              <w:t>17608.8</w:t>
            </w:r>
            <w:r>
              <w:rPr>
                <w:rFonts w:hint="eastAsia"/>
                <w:color w:val="000000" w:themeColor="text1"/>
                <w:kern w:val="24"/>
                <w:szCs w:val="24"/>
                <w14:textFill>
                  <w14:solidFill>
                    <w14:schemeClr w14:val="tx1"/>
                  </w14:solidFill>
                </w14:textFill>
              </w:rPr>
              <w:t xml:space="preserve"> m³/a，</w:t>
            </w:r>
            <w:r>
              <w:rPr>
                <w:color w:val="000000" w:themeColor="text1"/>
                <w:kern w:val="24"/>
                <w:szCs w:val="24"/>
                <w14:textFill>
                  <w14:solidFill>
                    <w14:schemeClr w14:val="tx1"/>
                  </w14:solidFill>
                </w14:textFill>
              </w:rPr>
              <w:t>58.70</w:t>
            </w:r>
            <w:r>
              <w:rPr>
                <w:rFonts w:hint="eastAsia"/>
                <w:color w:val="000000" w:themeColor="text1"/>
                <w:kern w:val="24"/>
                <w:szCs w:val="24"/>
                <w14:textFill>
                  <w14:solidFill>
                    <w14:schemeClr w14:val="tx1"/>
                  </w14:solidFill>
                </w14:textFill>
              </w:rPr>
              <w:t xml:space="preserve"> m³/d（扩建后泥饼新增带走水分约1</w:t>
            </w:r>
            <w:r>
              <w:rPr>
                <w:color w:val="000000" w:themeColor="text1"/>
                <w:kern w:val="24"/>
                <w:szCs w:val="24"/>
                <w14:textFill>
                  <w14:solidFill>
                    <w14:schemeClr w14:val="tx1"/>
                  </w14:solidFill>
                </w14:textFill>
              </w:rPr>
              <w:t>1086.8</w:t>
            </w:r>
            <w:r>
              <w:rPr>
                <w:rFonts w:hint="eastAsia"/>
                <w:color w:val="000000" w:themeColor="text1"/>
                <w:kern w:val="24"/>
                <w:szCs w:val="24"/>
                <w14:textFill>
                  <w14:solidFill>
                    <w14:schemeClr w14:val="tx1"/>
                  </w14:solidFill>
                </w14:textFill>
              </w:rPr>
              <w:t xml:space="preserve"> m³/a，</w:t>
            </w:r>
            <w:r>
              <w:rPr>
                <w:color w:val="000000" w:themeColor="text1"/>
                <w:kern w:val="24"/>
                <w:szCs w:val="24"/>
                <w14:textFill>
                  <w14:solidFill>
                    <w14:schemeClr w14:val="tx1"/>
                  </w14:solidFill>
                </w14:textFill>
              </w:rPr>
              <w:t>36.96</w:t>
            </w:r>
            <w:r>
              <w:rPr>
                <w:rFonts w:hint="eastAsia"/>
                <w:color w:val="000000" w:themeColor="text1"/>
                <w:kern w:val="24"/>
                <w:szCs w:val="24"/>
                <w14:textFill>
                  <w14:solidFill>
                    <w14:schemeClr w14:val="tx1"/>
                  </w14:solidFill>
                </w14:textFill>
              </w:rPr>
              <w:t xml:space="preserve"> m³/d）。压滤水直接返回洗砂废水处理设施的清水池回用生产。</w:t>
            </w:r>
          </w:p>
          <w:p>
            <w:pPr>
              <w:spacing w:line="360" w:lineRule="auto"/>
              <w:ind w:firstLine="480" w:firstLineChars="200"/>
              <w:jc w:val="left"/>
              <w:rPr>
                <w:kern w:val="24"/>
                <w:szCs w:val="24"/>
              </w:rPr>
            </w:pPr>
            <w:r>
              <w:rPr>
                <w:kern w:val="24"/>
                <w:szCs w:val="24"/>
              </w:rPr>
              <w:t>综上分析，项目生产线进入洗砂废水处理设施的废水量包括洗砂废水和产品渗沥水，</w:t>
            </w:r>
            <w:r>
              <w:rPr>
                <w:rFonts w:hint="eastAsia"/>
                <w:kern w:val="24"/>
                <w:szCs w:val="24"/>
              </w:rPr>
              <w:t>扩建后</w:t>
            </w:r>
            <w:r>
              <w:rPr>
                <w:kern w:val="24"/>
                <w:szCs w:val="24"/>
              </w:rPr>
              <w:t>总水量约432.45</w:t>
            </w:r>
            <w:r>
              <w:rPr>
                <w:rFonts w:hint="eastAsia"/>
                <w:kern w:val="24"/>
                <w:szCs w:val="24"/>
              </w:rPr>
              <w:t xml:space="preserve"> m³</w:t>
            </w:r>
            <w:r>
              <w:rPr>
                <w:kern w:val="24"/>
                <w:szCs w:val="24"/>
              </w:rPr>
              <w:t xml:space="preserve">/d </w:t>
            </w:r>
            <w:r>
              <w:rPr>
                <w:rFonts w:hint="eastAsia"/>
                <w:kern w:val="24"/>
                <w:szCs w:val="24"/>
              </w:rPr>
              <w:t>（扩建新增水量为</w:t>
            </w:r>
            <w:r>
              <w:rPr>
                <w:szCs w:val="24"/>
              </w:rPr>
              <w:t>272.28</w:t>
            </w:r>
            <w:r>
              <w:rPr>
                <w:rFonts w:hint="eastAsia"/>
                <w:szCs w:val="24"/>
              </w:rPr>
              <w:t>m³</w:t>
            </w:r>
            <w:r>
              <w:rPr>
                <w:szCs w:val="24"/>
              </w:rPr>
              <w:t>/d</w:t>
            </w:r>
            <w:r>
              <w:rPr>
                <w:rFonts w:hint="eastAsia"/>
                <w:kern w:val="24"/>
                <w:szCs w:val="24"/>
              </w:rPr>
              <w:t>）</w:t>
            </w:r>
            <w:r>
              <w:rPr>
                <w:kern w:val="24"/>
                <w:szCs w:val="24"/>
              </w:rPr>
              <w:t>，处理后泥饼带走水量为58.70</w:t>
            </w:r>
            <w:r>
              <w:rPr>
                <w:rFonts w:hint="eastAsia"/>
                <w:kern w:val="24"/>
                <w:szCs w:val="24"/>
              </w:rPr>
              <w:t>m³</w:t>
            </w:r>
            <w:r>
              <w:rPr>
                <w:kern w:val="24"/>
                <w:szCs w:val="24"/>
              </w:rPr>
              <w:t>/d</w:t>
            </w:r>
            <w:r>
              <w:rPr>
                <w:rFonts w:hint="eastAsia"/>
                <w:kern w:val="24"/>
                <w:szCs w:val="24"/>
              </w:rPr>
              <w:t>（扩建后泥饼新增带走水分约</w:t>
            </w:r>
            <w:r>
              <w:rPr>
                <w:kern w:val="24"/>
                <w:szCs w:val="24"/>
              </w:rPr>
              <w:t>36.96</w:t>
            </w:r>
            <w:r>
              <w:rPr>
                <w:rFonts w:hint="eastAsia"/>
                <w:kern w:val="24"/>
                <w:szCs w:val="24"/>
              </w:rPr>
              <w:t xml:space="preserve"> m³/d）</w:t>
            </w:r>
            <w:r>
              <w:rPr>
                <w:kern w:val="24"/>
                <w:szCs w:val="24"/>
              </w:rPr>
              <w:t>，则</w:t>
            </w:r>
            <w:r>
              <w:rPr>
                <w:rFonts w:hint="eastAsia"/>
                <w:kern w:val="24"/>
                <w:szCs w:val="24"/>
              </w:rPr>
              <w:t>扩建后全厂</w:t>
            </w:r>
            <w:r>
              <w:rPr>
                <w:kern w:val="24"/>
                <w:szCs w:val="24"/>
              </w:rPr>
              <w:t>回用水量为373.75</w:t>
            </w:r>
            <w:r>
              <w:rPr>
                <w:rFonts w:hint="eastAsia"/>
                <w:kern w:val="24"/>
                <w:szCs w:val="24"/>
              </w:rPr>
              <w:t xml:space="preserve"> m³</w:t>
            </w:r>
            <w:r>
              <w:rPr>
                <w:kern w:val="24"/>
                <w:szCs w:val="24"/>
              </w:rPr>
              <w:t>/d</w:t>
            </w:r>
            <w:r>
              <w:rPr>
                <w:rFonts w:hint="eastAsia"/>
                <w:kern w:val="24"/>
                <w:szCs w:val="24"/>
              </w:rPr>
              <w:t>（扩建项目新增回用水量为2</w:t>
            </w:r>
            <w:r>
              <w:rPr>
                <w:kern w:val="24"/>
                <w:szCs w:val="24"/>
              </w:rPr>
              <w:t>35.32</w:t>
            </w:r>
            <w:r>
              <w:rPr>
                <w:rFonts w:hint="eastAsia"/>
                <w:kern w:val="24"/>
                <w:szCs w:val="24"/>
              </w:rPr>
              <w:t xml:space="preserve"> m³</w:t>
            </w:r>
            <w:r>
              <w:rPr>
                <w:kern w:val="24"/>
                <w:szCs w:val="24"/>
              </w:rPr>
              <w:t>/d</w:t>
            </w:r>
            <w:r>
              <w:rPr>
                <w:rFonts w:hint="eastAsia"/>
                <w:kern w:val="24"/>
                <w:szCs w:val="24"/>
              </w:rPr>
              <w:t>）</w:t>
            </w:r>
            <w:r>
              <w:rPr>
                <w:kern w:val="24"/>
                <w:szCs w:val="24"/>
              </w:rPr>
              <w:t>。</w:t>
            </w:r>
          </w:p>
          <w:p>
            <w:pPr>
              <w:spacing w:line="360" w:lineRule="auto"/>
              <w:ind w:firstLine="482" w:firstLineChars="200"/>
              <w:jc w:val="left"/>
              <w:rPr>
                <w:color w:val="000000" w:themeColor="text1"/>
                <w:szCs w:val="24"/>
                <w14:textFill>
                  <w14:solidFill>
                    <w14:schemeClr w14:val="tx1"/>
                  </w14:solidFill>
                </w14:textFill>
              </w:rPr>
            </w:pPr>
            <w:r>
              <w:rPr>
                <w:b/>
                <w:bCs/>
                <w:color w:val="000000" w:themeColor="text1"/>
                <w:szCs w:val="24"/>
                <w14:textFill>
                  <w14:solidFill>
                    <w14:schemeClr w14:val="tx1"/>
                  </w14:solidFill>
                </w14:textFill>
              </w:rPr>
              <w:t>车辆冲洗用水：</w:t>
            </w:r>
            <w:r>
              <w:rPr>
                <w:rFonts w:hint="eastAsia"/>
                <w:color w:val="000000" w:themeColor="text1"/>
                <w:szCs w:val="24"/>
                <w14:textFill>
                  <w14:solidFill>
                    <w14:schemeClr w14:val="tx1"/>
                  </w14:solidFill>
                </w14:textFill>
              </w:rPr>
              <w:t>根据建设单位介绍，本项目原料和产品均依靠汽车运输，单车运载能力取20t ，年生产300天，则运输作业平均每天约</w:t>
            </w:r>
            <w:r>
              <w:rPr>
                <w:color w:val="000000" w:themeColor="text1"/>
                <w:szCs w:val="24"/>
                <w14:textFill>
                  <w14:solidFill>
                    <w14:schemeClr w14:val="tx1"/>
                  </w14:solidFill>
                </w14:textFill>
              </w:rPr>
              <w:t>47</w:t>
            </w:r>
            <w:r>
              <w:rPr>
                <w:rFonts w:hint="eastAsia"/>
                <w:color w:val="000000" w:themeColor="text1"/>
                <w:szCs w:val="24"/>
                <w14:textFill>
                  <w14:solidFill>
                    <w14:schemeClr w14:val="tx1"/>
                  </w14:solidFill>
                </w14:textFill>
              </w:rPr>
              <w:t>次（本次扩建新增平均每天约3</w:t>
            </w:r>
            <w:r>
              <w:rPr>
                <w:color w:val="000000" w:themeColor="text1"/>
                <w:szCs w:val="24"/>
                <w14:textFill>
                  <w14:solidFill>
                    <w14:schemeClr w14:val="tx1"/>
                  </w14:solidFill>
                </w14:textFill>
              </w:rPr>
              <w:t>0</w:t>
            </w:r>
            <w:r>
              <w:rPr>
                <w:rFonts w:hint="eastAsia"/>
                <w:color w:val="000000" w:themeColor="text1"/>
                <w:szCs w:val="24"/>
                <w14:textFill>
                  <w14:solidFill>
                    <w14:schemeClr w14:val="tx1"/>
                  </w14:solidFill>
                </w14:textFill>
              </w:rPr>
              <w:t>次）。根据经验数据，车辆冲</w:t>
            </w:r>
            <w:r>
              <w:rPr>
                <w:rFonts w:hint="eastAsia"/>
                <w:bCs/>
                <w:color w:val="000000" w:themeColor="text1"/>
                <w14:textFill>
                  <w14:solidFill>
                    <w14:schemeClr w14:val="tx1"/>
                  </w14:solidFill>
                </w14:textFill>
              </w:rPr>
              <w:t>洗用水约80L/车·次，则扩建后车辆冲洗用水量为</w:t>
            </w:r>
            <w:r>
              <w:rPr>
                <w:bCs/>
                <w:color w:val="000000" w:themeColor="text1"/>
                <w14:textFill>
                  <w14:solidFill>
                    <w14:schemeClr w14:val="tx1"/>
                  </w14:solidFill>
                </w14:textFill>
              </w:rPr>
              <w:t>3.76</w:t>
            </w:r>
            <w:r>
              <w:rPr>
                <w:rFonts w:hint="eastAsia"/>
                <w:color w:val="000000" w:themeColor="text1"/>
                <w:kern w:val="24"/>
                <w:szCs w:val="24"/>
                <w14:textFill>
                  <w14:solidFill>
                    <w14:schemeClr w14:val="tx1"/>
                  </w14:solidFill>
                </w14:textFill>
              </w:rPr>
              <w:t xml:space="preserve"> m³</w:t>
            </w:r>
            <w:r>
              <w:rPr>
                <w:rFonts w:hint="eastAsia"/>
                <w:bCs/>
                <w:color w:val="000000" w:themeColor="text1"/>
                <w14:textFill>
                  <w14:solidFill>
                    <w14:schemeClr w14:val="tx1"/>
                  </w14:solidFill>
                </w14:textFill>
              </w:rPr>
              <w:t>/d（扩建新增车辆冲洗用水量2</w:t>
            </w:r>
            <w:r>
              <w:rPr>
                <w:bCs/>
                <w:color w:val="000000" w:themeColor="text1"/>
                <w14:textFill>
                  <w14:solidFill>
                    <w14:schemeClr w14:val="tx1"/>
                  </w14:solidFill>
                </w14:textFill>
              </w:rPr>
              <w:t>.4</w:t>
            </w:r>
            <w:r>
              <w:rPr>
                <w:rFonts w:hint="eastAsia"/>
                <w:color w:val="000000" w:themeColor="text1"/>
                <w:kern w:val="24"/>
                <w:szCs w:val="24"/>
                <w14:textFill>
                  <w14:solidFill>
                    <w14:schemeClr w14:val="tx1"/>
                  </w14:solidFill>
                </w14:textFill>
              </w:rPr>
              <w:t xml:space="preserve"> m³</w:t>
            </w:r>
            <w:r>
              <w:rPr>
                <w:rFonts w:hint="eastAsia"/>
                <w:bCs/>
                <w:color w:val="000000" w:themeColor="text1"/>
                <w14:textFill>
                  <w14:solidFill>
                    <w14:schemeClr w14:val="tx1"/>
                  </w14:solidFill>
                </w14:textFill>
              </w:rPr>
              <w:t>/d），冲洗废水产生系数按85%计，扩建后产生总量为</w:t>
            </w:r>
            <w:r>
              <w:rPr>
                <w:bCs/>
                <w:color w:val="000000" w:themeColor="text1"/>
                <w14:textFill>
                  <w14:solidFill>
                    <w14:schemeClr w14:val="tx1"/>
                  </w14:solidFill>
                </w14:textFill>
              </w:rPr>
              <w:t>3.20</w:t>
            </w:r>
            <w:r>
              <w:rPr>
                <w:rFonts w:hint="eastAsia"/>
                <w:color w:val="000000" w:themeColor="text1"/>
                <w:kern w:val="24"/>
                <w:szCs w:val="24"/>
                <w14:textFill>
                  <w14:solidFill>
                    <w14:schemeClr w14:val="tx1"/>
                  </w14:solidFill>
                </w14:textFill>
              </w:rPr>
              <w:t xml:space="preserve"> m³</w:t>
            </w:r>
            <w:r>
              <w:rPr>
                <w:rFonts w:hint="eastAsia"/>
                <w:bCs/>
                <w:color w:val="000000" w:themeColor="text1"/>
                <w14:textFill>
                  <w14:solidFill>
                    <w14:schemeClr w14:val="tx1"/>
                  </w14:solidFill>
                </w14:textFill>
              </w:rPr>
              <w:t>/d（扩建新增废水量为2</w:t>
            </w:r>
            <w:r>
              <w:rPr>
                <w:bCs/>
                <w:color w:val="000000" w:themeColor="text1"/>
                <w14:textFill>
                  <w14:solidFill>
                    <w14:schemeClr w14:val="tx1"/>
                  </w14:solidFill>
                </w14:textFill>
              </w:rPr>
              <w:t>.04</w:t>
            </w:r>
            <w:r>
              <w:rPr>
                <w:rFonts w:hint="eastAsia"/>
                <w:color w:val="000000" w:themeColor="text1"/>
                <w:kern w:val="24"/>
                <w:szCs w:val="24"/>
                <w14:textFill>
                  <w14:solidFill>
                    <w14:schemeClr w14:val="tx1"/>
                  </w14:solidFill>
                </w14:textFill>
              </w:rPr>
              <w:t xml:space="preserve"> m³</w:t>
            </w:r>
            <w:r>
              <w:rPr>
                <w:rFonts w:hint="eastAsia"/>
                <w:bCs/>
                <w:color w:val="000000" w:themeColor="text1"/>
                <w14:textFill>
                  <w14:solidFill>
                    <w14:schemeClr w14:val="tx1"/>
                  </w14:solidFill>
                </w14:textFill>
              </w:rPr>
              <w:t>/d）。车辆冲洗废水设沉淀池收集处理后循环回用不外排。扩建后车辆冲洗补充水为</w:t>
            </w:r>
            <w:r>
              <w:rPr>
                <w:bCs/>
                <w:color w:val="000000" w:themeColor="text1"/>
                <w14:textFill>
                  <w14:solidFill>
                    <w14:schemeClr w14:val="tx1"/>
                  </w14:solidFill>
                </w14:textFill>
              </w:rPr>
              <w:t>0.56</w:t>
            </w:r>
            <w:r>
              <w:rPr>
                <w:rFonts w:hint="eastAsia"/>
                <w:color w:val="000000" w:themeColor="text1"/>
                <w:kern w:val="24"/>
                <w:szCs w:val="24"/>
                <w14:textFill>
                  <w14:solidFill>
                    <w14:schemeClr w14:val="tx1"/>
                  </w14:solidFill>
                </w14:textFill>
              </w:rPr>
              <w:t xml:space="preserve"> m³</w:t>
            </w:r>
            <w:r>
              <w:rPr>
                <w:rFonts w:hint="eastAsia"/>
                <w:bCs/>
                <w:color w:val="000000" w:themeColor="text1"/>
                <w14:textFill>
                  <w14:solidFill>
                    <w14:schemeClr w14:val="tx1"/>
                  </w14:solidFill>
                </w14:textFill>
              </w:rPr>
              <w:t>/d（扩建新增车辆冲洗补充水为0</w:t>
            </w:r>
            <w:r>
              <w:rPr>
                <w:bCs/>
                <w:color w:val="000000" w:themeColor="text1"/>
                <w14:textFill>
                  <w14:solidFill>
                    <w14:schemeClr w14:val="tx1"/>
                  </w14:solidFill>
                </w14:textFill>
              </w:rPr>
              <w:t>.36</w:t>
            </w:r>
            <w:r>
              <w:rPr>
                <w:rFonts w:hint="eastAsia"/>
                <w:color w:val="000000" w:themeColor="text1"/>
                <w:kern w:val="24"/>
                <w:szCs w:val="24"/>
                <w14:textFill>
                  <w14:solidFill>
                    <w14:schemeClr w14:val="tx1"/>
                  </w14:solidFill>
                </w14:textFill>
              </w:rPr>
              <w:t xml:space="preserve"> m³</w:t>
            </w:r>
            <w:r>
              <w:rPr>
                <w:rFonts w:hint="eastAsia"/>
                <w:bCs/>
                <w:color w:val="000000" w:themeColor="text1"/>
                <w14:textFill>
                  <w14:solidFill>
                    <w14:schemeClr w14:val="tx1"/>
                  </w14:solidFill>
                </w14:textFill>
              </w:rPr>
              <w:t>/d）。</w:t>
            </w:r>
          </w:p>
          <w:p>
            <w:pPr>
              <w:spacing w:line="360" w:lineRule="auto"/>
              <w:ind w:firstLine="480" w:firstLineChars="200"/>
              <w:jc w:val="left"/>
              <w:rPr>
                <w:color w:val="000000" w:themeColor="text1"/>
                <w:kern w:val="24"/>
                <w:szCs w:val="24"/>
                <w14:textFill>
                  <w14:solidFill>
                    <w14:schemeClr w14:val="tx1"/>
                  </w14:solidFill>
                </w14:textFill>
              </w:rPr>
            </w:pPr>
            <w:r>
              <w:rPr>
                <w:color w:val="000000" w:themeColor="text1"/>
                <w:kern w:val="24"/>
                <w:szCs w:val="24"/>
                <w14:textFill>
                  <w14:solidFill>
                    <w14:schemeClr w14:val="tx1"/>
                  </w14:solidFill>
                </w14:textFill>
              </w:rPr>
              <w:t>项目水平衡情况及本项目建成后全厂水平衡情况见</w:t>
            </w:r>
            <w:r>
              <w:rPr>
                <w:rFonts w:hint="eastAsia"/>
                <w:color w:val="000000" w:themeColor="text1"/>
                <w:kern w:val="24"/>
                <w:szCs w:val="24"/>
                <w14:textFill>
                  <w14:solidFill>
                    <w14:schemeClr w14:val="tx1"/>
                  </w14:solidFill>
                </w14:textFill>
              </w:rPr>
              <w:t>下图</w:t>
            </w:r>
            <w:r>
              <w:rPr>
                <w:color w:val="000000" w:themeColor="text1"/>
                <w:kern w:val="24"/>
                <w:szCs w:val="24"/>
                <w14:textFill>
                  <w14:solidFill>
                    <w14:schemeClr w14:val="tx1"/>
                  </w14:solidFill>
                </w14:textFill>
              </w:rPr>
              <w:t>。</w:t>
            </w:r>
          </w:p>
          <w:p>
            <w:pPr>
              <w:snapToGrid w:val="0"/>
              <w:jc w:val="center"/>
              <w:rPr>
                <w:color w:val="000000" w:themeColor="text1"/>
                <w:szCs w:val="36"/>
                <w14:textFill>
                  <w14:solidFill>
                    <w14:schemeClr w14:val="tx1"/>
                  </w14:solidFill>
                </w14:textFill>
              </w:rPr>
            </w:pPr>
            <w:r>
              <w:object>
                <v:shape id="_x0000_i1025" o:spt="75" type="#_x0000_t75" style="height:364.8pt;width:414.95pt;" o:ole="t" filled="f" o:preferrelative="t" stroked="f" coordsize="21600,21600">
                  <v:path/>
                  <v:fill on="f" focussize="0,0"/>
                  <v:stroke on="f" joinstyle="miter"/>
                  <v:imagedata r:id="rId14" o:title=""/>
                  <o:lock v:ext="edit" aspectratio="t"/>
                  <w10:wrap type="none"/>
                  <w10:anchorlock/>
                </v:shape>
                <o:OLEObject Type="Embed" ProgID="Visio.Drawing.15" ShapeID="_x0000_i1025" DrawAspect="Content" ObjectID="_1468075725" r:id="rId13">
                  <o:LockedField>false</o:LockedField>
                </o:OLEObject>
              </w:object>
            </w:r>
          </w:p>
          <w:p>
            <w:pPr>
              <w:snapToGrid w:val="0"/>
              <w:ind w:firstLine="482"/>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图2-</w:t>
            </w:r>
            <w:r>
              <w:rPr>
                <w:rFonts w:hint="eastAsia" w:eastAsia="黑体"/>
                <w:b/>
                <w:bCs/>
                <w:color w:val="000000" w:themeColor="text1"/>
                <w:kern w:val="0"/>
                <w:sz w:val="20"/>
                <w:szCs w:val="20"/>
                <w14:textFill>
                  <w14:solidFill>
                    <w14:schemeClr w14:val="tx1"/>
                  </w14:solidFill>
                </w14:textFill>
              </w:rPr>
              <w:t>1</w:t>
            </w:r>
            <w:r>
              <w:rPr>
                <w:rFonts w:eastAsia="黑体"/>
                <w:b/>
                <w:bCs/>
                <w:color w:val="000000" w:themeColor="text1"/>
                <w:kern w:val="0"/>
                <w:sz w:val="20"/>
                <w:szCs w:val="20"/>
                <w14:textFill>
                  <w14:solidFill>
                    <w14:schemeClr w14:val="tx1"/>
                  </w14:solidFill>
                </w14:textFill>
              </w:rPr>
              <w:t xml:space="preserve"> 本项目</w:t>
            </w:r>
            <w:r>
              <w:rPr>
                <w:rFonts w:hint="eastAsia" w:eastAsia="黑体"/>
                <w:b/>
                <w:bCs/>
                <w:color w:val="000000" w:themeColor="text1"/>
                <w:kern w:val="0"/>
                <w:sz w:val="20"/>
                <w:szCs w:val="20"/>
                <w14:textFill>
                  <w14:solidFill>
                    <w14:schemeClr w14:val="tx1"/>
                  </w14:solidFill>
                </w14:textFill>
              </w:rPr>
              <w:t>扩建新增用</w:t>
            </w:r>
            <w:r>
              <w:rPr>
                <w:rFonts w:eastAsia="黑体"/>
                <w:b/>
                <w:bCs/>
                <w:color w:val="000000" w:themeColor="text1"/>
                <w:kern w:val="0"/>
                <w:sz w:val="20"/>
                <w:szCs w:val="20"/>
                <w14:textFill>
                  <w14:solidFill>
                    <w14:schemeClr w14:val="tx1"/>
                  </w14:solidFill>
                </w14:textFill>
              </w:rPr>
              <w:t>水平衡图（m</w:t>
            </w:r>
            <w:r>
              <w:rPr>
                <w:rFonts w:eastAsia="黑体"/>
                <w:b/>
                <w:bCs/>
                <w:color w:val="000000" w:themeColor="text1"/>
                <w:kern w:val="0"/>
                <w:sz w:val="20"/>
                <w:szCs w:val="20"/>
                <w:vertAlign w:val="superscript"/>
                <w14:textFill>
                  <w14:solidFill>
                    <w14:schemeClr w14:val="tx1"/>
                  </w14:solidFill>
                </w14:textFill>
              </w:rPr>
              <w:t>3</w:t>
            </w:r>
            <w:r>
              <w:rPr>
                <w:rFonts w:eastAsia="黑体"/>
                <w:b/>
                <w:bCs/>
                <w:color w:val="000000" w:themeColor="text1"/>
                <w:kern w:val="0"/>
                <w:sz w:val="20"/>
                <w:szCs w:val="20"/>
                <w14:textFill>
                  <w14:solidFill>
                    <w14:schemeClr w14:val="tx1"/>
                  </w14:solidFill>
                </w14:textFill>
              </w:rPr>
              <w:t>/d）</w:t>
            </w:r>
          </w:p>
          <w:p>
            <w:pPr>
              <w:spacing w:line="360" w:lineRule="auto"/>
              <w:jc w:val="center"/>
            </w:pPr>
            <w:r>
              <w:object>
                <v:shape id="_x0000_i1026" o:spt="75" type="#_x0000_t75" style="height:364.8pt;width:414.95pt;" o:ole="t" filled="f" o:preferrelative="t" stroked="f" coordsize="21600,21600">
                  <v:path/>
                  <v:fill on="f" focussize="0,0"/>
                  <v:stroke on="f" joinstyle="miter"/>
                  <v:imagedata r:id="rId16" o:title=""/>
                  <o:lock v:ext="edit" aspectratio="t"/>
                  <w10:wrap type="none"/>
                  <w10:anchorlock/>
                </v:shape>
                <o:OLEObject Type="Embed" ProgID="Visio.Drawing.15" ShapeID="_x0000_i1026" DrawAspect="Content" ObjectID="_1468075726" r:id="rId15">
                  <o:LockedField>false</o:LockedField>
                </o:OLEObject>
              </w:object>
            </w:r>
          </w:p>
          <w:p>
            <w:pPr>
              <w:snapToGrid w:val="0"/>
              <w:ind w:firstLine="482"/>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图2-2 本项目</w:t>
            </w:r>
            <w:r>
              <w:rPr>
                <w:rFonts w:hint="eastAsia" w:eastAsia="黑体"/>
                <w:b/>
                <w:bCs/>
                <w:color w:val="000000" w:themeColor="text1"/>
                <w:kern w:val="0"/>
                <w:sz w:val="20"/>
                <w:szCs w:val="20"/>
                <w14:textFill>
                  <w14:solidFill>
                    <w14:schemeClr w14:val="tx1"/>
                  </w14:solidFill>
                </w14:textFill>
              </w:rPr>
              <w:t>扩建后全厂用</w:t>
            </w:r>
            <w:r>
              <w:rPr>
                <w:rFonts w:eastAsia="黑体"/>
                <w:b/>
                <w:bCs/>
                <w:color w:val="000000" w:themeColor="text1"/>
                <w:kern w:val="0"/>
                <w:sz w:val="20"/>
                <w:szCs w:val="20"/>
                <w14:textFill>
                  <w14:solidFill>
                    <w14:schemeClr w14:val="tx1"/>
                  </w14:solidFill>
                </w14:textFill>
              </w:rPr>
              <w:t>水平衡图（m</w:t>
            </w:r>
            <w:r>
              <w:rPr>
                <w:rFonts w:eastAsia="黑体"/>
                <w:b/>
                <w:bCs/>
                <w:color w:val="000000" w:themeColor="text1"/>
                <w:kern w:val="0"/>
                <w:sz w:val="20"/>
                <w:szCs w:val="20"/>
                <w:vertAlign w:val="superscript"/>
                <w14:textFill>
                  <w14:solidFill>
                    <w14:schemeClr w14:val="tx1"/>
                  </w14:solidFill>
                </w14:textFill>
              </w:rPr>
              <w:t>3</w:t>
            </w:r>
            <w:r>
              <w:rPr>
                <w:rFonts w:eastAsia="黑体"/>
                <w:b/>
                <w:bCs/>
                <w:color w:val="000000" w:themeColor="text1"/>
                <w:kern w:val="0"/>
                <w:sz w:val="20"/>
                <w:szCs w:val="20"/>
                <w14:textFill>
                  <w14:solidFill>
                    <w14:schemeClr w14:val="tx1"/>
                  </w14:solidFill>
                </w14:textFill>
              </w:rPr>
              <w:t>/d）</w:t>
            </w:r>
          </w:p>
          <w:p>
            <w:pPr>
              <w:pStyle w:val="2"/>
              <w:ind w:left="960" w:hanging="480"/>
            </w:pPr>
          </w:p>
          <w:p>
            <w:pPr>
              <w:spacing w:line="360" w:lineRule="auto"/>
              <w:ind w:firstLine="482" w:firstLineChars="200"/>
              <w:rPr>
                <w:b/>
                <w:bCs/>
                <w:color w:val="000000" w:themeColor="text1"/>
                <w:kern w:val="0"/>
                <w:szCs w:val="24"/>
                <w14:textFill>
                  <w14:solidFill>
                    <w14:schemeClr w14:val="tx1"/>
                  </w14:solidFill>
                </w14:textFill>
              </w:rPr>
            </w:pPr>
            <w:r>
              <w:rPr>
                <w:b/>
                <w:bCs/>
                <w:color w:val="000000" w:themeColor="text1"/>
                <w:kern w:val="0"/>
                <w:szCs w:val="24"/>
                <w14:textFill>
                  <w14:solidFill>
                    <w14:schemeClr w14:val="tx1"/>
                  </w14:solidFill>
                </w14:textFill>
              </w:rPr>
              <w:t>（2）电力供给</w:t>
            </w:r>
          </w:p>
          <w:p>
            <w:pPr>
              <w:spacing w:line="360" w:lineRule="auto"/>
              <w:ind w:firstLine="480" w:firstLineChars="200"/>
              <w:rPr>
                <w:bCs/>
                <w:color w:val="000000" w:themeColor="text1"/>
                <w:szCs w:val="24"/>
                <w:lang w:val="zh-CN"/>
                <w14:textFill>
                  <w14:solidFill>
                    <w14:schemeClr w14:val="tx1"/>
                  </w14:solidFill>
                </w14:textFill>
              </w:rPr>
            </w:pPr>
            <w:r>
              <w:rPr>
                <w:rFonts w:hint="eastAsia"/>
                <w:bCs/>
                <w:color w:val="000000" w:themeColor="text1"/>
                <w:szCs w:val="24"/>
                <w:lang w:val="zh-CN"/>
                <w14:textFill>
                  <w14:solidFill>
                    <w14:schemeClr w14:val="tx1"/>
                  </w14:solidFill>
                </w14:textFill>
              </w:rPr>
              <w:t>由乡镇供电所供给，项目内安装有一台变压器</w:t>
            </w:r>
            <w:r>
              <w:rPr>
                <w:bCs/>
                <w:color w:val="000000" w:themeColor="text1"/>
                <w:szCs w:val="24"/>
                <w:lang w:val="zh-CN"/>
                <w14:textFill>
                  <w14:solidFill>
                    <w14:schemeClr w14:val="tx1"/>
                  </w14:solidFill>
                </w14:textFill>
              </w:rPr>
              <w:t>，供电能够满足项目用电负荷。</w:t>
            </w:r>
          </w:p>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7、厂区平面布置</w:t>
            </w:r>
          </w:p>
          <w:p>
            <w:pPr>
              <w:spacing w:line="360" w:lineRule="auto"/>
              <w:ind w:firstLine="482" w:firstLineChars="200"/>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（1）总体布局</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项目厂区呈不规则形，占地面积约40</w:t>
            </w:r>
            <w:r>
              <w:rPr>
                <w:rFonts w:hint="eastAsia"/>
                <w:color w:val="000000" w:themeColor="text1"/>
                <w:szCs w:val="24"/>
                <w14:textFill>
                  <w14:solidFill>
                    <w14:schemeClr w14:val="tx1"/>
                  </w14:solidFill>
                </w14:textFill>
              </w:rPr>
              <w:t>000</w:t>
            </w:r>
            <w:r>
              <w:rPr>
                <w:color w:val="000000" w:themeColor="text1"/>
                <w:szCs w:val="24"/>
                <w14:textFill>
                  <w14:solidFill>
                    <w14:schemeClr w14:val="tx1"/>
                  </w14:solidFill>
                </w14:textFill>
              </w:rPr>
              <w:t>m</w:t>
            </w:r>
            <w:r>
              <w:rPr>
                <w:color w:val="000000" w:themeColor="text1"/>
                <w:szCs w:val="24"/>
                <w:vertAlign w:val="superscript"/>
                <w14:textFill>
                  <w14:solidFill>
                    <w14:schemeClr w14:val="tx1"/>
                  </w14:solidFill>
                </w14:textFill>
              </w:rPr>
              <w:t>2</w:t>
            </w:r>
            <w:r>
              <w:rPr>
                <w:color w:val="000000" w:themeColor="text1"/>
                <w:szCs w:val="24"/>
                <w14:textFill>
                  <w14:solidFill>
                    <w14:schemeClr w14:val="tx1"/>
                  </w14:solidFill>
                </w14:textFill>
              </w:rPr>
              <w:t>，厂区出入口设置于</w:t>
            </w:r>
            <w:r>
              <w:rPr>
                <w:rFonts w:hint="eastAsia"/>
                <w:color w:val="000000" w:themeColor="text1"/>
                <w:szCs w:val="24"/>
                <w14:textFill>
                  <w14:solidFill>
                    <w14:schemeClr w14:val="tx1"/>
                  </w14:solidFill>
                </w14:textFill>
              </w:rPr>
              <w:t>西</w:t>
            </w:r>
            <w:r>
              <w:rPr>
                <w:color w:val="000000" w:themeColor="text1"/>
                <w:szCs w:val="24"/>
                <w14:textFill>
                  <w14:solidFill>
                    <w14:schemeClr w14:val="tx1"/>
                  </w14:solidFill>
                </w14:textFill>
              </w:rPr>
              <w:t>侧，紧邻乡村道路，方便车辆进出。项目充分利用地形优势，</w:t>
            </w:r>
            <w:r>
              <w:rPr>
                <w:rFonts w:hint="eastAsia"/>
                <w:color w:val="000000" w:themeColor="text1"/>
                <w:szCs w:val="24"/>
                <w14:textFill>
                  <w14:solidFill>
                    <w14:schemeClr w14:val="tx1"/>
                  </w14:solidFill>
                </w14:textFill>
              </w:rPr>
              <w:t>在入场通道设置办公区，在厂区南侧设置砂石生产区，在厂区南侧设置污水处理系统，厂区东侧设置原料堆场，西侧设置为成品堆场。</w:t>
            </w:r>
          </w:p>
          <w:p>
            <w:pPr>
              <w:spacing w:line="360" w:lineRule="auto"/>
              <w:ind w:firstLine="482" w:firstLineChars="200"/>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 xml:space="preserve">（2）生产布局 </w:t>
            </w:r>
          </w:p>
          <w:p>
            <w:pPr>
              <w:pStyle w:val="34"/>
              <w:spacing w:before="182" w:line="359" w:lineRule="auto"/>
              <w:ind w:left="111" w:right="103" w:firstLine="480"/>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根据厂区场地分布状况，主要生产设备尽可能靠</w:t>
            </w:r>
            <w:r>
              <w:rPr>
                <w:rFonts w:hint="eastAsia"/>
                <w:color w:val="000000" w:themeColor="text1"/>
                <w:lang w:eastAsia="zh-CN"/>
                <w14:textFill>
                  <w14:solidFill>
                    <w14:schemeClr w14:val="tx1"/>
                  </w14:solidFill>
                </w14:textFill>
              </w:rPr>
              <w:t>南侧及东</w:t>
            </w:r>
            <w:r>
              <w:rPr>
                <w:color w:val="000000" w:themeColor="text1"/>
                <w:lang w:eastAsia="zh-CN"/>
                <w14:textFill>
                  <w14:solidFill>
                    <w14:schemeClr w14:val="tx1"/>
                  </w14:solidFill>
                </w14:textFill>
              </w:rPr>
              <w:t>侧布置，出入口位于厂区</w:t>
            </w:r>
            <w:r>
              <w:rPr>
                <w:rFonts w:hint="eastAsia"/>
                <w:color w:val="000000" w:themeColor="text1"/>
                <w:lang w:eastAsia="zh-CN"/>
                <w14:textFill>
                  <w14:solidFill>
                    <w14:schemeClr w14:val="tx1"/>
                  </w14:solidFill>
                </w14:textFill>
              </w:rPr>
              <w:t>西北</w:t>
            </w:r>
            <w:r>
              <w:rPr>
                <w:color w:val="000000" w:themeColor="text1"/>
                <w:lang w:eastAsia="zh-CN"/>
                <w14:textFill>
                  <w14:solidFill>
                    <w14:schemeClr w14:val="tx1"/>
                  </w14:solidFill>
                </w14:textFill>
              </w:rPr>
              <w:t>侧。厂区</w:t>
            </w:r>
            <w:r>
              <w:rPr>
                <w:rFonts w:hint="eastAsia"/>
                <w:color w:val="000000" w:themeColor="text1"/>
                <w:lang w:eastAsia="zh-CN"/>
                <w14:textFill>
                  <w14:solidFill>
                    <w14:schemeClr w14:val="tx1"/>
                  </w14:solidFill>
                </w14:textFill>
              </w:rPr>
              <w:t>南</w:t>
            </w:r>
            <w:r>
              <w:rPr>
                <w:color w:val="000000" w:themeColor="text1"/>
                <w:lang w:eastAsia="zh-CN"/>
                <w14:textFill>
                  <w14:solidFill>
                    <w14:schemeClr w14:val="tx1"/>
                  </w14:solidFill>
                </w14:textFill>
              </w:rPr>
              <w:t>侧为砂石生产车间，设置</w:t>
            </w:r>
            <w:r>
              <w:rPr>
                <w:rFonts w:hint="eastAsia"/>
                <w:color w:val="000000" w:themeColor="text1"/>
                <w:lang w:eastAsia="zh-CN"/>
                <w14:textFill>
                  <w14:solidFill>
                    <w14:schemeClr w14:val="tx1"/>
                  </w14:solidFill>
                </w14:textFill>
              </w:rPr>
              <w:t>1</w:t>
            </w:r>
            <w:r>
              <w:rPr>
                <w:color w:val="000000" w:themeColor="text1"/>
                <w:lang w:eastAsia="zh-CN"/>
                <w14:textFill>
                  <w14:solidFill>
                    <w14:schemeClr w14:val="tx1"/>
                  </w14:solidFill>
                </w14:textFill>
              </w:rPr>
              <w:t>条砂石加工生产线，主要安装给料机、破碎机、反击破、</w:t>
            </w:r>
            <w:r>
              <w:rPr>
                <w:rFonts w:hint="eastAsia"/>
                <w:color w:val="000000" w:themeColor="text1"/>
                <w:lang w:eastAsia="zh-CN"/>
                <w14:textFill>
                  <w14:solidFill>
                    <w14:schemeClr w14:val="tx1"/>
                  </w14:solidFill>
                </w14:textFill>
              </w:rPr>
              <w:t>圆锥破、筛分机</w:t>
            </w:r>
            <w:r>
              <w:rPr>
                <w:color w:val="000000" w:themeColor="text1"/>
                <w:lang w:eastAsia="zh-CN"/>
                <w14:textFill>
                  <w14:solidFill>
                    <w14:schemeClr w14:val="tx1"/>
                  </w14:solidFill>
                </w14:textFill>
              </w:rPr>
              <w:t>、制砂机、洗砂机等生产设备，各设备之间由皮带输送机连接。厂区</w:t>
            </w:r>
            <w:r>
              <w:rPr>
                <w:rFonts w:hint="eastAsia"/>
                <w:color w:val="000000" w:themeColor="text1"/>
                <w:lang w:eastAsia="zh-CN"/>
                <w14:textFill>
                  <w14:solidFill>
                    <w14:schemeClr w14:val="tx1"/>
                  </w14:solidFill>
                </w14:textFill>
              </w:rPr>
              <w:t>南</w:t>
            </w:r>
            <w:r>
              <w:rPr>
                <w:color w:val="000000" w:themeColor="text1"/>
                <w:lang w:eastAsia="zh-CN"/>
                <w14:textFill>
                  <w14:solidFill>
                    <w14:schemeClr w14:val="tx1"/>
                  </w14:solidFill>
                </w14:textFill>
              </w:rPr>
              <w:t>侧设置1套生产废水处理系统，主要布置</w:t>
            </w:r>
            <w:r>
              <w:rPr>
                <w:rFonts w:hint="eastAsia"/>
                <w:color w:val="000000" w:themeColor="text1"/>
                <w:lang w:eastAsia="zh-CN"/>
                <w14:textFill>
                  <w14:solidFill>
                    <w14:schemeClr w14:val="tx1"/>
                  </w14:solidFill>
                </w14:textFill>
              </w:rPr>
              <w:t>废水收集池、澄清水塔</w:t>
            </w:r>
            <w:r>
              <w:rPr>
                <w:color w:val="000000" w:themeColor="text1"/>
                <w:lang w:eastAsia="zh-CN"/>
                <w14:textFill>
                  <w14:solidFill>
                    <w14:schemeClr w14:val="tx1"/>
                  </w14:solidFill>
                </w14:textFill>
              </w:rPr>
              <w:t>、压滤机、清水池等。项目办公用房</w:t>
            </w:r>
            <w:r>
              <w:rPr>
                <w:rFonts w:hint="eastAsia"/>
                <w:color w:val="000000" w:themeColor="text1"/>
                <w:lang w:eastAsia="zh-CN"/>
                <w14:textFill>
                  <w14:solidFill>
                    <w14:schemeClr w14:val="tx1"/>
                  </w14:solidFill>
                </w14:textFill>
              </w:rPr>
              <w:t>及食堂设置在厂区北侧</w:t>
            </w:r>
            <w:r>
              <w:rPr>
                <w:color w:val="000000" w:themeColor="text1"/>
                <w:lang w:eastAsia="zh-CN"/>
                <w14:textFill>
                  <w14:solidFill>
                    <w14:schemeClr w14:val="tx1"/>
                  </w14:solidFill>
                </w14:textFill>
              </w:rPr>
              <w:t>；</w:t>
            </w:r>
            <w:r>
              <w:rPr>
                <w:rFonts w:hint="eastAsia"/>
                <w:color w:val="000000" w:themeColor="text1"/>
                <w:lang w:eastAsia="zh-CN"/>
                <w14:textFill>
                  <w14:solidFill>
                    <w14:schemeClr w14:val="tx1"/>
                  </w14:solidFill>
                </w14:textFill>
              </w:rPr>
              <w:t>厂区出入口设置有洗车平台，厂区西侧设置有危废暂存间，</w:t>
            </w:r>
            <w:r>
              <w:rPr>
                <w:lang w:eastAsia="zh-CN"/>
              </w:rPr>
              <w:t>项目区办公用房与生产车间之间有厂区道路分隔开，能够做到生</w:t>
            </w:r>
            <w:r>
              <w:rPr>
                <w:spacing w:val="-1"/>
                <w:lang w:eastAsia="zh-CN"/>
              </w:rPr>
              <w:t>产生活</w:t>
            </w:r>
            <w:r>
              <w:rPr>
                <w:lang w:eastAsia="zh-CN"/>
              </w:rPr>
              <w:t xml:space="preserve"> 分离，互不干扰。总平面布置充分结合占地地形条件方便生产，同时考</w:t>
            </w:r>
            <w:r>
              <w:rPr>
                <w:spacing w:val="-1"/>
                <w:lang w:eastAsia="zh-CN"/>
              </w:rPr>
              <w:t>虑周边外环境情况，降低污染影响。</w:t>
            </w:r>
          </w:p>
          <w:p>
            <w:pPr>
              <w:spacing w:line="360" w:lineRule="auto"/>
              <w:ind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综上分析，本项目平面布置功能分区清晰、物流短捷。生产区布置在封 闭车间内，办公用房与生产车间尽量保持一定的距离，做到生产生活互不干扰。评价认为，项目平面布置合理可行。</w:t>
            </w:r>
          </w:p>
          <w:p>
            <w:pPr>
              <w:pStyle w:val="2"/>
              <w:ind w:left="960" w:hanging="48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453" w:type="dxa"/>
            <w:vAlign w:val="center"/>
          </w:tcPr>
          <w:p>
            <w:pPr>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工艺流程和产排污环节</w:t>
            </w:r>
          </w:p>
          <w:p>
            <w:pPr>
              <w:pStyle w:val="9"/>
              <w:rPr>
                <w:rFonts w:ascii="Times New Roman" w:hAnsi="Times New Roman"/>
                <w:color w:val="000000" w:themeColor="text1"/>
                <w14:textFill>
                  <w14:solidFill>
                    <w14:schemeClr w14:val="tx1"/>
                  </w14:solidFill>
                </w14:textFill>
              </w:rPr>
            </w:pPr>
          </w:p>
        </w:tc>
        <w:tc>
          <w:tcPr>
            <w:tcW w:w="9509" w:type="dxa"/>
          </w:tcPr>
          <w:p>
            <w:pPr>
              <w:spacing w:line="360" w:lineRule="auto"/>
              <w:ind w:firstLine="482" w:firstLineChars="200"/>
              <w:jc w:val="left"/>
              <w:rPr>
                <w:b/>
                <w:color w:val="000000" w:themeColor="text1"/>
                <w:szCs w:val="24"/>
                <w14:textFill>
                  <w14:solidFill>
                    <w14:schemeClr w14:val="tx1"/>
                  </w14:solidFill>
                </w14:textFill>
              </w:rPr>
            </w:pPr>
            <w:r>
              <w:rPr>
                <w:b/>
                <w:color w:val="000000" w:themeColor="text1"/>
                <w:szCs w:val="24"/>
                <w14:textFill>
                  <w14:solidFill>
                    <w14:schemeClr w14:val="tx1"/>
                  </w14:solidFill>
                </w14:textFill>
              </w:rPr>
              <w:t>1、施工期工艺流程和产污环节</w:t>
            </w:r>
          </w:p>
          <w:p>
            <w:pPr>
              <w:spacing w:line="360" w:lineRule="auto"/>
              <w:ind w:firstLine="480" w:firstLineChars="200"/>
              <w:jc w:val="left"/>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本项目位于</w:t>
            </w:r>
            <w:r>
              <w:rPr>
                <w:rFonts w:hint="eastAsia"/>
                <w:szCs w:val="24"/>
              </w:rPr>
              <w:t>达州市宣汉县南坝镇天台村三组</w:t>
            </w:r>
            <w:r>
              <w:rPr>
                <w:rFonts w:hint="eastAsia"/>
                <w:color w:val="000000" w:themeColor="text1"/>
                <w:szCs w:val="24"/>
                <w14:textFill>
                  <w14:solidFill>
                    <w14:schemeClr w14:val="tx1"/>
                  </w14:solidFill>
                </w14:textFill>
              </w:rPr>
              <w:t>。经现场踏勘，项目已经开工建设，目前已经完成场地平整并安装好给料机、颚破机、反击破碎机、多级振动筛及输送皮带等，并对已安装的生产设备设置了封闭围挡。</w:t>
            </w:r>
          </w:p>
          <w:p>
            <w:pPr>
              <w:spacing w:line="360" w:lineRule="auto"/>
              <w:ind w:firstLine="476" w:firstLineChars="200"/>
              <w:jc w:val="left"/>
              <w:rPr>
                <w:spacing w:val="-1"/>
              </w:rPr>
            </w:pPr>
            <w:r>
              <w:rPr>
                <w:spacing w:val="-1"/>
              </w:rPr>
              <w:t>本项目已建及未建内容如下表。</w:t>
            </w:r>
          </w:p>
          <w:p>
            <w:pPr>
              <w:pStyle w:val="34"/>
              <w:spacing w:before="179" w:line="223" w:lineRule="auto"/>
              <w:ind w:left="2906"/>
              <w:rPr>
                <w:sz w:val="20"/>
                <w:szCs w:val="20"/>
                <w:lang w:eastAsia="zh-CN"/>
              </w:rPr>
            </w:pPr>
            <w:r>
              <w:rPr>
                <w:spacing w:val="5"/>
                <w:sz w:val="20"/>
                <w:szCs w:val="20"/>
                <w:lang w:eastAsia="zh-CN"/>
                <w14:textOutline w14:w="3797" w14:cap="sq" w14:cmpd="sng" w14:algn="ctr">
                  <w14:solidFill>
                    <w14:srgbClr w14:val="000000"/>
                  </w14:solidFill>
                  <w14:prstDash w14:val="solid"/>
                  <w14:bevel/>
                </w14:textOutline>
              </w:rPr>
              <w:t>表</w:t>
            </w:r>
            <w:r>
              <w:rPr>
                <w:spacing w:val="-32"/>
                <w:sz w:val="20"/>
                <w:szCs w:val="20"/>
                <w:lang w:eastAsia="zh-CN"/>
              </w:rPr>
              <w:t xml:space="preserve"> </w:t>
            </w:r>
            <w:r>
              <w:rPr>
                <w:rFonts w:ascii="Times New Roman" w:hAnsi="Times New Roman" w:eastAsia="Times New Roman" w:cs="Times New Roman"/>
                <w:b/>
                <w:bCs/>
                <w:spacing w:val="5"/>
                <w:sz w:val="20"/>
                <w:szCs w:val="20"/>
                <w:lang w:eastAsia="zh-CN"/>
              </w:rPr>
              <w:t xml:space="preserve">2-5      </w:t>
            </w:r>
            <w:r>
              <w:rPr>
                <w:spacing w:val="5"/>
                <w:sz w:val="20"/>
                <w:szCs w:val="20"/>
                <w:lang w:eastAsia="zh-CN"/>
                <w14:textOutline w14:w="3797" w14:cap="sq" w14:cmpd="sng" w14:algn="ctr">
                  <w14:solidFill>
                    <w14:srgbClr w14:val="000000"/>
                  </w14:solidFill>
                  <w14:prstDash w14:val="solid"/>
                  <w14:bevel/>
                </w14:textOutline>
              </w:rPr>
              <w:t>项目建设情况表</w:t>
            </w:r>
          </w:p>
          <w:tbl>
            <w:tblPr>
              <w:tblStyle w:val="3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69"/>
              <w:gridCol w:w="3532"/>
              <w:gridCol w:w="3560"/>
              <w:gridCol w:w="8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778" w:type="pct"/>
                  <w:tcBorders>
                    <w:top w:val="single" w:color="000000" w:sz="10" w:space="0"/>
                    <w:left w:val="nil"/>
                  </w:tcBorders>
                  <w:vAlign w:val="center"/>
                </w:tcPr>
                <w:p>
                  <w:pPr>
                    <w:pStyle w:val="34"/>
                    <w:spacing w:before="35" w:line="217" w:lineRule="auto"/>
                    <w:ind w:left="206"/>
                    <w:rPr>
                      <w:rFonts w:ascii="Times New Roman" w:hAnsi="Times New Roman" w:cs="Times New Roman"/>
                      <w:sz w:val="20"/>
                      <w:szCs w:val="20"/>
                      <w:lang w:eastAsia="zh-CN"/>
                    </w:rPr>
                  </w:pPr>
                  <w:r>
                    <w:rPr>
                      <w:rFonts w:ascii="Times New Roman" w:hAnsi="Times New Roman" w:cs="Times New Roman"/>
                      <w:spacing w:val="7"/>
                      <w:sz w:val="20"/>
                      <w:szCs w:val="20"/>
                      <w:lang w:eastAsia="zh-CN"/>
                      <w14:textOutline w14:w="3797" w14:cap="sq" w14:cmpd="sng" w14:algn="ctr">
                        <w14:solidFill>
                          <w14:srgbClr w14:val="000000"/>
                        </w14:solidFill>
                        <w14:prstDash w14:val="solid"/>
                        <w14:bevel/>
                      </w14:textOutline>
                    </w:rPr>
                    <w:t>工程类别</w:t>
                  </w:r>
                </w:p>
              </w:tc>
              <w:tc>
                <w:tcPr>
                  <w:tcW w:w="1870" w:type="pct"/>
                  <w:tcBorders>
                    <w:top w:val="single" w:color="000000" w:sz="10" w:space="0"/>
                  </w:tcBorders>
                  <w:vAlign w:val="center"/>
                </w:tcPr>
                <w:p>
                  <w:pPr>
                    <w:pStyle w:val="34"/>
                    <w:spacing w:before="35" w:line="217" w:lineRule="auto"/>
                    <w:ind w:left="1091"/>
                    <w:rPr>
                      <w:rFonts w:ascii="Times New Roman" w:hAnsi="Times New Roman" w:cs="Times New Roman"/>
                      <w:sz w:val="20"/>
                      <w:szCs w:val="20"/>
                      <w:lang w:eastAsia="zh-CN"/>
                    </w:rPr>
                  </w:pPr>
                  <w:r>
                    <w:rPr>
                      <w:rFonts w:ascii="Times New Roman" w:hAnsi="Times New Roman" w:cs="Times New Roman"/>
                      <w:spacing w:val="2"/>
                      <w:sz w:val="20"/>
                      <w:szCs w:val="20"/>
                      <w:lang w:eastAsia="zh-CN"/>
                      <w14:textOutline w14:w="3797" w14:cap="sq" w14:cmpd="sng" w14:algn="ctr">
                        <w14:solidFill>
                          <w14:srgbClr w14:val="000000"/>
                        </w14:solidFill>
                        <w14:prstDash w14:val="solid"/>
                        <w14:bevel/>
                      </w14:textOutline>
                    </w:rPr>
                    <w:t>已建内容</w:t>
                  </w:r>
                </w:p>
              </w:tc>
              <w:tc>
                <w:tcPr>
                  <w:tcW w:w="1885" w:type="pct"/>
                  <w:tcBorders>
                    <w:top w:val="single" w:color="000000" w:sz="10" w:space="0"/>
                  </w:tcBorders>
                  <w:vAlign w:val="center"/>
                </w:tcPr>
                <w:p>
                  <w:pPr>
                    <w:pStyle w:val="34"/>
                    <w:spacing w:before="35" w:line="217" w:lineRule="auto"/>
                    <w:ind w:left="1080"/>
                    <w:rPr>
                      <w:rFonts w:ascii="Times New Roman" w:hAnsi="Times New Roman" w:cs="Times New Roman"/>
                      <w:sz w:val="20"/>
                      <w:szCs w:val="20"/>
                      <w:lang w:eastAsia="zh-CN"/>
                    </w:rPr>
                  </w:pPr>
                  <w:r>
                    <w:rPr>
                      <w:rFonts w:ascii="Times New Roman" w:hAnsi="Times New Roman" w:cs="Times New Roman"/>
                      <w:spacing w:val="8"/>
                      <w:sz w:val="20"/>
                      <w:szCs w:val="20"/>
                      <w:lang w:eastAsia="zh-CN"/>
                      <w14:textOutline w14:w="3797" w14:cap="sq" w14:cmpd="sng" w14:algn="ctr">
                        <w14:solidFill>
                          <w14:srgbClr w14:val="000000"/>
                        </w14:solidFill>
                        <w14:prstDash w14:val="solid"/>
                        <w14:bevel/>
                      </w14:textOutline>
                    </w:rPr>
                    <w:t>拟建内容</w:t>
                  </w:r>
                </w:p>
              </w:tc>
              <w:tc>
                <w:tcPr>
                  <w:tcW w:w="467" w:type="pct"/>
                  <w:tcBorders>
                    <w:top w:val="single" w:color="000000" w:sz="10" w:space="0"/>
                    <w:right w:val="nil"/>
                  </w:tcBorders>
                  <w:vAlign w:val="center"/>
                </w:tcPr>
                <w:p>
                  <w:pPr>
                    <w:pStyle w:val="34"/>
                    <w:spacing w:before="35" w:line="217" w:lineRule="auto"/>
                    <w:ind w:left="169"/>
                    <w:rPr>
                      <w:rFonts w:ascii="Times New Roman" w:hAnsi="Times New Roman" w:cs="Times New Roman"/>
                      <w:sz w:val="20"/>
                      <w:szCs w:val="20"/>
                      <w:lang w:eastAsia="zh-CN"/>
                    </w:rPr>
                  </w:pPr>
                  <w:r>
                    <w:rPr>
                      <w:rFonts w:ascii="Times New Roman" w:hAnsi="Times New Roman" w:cs="Times New Roman"/>
                      <w:spacing w:val="4"/>
                      <w:sz w:val="20"/>
                      <w:szCs w:val="20"/>
                      <w:lang w:eastAsia="zh-CN"/>
                      <w14:textOutline w14:w="3797" w14:cap="sq" w14:cmpd="sng" w14:algn="ctr">
                        <w14:solidFill>
                          <w14:srgbClr w14:val="000000"/>
                        </w14:solidFill>
                        <w14:prstDash w14:val="solid"/>
                        <w14:bevel/>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0" w:hRule="atLeast"/>
              </w:trPr>
              <w:tc>
                <w:tcPr>
                  <w:tcW w:w="778" w:type="pct"/>
                  <w:tcBorders>
                    <w:left w:val="nil"/>
                  </w:tcBorders>
                  <w:vAlign w:val="center"/>
                </w:tcPr>
                <w:p>
                  <w:pPr>
                    <w:pStyle w:val="34"/>
                    <w:spacing w:before="65" w:line="229" w:lineRule="auto"/>
                    <w:jc w:val="center"/>
                    <w:rPr>
                      <w:rFonts w:ascii="Times New Roman" w:hAnsi="Times New Roman" w:cs="Times New Roman"/>
                      <w:sz w:val="20"/>
                      <w:szCs w:val="20"/>
                      <w:lang w:eastAsia="zh-CN"/>
                    </w:rPr>
                  </w:pPr>
                  <w:r>
                    <w:rPr>
                      <w:rFonts w:ascii="Times New Roman" w:hAnsi="Times New Roman" w:cs="Times New Roman"/>
                      <w:spacing w:val="6"/>
                      <w:sz w:val="20"/>
                      <w:szCs w:val="20"/>
                      <w:lang w:eastAsia="zh-CN"/>
                    </w:rPr>
                    <w:t>主体工程</w:t>
                  </w:r>
                </w:p>
              </w:tc>
              <w:tc>
                <w:tcPr>
                  <w:tcW w:w="1870" w:type="pct"/>
                  <w:vAlign w:val="center"/>
                </w:tcPr>
                <w:p>
                  <w:pPr>
                    <w:pStyle w:val="34"/>
                    <w:spacing w:before="23" w:line="228" w:lineRule="auto"/>
                    <w:jc w:val="center"/>
                    <w:rPr>
                      <w:rFonts w:ascii="Times New Roman" w:hAnsi="Times New Roman" w:cs="Times New Roman"/>
                      <w:sz w:val="20"/>
                      <w:szCs w:val="20"/>
                      <w:lang w:eastAsia="zh-CN"/>
                    </w:rPr>
                  </w:pPr>
                  <w:r>
                    <w:rPr>
                      <w:rFonts w:ascii="Times New Roman" w:hAnsi="Times New Roman" w:cs="Times New Roman"/>
                      <w:spacing w:val="2"/>
                      <w:sz w:val="20"/>
                      <w:szCs w:val="20"/>
                      <w:lang w:eastAsia="zh-CN"/>
                    </w:rPr>
                    <w:t>建设一个封闭式生产车间，占地约3500㎡，车间内设砂石水洗加工生产线1条，主要有鄂破机、破碎机、振动筛、筛分机、压滤机、制砂机、洗砂机等</w:t>
                  </w:r>
                </w:p>
              </w:tc>
              <w:tc>
                <w:tcPr>
                  <w:tcW w:w="1885" w:type="pct"/>
                  <w:vAlign w:val="center"/>
                </w:tcPr>
                <w:p>
                  <w:pPr>
                    <w:pStyle w:val="34"/>
                    <w:spacing w:before="31" w:line="242" w:lineRule="auto"/>
                    <w:ind w:left="114" w:right="150"/>
                    <w:jc w:val="center"/>
                    <w:rPr>
                      <w:rFonts w:ascii="Times New Roman" w:hAnsi="Times New Roman" w:eastAsia="Times New Roman" w:cs="Times New Roman"/>
                      <w:sz w:val="13"/>
                      <w:szCs w:val="13"/>
                      <w:lang w:eastAsia="zh-CN"/>
                    </w:rPr>
                  </w:pPr>
                  <w:r>
                    <w:rPr>
                      <w:rFonts w:ascii="Times New Roman" w:hAnsi="Times New Roman" w:cs="Times New Roman"/>
                      <w:spacing w:val="5"/>
                      <w:sz w:val="20"/>
                      <w:szCs w:val="20"/>
                      <w:lang w:eastAsia="zh-CN"/>
                    </w:rPr>
                    <w:t>/</w:t>
                  </w:r>
                </w:p>
              </w:tc>
              <w:tc>
                <w:tcPr>
                  <w:tcW w:w="467" w:type="pct"/>
                  <w:tcBorders>
                    <w:right w:val="nil"/>
                  </w:tcBorders>
                  <w:vAlign w:val="center"/>
                </w:tcPr>
                <w:p>
                  <w:pPr>
                    <w:spacing w:line="333" w:lineRule="auto"/>
                  </w:pPr>
                </w:p>
                <w:p>
                  <w:pPr>
                    <w:spacing w:before="58" w:line="274" w:lineRule="exact"/>
                    <w:ind w:left="341"/>
                    <w:rPr>
                      <w:rFonts w:eastAsia="Times New Roman"/>
                      <w:sz w:val="20"/>
                      <w:szCs w:val="20"/>
                    </w:rPr>
                  </w:pPr>
                  <w:r>
                    <w:rPr>
                      <w:rFonts w:eastAsia="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78" w:type="pct"/>
                  <w:vMerge w:val="restart"/>
                  <w:tcBorders>
                    <w:left w:val="nil"/>
                    <w:bottom w:val="nil"/>
                  </w:tcBorders>
                  <w:vAlign w:val="center"/>
                </w:tcPr>
                <w:p>
                  <w:pPr>
                    <w:pStyle w:val="34"/>
                    <w:spacing w:before="65" w:line="229" w:lineRule="auto"/>
                    <w:jc w:val="center"/>
                    <w:rPr>
                      <w:rFonts w:ascii="Times New Roman" w:hAnsi="Times New Roman" w:cs="Times New Roman"/>
                      <w:sz w:val="20"/>
                      <w:szCs w:val="20"/>
                    </w:rPr>
                  </w:pPr>
                  <w:r>
                    <w:rPr>
                      <w:rFonts w:ascii="Times New Roman" w:hAnsi="Times New Roman" w:cs="Times New Roman"/>
                      <w:spacing w:val="6"/>
                      <w:sz w:val="20"/>
                      <w:szCs w:val="20"/>
                    </w:rPr>
                    <w:t>辅助工程</w:t>
                  </w:r>
                </w:p>
              </w:tc>
              <w:tc>
                <w:tcPr>
                  <w:tcW w:w="1870" w:type="pct"/>
                  <w:vMerge w:val="restart"/>
                  <w:tcBorders>
                    <w:bottom w:val="nil"/>
                  </w:tcBorders>
                  <w:vAlign w:val="center"/>
                </w:tcPr>
                <w:p>
                  <w:pPr>
                    <w:pStyle w:val="34"/>
                    <w:spacing w:before="65" w:line="241" w:lineRule="auto"/>
                    <w:ind w:left="734" w:right="220" w:hanging="506"/>
                    <w:jc w:val="center"/>
                    <w:rPr>
                      <w:rFonts w:ascii="Times New Roman" w:hAnsi="Times New Roman" w:cs="Times New Roman" w:eastAsiaTheme="minorEastAsia"/>
                      <w:sz w:val="13"/>
                      <w:szCs w:val="13"/>
                      <w:lang w:eastAsia="zh-CN"/>
                    </w:rPr>
                  </w:pPr>
                  <w:r>
                    <w:rPr>
                      <w:rFonts w:ascii="Times New Roman" w:hAnsi="Times New Roman" w:cs="Times New Roman" w:eastAsiaTheme="minorEastAsia"/>
                      <w:sz w:val="13"/>
                      <w:szCs w:val="13"/>
                      <w:lang w:eastAsia="zh-CN"/>
                    </w:rPr>
                    <w:t>/</w:t>
                  </w:r>
                </w:p>
              </w:tc>
              <w:tc>
                <w:tcPr>
                  <w:tcW w:w="1885" w:type="pct"/>
                  <w:vAlign w:val="center"/>
                </w:tcPr>
                <w:p>
                  <w:pPr>
                    <w:pStyle w:val="34"/>
                    <w:spacing w:before="35" w:line="232" w:lineRule="auto"/>
                    <w:ind w:left="114" w:right="152"/>
                    <w:jc w:val="center"/>
                    <w:rPr>
                      <w:rFonts w:ascii="Times New Roman" w:hAnsi="Times New Roman" w:eastAsia="Times New Roman" w:cs="Times New Roman"/>
                      <w:sz w:val="13"/>
                      <w:szCs w:val="13"/>
                      <w:lang w:eastAsia="zh-CN"/>
                    </w:rPr>
                  </w:pPr>
                  <w:r>
                    <w:rPr>
                      <w:rFonts w:ascii="Times New Roman" w:hAnsi="Times New Roman" w:cs="Times New Roman"/>
                      <w:spacing w:val="6"/>
                      <w:sz w:val="20"/>
                      <w:szCs w:val="20"/>
                      <w:lang w:eastAsia="zh-CN"/>
                    </w:rPr>
                    <w:t>在厂区西侧生产车间北侧设置成品堆场，堆场占地面积约1000m³，各规格成品之间设实体墙体隔断</w:t>
                  </w:r>
                </w:p>
              </w:tc>
              <w:tc>
                <w:tcPr>
                  <w:tcW w:w="467" w:type="pct"/>
                  <w:tcBorders>
                    <w:right w:val="nil"/>
                  </w:tcBorders>
                  <w:vAlign w:val="center"/>
                </w:tcPr>
                <w:p>
                  <w:pPr>
                    <w:spacing w:before="141" w:line="274" w:lineRule="exact"/>
                    <w:ind w:left="341"/>
                    <w:rPr>
                      <w:rFonts w:eastAsia="Times New Roman"/>
                      <w:sz w:val="20"/>
                      <w:szCs w:val="20"/>
                    </w:rPr>
                  </w:pPr>
                  <w:r>
                    <w:rPr>
                      <w:rFonts w:eastAsia="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78" w:type="pct"/>
                  <w:vMerge w:val="continue"/>
                  <w:tcBorders>
                    <w:top w:val="nil"/>
                    <w:left w:val="nil"/>
                  </w:tcBorders>
                  <w:vAlign w:val="center"/>
                </w:tcPr>
                <w:p>
                  <w:pPr>
                    <w:jc w:val="center"/>
                  </w:pPr>
                </w:p>
              </w:tc>
              <w:tc>
                <w:tcPr>
                  <w:tcW w:w="1870" w:type="pct"/>
                  <w:vMerge w:val="continue"/>
                  <w:tcBorders>
                    <w:top w:val="nil"/>
                  </w:tcBorders>
                  <w:vAlign w:val="center"/>
                </w:tcPr>
                <w:p>
                  <w:pPr>
                    <w:jc w:val="center"/>
                  </w:pPr>
                </w:p>
              </w:tc>
              <w:tc>
                <w:tcPr>
                  <w:tcW w:w="1885" w:type="pct"/>
                  <w:vAlign w:val="center"/>
                </w:tcPr>
                <w:p>
                  <w:pPr>
                    <w:pStyle w:val="34"/>
                    <w:spacing w:before="37" w:line="231" w:lineRule="auto"/>
                    <w:ind w:left="114" w:right="152"/>
                    <w:jc w:val="center"/>
                    <w:rPr>
                      <w:rFonts w:ascii="Times New Roman" w:hAnsi="Times New Roman" w:eastAsia="Times New Roman" w:cs="Times New Roman"/>
                      <w:sz w:val="13"/>
                      <w:szCs w:val="13"/>
                      <w:lang w:eastAsia="zh-CN"/>
                    </w:rPr>
                  </w:pPr>
                  <w:r>
                    <w:rPr>
                      <w:rFonts w:ascii="Times New Roman" w:hAnsi="Times New Roman" w:cs="Times New Roman"/>
                      <w:spacing w:val="6"/>
                      <w:sz w:val="20"/>
                      <w:szCs w:val="20"/>
                      <w:lang w:eastAsia="zh-CN"/>
                    </w:rPr>
                    <w:t>在厂区东侧设置原料堆场，占地约2000m³，卸料区设置喷雾降尘装置。</w:t>
                  </w:r>
                </w:p>
              </w:tc>
              <w:tc>
                <w:tcPr>
                  <w:tcW w:w="467" w:type="pct"/>
                  <w:tcBorders>
                    <w:right w:val="nil"/>
                  </w:tcBorders>
                  <w:vAlign w:val="center"/>
                </w:tcPr>
                <w:p>
                  <w:pPr>
                    <w:spacing w:before="143" w:line="274" w:lineRule="exact"/>
                    <w:ind w:left="341"/>
                    <w:rPr>
                      <w:rFonts w:eastAsia="Times New Roman"/>
                      <w:sz w:val="20"/>
                      <w:szCs w:val="20"/>
                    </w:rPr>
                  </w:pPr>
                  <w:r>
                    <w:rPr>
                      <w:rFonts w:eastAsia="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78" w:type="pct"/>
                  <w:vMerge w:val="restart"/>
                  <w:tcBorders>
                    <w:left w:val="nil"/>
                    <w:bottom w:val="nil"/>
                  </w:tcBorders>
                  <w:vAlign w:val="center"/>
                </w:tcPr>
                <w:p>
                  <w:pPr>
                    <w:pStyle w:val="34"/>
                    <w:spacing w:before="65" w:line="229" w:lineRule="auto"/>
                    <w:jc w:val="center"/>
                    <w:rPr>
                      <w:rFonts w:ascii="Times New Roman" w:hAnsi="Times New Roman" w:cs="Times New Roman"/>
                      <w:sz w:val="20"/>
                      <w:szCs w:val="20"/>
                    </w:rPr>
                  </w:pPr>
                  <w:r>
                    <w:rPr>
                      <w:rFonts w:ascii="Times New Roman" w:hAnsi="Times New Roman" w:cs="Times New Roman"/>
                      <w:spacing w:val="5"/>
                      <w:sz w:val="20"/>
                      <w:szCs w:val="20"/>
                    </w:rPr>
                    <w:t>公用工程</w:t>
                  </w:r>
                </w:p>
              </w:tc>
              <w:tc>
                <w:tcPr>
                  <w:tcW w:w="1870" w:type="pct"/>
                  <w:vAlign w:val="center"/>
                </w:tcPr>
                <w:p>
                  <w:pPr>
                    <w:pStyle w:val="34"/>
                    <w:spacing w:before="173" w:line="228" w:lineRule="auto"/>
                    <w:jc w:val="center"/>
                    <w:rPr>
                      <w:rFonts w:ascii="Times New Roman" w:hAnsi="Times New Roman" w:cs="Times New Roman"/>
                      <w:sz w:val="20"/>
                      <w:szCs w:val="20"/>
                      <w:lang w:eastAsia="zh-CN"/>
                    </w:rPr>
                  </w:pPr>
                  <w:r>
                    <w:rPr>
                      <w:rFonts w:ascii="Times New Roman" w:hAnsi="Times New Roman" w:cs="Times New Roman"/>
                      <w:spacing w:val="9"/>
                      <w:sz w:val="20"/>
                      <w:szCs w:val="20"/>
                      <w:lang w:eastAsia="zh-CN"/>
                    </w:rPr>
                    <w:t>由乡镇供电所供给，项目内安装有一台变压器</w:t>
                  </w:r>
                </w:p>
              </w:tc>
              <w:tc>
                <w:tcPr>
                  <w:tcW w:w="1885" w:type="pct"/>
                  <w:vAlign w:val="center"/>
                </w:tcPr>
                <w:p>
                  <w:pPr>
                    <w:pStyle w:val="34"/>
                    <w:spacing w:before="37" w:line="231" w:lineRule="auto"/>
                    <w:ind w:left="114" w:right="150"/>
                    <w:jc w:val="center"/>
                    <w:rPr>
                      <w:rFonts w:ascii="Times New Roman" w:hAnsi="Times New Roman" w:cs="Times New Roman"/>
                      <w:sz w:val="20"/>
                      <w:szCs w:val="20"/>
                      <w:lang w:eastAsia="zh-CN"/>
                    </w:rPr>
                  </w:pPr>
                  <w:r>
                    <w:rPr>
                      <w:rFonts w:ascii="Times New Roman" w:hAnsi="Times New Roman" w:cs="Times New Roman"/>
                      <w:spacing w:val="9"/>
                      <w:sz w:val="20"/>
                      <w:szCs w:val="20"/>
                      <w:lang w:eastAsia="zh-CN"/>
                    </w:rPr>
                    <w:t>/</w:t>
                  </w:r>
                </w:p>
              </w:tc>
              <w:tc>
                <w:tcPr>
                  <w:tcW w:w="467" w:type="pct"/>
                  <w:tcBorders>
                    <w:right w:val="nil"/>
                  </w:tcBorders>
                  <w:vAlign w:val="center"/>
                </w:tcPr>
                <w:p>
                  <w:pPr>
                    <w:spacing w:before="144" w:line="274" w:lineRule="exact"/>
                    <w:ind w:left="341"/>
                    <w:rPr>
                      <w:rFonts w:eastAsia="Times New Roman"/>
                      <w:sz w:val="20"/>
                      <w:szCs w:val="20"/>
                    </w:rPr>
                  </w:pPr>
                  <w:r>
                    <w:rPr>
                      <w:rFonts w:eastAsia="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78" w:type="pct"/>
                  <w:vMerge w:val="continue"/>
                  <w:tcBorders>
                    <w:top w:val="nil"/>
                    <w:left w:val="nil"/>
                  </w:tcBorders>
                  <w:vAlign w:val="center"/>
                </w:tcPr>
                <w:p>
                  <w:pPr>
                    <w:jc w:val="center"/>
                  </w:pPr>
                </w:p>
              </w:tc>
              <w:tc>
                <w:tcPr>
                  <w:tcW w:w="1870" w:type="pct"/>
                  <w:vAlign w:val="center"/>
                </w:tcPr>
                <w:p>
                  <w:pPr>
                    <w:pStyle w:val="34"/>
                    <w:spacing w:before="9" w:line="237" w:lineRule="auto"/>
                    <w:jc w:val="center"/>
                    <w:rPr>
                      <w:rFonts w:ascii="Times New Roman" w:hAnsi="Times New Roman" w:cs="Times New Roman"/>
                      <w:sz w:val="20"/>
                      <w:szCs w:val="20"/>
                      <w:lang w:eastAsia="zh-CN"/>
                    </w:rPr>
                  </w:pPr>
                  <w:r>
                    <w:rPr>
                      <w:rFonts w:ascii="Times New Roman" w:hAnsi="Times New Roman" w:cs="Times New Roman"/>
                      <w:spacing w:val="-2"/>
                      <w:sz w:val="20"/>
                      <w:szCs w:val="20"/>
                      <w:lang w:eastAsia="zh-CN"/>
                    </w:rPr>
                    <w:t>生产用水取自项目南侧丁家坝河；生活用水由天台村自来水系统供给</w:t>
                  </w:r>
                </w:p>
              </w:tc>
              <w:tc>
                <w:tcPr>
                  <w:tcW w:w="1885" w:type="pct"/>
                  <w:vAlign w:val="center"/>
                </w:tcPr>
                <w:p>
                  <w:pPr>
                    <w:spacing w:before="9" w:line="256" w:lineRule="exact"/>
                    <w:ind w:left="107"/>
                    <w:jc w:val="center"/>
                    <w:rPr>
                      <w:rFonts w:eastAsia="Times New Roman"/>
                      <w:sz w:val="20"/>
                      <w:szCs w:val="20"/>
                    </w:rPr>
                  </w:pPr>
                  <w:r>
                    <w:rPr>
                      <w:rFonts w:eastAsia="Times New Roman"/>
                      <w:spacing w:val="2"/>
                      <w:position w:val="1"/>
                      <w:sz w:val="20"/>
                      <w:szCs w:val="20"/>
                    </w:rPr>
                    <w:t>/</w:t>
                  </w:r>
                </w:p>
              </w:tc>
              <w:tc>
                <w:tcPr>
                  <w:tcW w:w="467" w:type="pct"/>
                  <w:tcBorders>
                    <w:right w:val="nil"/>
                  </w:tcBorders>
                  <w:vAlign w:val="center"/>
                </w:tcPr>
                <w:p>
                  <w:pPr>
                    <w:spacing w:before="9" w:line="256" w:lineRule="exact"/>
                    <w:ind w:left="341"/>
                    <w:rPr>
                      <w:rFonts w:eastAsia="Times New Roman"/>
                      <w:sz w:val="20"/>
                      <w:szCs w:val="20"/>
                    </w:rPr>
                  </w:pPr>
                  <w:r>
                    <w:rPr>
                      <w:rFonts w:eastAsia="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778" w:type="pct"/>
                  <w:vMerge w:val="restart"/>
                  <w:tcBorders>
                    <w:left w:val="nil"/>
                    <w:bottom w:val="nil"/>
                  </w:tcBorders>
                  <w:vAlign w:val="center"/>
                </w:tcPr>
                <w:p>
                  <w:pPr>
                    <w:pStyle w:val="34"/>
                    <w:spacing w:before="65" w:line="229" w:lineRule="auto"/>
                    <w:jc w:val="center"/>
                    <w:rPr>
                      <w:rFonts w:ascii="Times New Roman" w:hAnsi="Times New Roman" w:cs="Times New Roman"/>
                      <w:sz w:val="20"/>
                      <w:szCs w:val="20"/>
                    </w:rPr>
                  </w:pPr>
                  <w:r>
                    <w:rPr>
                      <w:rFonts w:ascii="Times New Roman" w:hAnsi="Times New Roman" w:cs="Times New Roman"/>
                      <w:spacing w:val="7"/>
                      <w:sz w:val="20"/>
                      <w:szCs w:val="20"/>
                    </w:rPr>
                    <w:t>环保工程</w:t>
                  </w:r>
                </w:p>
              </w:tc>
              <w:tc>
                <w:tcPr>
                  <w:tcW w:w="1870" w:type="pct"/>
                  <w:vAlign w:val="center"/>
                </w:tcPr>
                <w:p>
                  <w:pPr>
                    <w:pStyle w:val="34"/>
                    <w:spacing w:before="24" w:line="207" w:lineRule="auto"/>
                    <w:jc w:val="center"/>
                    <w:rPr>
                      <w:rFonts w:ascii="Times New Roman" w:hAnsi="Times New Roman" w:cs="Times New Roman"/>
                      <w:sz w:val="20"/>
                      <w:szCs w:val="20"/>
                      <w:lang w:eastAsia="zh-CN"/>
                    </w:rPr>
                  </w:pPr>
                  <w:r>
                    <w:rPr>
                      <w:rFonts w:ascii="Times New Roman" w:hAnsi="Times New Roman" w:cs="Times New Roman"/>
                      <w:sz w:val="20"/>
                      <w:szCs w:val="20"/>
                      <w:lang w:eastAsia="zh-CN"/>
                    </w:rPr>
                    <w:t>厂区南侧设置1套废水处理系统，处理能理400</w:t>
                  </w:r>
                  <w:r>
                    <w:rPr>
                      <w:rFonts w:hint="eastAsia" w:ascii="Times New Roman" w:hAnsi="Times New Roman" w:cs="Times New Roman"/>
                      <w:sz w:val="20"/>
                      <w:szCs w:val="20"/>
                      <w:lang w:eastAsia="zh-CN"/>
                    </w:rPr>
                    <w:t>m³</w:t>
                  </w:r>
                  <w:r>
                    <w:rPr>
                      <w:rFonts w:ascii="Times New Roman" w:hAnsi="Times New Roman" w:cs="Times New Roman"/>
                      <w:sz w:val="20"/>
                      <w:szCs w:val="20"/>
                      <w:lang w:eastAsia="zh-CN"/>
                    </w:rPr>
                    <w:t>/d，包括2个洗砂废水沉淀池（每个20</w:t>
                  </w:r>
                  <w:r>
                    <w:rPr>
                      <w:rFonts w:hint="eastAsia" w:ascii="Times New Roman" w:hAnsi="Times New Roman" w:cs="Times New Roman"/>
                      <w:sz w:val="20"/>
                      <w:szCs w:val="20"/>
                      <w:lang w:eastAsia="zh-CN"/>
                    </w:rPr>
                    <w:t xml:space="preserve"> m³</w:t>
                  </w:r>
                  <w:r>
                    <w:rPr>
                      <w:rFonts w:ascii="Times New Roman" w:hAnsi="Times New Roman" w:cs="Times New Roman"/>
                      <w:sz w:val="20"/>
                      <w:szCs w:val="20"/>
                      <w:lang w:eastAsia="zh-CN"/>
                    </w:rPr>
                    <w:t>）、1个污泥浓缩罐（100t）、1个清水池（400</w:t>
                  </w:r>
                  <w:r>
                    <w:rPr>
                      <w:rFonts w:hint="eastAsia" w:ascii="Times New Roman" w:hAnsi="Times New Roman" w:cs="Times New Roman"/>
                      <w:sz w:val="20"/>
                      <w:szCs w:val="20"/>
                      <w:lang w:eastAsia="zh-CN"/>
                    </w:rPr>
                    <w:t xml:space="preserve"> m³</w:t>
                  </w:r>
                  <w:r>
                    <w:rPr>
                      <w:rFonts w:ascii="Times New Roman" w:hAnsi="Times New Roman" w:cs="Times New Roman"/>
                      <w:sz w:val="20"/>
                      <w:szCs w:val="20"/>
                      <w:lang w:eastAsia="zh-CN"/>
                    </w:rPr>
                    <w:t>）、加药系统、压滤系统等组成。筛分洗砂废水经收集后由泵抽至1套污泥浓缩罐，经添加絮凝剂快速沉淀后，废水循环使用。</w:t>
                  </w:r>
                </w:p>
              </w:tc>
              <w:tc>
                <w:tcPr>
                  <w:tcW w:w="1885" w:type="pct"/>
                  <w:vAlign w:val="center"/>
                </w:tcPr>
                <w:p>
                  <w:pPr>
                    <w:pStyle w:val="34"/>
                    <w:spacing w:before="176" w:line="241" w:lineRule="auto"/>
                    <w:ind w:left="122" w:right="150" w:hanging="4"/>
                    <w:jc w:val="center"/>
                    <w:rPr>
                      <w:rFonts w:ascii="Times New Roman" w:hAnsi="Times New Roman" w:cs="Times New Roman"/>
                      <w:sz w:val="20"/>
                      <w:szCs w:val="20"/>
                      <w:lang w:eastAsia="zh-CN"/>
                    </w:rPr>
                  </w:pPr>
                  <w:r>
                    <w:rPr>
                      <w:rFonts w:hint="eastAsia" w:ascii="Times New Roman" w:hAnsi="Times New Roman" w:cs="Times New Roman"/>
                      <w:spacing w:val="9"/>
                      <w:sz w:val="20"/>
                      <w:szCs w:val="20"/>
                      <w:lang w:eastAsia="zh-CN"/>
                    </w:rPr>
                    <w:t>/</w:t>
                  </w:r>
                </w:p>
              </w:tc>
              <w:tc>
                <w:tcPr>
                  <w:tcW w:w="467" w:type="pct"/>
                  <w:tcBorders>
                    <w:right w:val="nil"/>
                  </w:tcBorders>
                  <w:vAlign w:val="center"/>
                </w:tcPr>
                <w:p>
                  <w:pPr>
                    <w:spacing w:before="282" w:line="274" w:lineRule="exact"/>
                    <w:ind w:left="341"/>
                    <w:rPr>
                      <w:rFonts w:eastAsia="Times New Roman"/>
                      <w:sz w:val="20"/>
                      <w:szCs w:val="20"/>
                    </w:rPr>
                  </w:pPr>
                  <w:r>
                    <w:rPr>
                      <w:rFonts w:eastAsia="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trPr>
              <w:tc>
                <w:tcPr>
                  <w:tcW w:w="778" w:type="pct"/>
                  <w:vMerge w:val="continue"/>
                  <w:tcBorders>
                    <w:top w:val="nil"/>
                    <w:left w:val="nil"/>
                    <w:bottom w:val="nil"/>
                  </w:tcBorders>
                  <w:vAlign w:val="center"/>
                </w:tcPr>
                <w:p>
                  <w:pPr>
                    <w:jc w:val="center"/>
                  </w:pPr>
                </w:p>
              </w:tc>
              <w:tc>
                <w:tcPr>
                  <w:tcW w:w="1870" w:type="pct"/>
                  <w:vAlign w:val="center"/>
                </w:tcPr>
                <w:p>
                  <w:pPr>
                    <w:pStyle w:val="34"/>
                    <w:spacing w:before="179"/>
                    <w:ind w:left="127" w:right="167"/>
                    <w:jc w:val="center"/>
                    <w:rPr>
                      <w:rFonts w:ascii="Times New Roman" w:hAnsi="Times New Roman" w:eastAsia="Times New Roman" w:cs="Times New Roman"/>
                      <w:sz w:val="13"/>
                      <w:szCs w:val="13"/>
                      <w:lang w:eastAsia="zh-CN"/>
                    </w:rPr>
                  </w:pPr>
                  <w:r>
                    <w:rPr>
                      <w:rFonts w:hint="eastAsia" w:ascii="Times New Roman" w:hAnsi="Times New Roman" w:cs="Times New Roman"/>
                      <w:spacing w:val="2"/>
                      <w:sz w:val="20"/>
                      <w:szCs w:val="20"/>
                      <w:lang w:eastAsia="zh-CN"/>
                    </w:rPr>
                    <w:t>依托厂区内已建的1个容积3</w:t>
                  </w:r>
                  <w:r>
                    <w:rPr>
                      <w:rFonts w:hint="eastAsia" w:ascii="Times New Roman" w:hAnsi="Times New Roman" w:cs="Times New Roman"/>
                      <w:sz w:val="20"/>
                      <w:szCs w:val="20"/>
                      <w:lang w:eastAsia="zh-CN"/>
                    </w:rPr>
                    <w:t xml:space="preserve"> m³</w:t>
                  </w:r>
                  <w:r>
                    <w:rPr>
                      <w:rFonts w:hint="eastAsia" w:ascii="Times New Roman" w:hAnsi="Times New Roman" w:cs="Times New Roman"/>
                      <w:spacing w:val="2"/>
                      <w:sz w:val="20"/>
                      <w:szCs w:val="20"/>
                      <w:lang w:eastAsia="zh-CN"/>
                    </w:rPr>
                    <w:t>的化粪池，员工日常生活污水经厂区化粪池处理后用作农肥。</w:t>
                  </w:r>
                </w:p>
              </w:tc>
              <w:tc>
                <w:tcPr>
                  <w:tcW w:w="1885" w:type="pct"/>
                  <w:vAlign w:val="center"/>
                </w:tcPr>
                <w:p>
                  <w:pPr>
                    <w:pStyle w:val="34"/>
                    <w:spacing w:before="45" w:line="235" w:lineRule="auto"/>
                    <w:ind w:left="117" w:right="150" w:firstLine="1"/>
                    <w:jc w:val="center"/>
                    <w:rPr>
                      <w:rFonts w:ascii="Times New Roman" w:hAnsi="Times New Roman" w:eastAsia="Times New Roman" w:cs="Times New Roman"/>
                      <w:sz w:val="13"/>
                      <w:szCs w:val="13"/>
                      <w:lang w:eastAsia="zh-CN"/>
                    </w:rPr>
                  </w:pPr>
                  <w:r>
                    <w:rPr>
                      <w:rFonts w:hint="eastAsia" w:ascii="Times New Roman" w:hAnsi="Times New Roman" w:cs="Times New Roman"/>
                      <w:spacing w:val="6"/>
                      <w:sz w:val="20"/>
                      <w:szCs w:val="20"/>
                      <w:lang w:eastAsia="zh-CN"/>
                    </w:rPr>
                    <w:t>/</w:t>
                  </w:r>
                </w:p>
              </w:tc>
              <w:tc>
                <w:tcPr>
                  <w:tcW w:w="467" w:type="pct"/>
                  <w:tcBorders>
                    <w:right w:val="nil"/>
                  </w:tcBorders>
                  <w:vAlign w:val="center"/>
                </w:tcPr>
                <w:p>
                  <w:pPr>
                    <w:spacing w:before="286" w:line="274" w:lineRule="exact"/>
                    <w:ind w:left="341"/>
                    <w:rPr>
                      <w:rFonts w:eastAsia="Times New Roman"/>
                      <w:sz w:val="20"/>
                      <w:szCs w:val="20"/>
                    </w:rPr>
                  </w:pPr>
                  <w:r>
                    <w:rPr>
                      <w:rFonts w:eastAsia="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778" w:type="pct"/>
                  <w:vMerge w:val="continue"/>
                  <w:tcBorders>
                    <w:top w:val="nil"/>
                    <w:left w:val="nil"/>
                    <w:bottom w:val="nil"/>
                  </w:tcBorders>
                  <w:vAlign w:val="center"/>
                </w:tcPr>
                <w:p>
                  <w:pPr>
                    <w:jc w:val="center"/>
                  </w:pPr>
                </w:p>
              </w:tc>
              <w:tc>
                <w:tcPr>
                  <w:tcW w:w="1870" w:type="pct"/>
                  <w:vAlign w:val="center"/>
                </w:tcPr>
                <w:p>
                  <w:pPr>
                    <w:pStyle w:val="34"/>
                    <w:spacing w:before="24" w:line="207" w:lineRule="auto"/>
                    <w:jc w:val="center"/>
                    <w:rPr>
                      <w:rFonts w:ascii="Times New Roman" w:hAnsi="Times New Roman" w:cs="Times New Roman"/>
                      <w:sz w:val="20"/>
                      <w:szCs w:val="20"/>
                      <w:lang w:eastAsia="zh-CN"/>
                    </w:rPr>
                  </w:pPr>
                  <w:r>
                    <w:rPr>
                      <w:rFonts w:hint="eastAsia" w:ascii="Times New Roman" w:hAnsi="Times New Roman" w:cs="Times New Roman"/>
                      <w:sz w:val="20"/>
                      <w:szCs w:val="20"/>
                      <w:lang w:eastAsia="zh-CN"/>
                    </w:rPr>
                    <w:t>目前成品堆场为露天堆场，堆场未设置导水沟；</w:t>
                  </w:r>
                </w:p>
              </w:tc>
              <w:tc>
                <w:tcPr>
                  <w:tcW w:w="1885" w:type="pct"/>
                  <w:vAlign w:val="center"/>
                </w:tcPr>
                <w:p>
                  <w:pPr>
                    <w:pStyle w:val="34"/>
                    <w:spacing w:before="49" w:line="238" w:lineRule="auto"/>
                    <w:ind w:left="114" w:right="150" w:firstLine="2"/>
                    <w:jc w:val="center"/>
                    <w:rPr>
                      <w:rFonts w:ascii="Times New Roman" w:hAnsi="Times New Roman" w:cs="Times New Roman"/>
                      <w:sz w:val="20"/>
                      <w:szCs w:val="20"/>
                      <w:lang w:eastAsia="zh-CN"/>
                    </w:rPr>
                  </w:pPr>
                  <w:r>
                    <w:rPr>
                      <w:rFonts w:hint="eastAsia" w:ascii="Times New Roman" w:hAnsi="Times New Roman" w:cs="Times New Roman"/>
                      <w:spacing w:val="9"/>
                      <w:sz w:val="20"/>
                      <w:szCs w:val="20"/>
                      <w:lang w:eastAsia="zh-CN"/>
                    </w:rPr>
                    <w:t>成品堆场设导水沟接通沉淀池，将渗沥水收集至洗砂废水处理设施处理后回用不外排</w:t>
                  </w:r>
                </w:p>
              </w:tc>
              <w:tc>
                <w:tcPr>
                  <w:tcW w:w="467" w:type="pct"/>
                  <w:tcBorders>
                    <w:right w:val="nil"/>
                  </w:tcBorders>
                  <w:vAlign w:val="center"/>
                </w:tcPr>
                <w:p>
                  <w:pPr>
                    <w:spacing w:before="57" w:line="274" w:lineRule="exact"/>
                    <w:ind w:left="341"/>
                    <w:rPr>
                      <w:rFonts w:eastAsia="Times New Roman"/>
                      <w:sz w:val="20"/>
                      <w:szCs w:val="20"/>
                    </w:rPr>
                  </w:pPr>
                  <w:r>
                    <w:rPr>
                      <w:rFonts w:eastAsia="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778" w:type="pct"/>
                  <w:vMerge w:val="continue"/>
                  <w:tcBorders>
                    <w:top w:val="nil"/>
                    <w:left w:val="nil"/>
                    <w:bottom w:val="nil"/>
                  </w:tcBorders>
                  <w:vAlign w:val="center"/>
                </w:tcPr>
                <w:p>
                  <w:pPr>
                    <w:jc w:val="center"/>
                  </w:pPr>
                </w:p>
              </w:tc>
              <w:tc>
                <w:tcPr>
                  <w:tcW w:w="1870" w:type="pct"/>
                  <w:vAlign w:val="center"/>
                </w:tcPr>
                <w:p>
                  <w:pPr>
                    <w:pStyle w:val="34"/>
                    <w:spacing w:before="24" w:line="207" w:lineRule="auto"/>
                    <w:jc w:val="center"/>
                    <w:rPr>
                      <w:rFonts w:ascii="Times New Roman" w:hAnsi="Times New Roman" w:cs="Times New Roman"/>
                      <w:sz w:val="20"/>
                      <w:szCs w:val="20"/>
                      <w:lang w:eastAsia="zh-CN"/>
                    </w:rPr>
                  </w:pPr>
                  <w:r>
                    <w:rPr>
                      <w:rFonts w:hint="eastAsia" w:ascii="Times New Roman" w:hAnsi="Times New Roman" w:cs="Times New Roman"/>
                      <w:sz w:val="20"/>
                      <w:szCs w:val="20"/>
                      <w:lang w:eastAsia="zh-CN"/>
                    </w:rPr>
                    <w:t>在厂区地势最低处设置1个雨水收集池，容积约50m³ ，初期雨水回用生产，不外排。</w:t>
                  </w:r>
                </w:p>
              </w:tc>
              <w:tc>
                <w:tcPr>
                  <w:tcW w:w="1885" w:type="pct"/>
                  <w:vAlign w:val="center"/>
                </w:tcPr>
                <w:p>
                  <w:pPr>
                    <w:pStyle w:val="34"/>
                    <w:spacing w:before="49" w:line="238" w:lineRule="auto"/>
                    <w:ind w:left="114" w:right="150" w:firstLine="2"/>
                    <w:jc w:val="center"/>
                    <w:rPr>
                      <w:rFonts w:ascii="Times New Roman" w:hAnsi="Times New Roman" w:cs="Times New Roman"/>
                      <w:spacing w:val="9"/>
                      <w:sz w:val="20"/>
                      <w:szCs w:val="20"/>
                      <w:lang w:eastAsia="zh-CN"/>
                    </w:rPr>
                  </w:pPr>
                  <w:r>
                    <w:rPr>
                      <w:rFonts w:hint="eastAsia" w:ascii="Times New Roman" w:hAnsi="Times New Roman" w:cs="Times New Roman"/>
                      <w:spacing w:val="9"/>
                      <w:sz w:val="20"/>
                      <w:szCs w:val="20"/>
                      <w:lang w:eastAsia="zh-CN"/>
                    </w:rPr>
                    <w:t>/</w:t>
                  </w:r>
                </w:p>
              </w:tc>
              <w:tc>
                <w:tcPr>
                  <w:tcW w:w="467" w:type="pct"/>
                  <w:tcBorders>
                    <w:right w:val="nil"/>
                  </w:tcBorders>
                  <w:vAlign w:val="center"/>
                </w:tcPr>
                <w:p>
                  <w:pPr>
                    <w:spacing w:line="365" w:lineRule="auto"/>
                    <w:jc w:val="center"/>
                  </w:pPr>
                  <w:r>
                    <w:rPr>
                      <w:rFonts w:hint="eastAsi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1" w:hRule="atLeast"/>
              </w:trPr>
              <w:tc>
                <w:tcPr>
                  <w:tcW w:w="778" w:type="pct"/>
                  <w:vMerge w:val="continue"/>
                  <w:tcBorders>
                    <w:top w:val="nil"/>
                    <w:left w:val="nil"/>
                    <w:bottom w:val="nil"/>
                  </w:tcBorders>
                  <w:vAlign w:val="center"/>
                </w:tcPr>
                <w:p>
                  <w:pPr>
                    <w:jc w:val="center"/>
                  </w:pPr>
                </w:p>
              </w:tc>
              <w:tc>
                <w:tcPr>
                  <w:tcW w:w="1870" w:type="pct"/>
                  <w:vAlign w:val="center"/>
                </w:tcPr>
                <w:p>
                  <w:pPr>
                    <w:pStyle w:val="34"/>
                    <w:spacing w:before="24" w:line="207" w:lineRule="auto"/>
                    <w:jc w:val="center"/>
                    <w:rPr>
                      <w:rFonts w:ascii="Times New Roman" w:hAnsi="Times New Roman" w:cs="Times New Roman"/>
                      <w:sz w:val="20"/>
                      <w:szCs w:val="20"/>
                      <w:lang w:eastAsia="zh-CN"/>
                    </w:rPr>
                  </w:pPr>
                  <w:r>
                    <w:rPr>
                      <w:rFonts w:hint="eastAsia" w:ascii="Times New Roman" w:hAnsi="Times New Roman" w:cs="Times New Roman"/>
                      <w:sz w:val="20"/>
                      <w:szCs w:val="20"/>
                      <w:lang w:eastAsia="zh-CN"/>
                    </w:rPr>
                    <w:t>设沉淀池（容积 4m³）收集冲洗废水，沉淀处理后回用不外排。</w:t>
                  </w:r>
                </w:p>
              </w:tc>
              <w:tc>
                <w:tcPr>
                  <w:tcW w:w="1885" w:type="pct"/>
                  <w:vAlign w:val="center"/>
                </w:tcPr>
                <w:p>
                  <w:pPr>
                    <w:pStyle w:val="34"/>
                    <w:spacing w:before="49" w:line="238" w:lineRule="auto"/>
                    <w:ind w:left="114" w:right="150" w:firstLine="2"/>
                    <w:jc w:val="center"/>
                    <w:rPr>
                      <w:rFonts w:ascii="Times New Roman" w:hAnsi="Times New Roman" w:cs="Times New Roman"/>
                      <w:spacing w:val="9"/>
                      <w:sz w:val="20"/>
                      <w:szCs w:val="20"/>
                      <w:lang w:eastAsia="zh-CN"/>
                    </w:rPr>
                  </w:pPr>
                  <w:r>
                    <w:rPr>
                      <w:rFonts w:hint="eastAsia" w:ascii="Times New Roman" w:hAnsi="Times New Roman" w:cs="Times New Roman"/>
                      <w:spacing w:val="9"/>
                      <w:sz w:val="20"/>
                      <w:szCs w:val="20"/>
                      <w:lang w:eastAsia="zh-CN"/>
                    </w:rPr>
                    <w:t>/</w:t>
                  </w:r>
                </w:p>
              </w:tc>
              <w:tc>
                <w:tcPr>
                  <w:tcW w:w="467" w:type="pct"/>
                  <w:tcBorders>
                    <w:right w:val="nil"/>
                  </w:tcBorders>
                  <w:vAlign w:val="center"/>
                </w:tcPr>
                <w:p>
                  <w:pPr>
                    <w:spacing w:line="365" w:lineRule="auto"/>
                    <w:jc w:val="center"/>
                  </w:pPr>
                  <w:r>
                    <w:rPr>
                      <w:rFonts w:hint="eastAsi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778" w:type="pct"/>
                  <w:vMerge w:val="continue"/>
                  <w:tcBorders>
                    <w:top w:val="nil"/>
                    <w:left w:val="nil"/>
                    <w:bottom w:val="nil"/>
                  </w:tcBorders>
                  <w:vAlign w:val="center"/>
                </w:tcPr>
                <w:p>
                  <w:pPr>
                    <w:jc w:val="center"/>
                  </w:pPr>
                </w:p>
              </w:tc>
              <w:tc>
                <w:tcPr>
                  <w:tcW w:w="1870" w:type="pct"/>
                  <w:vAlign w:val="center"/>
                </w:tcPr>
                <w:p>
                  <w:pPr>
                    <w:pStyle w:val="34"/>
                    <w:spacing w:before="24" w:line="207" w:lineRule="auto"/>
                    <w:jc w:val="center"/>
                    <w:rPr>
                      <w:rFonts w:ascii="Times New Roman" w:hAnsi="Times New Roman" w:cs="Times New Roman"/>
                      <w:sz w:val="20"/>
                      <w:szCs w:val="20"/>
                      <w:lang w:eastAsia="zh-CN"/>
                    </w:rPr>
                  </w:pPr>
                  <w:r>
                    <w:rPr>
                      <w:rFonts w:hint="eastAsia" w:ascii="Times New Roman" w:hAnsi="Times New Roman" w:cs="Times New Roman"/>
                      <w:sz w:val="20"/>
                      <w:szCs w:val="20"/>
                      <w:lang w:eastAsia="zh-CN"/>
                    </w:rPr>
                    <w:t>/</w:t>
                  </w:r>
                </w:p>
              </w:tc>
              <w:tc>
                <w:tcPr>
                  <w:tcW w:w="1885" w:type="pct"/>
                  <w:vAlign w:val="center"/>
                </w:tcPr>
                <w:p>
                  <w:pPr>
                    <w:pStyle w:val="34"/>
                    <w:spacing w:before="49" w:line="238" w:lineRule="auto"/>
                    <w:ind w:left="114" w:right="150" w:firstLine="2"/>
                    <w:jc w:val="center"/>
                    <w:rPr>
                      <w:rFonts w:ascii="Times New Roman" w:hAnsi="Times New Roman" w:cs="Times New Roman"/>
                      <w:spacing w:val="9"/>
                      <w:sz w:val="20"/>
                      <w:szCs w:val="20"/>
                      <w:lang w:eastAsia="zh-CN"/>
                    </w:rPr>
                  </w:pPr>
                  <w:r>
                    <w:rPr>
                      <w:rFonts w:hint="eastAsia" w:ascii="Times New Roman" w:hAnsi="Times New Roman" w:cs="Times New Roman"/>
                      <w:spacing w:val="9"/>
                      <w:sz w:val="20"/>
                      <w:szCs w:val="20"/>
                      <w:lang w:eastAsia="zh-CN"/>
                    </w:rPr>
                    <w:t>建设一个封闭式厂房，将原料堆场设置在厂房内，在堆场卸料作业区上方采取喷雾降尘措施</w:t>
                  </w:r>
                </w:p>
              </w:tc>
              <w:tc>
                <w:tcPr>
                  <w:tcW w:w="467" w:type="pct"/>
                  <w:tcBorders>
                    <w:right w:val="nil"/>
                  </w:tcBorders>
                  <w:vAlign w:val="center"/>
                </w:tcPr>
                <w:p>
                  <w:pPr>
                    <w:spacing w:line="365" w:lineRule="auto"/>
                    <w:jc w:val="center"/>
                  </w:pPr>
                  <w:r>
                    <w:rPr>
                      <w:rFonts w:hint="eastAsi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778" w:type="pct"/>
                  <w:vMerge w:val="continue"/>
                  <w:tcBorders>
                    <w:top w:val="nil"/>
                    <w:left w:val="nil"/>
                    <w:bottom w:val="nil"/>
                  </w:tcBorders>
                  <w:vAlign w:val="center"/>
                </w:tcPr>
                <w:p>
                  <w:pPr>
                    <w:jc w:val="center"/>
                  </w:pPr>
                </w:p>
              </w:tc>
              <w:tc>
                <w:tcPr>
                  <w:tcW w:w="1870" w:type="pct"/>
                  <w:vAlign w:val="center"/>
                </w:tcPr>
                <w:p>
                  <w:pPr>
                    <w:pStyle w:val="34"/>
                    <w:spacing w:before="24" w:line="207" w:lineRule="auto"/>
                    <w:jc w:val="center"/>
                    <w:rPr>
                      <w:rFonts w:ascii="Times New Roman" w:hAnsi="Times New Roman" w:cs="Times New Roman"/>
                      <w:sz w:val="20"/>
                      <w:szCs w:val="20"/>
                      <w:lang w:eastAsia="zh-CN"/>
                    </w:rPr>
                  </w:pPr>
                  <w:r>
                    <w:rPr>
                      <w:rFonts w:hint="eastAsia" w:ascii="Times New Roman" w:hAnsi="Times New Roman" w:cs="Times New Roman"/>
                      <w:sz w:val="20"/>
                      <w:szCs w:val="20"/>
                      <w:lang w:eastAsia="zh-CN"/>
                    </w:rPr>
                    <w:t>/</w:t>
                  </w:r>
                </w:p>
              </w:tc>
              <w:tc>
                <w:tcPr>
                  <w:tcW w:w="1885" w:type="pct"/>
                  <w:vAlign w:val="center"/>
                </w:tcPr>
                <w:p>
                  <w:pPr>
                    <w:pStyle w:val="34"/>
                    <w:spacing w:before="49" w:line="238" w:lineRule="auto"/>
                    <w:ind w:left="114" w:right="150" w:firstLine="2"/>
                    <w:jc w:val="center"/>
                    <w:rPr>
                      <w:rFonts w:ascii="Times New Roman" w:hAnsi="Times New Roman" w:cs="Times New Roman"/>
                      <w:spacing w:val="9"/>
                      <w:sz w:val="20"/>
                      <w:szCs w:val="20"/>
                      <w:lang w:eastAsia="zh-CN"/>
                    </w:rPr>
                  </w:pPr>
                  <w:r>
                    <w:rPr>
                      <w:rFonts w:hint="eastAsia" w:ascii="Times New Roman" w:hAnsi="Times New Roman" w:cs="Times New Roman"/>
                      <w:spacing w:val="9"/>
                      <w:sz w:val="20"/>
                      <w:szCs w:val="20"/>
                      <w:lang w:eastAsia="zh-CN"/>
                    </w:rPr>
                    <w:t>给料机入料口进行二次封闭，设三面围挡及顶部遮盖并采取喷雾降尘</w:t>
                  </w:r>
                </w:p>
              </w:tc>
              <w:tc>
                <w:tcPr>
                  <w:tcW w:w="467" w:type="pct"/>
                  <w:tcBorders>
                    <w:right w:val="nil"/>
                  </w:tcBorders>
                  <w:vAlign w:val="center"/>
                </w:tcPr>
                <w:p>
                  <w:pPr>
                    <w:spacing w:line="365" w:lineRule="auto"/>
                    <w:jc w:val="center"/>
                  </w:pPr>
                  <w:r>
                    <w:rPr>
                      <w:rFonts w:hint="eastAsi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778" w:type="pct"/>
                  <w:vMerge w:val="continue"/>
                  <w:tcBorders>
                    <w:top w:val="nil"/>
                    <w:left w:val="nil"/>
                    <w:bottom w:val="nil"/>
                  </w:tcBorders>
                  <w:vAlign w:val="center"/>
                </w:tcPr>
                <w:p>
                  <w:pPr>
                    <w:jc w:val="center"/>
                  </w:pPr>
                </w:p>
              </w:tc>
              <w:tc>
                <w:tcPr>
                  <w:tcW w:w="1870" w:type="pct"/>
                  <w:vAlign w:val="center"/>
                </w:tcPr>
                <w:p>
                  <w:pPr>
                    <w:pStyle w:val="34"/>
                    <w:spacing w:before="24" w:line="207" w:lineRule="auto"/>
                    <w:jc w:val="center"/>
                    <w:rPr>
                      <w:rFonts w:ascii="Times New Roman" w:hAnsi="Times New Roman" w:cs="Times New Roman"/>
                      <w:sz w:val="20"/>
                      <w:szCs w:val="20"/>
                      <w:lang w:eastAsia="zh-CN"/>
                    </w:rPr>
                  </w:pPr>
                  <w:r>
                    <w:rPr>
                      <w:rFonts w:hint="eastAsia" w:ascii="Times New Roman" w:hAnsi="Times New Roman" w:cs="Times New Roman"/>
                      <w:sz w:val="20"/>
                      <w:szCs w:val="20"/>
                      <w:lang w:eastAsia="zh-CN"/>
                    </w:rPr>
                    <w:t>已对颚式破碎机、反击式破碎机以及之间的输送皮带采取了封闭措施，在鄂破机进料口设置了喷雾降尘</w:t>
                  </w:r>
                </w:p>
              </w:tc>
              <w:tc>
                <w:tcPr>
                  <w:tcW w:w="1885" w:type="pct"/>
                  <w:vAlign w:val="center"/>
                </w:tcPr>
                <w:p>
                  <w:pPr>
                    <w:pStyle w:val="34"/>
                    <w:spacing w:before="49" w:line="238" w:lineRule="auto"/>
                    <w:ind w:left="114" w:right="150" w:firstLine="2"/>
                    <w:jc w:val="center"/>
                    <w:rPr>
                      <w:rFonts w:ascii="Times New Roman" w:hAnsi="Times New Roman" w:cs="Times New Roman"/>
                      <w:spacing w:val="9"/>
                      <w:sz w:val="20"/>
                      <w:szCs w:val="20"/>
                      <w:lang w:eastAsia="zh-CN"/>
                    </w:rPr>
                  </w:pPr>
                  <w:r>
                    <w:rPr>
                      <w:rFonts w:hint="eastAsia" w:ascii="Times New Roman" w:hAnsi="Times New Roman" w:cs="Times New Roman"/>
                      <w:spacing w:val="9"/>
                      <w:sz w:val="20"/>
                      <w:szCs w:val="20"/>
                      <w:lang w:eastAsia="zh-CN"/>
                    </w:rPr>
                    <w:t>建设一个封闭厂房，将破碎设备布置在厂房内</w:t>
                  </w:r>
                </w:p>
              </w:tc>
              <w:tc>
                <w:tcPr>
                  <w:tcW w:w="467" w:type="pct"/>
                  <w:tcBorders>
                    <w:right w:val="nil"/>
                  </w:tcBorders>
                  <w:vAlign w:val="center"/>
                </w:tcPr>
                <w:p>
                  <w:pPr>
                    <w:spacing w:line="365" w:lineRule="auto"/>
                    <w:jc w:val="center"/>
                  </w:pPr>
                  <w:r>
                    <w:rPr>
                      <w:rFonts w:hint="eastAsi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778" w:type="pct"/>
                  <w:vMerge w:val="continue"/>
                  <w:tcBorders>
                    <w:top w:val="nil"/>
                    <w:left w:val="nil"/>
                    <w:bottom w:val="nil"/>
                  </w:tcBorders>
                  <w:vAlign w:val="center"/>
                </w:tcPr>
                <w:p>
                  <w:pPr>
                    <w:jc w:val="center"/>
                  </w:pPr>
                </w:p>
              </w:tc>
              <w:tc>
                <w:tcPr>
                  <w:tcW w:w="1870" w:type="pct"/>
                  <w:vAlign w:val="center"/>
                </w:tcPr>
                <w:p>
                  <w:pPr>
                    <w:pStyle w:val="34"/>
                    <w:spacing w:before="24" w:line="207" w:lineRule="auto"/>
                    <w:jc w:val="center"/>
                    <w:rPr>
                      <w:rFonts w:ascii="Times New Roman" w:hAnsi="Times New Roman" w:cs="Times New Roman"/>
                      <w:sz w:val="20"/>
                      <w:szCs w:val="20"/>
                      <w:lang w:eastAsia="zh-CN"/>
                    </w:rPr>
                  </w:pPr>
                  <w:r>
                    <w:rPr>
                      <w:rFonts w:hint="eastAsia" w:ascii="Times New Roman" w:hAnsi="Times New Roman" w:cs="Times New Roman"/>
                      <w:sz w:val="20"/>
                      <w:szCs w:val="20"/>
                      <w:lang w:eastAsia="zh-CN"/>
                    </w:rPr>
                    <w:t>已对多级振动筛分机采取了封闭措施，生产时对振动筛分环节采取不间断冲水、实现湿法作业</w:t>
                  </w:r>
                </w:p>
              </w:tc>
              <w:tc>
                <w:tcPr>
                  <w:tcW w:w="1885" w:type="pct"/>
                  <w:vAlign w:val="center"/>
                </w:tcPr>
                <w:p>
                  <w:pPr>
                    <w:pStyle w:val="34"/>
                    <w:spacing w:before="49" w:line="238" w:lineRule="auto"/>
                    <w:ind w:left="114" w:right="150" w:firstLine="2"/>
                    <w:jc w:val="center"/>
                    <w:rPr>
                      <w:rFonts w:ascii="Times New Roman" w:hAnsi="Times New Roman" w:cs="Times New Roman"/>
                      <w:spacing w:val="9"/>
                      <w:sz w:val="20"/>
                      <w:szCs w:val="20"/>
                      <w:lang w:eastAsia="zh-CN"/>
                    </w:rPr>
                  </w:pPr>
                  <w:r>
                    <w:rPr>
                      <w:rFonts w:hint="eastAsia" w:ascii="Times New Roman" w:hAnsi="Times New Roman" w:cs="Times New Roman"/>
                      <w:spacing w:val="9"/>
                      <w:sz w:val="20"/>
                      <w:szCs w:val="20"/>
                      <w:lang w:eastAsia="zh-CN"/>
                    </w:rPr>
                    <w:t>/</w:t>
                  </w:r>
                </w:p>
              </w:tc>
              <w:tc>
                <w:tcPr>
                  <w:tcW w:w="467" w:type="pct"/>
                  <w:tcBorders>
                    <w:right w:val="nil"/>
                  </w:tcBorders>
                  <w:vAlign w:val="center"/>
                </w:tcPr>
                <w:p>
                  <w:pPr>
                    <w:spacing w:line="365" w:lineRule="auto"/>
                    <w:jc w:val="center"/>
                  </w:pPr>
                  <w:r>
                    <w:rPr>
                      <w:rFonts w:hint="eastAsi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778" w:type="pct"/>
                  <w:vMerge w:val="continue"/>
                  <w:tcBorders>
                    <w:top w:val="nil"/>
                    <w:left w:val="nil"/>
                    <w:bottom w:val="nil"/>
                  </w:tcBorders>
                  <w:vAlign w:val="center"/>
                </w:tcPr>
                <w:p>
                  <w:pPr>
                    <w:jc w:val="center"/>
                  </w:pPr>
                </w:p>
              </w:tc>
              <w:tc>
                <w:tcPr>
                  <w:tcW w:w="1870" w:type="pct"/>
                  <w:vAlign w:val="center"/>
                </w:tcPr>
                <w:p>
                  <w:pPr>
                    <w:pStyle w:val="34"/>
                    <w:spacing w:before="24" w:line="207" w:lineRule="auto"/>
                    <w:jc w:val="center"/>
                    <w:rPr>
                      <w:rFonts w:ascii="Times New Roman" w:hAnsi="Times New Roman" w:cs="Times New Roman"/>
                      <w:sz w:val="20"/>
                      <w:szCs w:val="20"/>
                      <w:lang w:eastAsia="zh-CN"/>
                    </w:rPr>
                  </w:pPr>
                  <w:r>
                    <w:rPr>
                      <w:rFonts w:hint="eastAsia" w:ascii="Times New Roman" w:hAnsi="Times New Roman" w:cs="Times New Roman"/>
                      <w:sz w:val="20"/>
                      <w:szCs w:val="20"/>
                      <w:lang w:eastAsia="zh-CN"/>
                    </w:rPr>
                    <w:t>皮带平稳运行、采取全封闭措施，采取湿法生产工艺。</w:t>
                  </w:r>
                </w:p>
              </w:tc>
              <w:tc>
                <w:tcPr>
                  <w:tcW w:w="1885" w:type="pct"/>
                  <w:vAlign w:val="center"/>
                </w:tcPr>
                <w:p>
                  <w:pPr>
                    <w:pStyle w:val="34"/>
                    <w:spacing w:before="49" w:line="238" w:lineRule="auto"/>
                    <w:ind w:left="114" w:right="150" w:firstLine="2"/>
                    <w:jc w:val="center"/>
                    <w:rPr>
                      <w:rFonts w:ascii="Times New Roman" w:hAnsi="Times New Roman" w:cs="Times New Roman"/>
                      <w:spacing w:val="9"/>
                      <w:sz w:val="20"/>
                      <w:szCs w:val="20"/>
                      <w:lang w:eastAsia="zh-CN"/>
                    </w:rPr>
                  </w:pPr>
                  <w:r>
                    <w:rPr>
                      <w:rFonts w:hint="eastAsia" w:ascii="Times New Roman" w:hAnsi="Times New Roman" w:cs="Times New Roman"/>
                      <w:spacing w:val="9"/>
                      <w:sz w:val="20"/>
                      <w:szCs w:val="20"/>
                      <w:lang w:eastAsia="zh-CN"/>
                    </w:rPr>
                    <w:t>/</w:t>
                  </w:r>
                </w:p>
              </w:tc>
              <w:tc>
                <w:tcPr>
                  <w:tcW w:w="467" w:type="pct"/>
                  <w:tcBorders>
                    <w:right w:val="nil"/>
                  </w:tcBorders>
                  <w:vAlign w:val="center"/>
                </w:tcPr>
                <w:p>
                  <w:pPr>
                    <w:spacing w:line="365" w:lineRule="auto"/>
                    <w:jc w:val="center"/>
                  </w:pPr>
                  <w:r>
                    <w:rPr>
                      <w:rFonts w:hint="eastAsi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778" w:type="pct"/>
                  <w:vMerge w:val="continue"/>
                  <w:tcBorders>
                    <w:top w:val="nil"/>
                    <w:left w:val="nil"/>
                    <w:bottom w:val="nil"/>
                  </w:tcBorders>
                  <w:vAlign w:val="center"/>
                </w:tcPr>
                <w:p>
                  <w:pPr>
                    <w:jc w:val="center"/>
                  </w:pPr>
                </w:p>
              </w:tc>
              <w:tc>
                <w:tcPr>
                  <w:tcW w:w="1870" w:type="pct"/>
                  <w:vAlign w:val="center"/>
                </w:tcPr>
                <w:p>
                  <w:pPr>
                    <w:pStyle w:val="34"/>
                    <w:spacing w:before="24" w:line="207" w:lineRule="auto"/>
                    <w:jc w:val="center"/>
                    <w:rPr>
                      <w:rFonts w:ascii="Times New Roman" w:hAnsi="Times New Roman" w:cs="Times New Roman"/>
                      <w:sz w:val="20"/>
                      <w:szCs w:val="20"/>
                      <w:lang w:eastAsia="zh-CN"/>
                    </w:rPr>
                  </w:pPr>
                  <w:r>
                    <w:rPr>
                      <w:rFonts w:hint="eastAsia" w:ascii="Times New Roman" w:hAnsi="Times New Roman" w:cs="Times New Roman"/>
                      <w:sz w:val="20"/>
                      <w:szCs w:val="20"/>
                      <w:lang w:eastAsia="zh-CN"/>
                    </w:rPr>
                    <w:t>/</w:t>
                  </w:r>
                </w:p>
              </w:tc>
              <w:tc>
                <w:tcPr>
                  <w:tcW w:w="1885" w:type="pct"/>
                  <w:vAlign w:val="center"/>
                </w:tcPr>
                <w:p>
                  <w:pPr>
                    <w:pStyle w:val="34"/>
                    <w:spacing w:before="49" w:line="238" w:lineRule="auto"/>
                    <w:ind w:left="114" w:right="150" w:firstLine="2"/>
                    <w:jc w:val="center"/>
                    <w:rPr>
                      <w:rFonts w:ascii="Times New Roman" w:hAnsi="Times New Roman" w:cs="Times New Roman"/>
                      <w:spacing w:val="9"/>
                      <w:sz w:val="20"/>
                      <w:szCs w:val="20"/>
                      <w:lang w:eastAsia="zh-CN"/>
                    </w:rPr>
                  </w:pPr>
                  <w:r>
                    <w:rPr>
                      <w:rFonts w:hint="eastAsia" w:ascii="Times New Roman" w:hAnsi="Times New Roman" w:cs="Times New Roman"/>
                      <w:spacing w:val="9"/>
                      <w:sz w:val="20"/>
                      <w:szCs w:val="20"/>
                      <w:lang w:eastAsia="zh-CN"/>
                    </w:rPr>
                    <w:t>将成品堆场布置在封闭式厂房内，采取喷雾降尘，加强装车作业管理</w:t>
                  </w:r>
                </w:p>
              </w:tc>
              <w:tc>
                <w:tcPr>
                  <w:tcW w:w="467" w:type="pct"/>
                  <w:tcBorders>
                    <w:right w:val="nil"/>
                  </w:tcBorders>
                  <w:vAlign w:val="center"/>
                </w:tcPr>
                <w:p>
                  <w:pPr>
                    <w:spacing w:line="365" w:lineRule="auto"/>
                    <w:jc w:val="center"/>
                  </w:pPr>
                  <w:r>
                    <w:rPr>
                      <w:rFonts w:hint="eastAsi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778" w:type="pct"/>
                  <w:vMerge w:val="continue"/>
                  <w:tcBorders>
                    <w:top w:val="nil"/>
                    <w:left w:val="nil"/>
                    <w:bottom w:val="nil"/>
                  </w:tcBorders>
                  <w:vAlign w:val="center"/>
                </w:tcPr>
                <w:p>
                  <w:pPr>
                    <w:jc w:val="center"/>
                  </w:pPr>
                </w:p>
              </w:tc>
              <w:tc>
                <w:tcPr>
                  <w:tcW w:w="1870" w:type="pct"/>
                  <w:vAlign w:val="center"/>
                </w:tcPr>
                <w:p>
                  <w:pPr>
                    <w:pStyle w:val="34"/>
                    <w:spacing w:before="24" w:line="207" w:lineRule="auto"/>
                    <w:jc w:val="center"/>
                    <w:rPr>
                      <w:rFonts w:ascii="Times New Roman" w:hAnsi="Times New Roman" w:cs="Times New Roman"/>
                      <w:sz w:val="20"/>
                      <w:szCs w:val="20"/>
                      <w:lang w:eastAsia="zh-CN"/>
                    </w:rPr>
                  </w:pPr>
                  <w:r>
                    <w:rPr>
                      <w:rFonts w:hint="eastAsia" w:ascii="Times New Roman" w:hAnsi="Times New Roman" w:cs="Times New Roman"/>
                      <w:sz w:val="20"/>
                      <w:szCs w:val="20"/>
                      <w:lang w:eastAsia="zh-CN"/>
                    </w:rPr>
                    <w:t>/</w:t>
                  </w:r>
                </w:p>
              </w:tc>
              <w:tc>
                <w:tcPr>
                  <w:tcW w:w="1885" w:type="pct"/>
                  <w:vAlign w:val="center"/>
                </w:tcPr>
                <w:p>
                  <w:pPr>
                    <w:pStyle w:val="34"/>
                    <w:spacing w:before="49" w:line="238" w:lineRule="auto"/>
                    <w:ind w:left="114" w:right="150" w:firstLine="2"/>
                    <w:jc w:val="center"/>
                    <w:rPr>
                      <w:rFonts w:ascii="Times New Roman" w:hAnsi="Times New Roman" w:cs="Times New Roman"/>
                      <w:spacing w:val="9"/>
                      <w:sz w:val="20"/>
                      <w:szCs w:val="20"/>
                      <w:lang w:eastAsia="zh-CN"/>
                    </w:rPr>
                  </w:pPr>
                  <w:r>
                    <w:rPr>
                      <w:rFonts w:hint="eastAsia" w:ascii="Times New Roman" w:hAnsi="Times New Roman" w:cs="Times New Roman"/>
                      <w:spacing w:val="9"/>
                      <w:sz w:val="20"/>
                      <w:szCs w:val="20"/>
                      <w:lang w:eastAsia="zh-CN"/>
                    </w:rPr>
                    <w:t>厂区地面硬化处理，进出口设车辆冲洗设施，运输车辆加盖篷布密闭运输</w:t>
                  </w:r>
                </w:p>
              </w:tc>
              <w:tc>
                <w:tcPr>
                  <w:tcW w:w="467" w:type="pct"/>
                  <w:tcBorders>
                    <w:right w:val="nil"/>
                  </w:tcBorders>
                  <w:vAlign w:val="center"/>
                </w:tcPr>
                <w:p>
                  <w:pPr>
                    <w:spacing w:line="365" w:lineRule="auto"/>
                    <w:jc w:val="center"/>
                  </w:pPr>
                  <w:r>
                    <w:rPr>
                      <w:rFonts w:hint="eastAsi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778" w:type="pct"/>
                  <w:vMerge w:val="continue"/>
                  <w:tcBorders>
                    <w:top w:val="nil"/>
                    <w:left w:val="nil"/>
                    <w:bottom w:val="nil"/>
                  </w:tcBorders>
                  <w:vAlign w:val="center"/>
                </w:tcPr>
                <w:p>
                  <w:pPr>
                    <w:jc w:val="center"/>
                  </w:pPr>
                </w:p>
              </w:tc>
              <w:tc>
                <w:tcPr>
                  <w:tcW w:w="1870" w:type="pct"/>
                  <w:vAlign w:val="center"/>
                </w:tcPr>
                <w:p>
                  <w:pPr>
                    <w:pStyle w:val="34"/>
                    <w:spacing w:before="24" w:line="207" w:lineRule="auto"/>
                    <w:jc w:val="center"/>
                    <w:rPr>
                      <w:rFonts w:ascii="Times New Roman" w:hAnsi="Times New Roman" w:cs="Times New Roman"/>
                      <w:sz w:val="20"/>
                      <w:szCs w:val="20"/>
                      <w:lang w:eastAsia="zh-CN"/>
                    </w:rPr>
                  </w:pPr>
                  <w:r>
                    <w:rPr>
                      <w:spacing w:val="6"/>
                      <w:sz w:val="20"/>
                      <w:szCs w:val="20"/>
                      <w:lang w:eastAsia="zh-CN"/>
                    </w:rPr>
                    <w:t>厨房设抽油烟机净化处</w:t>
                  </w:r>
                  <w:r>
                    <w:rPr>
                      <w:sz w:val="20"/>
                      <w:szCs w:val="20"/>
                      <w:lang w:eastAsia="zh-CN"/>
                    </w:rPr>
                    <w:t>理</w:t>
                  </w:r>
                </w:p>
              </w:tc>
              <w:tc>
                <w:tcPr>
                  <w:tcW w:w="1885" w:type="pct"/>
                  <w:vAlign w:val="center"/>
                </w:tcPr>
                <w:p>
                  <w:pPr>
                    <w:pStyle w:val="34"/>
                    <w:spacing w:before="49" w:line="238" w:lineRule="auto"/>
                    <w:ind w:left="114" w:right="150" w:firstLine="2"/>
                    <w:jc w:val="center"/>
                    <w:rPr>
                      <w:rFonts w:ascii="Times New Roman" w:hAnsi="Times New Roman" w:cs="Times New Roman"/>
                      <w:spacing w:val="9"/>
                      <w:sz w:val="20"/>
                      <w:szCs w:val="20"/>
                      <w:lang w:eastAsia="zh-CN"/>
                    </w:rPr>
                  </w:pPr>
                  <w:r>
                    <w:rPr>
                      <w:rFonts w:hint="eastAsia" w:ascii="Times New Roman" w:hAnsi="Times New Roman" w:cs="Times New Roman"/>
                      <w:spacing w:val="9"/>
                      <w:sz w:val="20"/>
                      <w:szCs w:val="20"/>
                      <w:lang w:eastAsia="zh-CN"/>
                    </w:rPr>
                    <w:t>/</w:t>
                  </w:r>
                </w:p>
              </w:tc>
              <w:tc>
                <w:tcPr>
                  <w:tcW w:w="467" w:type="pct"/>
                  <w:tcBorders>
                    <w:right w:val="nil"/>
                  </w:tcBorders>
                  <w:vAlign w:val="center"/>
                </w:tcPr>
                <w:p>
                  <w:pPr>
                    <w:spacing w:line="365" w:lineRule="auto"/>
                    <w:jc w:val="center"/>
                  </w:pPr>
                  <w:r>
                    <w:rPr>
                      <w:rFonts w:hint="eastAsi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778" w:type="pct"/>
                  <w:vMerge w:val="continue"/>
                  <w:tcBorders>
                    <w:top w:val="nil"/>
                    <w:left w:val="nil"/>
                    <w:bottom w:val="nil"/>
                  </w:tcBorders>
                  <w:vAlign w:val="center"/>
                </w:tcPr>
                <w:p>
                  <w:pPr>
                    <w:jc w:val="center"/>
                  </w:pPr>
                </w:p>
              </w:tc>
              <w:tc>
                <w:tcPr>
                  <w:tcW w:w="1870" w:type="pct"/>
                  <w:vAlign w:val="center"/>
                </w:tcPr>
                <w:p>
                  <w:pPr>
                    <w:pStyle w:val="34"/>
                    <w:spacing w:before="24" w:line="207" w:lineRule="auto"/>
                    <w:jc w:val="center"/>
                    <w:rPr>
                      <w:rFonts w:ascii="Times New Roman" w:hAnsi="Times New Roman" w:cs="Times New Roman"/>
                      <w:sz w:val="20"/>
                      <w:szCs w:val="20"/>
                      <w:lang w:eastAsia="zh-CN"/>
                    </w:rPr>
                  </w:pPr>
                  <w:r>
                    <w:rPr>
                      <w:rFonts w:hint="eastAsia" w:ascii="Times New Roman" w:hAnsi="Times New Roman" w:cs="Times New Roman"/>
                      <w:sz w:val="20"/>
                      <w:szCs w:val="20"/>
                      <w:lang w:eastAsia="zh-CN"/>
                    </w:rPr>
                    <w:t>对砂石生产区设置封闭厂房，利用建筑物进行隔声；选用低噪声设备，合理布局，产噪较大设备采取混凝土基座减震。加强日常管理，设备定期维护、检修</w:t>
                  </w:r>
                </w:p>
              </w:tc>
              <w:tc>
                <w:tcPr>
                  <w:tcW w:w="1885" w:type="pct"/>
                  <w:vAlign w:val="center"/>
                </w:tcPr>
                <w:p>
                  <w:pPr>
                    <w:pStyle w:val="34"/>
                    <w:spacing w:before="49" w:line="238" w:lineRule="auto"/>
                    <w:ind w:left="114" w:right="150" w:firstLine="2"/>
                    <w:jc w:val="center"/>
                    <w:rPr>
                      <w:rFonts w:ascii="Times New Roman" w:hAnsi="Times New Roman" w:cs="Times New Roman"/>
                      <w:spacing w:val="9"/>
                      <w:sz w:val="20"/>
                      <w:szCs w:val="20"/>
                      <w:lang w:eastAsia="zh-CN"/>
                    </w:rPr>
                  </w:pPr>
                  <w:r>
                    <w:rPr>
                      <w:color w:val="000000" w:themeColor="text1"/>
                      <w:sz w:val="21"/>
                      <w:lang w:eastAsia="zh-CN"/>
                      <w14:textFill>
                        <w14:solidFill>
                          <w14:schemeClr w14:val="tx1"/>
                        </w14:solidFill>
                      </w14:textFill>
                    </w:rPr>
                    <w:t>对砂石生产区设置封闭厂房，利用建筑物进行隔声</w:t>
                  </w:r>
                  <w:r>
                    <w:rPr>
                      <w:rFonts w:hint="eastAsia"/>
                      <w:color w:val="000000" w:themeColor="text1"/>
                      <w:sz w:val="21"/>
                      <w:lang w:eastAsia="zh-CN"/>
                      <w14:textFill>
                        <w14:solidFill>
                          <w14:schemeClr w14:val="tx1"/>
                        </w14:solidFill>
                      </w14:textFill>
                    </w:rPr>
                    <w:t>；</w:t>
                  </w:r>
                  <w:r>
                    <w:rPr>
                      <w:color w:val="000000" w:themeColor="text1"/>
                      <w:sz w:val="21"/>
                      <w:lang w:eastAsia="zh-CN"/>
                      <w14:textFill>
                        <w14:solidFill>
                          <w14:schemeClr w14:val="tx1"/>
                        </w14:solidFill>
                      </w14:textFill>
                    </w:rPr>
                    <w:t>选用低噪声设备，合理布局，产噪较大设备采取混凝土基座减震。加强日常管理，设备定期维护、检修</w:t>
                  </w:r>
                </w:p>
              </w:tc>
              <w:tc>
                <w:tcPr>
                  <w:tcW w:w="467" w:type="pct"/>
                  <w:tcBorders>
                    <w:right w:val="nil"/>
                  </w:tcBorders>
                  <w:vAlign w:val="center"/>
                </w:tcPr>
                <w:p>
                  <w:pPr>
                    <w:spacing w:line="365" w:lineRule="auto"/>
                    <w:jc w:val="center"/>
                  </w:pPr>
                  <w:r>
                    <w:rPr>
                      <w:rFonts w:hint="eastAsi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778" w:type="pct"/>
                  <w:vMerge w:val="continue"/>
                  <w:tcBorders>
                    <w:top w:val="nil"/>
                    <w:left w:val="nil"/>
                    <w:bottom w:val="nil"/>
                  </w:tcBorders>
                  <w:vAlign w:val="center"/>
                </w:tcPr>
                <w:p>
                  <w:pPr>
                    <w:jc w:val="center"/>
                  </w:pPr>
                </w:p>
              </w:tc>
              <w:tc>
                <w:tcPr>
                  <w:tcW w:w="1870" w:type="pct"/>
                  <w:vAlign w:val="center"/>
                </w:tcPr>
                <w:p>
                  <w:pPr>
                    <w:pStyle w:val="34"/>
                    <w:spacing w:before="24" w:line="207" w:lineRule="auto"/>
                    <w:jc w:val="center"/>
                    <w:rPr>
                      <w:rFonts w:ascii="Times New Roman" w:hAnsi="Times New Roman" w:cs="Times New Roman"/>
                      <w:sz w:val="20"/>
                      <w:szCs w:val="20"/>
                      <w:lang w:eastAsia="zh-CN"/>
                    </w:rPr>
                  </w:pPr>
                  <w:r>
                    <w:rPr>
                      <w:rFonts w:hint="eastAsia" w:ascii="Times New Roman" w:hAnsi="Times New Roman" w:cs="Times New Roman"/>
                      <w:sz w:val="20"/>
                      <w:szCs w:val="20"/>
                      <w:lang w:eastAsia="zh-CN"/>
                    </w:rPr>
                    <w:t>在厂区东侧设置有1间危废暂存间，面积约10m2，用于设备维护过程中产生的废机油、废机油桶等危险废物暂存，危险暂存间地面按要求进行防渗处理（采用不锈钢防渗托盘+环氧树脂地坪+防渗混凝土），并建立危废台账，定期交由有资质单位处理</w:t>
                  </w:r>
                </w:p>
              </w:tc>
              <w:tc>
                <w:tcPr>
                  <w:tcW w:w="1885" w:type="pct"/>
                  <w:vAlign w:val="center"/>
                </w:tcPr>
                <w:p>
                  <w:pPr>
                    <w:pStyle w:val="34"/>
                    <w:spacing w:before="49" w:line="238" w:lineRule="auto"/>
                    <w:ind w:left="114" w:right="150" w:firstLine="2"/>
                    <w:jc w:val="center"/>
                    <w:rPr>
                      <w:rFonts w:ascii="Times New Roman" w:hAnsi="Times New Roman" w:cs="Times New Roman"/>
                      <w:spacing w:val="9"/>
                      <w:sz w:val="20"/>
                      <w:szCs w:val="20"/>
                      <w:lang w:eastAsia="zh-CN"/>
                    </w:rPr>
                  </w:pPr>
                  <w:r>
                    <w:rPr>
                      <w:rFonts w:hint="eastAsia" w:ascii="Times New Roman" w:hAnsi="Times New Roman" w:cs="Times New Roman"/>
                      <w:spacing w:val="9"/>
                      <w:sz w:val="20"/>
                      <w:szCs w:val="20"/>
                      <w:lang w:eastAsia="zh-CN"/>
                    </w:rPr>
                    <w:t>/</w:t>
                  </w:r>
                </w:p>
              </w:tc>
              <w:tc>
                <w:tcPr>
                  <w:tcW w:w="467" w:type="pct"/>
                  <w:tcBorders>
                    <w:right w:val="nil"/>
                  </w:tcBorders>
                  <w:vAlign w:val="center"/>
                </w:tcPr>
                <w:p>
                  <w:pPr>
                    <w:spacing w:line="365" w:lineRule="auto"/>
                    <w:jc w:val="center"/>
                  </w:pPr>
                  <w:r>
                    <w:rPr>
                      <w:rFonts w:hint="eastAsi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778" w:type="pct"/>
                  <w:vMerge w:val="continue"/>
                  <w:tcBorders>
                    <w:top w:val="nil"/>
                    <w:left w:val="nil"/>
                    <w:bottom w:val="nil"/>
                  </w:tcBorders>
                  <w:vAlign w:val="center"/>
                </w:tcPr>
                <w:p>
                  <w:pPr>
                    <w:jc w:val="center"/>
                  </w:pPr>
                </w:p>
              </w:tc>
              <w:tc>
                <w:tcPr>
                  <w:tcW w:w="1870" w:type="pct"/>
                  <w:vAlign w:val="center"/>
                </w:tcPr>
                <w:p>
                  <w:pPr>
                    <w:pStyle w:val="34"/>
                    <w:spacing w:before="24" w:line="207" w:lineRule="auto"/>
                    <w:jc w:val="center"/>
                    <w:rPr>
                      <w:rFonts w:ascii="Times New Roman" w:hAnsi="Times New Roman" w:cs="Times New Roman"/>
                      <w:sz w:val="20"/>
                      <w:szCs w:val="20"/>
                      <w:lang w:eastAsia="zh-CN"/>
                    </w:rPr>
                  </w:pPr>
                  <w:r>
                    <w:rPr>
                      <w:rFonts w:hint="eastAsia" w:ascii="Times New Roman" w:hAnsi="Times New Roman" w:cs="Times New Roman"/>
                      <w:sz w:val="20"/>
                      <w:szCs w:val="20"/>
                      <w:lang w:eastAsia="zh-CN"/>
                    </w:rPr>
                    <w:t>定期清理至板框压滤机压滤处理后，临时堆存在压滤机下方的贮存池，容积约20m³；贮存池位于车间内防渗、防雨、 防流失，压滤后的泥饼定期外运至砖厂做原料利用。压滤产生的渗滤水回流至沉淀池</w:t>
                  </w:r>
                </w:p>
              </w:tc>
              <w:tc>
                <w:tcPr>
                  <w:tcW w:w="1885" w:type="pct"/>
                  <w:vAlign w:val="center"/>
                </w:tcPr>
                <w:p>
                  <w:pPr>
                    <w:pStyle w:val="34"/>
                    <w:spacing w:before="49" w:line="238" w:lineRule="auto"/>
                    <w:ind w:left="114" w:right="150" w:firstLine="2"/>
                    <w:jc w:val="center"/>
                    <w:rPr>
                      <w:rFonts w:ascii="Times New Roman" w:hAnsi="Times New Roman" w:cs="Times New Roman"/>
                      <w:spacing w:val="9"/>
                      <w:sz w:val="20"/>
                      <w:szCs w:val="20"/>
                      <w:lang w:eastAsia="zh-CN"/>
                    </w:rPr>
                  </w:pPr>
                  <w:r>
                    <w:rPr>
                      <w:rFonts w:hint="eastAsia" w:ascii="Times New Roman" w:hAnsi="Times New Roman" w:cs="Times New Roman"/>
                      <w:spacing w:val="9"/>
                      <w:sz w:val="20"/>
                      <w:szCs w:val="20"/>
                      <w:lang w:eastAsia="zh-CN"/>
                    </w:rPr>
                    <w:t>/</w:t>
                  </w:r>
                </w:p>
              </w:tc>
              <w:tc>
                <w:tcPr>
                  <w:tcW w:w="467" w:type="pct"/>
                  <w:tcBorders>
                    <w:right w:val="nil"/>
                  </w:tcBorders>
                  <w:vAlign w:val="center"/>
                </w:tcPr>
                <w:p>
                  <w:pPr>
                    <w:spacing w:line="365" w:lineRule="auto"/>
                    <w:jc w:val="center"/>
                  </w:pPr>
                  <w:r>
                    <w:rPr>
                      <w:rFonts w:hint="eastAsi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778" w:type="pct"/>
                  <w:vMerge w:val="continue"/>
                  <w:tcBorders>
                    <w:top w:val="nil"/>
                    <w:left w:val="nil"/>
                    <w:bottom w:val="nil"/>
                  </w:tcBorders>
                  <w:vAlign w:val="center"/>
                </w:tcPr>
                <w:p>
                  <w:pPr>
                    <w:jc w:val="center"/>
                  </w:pPr>
                </w:p>
              </w:tc>
              <w:tc>
                <w:tcPr>
                  <w:tcW w:w="1870" w:type="pct"/>
                  <w:vAlign w:val="center"/>
                </w:tcPr>
                <w:p>
                  <w:pPr>
                    <w:pStyle w:val="34"/>
                    <w:spacing w:before="24" w:line="207" w:lineRule="auto"/>
                    <w:jc w:val="center"/>
                    <w:rPr>
                      <w:rFonts w:ascii="Times New Roman" w:hAnsi="Times New Roman" w:cs="Times New Roman"/>
                      <w:sz w:val="20"/>
                      <w:szCs w:val="20"/>
                      <w:lang w:eastAsia="zh-CN"/>
                    </w:rPr>
                  </w:pPr>
                  <w:r>
                    <w:rPr>
                      <w:color w:val="000000" w:themeColor="text1"/>
                      <w:sz w:val="21"/>
                      <w:lang w:eastAsia="zh-CN"/>
                      <w14:textFill>
                        <w14:solidFill>
                          <w14:schemeClr w14:val="tx1"/>
                        </w14:solidFill>
                      </w14:textFill>
                    </w:rPr>
                    <w:t>办公区设置垃圾桶，</w:t>
                  </w:r>
                  <w:r>
                    <w:rPr>
                      <w:bCs/>
                      <w:color w:val="000000" w:themeColor="text1"/>
                      <w:sz w:val="21"/>
                      <w:lang w:eastAsia="zh-CN"/>
                      <w14:textFill>
                        <w14:solidFill>
                          <w14:schemeClr w14:val="tx1"/>
                        </w14:solidFill>
                      </w14:textFill>
                    </w:rPr>
                    <w:t>内衬垃圾专用袋，用于收集生活垃圾，定期运送至</w:t>
                  </w:r>
                  <w:r>
                    <w:rPr>
                      <w:rFonts w:hint="eastAsia"/>
                      <w:bCs/>
                      <w:color w:val="000000" w:themeColor="text1"/>
                      <w:sz w:val="21"/>
                      <w:lang w:eastAsia="zh-CN"/>
                      <w14:textFill>
                        <w14:solidFill>
                          <w14:schemeClr w14:val="tx1"/>
                        </w14:solidFill>
                      </w14:textFill>
                    </w:rPr>
                    <w:t>附近村镇</w:t>
                  </w:r>
                  <w:r>
                    <w:rPr>
                      <w:bCs/>
                      <w:color w:val="000000" w:themeColor="text1"/>
                      <w:sz w:val="21"/>
                      <w:lang w:eastAsia="zh-CN"/>
                      <w14:textFill>
                        <w14:solidFill>
                          <w14:schemeClr w14:val="tx1"/>
                        </w14:solidFill>
                      </w14:textFill>
                    </w:rPr>
                    <w:t>设置的</w:t>
                  </w:r>
                  <w:r>
                    <w:rPr>
                      <w:rFonts w:hint="eastAsia"/>
                      <w:bCs/>
                      <w:color w:val="000000" w:themeColor="text1"/>
                      <w:sz w:val="21"/>
                      <w:lang w:eastAsia="zh-CN"/>
                      <w14:textFill>
                        <w14:solidFill>
                          <w14:schemeClr w14:val="tx1"/>
                        </w14:solidFill>
                      </w14:textFill>
                    </w:rPr>
                    <w:t>生活垃圾集中收集点，由环卫负责清运处理</w:t>
                  </w:r>
                </w:p>
              </w:tc>
              <w:tc>
                <w:tcPr>
                  <w:tcW w:w="1885" w:type="pct"/>
                  <w:vAlign w:val="center"/>
                </w:tcPr>
                <w:p>
                  <w:pPr>
                    <w:pStyle w:val="34"/>
                    <w:spacing w:before="49" w:line="238" w:lineRule="auto"/>
                    <w:ind w:left="114" w:right="150" w:firstLine="2"/>
                    <w:jc w:val="center"/>
                    <w:rPr>
                      <w:rFonts w:ascii="Times New Roman" w:hAnsi="Times New Roman" w:cs="Times New Roman"/>
                      <w:spacing w:val="9"/>
                      <w:sz w:val="20"/>
                      <w:szCs w:val="20"/>
                      <w:lang w:eastAsia="zh-CN"/>
                    </w:rPr>
                  </w:pPr>
                  <w:r>
                    <w:rPr>
                      <w:rFonts w:hint="eastAsia" w:ascii="Times New Roman" w:hAnsi="Times New Roman" w:cs="Times New Roman"/>
                      <w:spacing w:val="9"/>
                      <w:sz w:val="20"/>
                      <w:szCs w:val="20"/>
                      <w:lang w:eastAsia="zh-CN"/>
                    </w:rPr>
                    <w:t>/</w:t>
                  </w:r>
                </w:p>
              </w:tc>
              <w:tc>
                <w:tcPr>
                  <w:tcW w:w="467" w:type="pct"/>
                  <w:tcBorders>
                    <w:right w:val="nil"/>
                  </w:tcBorders>
                  <w:vAlign w:val="center"/>
                </w:tcPr>
                <w:p>
                  <w:pPr>
                    <w:spacing w:line="365" w:lineRule="auto"/>
                    <w:jc w:val="center"/>
                  </w:pPr>
                  <w:r>
                    <w:rPr>
                      <w:rFonts w:hint="eastAsi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778" w:type="pct"/>
                  <w:tcBorders>
                    <w:left w:val="nil"/>
                    <w:bottom w:val="single" w:color="000000" w:sz="10" w:space="0"/>
                  </w:tcBorders>
                  <w:vAlign w:val="center"/>
                </w:tcPr>
                <w:p>
                  <w:pPr>
                    <w:pStyle w:val="34"/>
                    <w:spacing w:before="65" w:line="228" w:lineRule="auto"/>
                    <w:jc w:val="center"/>
                    <w:rPr>
                      <w:rFonts w:ascii="Times New Roman" w:hAnsi="Times New Roman" w:cs="Times New Roman"/>
                      <w:sz w:val="20"/>
                      <w:szCs w:val="20"/>
                    </w:rPr>
                  </w:pPr>
                  <w:r>
                    <w:rPr>
                      <w:rFonts w:ascii="Times New Roman" w:hAnsi="Times New Roman" w:cs="Times New Roman"/>
                      <w:spacing w:val="6"/>
                      <w:sz w:val="20"/>
                      <w:szCs w:val="20"/>
                    </w:rPr>
                    <w:t>办公生活</w:t>
                  </w:r>
                </w:p>
              </w:tc>
              <w:tc>
                <w:tcPr>
                  <w:tcW w:w="1870" w:type="pct"/>
                  <w:tcBorders>
                    <w:bottom w:val="single" w:color="000000" w:sz="10" w:space="0"/>
                  </w:tcBorders>
                  <w:vAlign w:val="center"/>
                </w:tcPr>
                <w:p>
                  <w:pPr>
                    <w:pStyle w:val="34"/>
                    <w:spacing w:before="22" w:line="218" w:lineRule="auto"/>
                    <w:ind w:left="139"/>
                    <w:jc w:val="center"/>
                    <w:rPr>
                      <w:rFonts w:ascii="Times New Roman" w:hAnsi="Times New Roman" w:cs="Times New Roman"/>
                      <w:sz w:val="20"/>
                      <w:szCs w:val="20"/>
                      <w:lang w:eastAsia="zh-CN"/>
                    </w:rPr>
                  </w:pPr>
                  <w:r>
                    <w:rPr>
                      <w:rFonts w:hint="eastAsia"/>
                      <w:color w:val="000000" w:themeColor="text1"/>
                      <w:sz w:val="21"/>
                      <w:lang w:eastAsia="zh-CN"/>
                      <w14:textFill>
                        <w14:solidFill>
                          <w14:schemeClr w14:val="tx1"/>
                        </w14:solidFill>
                      </w14:textFill>
                    </w:rPr>
                    <w:t>在厂区入口北侧设置办公室及休息室，面积约</w:t>
                  </w:r>
                  <w:r>
                    <w:rPr>
                      <w:color w:val="000000" w:themeColor="text1"/>
                      <w:sz w:val="21"/>
                      <w:lang w:eastAsia="zh-CN"/>
                      <w14:textFill>
                        <w14:solidFill>
                          <w14:schemeClr w14:val="tx1"/>
                        </w14:solidFill>
                      </w14:textFill>
                    </w:rPr>
                    <w:t>160</w:t>
                  </w:r>
                  <w:r>
                    <w:rPr>
                      <w:rFonts w:hint="eastAsia"/>
                      <w:color w:val="000000" w:themeColor="text1"/>
                      <w:sz w:val="21"/>
                      <w:lang w:eastAsia="zh-CN"/>
                      <w14:textFill>
                        <w14:solidFill>
                          <w14:schemeClr w14:val="tx1"/>
                        </w14:solidFill>
                      </w14:textFill>
                    </w:rPr>
                    <w:t>平方米，设置办公室、休息室及值班室；在厂区入口北侧办公室区域设置厨房及食堂，供员工就餐</w:t>
                  </w:r>
                </w:p>
              </w:tc>
              <w:tc>
                <w:tcPr>
                  <w:tcW w:w="1885" w:type="pct"/>
                  <w:tcBorders>
                    <w:bottom w:val="single" w:color="000000" w:sz="10" w:space="0"/>
                  </w:tcBorders>
                  <w:vAlign w:val="center"/>
                </w:tcPr>
                <w:p>
                  <w:pPr>
                    <w:spacing w:before="295" w:line="274" w:lineRule="exact"/>
                    <w:ind w:left="107"/>
                    <w:jc w:val="center"/>
                    <w:rPr>
                      <w:rFonts w:eastAsia="Times New Roman"/>
                      <w:sz w:val="20"/>
                      <w:szCs w:val="20"/>
                    </w:rPr>
                  </w:pPr>
                  <w:r>
                    <w:rPr>
                      <w:rFonts w:eastAsia="Times New Roman"/>
                      <w:spacing w:val="2"/>
                      <w:position w:val="1"/>
                      <w:sz w:val="20"/>
                      <w:szCs w:val="20"/>
                    </w:rPr>
                    <w:t>/</w:t>
                  </w:r>
                </w:p>
              </w:tc>
              <w:tc>
                <w:tcPr>
                  <w:tcW w:w="467" w:type="pct"/>
                  <w:tcBorders>
                    <w:bottom w:val="single" w:color="000000" w:sz="10" w:space="0"/>
                    <w:right w:val="nil"/>
                  </w:tcBorders>
                  <w:vAlign w:val="center"/>
                </w:tcPr>
                <w:p>
                  <w:pPr>
                    <w:spacing w:before="295" w:line="274" w:lineRule="exact"/>
                    <w:ind w:left="341"/>
                    <w:rPr>
                      <w:rFonts w:eastAsia="Times New Roman"/>
                      <w:sz w:val="20"/>
                      <w:szCs w:val="20"/>
                    </w:rPr>
                  </w:pPr>
                  <w:r>
                    <w:rPr>
                      <w:rFonts w:eastAsia="Times New Roman"/>
                      <w:spacing w:val="2"/>
                      <w:position w:val="1"/>
                      <w:sz w:val="20"/>
                      <w:szCs w:val="20"/>
                    </w:rPr>
                    <w:t>/</w:t>
                  </w:r>
                </w:p>
              </w:tc>
            </w:tr>
          </w:tbl>
          <w:p>
            <w:pPr>
              <w:spacing w:line="360" w:lineRule="auto"/>
              <w:ind w:firstLine="480" w:firstLineChars="200"/>
              <w:jc w:val="left"/>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结合上表项目建设情况分析，项目施工活动主要包括封闭式车间的修建、厂区的地面硬化、其余设备的安装、废水处理设施的建设等。</w:t>
            </w:r>
          </w:p>
          <w:p>
            <w:pPr>
              <w:spacing w:line="360" w:lineRule="auto"/>
              <w:ind w:firstLine="472" w:firstLineChars="200"/>
              <w:jc w:val="left"/>
              <w:rPr>
                <w:color w:val="000000" w:themeColor="text1"/>
                <w:szCs w:val="24"/>
                <w14:textFill>
                  <w14:solidFill>
                    <w14:schemeClr w14:val="tx1"/>
                  </w14:solidFill>
                </w14:textFill>
              </w:rPr>
            </w:pPr>
            <w:r>
              <w:rPr>
                <w:spacing w:val="-2"/>
              </w:rPr>
              <w:t>项目施工期工艺流程如下：</w:t>
            </w:r>
          </w:p>
          <w:p>
            <w:pPr>
              <w:spacing w:line="360" w:lineRule="auto"/>
              <w:ind w:firstLine="480" w:firstLineChars="200"/>
              <w:jc w:val="center"/>
              <w:rPr>
                <w:color w:val="000000" w:themeColor="text1"/>
                <w:szCs w:val="24"/>
                <w14:textFill>
                  <w14:solidFill>
                    <w14:schemeClr w14:val="tx1"/>
                  </w14:solidFill>
                </w14:textFill>
              </w:rPr>
            </w:pPr>
            <w:r>
              <w:rPr>
                <w:position w:val="-35"/>
              </w:rPr>
              <w:drawing>
                <wp:inline distT="0" distB="0" distL="0" distR="0">
                  <wp:extent cx="4572000" cy="97980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7"/>
                          <a:stretch>
                            <a:fillRect/>
                          </a:stretch>
                        </pic:blipFill>
                        <pic:spPr>
                          <a:xfrm>
                            <a:off x="0" y="0"/>
                            <a:ext cx="4598266" cy="985815"/>
                          </a:xfrm>
                          <a:prstGeom prst="rect">
                            <a:avLst/>
                          </a:prstGeom>
                        </pic:spPr>
                      </pic:pic>
                    </a:graphicData>
                  </a:graphic>
                </wp:inline>
              </w:drawing>
            </w:r>
          </w:p>
          <w:p>
            <w:pPr>
              <w:snapToGrid w:val="0"/>
              <w:spacing w:line="360" w:lineRule="auto"/>
              <w:ind w:firstLine="482"/>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图 2-3  施工期主要作业流程及产污环节图</w:t>
            </w:r>
          </w:p>
          <w:p>
            <w:pPr>
              <w:spacing w:line="360" w:lineRule="auto"/>
              <w:ind w:firstLine="480"/>
              <w:jc w:val="left"/>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主要</w:t>
            </w:r>
            <w:r>
              <w:rPr>
                <w:rFonts w:hint="eastAsia"/>
                <w:b/>
                <w:bCs/>
                <w:color w:val="000000" w:themeColor="text1"/>
                <w:szCs w:val="24"/>
                <w14:textFill>
                  <w14:solidFill>
                    <w14:schemeClr w14:val="tx1"/>
                  </w14:solidFill>
                </w14:textFill>
              </w:rPr>
              <w:t>污染工序</w:t>
            </w:r>
            <w:r>
              <w:rPr>
                <w:b/>
                <w:bCs/>
                <w:color w:val="000000" w:themeColor="text1"/>
                <w:szCs w:val="24"/>
                <w14:textFill>
                  <w14:solidFill>
                    <w14:schemeClr w14:val="tx1"/>
                  </w14:solidFill>
                </w14:textFill>
              </w:rPr>
              <w:t>：</w:t>
            </w:r>
          </w:p>
          <w:p>
            <w:pPr>
              <w:spacing w:line="360" w:lineRule="auto"/>
              <w:ind w:firstLine="480"/>
              <w:jc w:val="left"/>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施工废气：主要来源于建筑材料堆放、车辆运输、装卸作业等过程。施 工期使用机动车运输及施工机械运行会产生废气，废气中的主要污染物为粉（扬）尘、CxHx 、CO 、NOx。</w:t>
            </w:r>
          </w:p>
          <w:p>
            <w:pPr>
              <w:spacing w:line="360" w:lineRule="auto"/>
              <w:ind w:firstLine="480"/>
              <w:jc w:val="left"/>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施工废水：主要来源于砼浇筑废水、各种设备的冲洗废水，施工过程泥 浆及降雨导致的散料和泥浆漫流，主要污染物为 SS 。另外，施工人员会产生少量生活污水。</w:t>
            </w:r>
          </w:p>
          <w:p>
            <w:pPr>
              <w:spacing w:line="360" w:lineRule="auto"/>
              <w:ind w:firstLine="480"/>
              <w:jc w:val="left"/>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施工噪声：主要来源于建筑施工阶段使用的各类机械设备的运行噪声，运输车辆的交通噪声等。</w:t>
            </w:r>
          </w:p>
          <w:p>
            <w:pPr>
              <w:spacing w:line="360" w:lineRule="auto"/>
              <w:ind w:firstLine="480"/>
              <w:jc w:val="left"/>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固体废物：主要来源于废水沉淀池开挖产生的弃土、施工过程产生的建筑垃圾、设备安装产生的废弃包装材料、施工人员的生活垃圾。</w:t>
            </w:r>
          </w:p>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2、运营期工艺流程和产污环节</w:t>
            </w:r>
          </w:p>
          <w:p>
            <w:pPr>
              <w:spacing w:line="360" w:lineRule="auto"/>
              <w:ind w:firstLine="360" w:firstLineChars="150"/>
              <w:rPr>
                <w:b/>
                <w:color w:val="000000" w:themeColor="text1"/>
                <w:szCs w:val="24"/>
                <w14:textFill>
                  <w14:solidFill>
                    <w14:schemeClr w14:val="tx1"/>
                  </w14:solidFill>
                </w14:textFill>
              </w:rPr>
            </w:pPr>
            <w:r>
              <w:rPr>
                <w:color w:val="000000" w:themeColor="text1"/>
                <w14:textFill>
                  <w14:solidFill>
                    <w14:schemeClr w14:val="tx1"/>
                  </w14:solidFill>
                </w14:textFill>
              </w:rPr>
              <w:t>本项目设置</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条砂石加工生产线，</w:t>
            </w:r>
            <w:r>
              <w:rPr>
                <w:color w:val="000000" w:themeColor="text1"/>
                <w:szCs w:val="22"/>
                <w14:textFill>
                  <w14:solidFill>
                    <w14:schemeClr w14:val="tx1"/>
                  </w14:solidFill>
                </w14:textFill>
              </w:rPr>
              <w:t>项目工艺流程及产污环节见图2-4。</w:t>
            </w:r>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035550" cy="52857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035550" cy="5285740"/>
                          </a:xfrm>
                          <a:prstGeom prst="rect">
                            <a:avLst/>
                          </a:prstGeom>
                          <a:noFill/>
                        </pic:spPr>
                      </pic:pic>
                    </a:graphicData>
                  </a:graphic>
                </wp:inline>
              </w:drawing>
            </w:r>
          </w:p>
          <w:p>
            <w:pPr>
              <w:snapToGrid w:val="0"/>
              <w:ind w:firstLine="482"/>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图2-4  砂石加工生产线加工生产工艺及产污环节图</w:t>
            </w:r>
          </w:p>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主要工序简述：</w:t>
            </w:r>
          </w:p>
          <w:p>
            <w:pPr>
              <w:autoSpaceDE w:val="0"/>
              <w:autoSpaceDN w:val="0"/>
              <w:spacing w:line="360" w:lineRule="auto"/>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①原料卸料</w:t>
            </w:r>
          </w:p>
          <w:p>
            <w:pPr>
              <w:autoSpaceDE w:val="0"/>
              <w:autoSpaceDN w:val="0"/>
              <w:spacing w:line="360" w:lineRule="auto"/>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本项目原料主要来自外购</w:t>
            </w:r>
            <w:r>
              <w:rPr>
                <w:rFonts w:hint="eastAsia"/>
                <w:spacing w:val="7"/>
              </w:rPr>
              <w:t>河砂石</w:t>
            </w:r>
            <w:r>
              <w:rPr>
                <w:spacing w:val="7"/>
              </w:rPr>
              <w:t>原料以及建筑工地废砂石料</w:t>
            </w:r>
            <w:r>
              <w:rPr>
                <w:rFonts w:hint="eastAsia"/>
                <w:bCs/>
                <w:color w:val="000000" w:themeColor="text1"/>
                <w14:textFill>
                  <w14:solidFill>
                    <w14:schemeClr w14:val="tx1"/>
                  </w14:solidFill>
                </w14:textFill>
              </w:rPr>
              <w:t>。外购原料经汽车运输至车间自卸车卸料至原料堆场。此过程会产生运输扬尘、装卸扬尘及噪声。</w:t>
            </w:r>
          </w:p>
          <w:p>
            <w:pPr>
              <w:autoSpaceDE w:val="0"/>
              <w:autoSpaceDN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②振动给料</w:t>
            </w:r>
          </w:p>
          <w:p>
            <w:pPr>
              <w:autoSpaceDE w:val="0"/>
              <w:autoSpaceDN w:val="0"/>
              <w:spacing w:line="360" w:lineRule="auto"/>
              <w:ind w:firstLine="480" w:firstLineChars="200"/>
              <w:rPr>
                <w:bCs/>
                <w:color w:val="000000" w:themeColor="text1"/>
                <w14:textFill>
                  <w14:solidFill>
                    <w14:schemeClr w14:val="tx1"/>
                  </w14:solidFill>
                </w14:textFill>
              </w:rPr>
            </w:pPr>
            <w:r>
              <w:rPr>
                <w:rFonts w:hint="eastAsia"/>
                <w:color w:val="000000" w:themeColor="text1"/>
                <w14:textFill>
                  <w14:solidFill>
                    <w14:schemeClr w14:val="tx1"/>
                  </w14:solidFill>
                </w14:textFill>
              </w:rPr>
              <w:t>生产时由装载机将原料送至给料机，再经皮带平稳输送至颚破机。此过程会产生粉尘和噪声。</w:t>
            </w:r>
          </w:p>
          <w:p>
            <w:pPr>
              <w:autoSpaceDE w:val="0"/>
              <w:autoSpaceDN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③颚破及反击破</w:t>
            </w:r>
          </w:p>
          <w:p>
            <w:pPr>
              <w:autoSpaceDE w:val="0"/>
              <w:autoSpaceDN w:val="0"/>
              <w:spacing w:line="360" w:lineRule="auto"/>
              <w:ind w:firstLine="480" w:firstLineChars="200"/>
              <w:rPr>
                <w:bCs/>
                <w:color w:val="000000" w:themeColor="text1"/>
                <w14:textFill>
                  <w14:solidFill>
                    <w14:schemeClr w14:val="tx1"/>
                  </w14:solidFill>
                </w14:textFill>
              </w:rPr>
            </w:pPr>
            <w:r>
              <w:rPr>
                <w:rFonts w:hint="eastAsia"/>
                <w:color w:val="000000" w:themeColor="text1"/>
                <w14:textFill>
                  <w14:solidFill>
                    <w14:schemeClr w14:val="tx1"/>
                  </w14:solidFill>
                </w14:textFill>
              </w:rPr>
              <w:t>原料首先进入颚破机，利用颚式破碎机将原矿石料破碎至小规格砂石，再利用输送带设备输送至反击破碎机，进一步降低石子粒径。当物料进入反击破的破碎腔时，它们与旋转的锤头发生碰撞。由于转子的高速旋转，锤头对物料施加很大的冲击力。物料在冲击力的作用下被击碎和压碎。大部分破碎发生在物料与冲击板直接碰撞的区域，也有一部分破碎发生在物料之间的碰撞区域。经过两级破碎后的原料经皮带输送至多级振动筛分机。此过程会产生粉尘和噪声。</w:t>
            </w:r>
          </w:p>
          <w:p>
            <w:pPr>
              <w:autoSpaceDE w:val="0"/>
              <w:autoSpaceDN w:val="0"/>
              <w:spacing w:line="360" w:lineRule="auto"/>
              <w:ind w:firstLine="480" w:firstLineChars="200"/>
            </w:pPr>
            <w:r>
              <w:rPr>
                <w:rFonts w:hint="eastAsia"/>
              </w:rPr>
              <w:t>④多级振动筛分</w:t>
            </w:r>
          </w:p>
          <w:p>
            <w:pPr>
              <w:autoSpaceDE w:val="0"/>
              <w:autoSpaceDN w:val="0"/>
              <w:spacing w:line="360" w:lineRule="auto"/>
              <w:ind w:firstLine="480" w:firstLineChars="200"/>
              <w:rPr>
                <w:bCs/>
              </w:rPr>
            </w:pPr>
            <w:r>
              <w:rPr>
                <w:rFonts w:hint="eastAsia"/>
              </w:rPr>
              <w:t>物料进入多级振动筛分机，设备运行时由给水管一直冲水，筛分过程对物料进行冲洗，使泥、石分离。满足粒径要求且清洗干净的碎石由出料口经皮带输送至相应规格的碎石堆场。筛上较大块的不合格物料则经皮带返回至反击破再次破碎。筛下0.5~ 10mm的物料经皮带输送至制砂机粉碎制砂。粒径≤0.5mm的砂与冲洗水形成砂水混合物经溜槽收集至振动筛旁边的洗砂池进行洗砂。此过程会产生设备噪声和冲洗废水（砂水混合物）。</w:t>
            </w:r>
          </w:p>
          <w:p>
            <w:pPr>
              <w:autoSpaceDE w:val="0"/>
              <w:autoSpaceDN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⑤制砂、螺旋洗砂</w:t>
            </w:r>
          </w:p>
          <w:p>
            <w:pPr>
              <w:autoSpaceDE w:val="0"/>
              <w:autoSpaceDN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0.5~ 10mm的物料进入制砂机制砂，制砂过程实则是对物料进行破碎、粉碎，使其达到≤0.5mm的机砂标准，然后直接落料在洗砂池中。</w:t>
            </w:r>
          </w:p>
          <w:p>
            <w:pPr>
              <w:autoSpaceDE w:val="0"/>
              <w:autoSpaceDN w:val="0"/>
              <w:spacing w:line="360" w:lineRule="auto"/>
              <w:ind w:firstLine="480" w:firstLineChars="200"/>
              <w:rPr>
                <w:bCs/>
                <w:color w:val="000000" w:themeColor="text1"/>
                <w14:textFill>
                  <w14:solidFill>
                    <w14:schemeClr w14:val="tx1"/>
                  </w14:solidFill>
                </w14:textFill>
              </w:rPr>
            </w:pPr>
            <w:r>
              <w:rPr>
                <w:rFonts w:hint="eastAsia"/>
                <w:color w:val="000000" w:themeColor="text1"/>
                <w14:textFill>
                  <w14:solidFill>
                    <w14:schemeClr w14:val="tx1"/>
                  </w14:solidFill>
                </w14:textFill>
              </w:rPr>
              <w:t>螺旋洗砂机主要通过设备内的螺旋装置对砂进行搅拌，从而使砂中的泥土与水进行混合，从设备上的流口排出，而砂则在螺旋装置的作用下被逐步筛选。本项目螺旋洗砂机配备有冲水管，在机砂从洗砂机顶端的出料口排出之前，进行冲洗从而实现了砂的清洗筛选效果。螺旋洗砂机的启动端浸入洗砂池，将泥水混合物螺旋提升，选出机制砂，废水则进入尾砂回收机。此过程会产生洗砂废水、设备噪声</w:t>
            </w:r>
            <w:r>
              <w:rPr>
                <w:bCs/>
                <w:color w:val="000000" w:themeColor="text1"/>
                <w14:textFill>
                  <w14:solidFill>
                    <w14:schemeClr w14:val="tx1"/>
                  </w14:solidFill>
                </w14:textFill>
              </w:rPr>
              <w:t>。</w:t>
            </w:r>
          </w:p>
          <w:p>
            <w:pPr>
              <w:autoSpaceDE w:val="0"/>
              <w:autoSpaceDN w:val="0"/>
              <w:spacing w:line="360" w:lineRule="auto"/>
              <w:ind w:firstLine="480" w:firstLineChars="200"/>
            </w:pPr>
            <w:r>
              <w:rPr>
                <w:rFonts w:hint="eastAsia"/>
              </w:rPr>
              <w:t>⑥尾砂回收</w:t>
            </w:r>
          </w:p>
          <w:p>
            <w:pPr>
              <w:autoSpaceDE w:val="0"/>
              <w:autoSpaceDN w:val="0"/>
              <w:spacing w:line="360" w:lineRule="auto"/>
              <w:ind w:firstLine="480" w:firstLineChars="200"/>
            </w:pPr>
            <w:r>
              <w:rPr>
                <w:rFonts w:hint="eastAsia"/>
              </w:rPr>
              <w:t>尾砂回收机主要由碴浆泵、泥砂分离器、直线振动筛、清洗槽、返料箱等组成。泥浆泵将砂水混合物输送至泥砂分离器，离心分级浓缩的细砂经沉砂嘴提供给直线振动筛，经直线振动筛脱水后，细砂与水有效分离。直线振动筛回收的细砂经皮带输送至机砂料仓。少量细砂、泥等经返料箱再回到清洗槽，清洗槽液面过高时，经出料口排出。剩下的泥浆水则进入废水处理系统处理后，上清液回用生产，池底淤泥定期泵至板框压滤机脱水处理，产生的泥饼定期外售砖厂利用。此过程会产生废水及设备噪声。</w:t>
            </w:r>
          </w:p>
          <w:p>
            <w:pPr>
              <w:autoSpaceDE w:val="0"/>
              <w:autoSpaceDN w:val="0"/>
              <w:spacing w:line="360" w:lineRule="auto"/>
              <w:ind w:firstLine="482" w:firstLineChars="200"/>
              <w:rPr>
                <w:b/>
              </w:rPr>
            </w:pPr>
            <w:r>
              <w:rPr>
                <w:rFonts w:hint="eastAsia"/>
                <w:b/>
              </w:rPr>
              <w:t>产污环节：</w:t>
            </w:r>
          </w:p>
          <w:p>
            <w:pPr>
              <w:autoSpaceDE w:val="0"/>
              <w:autoSpaceDN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废气：主要为物料运输扬尘、堆场装卸扬尘、原料振动给料粉尘、破碎粉尘、成品堆场装车粉尘以及汽车运输扬尘。食堂会产生少量食堂油烟。</w:t>
            </w:r>
          </w:p>
          <w:p>
            <w:pPr>
              <w:autoSpaceDE w:val="0"/>
              <w:autoSpaceDN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废水：主要为洗砂废水、产品渗沥水、车辆冲洗废水和生活污水。</w:t>
            </w:r>
          </w:p>
          <w:p>
            <w:pPr>
              <w:autoSpaceDE w:val="0"/>
              <w:autoSpaceDN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噪声：主要为各类生产设备产生的噪声和运输车辆的交通噪声。</w:t>
            </w:r>
          </w:p>
          <w:p>
            <w:pPr>
              <w:autoSpaceDE w:val="0"/>
              <w:autoSpaceDN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固体废物：主要为废水池的沉淀泥砂、废絮凝剂桶、废机油及废机油桶、生活垃圾。</w:t>
            </w:r>
          </w:p>
          <w:p>
            <w:pPr>
              <w:autoSpaceDE w:val="0"/>
              <w:autoSpaceDN w:val="0"/>
              <w:spacing w:line="360" w:lineRule="auto"/>
              <w:ind w:firstLine="482" w:firstLineChars="200"/>
              <w:rPr>
                <w:b/>
                <w:color w:val="000000" w:themeColor="text1"/>
                <w:u w:val="single"/>
                <w14:textFill>
                  <w14:solidFill>
                    <w14:schemeClr w14:val="tx1"/>
                  </w14:solidFill>
                </w14:textFill>
              </w:rPr>
            </w:pPr>
          </w:p>
          <w:p>
            <w:pPr>
              <w:autoSpaceDE w:val="0"/>
              <w:autoSpaceDN w:val="0"/>
              <w:spacing w:line="360" w:lineRule="auto"/>
              <w:ind w:firstLine="480" w:firstLineChars="200"/>
              <w:rPr>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53" w:type="dxa"/>
            <w:vAlign w:val="center"/>
          </w:tcPr>
          <w:p>
            <w:pPr>
              <w:spacing w:line="360" w:lineRule="auto"/>
              <w:jc w:val="center"/>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与项目有关的原有环境污染问题</w:t>
            </w:r>
          </w:p>
        </w:tc>
        <w:tc>
          <w:tcPr>
            <w:tcW w:w="9509" w:type="dxa"/>
          </w:tcPr>
          <w:p>
            <w:pPr>
              <w:pStyle w:val="9"/>
              <w:jc w:val="both"/>
              <w:rPr>
                <w:rFonts w:ascii="宋体" w:hAnsi="宋体" w:eastAsia="宋体" w:cs="宋体"/>
                <w:b/>
                <w:color w:val="000000" w:themeColor="text1"/>
                <w14:textFill>
                  <w14:solidFill>
                    <w14:schemeClr w14:val="tx1"/>
                  </w14:solidFill>
                </w14:textFill>
              </w:rPr>
            </w:pPr>
            <w:r>
              <w:rPr>
                <w:rFonts w:hint="eastAsia" w:ascii="宋体" w:hAnsi="宋体" w:eastAsia="宋体" w:cs="宋体"/>
                <w:b/>
                <w:color w:val="000000" w:themeColor="text1"/>
                <w14:textFill>
                  <w14:solidFill>
                    <w14:schemeClr w14:val="tx1"/>
                  </w14:solidFill>
                </w14:textFill>
              </w:rPr>
              <w:t>1、现有工程环保手续履行情况</w:t>
            </w:r>
          </w:p>
          <w:p>
            <w:pPr>
              <w:autoSpaceDE w:val="0"/>
              <w:autoSpaceDN w:val="0"/>
              <w:spacing w:line="360" w:lineRule="auto"/>
              <w:ind w:firstLine="480" w:firstLineChars="200"/>
              <w:rPr>
                <w:color w:val="000000" w:themeColor="text1"/>
                <w14:textFill>
                  <w14:solidFill>
                    <w14:schemeClr w14:val="tx1"/>
                  </w14:solidFill>
                </w14:textFill>
              </w:rPr>
            </w:pPr>
            <w:r>
              <w:rPr>
                <w:rFonts w:hint="eastAsia"/>
              </w:rPr>
              <w:t>宣汉县中诺建材有限公司（原宣汉县天台文武沙石厂）于20</w:t>
            </w:r>
            <w:r>
              <w:t>18</w:t>
            </w:r>
            <w:r>
              <w:rPr>
                <w:rFonts w:hint="eastAsia"/>
              </w:rPr>
              <w:t>年</w:t>
            </w:r>
            <w:r>
              <w:t>1</w:t>
            </w:r>
            <w:r>
              <w:rPr>
                <w:rFonts w:hint="eastAsia"/>
              </w:rPr>
              <w:t>月</w:t>
            </w:r>
            <w:r>
              <w:t>11</w:t>
            </w:r>
            <w:r>
              <w:rPr>
                <w:rFonts w:hint="eastAsia"/>
              </w:rPr>
              <w:t>日取得由宣汉县环境保护局出具的《关于5万吨/年碎石加工项目环境影响报告表的批复》（宣环审[20</w:t>
            </w:r>
            <w:r>
              <w:t>18</w:t>
            </w:r>
            <w:r>
              <w:rPr>
                <w:rFonts w:hint="eastAsia"/>
              </w:rPr>
              <w:t>]</w:t>
            </w:r>
            <w:r>
              <w:t>3</w:t>
            </w:r>
            <w:r>
              <w:rPr>
                <w:rFonts w:hint="eastAsia"/>
              </w:rPr>
              <w:t>号），于20</w:t>
            </w:r>
            <w:r>
              <w:t>18</w:t>
            </w:r>
            <w:r>
              <w:rPr>
                <w:rFonts w:hint="eastAsia"/>
              </w:rPr>
              <w:t>年</w:t>
            </w:r>
            <w:r>
              <w:t>9</w:t>
            </w:r>
            <w:r>
              <w:rPr>
                <w:rFonts w:hint="eastAsia"/>
              </w:rPr>
              <w:t>月</w:t>
            </w:r>
            <w:r>
              <w:t>18</w:t>
            </w:r>
            <w:r>
              <w:rPr>
                <w:rFonts w:hint="eastAsia"/>
              </w:rPr>
              <w:t>日完成了5万吨/年碎石加工项目竣工环境保护验收工作，通过并取得了专家验收意见。</w:t>
            </w:r>
          </w:p>
          <w:p>
            <w:pPr>
              <w:snapToGrid w:val="0"/>
              <w:spacing w:line="360" w:lineRule="auto"/>
              <w:rPr>
                <w:b/>
                <w:bCs/>
              </w:rPr>
            </w:pPr>
            <w:r>
              <w:rPr>
                <w:rFonts w:hint="eastAsia"/>
                <w:b/>
                <w:bCs/>
              </w:rPr>
              <w:t>2、现有项目建设内容情况</w:t>
            </w:r>
          </w:p>
          <w:p>
            <w:pPr>
              <w:pStyle w:val="39"/>
            </w:pPr>
            <w:r>
              <w:rPr>
                <w:rFonts w:hint="eastAsia"/>
              </w:rPr>
              <w:t>（</w:t>
            </w:r>
            <w:r>
              <w:t>1</w:t>
            </w:r>
            <w:r>
              <w:rPr>
                <w:rFonts w:hint="eastAsia"/>
              </w:rPr>
              <w:t>）现有项目主要产品方案、产量</w:t>
            </w:r>
          </w:p>
          <w:p>
            <w:pPr>
              <w:spacing w:line="360" w:lineRule="auto"/>
              <w:ind w:firstLine="480" w:firstLineChars="200"/>
              <w:rPr>
                <w:color w:val="000000" w:themeColor="text1"/>
                <w:szCs w:val="24"/>
                <w14:textFill>
                  <w14:solidFill>
                    <w14:schemeClr w14:val="tx1"/>
                  </w14:solidFill>
                </w14:textFill>
              </w:rPr>
            </w:pPr>
            <w:r>
              <w:rPr>
                <w:rFonts w:hint="eastAsia"/>
              </w:rPr>
              <w:t>现有</w:t>
            </w:r>
            <w:r>
              <w:t>项目不进行</w:t>
            </w:r>
            <w:r>
              <w:rPr>
                <w:rFonts w:hint="eastAsia"/>
              </w:rPr>
              <w:t>河道砂石</w:t>
            </w:r>
            <w:r>
              <w:t>开采，项目原料主要外购于</w:t>
            </w:r>
            <w:r>
              <w:rPr>
                <w:rFonts w:hint="eastAsia"/>
              </w:rPr>
              <w:t>河道砂石</w:t>
            </w:r>
            <w:r>
              <w:t>原料</w:t>
            </w:r>
            <w:r>
              <w:rPr>
                <w:rFonts w:hint="eastAsia"/>
              </w:rPr>
              <w:t>及</w:t>
            </w:r>
            <w:r>
              <w:t>施工场地的建筑废料等，采用汽车运输至原料堆场暂存后，再进行破碎、</w:t>
            </w:r>
            <w:r>
              <w:rPr>
                <w:spacing w:val="-1"/>
              </w:rPr>
              <w:t>筛分、制砂和洗砂，得到项目所需</w:t>
            </w:r>
            <w:r>
              <w:rPr>
                <w:color w:val="000000" w:themeColor="text1"/>
                <w:szCs w:val="24"/>
                <w14:textFill>
                  <w14:solidFill>
                    <w14:schemeClr w14:val="tx1"/>
                  </w14:solidFill>
                </w14:textFill>
              </w:rPr>
              <w:t>的成品砂石料。</w:t>
            </w:r>
          </w:p>
          <w:p>
            <w:pPr>
              <w:spacing w:line="360" w:lineRule="auto"/>
              <w:ind w:firstLine="480" w:firstLineChars="200"/>
              <w:rPr>
                <w:spacing w:val="-2"/>
              </w:rPr>
            </w:pPr>
            <w:r>
              <w:rPr>
                <w:rFonts w:hint="eastAsia"/>
                <w:color w:val="000000" w:themeColor="text1"/>
                <w:szCs w:val="24"/>
                <w14:textFill>
                  <w14:solidFill>
                    <w14:schemeClr w14:val="tx1"/>
                  </w14:solidFill>
                </w14:textFill>
              </w:rPr>
              <w:t>现有项目</w:t>
            </w:r>
            <w:r>
              <w:rPr>
                <w:color w:val="000000" w:themeColor="text1"/>
                <w:szCs w:val="24"/>
                <w14:textFill>
                  <w14:solidFill>
                    <w14:schemeClr w14:val="tx1"/>
                  </w14:solidFill>
                </w14:textFill>
              </w:rPr>
              <w:t>砂石产品约5万吨。项目建筑用砂执行《GB/T14684-2011 建设用砂》；建筑用碎石执行 《GB/T14685-2011 建筑用卵石、碎石》。</w:t>
            </w:r>
            <w:r>
              <w:rPr>
                <w:rFonts w:hint="eastAsia"/>
                <w:color w:val="000000" w:themeColor="text1"/>
                <w:szCs w:val="24"/>
                <w14:textFill>
                  <w14:solidFill>
                    <w14:schemeClr w14:val="tx1"/>
                  </w14:solidFill>
                </w14:textFill>
              </w:rPr>
              <w:t>现有</w:t>
            </w:r>
            <w:r>
              <w:rPr>
                <w:spacing w:val="-2"/>
              </w:rPr>
              <w:t>项目主要产品方案如下所示。</w:t>
            </w:r>
          </w:p>
          <w:p>
            <w:pPr>
              <w:autoSpaceDE w:val="0"/>
              <w:autoSpaceDN w:val="0"/>
              <w:adjustRightInd w:val="0"/>
              <w:snapToGrid w:val="0"/>
              <w:spacing w:line="360" w:lineRule="auto"/>
              <w:jc w:val="center"/>
              <w:rPr>
                <w:rFonts w:eastAsia="黑体"/>
                <w:b/>
                <w:bCs/>
                <w:color w:val="000000" w:themeColor="text1"/>
                <w:kern w:val="0"/>
                <w:sz w:val="20"/>
                <w14:textFill>
                  <w14:solidFill>
                    <w14:schemeClr w14:val="tx1"/>
                  </w14:solidFill>
                </w14:textFill>
              </w:rPr>
            </w:pPr>
            <w:r>
              <w:rPr>
                <w:rFonts w:eastAsia="黑体"/>
                <w:b/>
                <w:bCs/>
                <w:color w:val="000000" w:themeColor="text1"/>
                <w:kern w:val="0"/>
                <w:sz w:val="20"/>
                <w14:textFill>
                  <w14:solidFill>
                    <w14:schemeClr w14:val="tx1"/>
                  </w14:solidFill>
                </w14:textFill>
              </w:rPr>
              <w:t xml:space="preserve">表2-6  </w:t>
            </w:r>
            <w:r>
              <w:rPr>
                <w:rFonts w:hint="eastAsia" w:eastAsia="黑体"/>
                <w:b/>
                <w:bCs/>
                <w:color w:val="000000" w:themeColor="text1"/>
                <w:kern w:val="0"/>
                <w:sz w:val="20"/>
                <w14:textFill>
                  <w14:solidFill>
                    <w14:schemeClr w14:val="tx1"/>
                  </w14:solidFill>
                </w14:textFill>
              </w:rPr>
              <w:t>现有项目</w:t>
            </w:r>
            <w:r>
              <w:rPr>
                <w:rFonts w:eastAsia="黑体"/>
                <w:b/>
                <w:bCs/>
                <w:color w:val="000000" w:themeColor="text1"/>
                <w:kern w:val="0"/>
                <w:sz w:val="20"/>
                <w14:textFill>
                  <w14:solidFill>
                    <w14:schemeClr w14:val="tx1"/>
                  </w14:solidFill>
                </w14:textFill>
              </w:rPr>
              <w:t>产品方案一览表</w:t>
            </w:r>
          </w:p>
          <w:tbl>
            <w:tblPr>
              <w:tblStyle w:val="15"/>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49"/>
              <w:gridCol w:w="3403"/>
              <w:gridCol w:w="339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2"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类型</w:t>
                  </w:r>
                </w:p>
              </w:tc>
              <w:tc>
                <w:tcPr>
                  <w:tcW w:w="1801"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粒径</w:t>
                  </w:r>
                </w:p>
              </w:tc>
              <w:tc>
                <w:tcPr>
                  <w:tcW w:w="1797"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现有项目（万t/a）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2" w:type="pct"/>
                  <w:vMerge w:val="restar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碎石</w:t>
                  </w:r>
                </w:p>
              </w:tc>
              <w:tc>
                <w:tcPr>
                  <w:tcW w:w="1801"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1</w:t>
                  </w:r>
                  <w:r>
                    <w:rPr>
                      <w:rFonts w:ascii="Times New Roman" w:cs="Times New Roman"/>
                      <w:color w:val="auto"/>
                      <w:sz w:val="21"/>
                      <w:szCs w:val="21"/>
                    </w:rPr>
                    <w:t>0~30</w:t>
                  </w:r>
                  <w:r>
                    <w:rPr>
                      <w:rFonts w:hint="eastAsia" w:ascii="Times New Roman" w:cs="Times New Roman"/>
                      <w:color w:val="auto"/>
                      <w:sz w:val="21"/>
                      <w:szCs w:val="21"/>
                    </w:rPr>
                    <w:t>cm</w:t>
                  </w:r>
                </w:p>
              </w:tc>
              <w:tc>
                <w:tcPr>
                  <w:tcW w:w="1797"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1</w:t>
                  </w:r>
                  <w:r>
                    <w:rPr>
                      <w:rFonts w:ascii="Times New Roman" w:cs="Times New Roman"/>
                      <w:color w:val="auto"/>
                      <w:sz w:val="21"/>
                      <w:szCs w:val="21"/>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2" w:type="pct"/>
                  <w:vMerge w:val="continue"/>
                  <w:vAlign w:val="center"/>
                </w:tcPr>
                <w:p>
                  <w:pPr>
                    <w:pStyle w:val="37"/>
                    <w:ind w:left="120" w:right="120" w:firstLine="0"/>
                    <w:jc w:val="center"/>
                    <w:rPr>
                      <w:rFonts w:ascii="Times New Roman" w:cs="Times New Roman"/>
                      <w:color w:val="auto"/>
                      <w:sz w:val="21"/>
                      <w:szCs w:val="21"/>
                    </w:rPr>
                  </w:pPr>
                </w:p>
              </w:tc>
              <w:tc>
                <w:tcPr>
                  <w:tcW w:w="1801"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1</w:t>
                  </w:r>
                  <w:r>
                    <w:rPr>
                      <w:rFonts w:ascii="Times New Roman" w:cs="Times New Roman"/>
                      <w:color w:val="auto"/>
                      <w:sz w:val="21"/>
                      <w:szCs w:val="21"/>
                    </w:rPr>
                    <w:t>0~20</w:t>
                  </w:r>
                  <w:r>
                    <w:rPr>
                      <w:rFonts w:hint="eastAsia" w:ascii="Times New Roman" w:cs="Times New Roman"/>
                      <w:color w:val="auto"/>
                      <w:sz w:val="21"/>
                      <w:szCs w:val="21"/>
                    </w:rPr>
                    <w:t>cm</w:t>
                  </w:r>
                </w:p>
              </w:tc>
              <w:tc>
                <w:tcPr>
                  <w:tcW w:w="1797"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0</w:t>
                  </w:r>
                  <w:r>
                    <w:rPr>
                      <w:rFonts w:ascii="Times New Roman" w:cs="Times New Roman"/>
                      <w:color w:val="auto"/>
                      <w:sz w:val="21"/>
                      <w:szCs w:val="21"/>
                    </w:rPr>
                    <w:t>.7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2" w:type="pct"/>
                  <w:vMerge w:val="continue"/>
                  <w:vAlign w:val="center"/>
                </w:tcPr>
                <w:p>
                  <w:pPr>
                    <w:pStyle w:val="37"/>
                    <w:ind w:left="120" w:right="120" w:firstLine="0"/>
                    <w:jc w:val="center"/>
                    <w:rPr>
                      <w:rFonts w:ascii="Times New Roman" w:cs="Times New Roman"/>
                      <w:color w:val="auto"/>
                      <w:sz w:val="21"/>
                      <w:szCs w:val="21"/>
                    </w:rPr>
                  </w:pPr>
                </w:p>
              </w:tc>
              <w:tc>
                <w:tcPr>
                  <w:tcW w:w="1801" w:type="pct"/>
                  <w:vAlign w:val="center"/>
                </w:tcPr>
                <w:p>
                  <w:pPr>
                    <w:pStyle w:val="37"/>
                    <w:ind w:left="120" w:right="120" w:firstLine="0"/>
                    <w:jc w:val="center"/>
                    <w:rPr>
                      <w:rFonts w:ascii="Times New Roman" w:cs="Times New Roman"/>
                      <w:color w:val="auto"/>
                      <w:sz w:val="21"/>
                      <w:szCs w:val="21"/>
                    </w:rPr>
                  </w:pPr>
                  <w:r>
                    <w:rPr>
                      <w:rFonts w:ascii="Times New Roman" w:cs="Times New Roman"/>
                      <w:color w:val="auto"/>
                      <w:sz w:val="21"/>
                      <w:szCs w:val="21"/>
                    </w:rPr>
                    <w:t>5~10</w:t>
                  </w:r>
                  <w:r>
                    <w:rPr>
                      <w:rFonts w:hint="eastAsia" w:ascii="Times New Roman" w:cs="Times New Roman"/>
                      <w:color w:val="auto"/>
                      <w:sz w:val="21"/>
                      <w:szCs w:val="21"/>
                    </w:rPr>
                    <w:t>cm</w:t>
                  </w:r>
                </w:p>
              </w:tc>
              <w:tc>
                <w:tcPr>
                  <w:tcW w:w="1797"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1</w:t>
                  </w:r>
                  <w:r>
                    <w:rPr>
                      <w:rFonts w:ascii="Times New Roman" w:cs="Times New Roman"/>
                      <w:color w:val="auto"/>
                      <w:sz w:val="21"/>
                      <w:szCs w:val="21"/>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2"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机制砂</w:t>
                  </w:r>
                </w:p>
              </w:tc>
              <w:tc>
                <w:tcPr>
                  <w:tcW w:w="1801" w:type="pct"/>
                  <w:vAlign w:val="center"/>
                </w:tcPr>
                <w:p>
                  <w:pPr>
                    <w:pStyle w:val="37"/>
                    <w:ind w:left="120" w:right="120" w:firstLine="0"/>
                    <w:jc w:val="center"/>
                    <w:rPr>
                      <w:rFonts w:ascii="Times New Roman" w:cs="Times New Roman"/>
                      <w:color w:val="auto"/>
                      <w:sz w:val="21"/>
                      <w:szCs w:val="21"/>
                    </w:rPr>
                  </w:pPr>
                  <w:r>
                    <w:rPr>
                      <w:rFonts w:ascii="Times New Roman" w:cs="Times New Roman"/>
                      <w:color w:val="auto"/>
                      <w:sz w:val="21"/>
                      <w:szCs w:val="21"/>
                    </w:rPr>
                    <w:t>0~5mm</w:t>
                  </w:r>
                </w:p>
              </w:tc>
              <w:tc>
                <w:tcPr>
                  <w:tcW w:w="1797"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1</w:t>
                  </w:r>
                  <w:r>
                    <w:rPr>
                      <w:rFonts w:ascii="Times New Roman" w:cs="Times New Roman"/>
                      <w:color w:val="auto"/>
                      <w:sz w:val="21"/>
                      <w:szCs w:val="21"/>
                    </w:rPr>
                    <w:t>.3</w:t>
                  </w:r>
                </w:p>
              </w:tc>
            </w:tr>
          </w:tbl>
          <w:p>
            <w:pPr>
              <w:pStyle w:val="39"/>
            </w:pPr>
            <w:r>
              <w:rPr>
                <w:rFonts w:hint="eastAsia"/>
              </w:rPr>
              <w:t>2、现有项目组成</w:t>
            </w:r>
          </w:p>
          <w:p>
            <w:pPr>
              <w:autoSpaceDE w:val="0"/>
              <w:autoSpaceDN w:val="0"/>
              <w:spacing w:line="360" w:lineRule="auto"/>
              <w:ind w:firstLine="480" w:firstLineChars="200"/>
              <w:rPr>
                <w:rFonts w:cs="宋体"/>
                <w:bCs/>
              </w:rPr>
            </w:pPr>
            <w:r>
              <w:rPr>
                <w:rFonts w:hint="eastAsia" w:cs="宋体"/>
                <w:bCs/>
              </w:rPr>
              <w:t>现有项目主要组成情况见表2</w:t>
            </w:r>
            <w:r>
              <w:rPr>
                <w:rFonts w:cs="宋体"/>
                <w:bCs/>
              </w:rPr>
              <w:t>-7</w:t>
            </w:r>
            <w:r>
              <w:rPr>
                <w:rFonts w:hint="eastAsia" w:cs="宋体"/>
                <w:bCs/>
              </w:rPr>
              <w:t>。</w:t>
            </w:r>
          </w:p>
          <w:p>
            <w:pPr>
              <w:pStyle w:val="2"/>
              <w:ind w:left="307" w:leftChars="45" w:hanging="199" w:hangingChars="99"/>
              <w:jc w:val="center"/>
            </w:pPr>
            <w:r>
              <w:rPr>
                <w:rFonts w:eastAsia="黑体"/>
                <w:b/>
                <w:bCs/>
                <w:color w:val="000000" w:themeColor="text1"/>
                <w:kern w:val="0"/>
                <w:sz w:val="20"/>
                <w14:textFill>
                  <w14:solidFill>
                    <w14:schemeClr w14:val="tx1"/>
                  </w14:solidFill>
                </w14:textFill>
              </w:rPr>
              <w:t xml:space="preserve">表2-7  </w:t>
            </w:r>
            <w:r>
              <w:rPr>
                <w:rFonts w:hint="eastAsia" w:eastAsia="黑体"/>
                <w:b/>
                <w:bCs/>
                <w:color w:val="000000" w:themeColor="text1"/>
                <w:kern w:val="0"/>
                <w:sz w:val="20"/>
                <w14:textFill>
                  <w14:solidFill>
                    <w14:schemeClr w14:val="tx1"/>
                  </w14:solidFill>
                </w14:textFill>
              </w:rPr>
              <w:t>现有项目主要建设内容一览表</w:t>
            </w:r>
          </w:p>
          <w:tbl>
            <w:tblPr>
              <w:tblStyle w:val="15"/>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1720"/>
              <w:gridCol w:w="649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3" w:type="pct"/>
                  <w:gridSpan w:val="2"/>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工程类别</w:t>
                  </w:r>
                </w:p>
              </w:tc>
              <w:tc>
                <w:tcPr>
                  <w:tcW w:w="3437"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内容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63" w:type="pct"/>
                  <w:gridSpan w:val="2"/>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主体工程</w:t>
                  </w:r>
                </w:p>
              </w:tc>
              <w:tc>
                <w:tcPr>
                  <w:tcW w:w="3437" w:type="pct"/>
                  <w:vAlign w:val="center"/>
                </w:tcPr>
                <w:p>
                  <w:pPr>
                    <w:pStyle w:val="37"/>
                    <w:ind w:left="120" w:right="120"/>
                    <w:jc w:val="center"/>
                    <w:rPr>
                      <w:rFonts w:ascii="Times New Roman" w:cs="Times New Roman"/>
                      <w:color w:val="auto"/>
                      <w:sz w:val="21"/>
                      <w:szCs w:val="21"/>
                    </w:rPr>
                  </w:pPr>
                  <w:r>
                    <w:rPr>
                      <w:rFonts w:hint="eastAsia" w:ascii="Times New Roman" w:cs="Times New Roman"/>
                      <w:color w:val="auto"/>
                      <w:sz w:val="21"/>
                      <w:szCs w:val="21"/>
                    </w:rPr>
                    <w:t>破碎加工生产线1条，为水冲破碎加工工艺。由破碎机、振动筛、洗沙机、制沙机及输送皮带等组成。主要是对原料进行破碎及筛选制得不同粒径的石子和沙料。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vMerge w:val="restar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辅助工程及公用工程</w:t>
                  </w:r>
                </w:p>
              </w:tc>
              <w:tc>
                <w:tcPr>
                  <w:tcW w:w="910"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供水</w:t>
                  </w:r>
                </w:p>
              </w:tc>
              <w:tc>
                <w:tcPr>
                  <w:tcW w:w="3437"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生产用水取自项目南侧丁家坝河；生活用水由天台乡自来水系统供给。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vMerge w:val="continue"/>
                  <w:vAlign w:val="center"/>
                </w:tcPr>
                <w:p>
                  <w:pPr>
                    <w:pStyle w:val="37"/>
                    <w:ind w:left="120" w:right="120" w:firstLine="0"/>
                    <w:jc w:val="center"/>
                    <w:rPr>
                      <w:rFonts w:ascii="Times New Roman" w:cs="Times New Roman"/>
                      <w:color w:val="auto"/>
                      <w:sz w:val="21"/>
                      <w:szCs w:val="21"/>
                    </w:rPr>
                  </w:pPr>
                </w:p>
              </w:tc>
              <w:tc>
                <w:tcPr>
                  <w:tcW w:w="910"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排水</w:t>
                  </w:r>
                </w:p>
              </w:tc>
              <w:tc>
                <w:tcPr>
                  <w:tcW w:w="3437"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雨污分流制，雨水排入就近沟渠；生产废水经沉淀及压滤处理后，回用于生产，不外排。生活污水经化粪池处理后作农业肥料。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vMerge w:val="continue"/>
                  <w:vAlign w:val="center"/>
                </w:tcPr>
                <w:p>
                  <w:pPr>
                    <w:pStyle w:val="37"/>
                    <w:ind w:left="120" w:right="120" w:firstLine="0"/>
                    <w:jc w:val="center"/>
                    <w:rPr>
                      <w:rFonts w:ascii="Times New Roman" w:cs="Times New Roman"/>
                      <w:color w:val="auto"/>
                      <w:sz w:val="21"/>
                      <w:szCs w:val="21"/>
                    </w:rPr>
                  </w:pPr>
                </w:p>
              </w:tc>
              <w:tc>
                <w:tcPr>
                  <w:tcW w:w="910"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供电</w:t>
                  </w:r>
                </w:p>
              </w:tc>
              <w:tc>
                <w:tcPr>
                  <w:tcW w:w="3437"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由天台乡供电所供给，项目区内安装有一台专用变压器。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vMerge w:val="continue"/>
                  <w:vAlign w:val="center"/>
                </w:tcPr>
                <w:p>
                  <w:pPr>
                    <w:pStyle w:val="37"/>
                    <w:ind w:left="120" w:right="120" w:firstLine="0"/>
                    <w:jc w:val="center"/>
                    <w:rPr>
                      <w:rFonts w:ascii="Times New Roman" w:cs="Times New Roman"/>
                      <w:color w:val="auto"/>
                      <w:sz w:val="21"/>
                      <w:szCs w:val="21"/>
                    </w:rPr>
                  </w:pPr>
                </w:p>
              </w:tc>
              <w:tc>
                <w:tcPr>
                  <w:tcW w:w="910"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道路</w:t>
                  </w:r>
                </w:p>
              </w:tc>
              <w:tc>
                <w:tcPr>
                  <w:tcW w:w="3437"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厂区约100米的道路硬化。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vMerge w:val="continue"/>
                  <w:vAlign w:val="center"/>
                </w:tcPr>
                <w:p>
                  <w:pPr>
                    <w:pStyle w:val="37"/>
                    <w:ind w:left="120" w:right="120" w:firstLine="0"/>
                    <w:jc w:val="center"/>
                    <w:rPr>
                      <w:rFonts w:ascii="Times New Roman" w:cs="Times New Roman"/>
                      <w:color w:val="auto"/>
                      <w:sz w:val="21"/>
                      <w:szCs w:val="21"/>
                    </w:rPr>
                  </w:pPr>
                </w:p>
              </w:tc>
              <w:tc>
                <w:tcPr>
                  <w:tcW w:w="910"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办公及生活设施</w:t>
                  </w:r>
                </w:p>
              </w:tc>
              <w:tc>
                <w:tcPr>
                  <w:tcW w:w="3437"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设置1</w:t>
                  </w:r>
                  <w:r>
                    <w:rPr>
                      <w:rFonts w:ascii="Times New Roman" w:cs="Times New Roman"/>
                      <w:color w:val="auto"/>
                      <w:sz w:val="21"/>
                      <w:szCs w:val="21"/>
                    </w:rPr>
                    <w:t>F</w:t>
                  </w:r>
                  <w:r>
                    <w:rPr>
                      <w:rFonts w:hint="eastAsia" w:ascii="Times New Roman" w:cs="Times New Roman"/>
                      <w:color w:val="auto"/>
                      <w:sz w:val="21"/>
                      <w:szCs w:val="21"/>
                    </w:rPr>
                    <w:t>办公房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vMerge w:val="restar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环保工程</w:t>
                  </w:r>
                </w:p>
              </w:tc>
              <w:tc>
                <w:tcPr>
                  <w:tcW w:w="910" w:type="pct"/>
                  <w:vMerge w:val="restar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粉尘防治</w:t>
                  </w:r>
                </w:p>
              </w:tc>
              <w:tc>
                <w:tcPr>
                  <w:tcW w:w="3437"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给料、破碎、筛分工序均为冲水降尘，并在给料、破碎及筛分设备外围进行了彩钢板封闭:北侧广界修建了围墙，</w:t>
                  </w:r>
                  <w:r>
                    <w:rPr>
                      <w:rFonts w:hint="eastAsia" w:ascii="Times New Roman" w:cs="Times New Roman"/>
                      <w:color w:val="auto"/>
                      <w:sz w:val="21"/>
                      <w:szCs w:val="21"/>
                      <w:lang w:eastAsia="zh-CN"/>
                    </w:rPr>
                    <w:t>部分</w:t>
                  </w:r>
                  <w:r>
                    <w:rPr>
                      <w:rFonts w:hint="eastAsia" w:ascii="Times New Roman" w:cs="Times New Roman"/>
                      <w:color w:val="auto"/>
                      <w:sz w:val="21"/>
                      <w:szCs w:val="21"/>
                    </w:rPr>
                    <w:t>厂界设置了钢质围档。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vMerge w:val="continue"/>
                  <w:vAlign w:val="center"/>
                </w:tcPr>
                <w:p>
                  <w:pPr>
                    <w:snapToGrid w:val="0"/>
                    <w:spacing w:line="276" w:lineRule="auto"/>
                    <w:jc w:val="center"/>
                    <w:rPr>
                      <w:rFonts w:cs="宋体"/>
                      <w:bCs/>
                    </w:rPr>
                  </w:pPr>
                </w:p>
              </w:tc>
              <w:tc>
                <w:tcPr>
                  <w:tcW w:w="910" w:type="pct"/>
                  <w:vMerge w:val="continue"/>
                  <w:vAlign w:val="center"/>
                </w:tcPr>
                <w:p>
                  <w:pPr>
                    <w:pStyle w:val="37"/>
                    <w:ind w:left="120" w:right="120" w:firstLine="0"/>
                    <w:jc w:val="center"/>
                    <w:rPr>
                      <w:rFonts w:ascii="Times New Roman" w:cs="Times New Roman"/>
                      <w:color w:val="auto"/>
                      <w:sz w:val="21"/>
                      <w:szCs w:val="21"/>
                    </w:rPr>
                  </w:pPr>
                </w:p>
              </w:tc>
              <w:tc>
                <w:tcPr>
                  <w:tcW w:w="3437"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运输车辆进出口处设置冲洗平台，四周设置排水沟。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vMerge w:val="continue"/>
                  <w:vAlign w:val="center"/>
                </w:tcPr>
                <w:p>
                  <w:pPr>
                    <w:snapToGrid w:val="0"/>
                    <w:spacing w:line="276" w:lineRule="auto"/>
                    <w:jc w:val="center"/>
                    <w:rPr>
                      <w:rFonts w:cs="宋体"/>
                      <w:bCs/>
                    </w:rPr>
                  </w:pPr>
                </w:p>
              </w:tc>
              <w:tc>
                <w:tcPr>
                  <w:tcW w:w="910" w:type="pct"/>
                  <w:vMerge w:val="continue"/>
                  <w:vAlign w:val="center"/>
                </w:tcPr>
                <w:p>
                  <w:pPr>
                    <w:pStyle w:val="37"/>
                    <w:ind w:left="120" w:right="120" w:firstLine="0"/>
                    <w:jc w:val="center"/>
                    <w:rPr>
                      <w:rFonts w:ascii="Times New Roman" w:cs="Times New Roman"/>
                      <w:color w:val="auto"/>
                      <w:sz w:val="21"/>
                      <w:szCs w:val="21"/>
                    </w:rPr>
                  </w:pPr>
                </w:p>
              </w:tc>
              <w:tc>
                <w:tcPr>
                  <w:tcW w:w="3437"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细砂堆场地面硬化、周围设置了围档、上部设有彩钢棚。购置了两台环保水雾炮对厂区洒水降尘。对</w:t>
                  </w:r>
                  <w:r>
                    <w:rPr>
                      <w:rFonts w:hint="eastAsia" w:ascii="Times New Roman" w:cs="Times New Roman"/>
                      <w:color w:val="auto"/>
                      <w:sz w:val="21"/>
                      <w:szCs w:val="21"/>
                      <w:lang w:eastAsia="zh-CN"/>
                    </w:rPr>
                    <w:t>部分</w:t>
                  </w:r>
                  <w:r>
                    <w:rPr>
                      <w:rFonts w:hint="eastAsia" w:ascii="Times New Roman" w:cs="Times New Roman"/>
                      <w:color w:val="auto"/>
                      <w:sz w:val="21"/>
                      <w:szCs w:val="21"/>
                    </w:rPr>
                    <w:t>原料堆场及成品堆场采用防尘网覆盖。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vMerge w:val="continue"/>
                  <w:vAlign w:val="center"/>
                </w:tcPr>
                <w:p>
                  <w:pPr>
                    <w:snapToGrid w:val="0"/>
                    <w:spacing w:line="276" w:lineRule="auto"/>
                    <w:jc w:val="center"/>
                    <w:rPr>
                      <w:rFonts w:cs="宋体"/>
                      <w:bCs/>
                    </w:rPr>
                  </w:pPr>
                </w:p>
              </w:tc>
              <w:tc>
                <w:tcPr>
                  <w:tcW w:w="910"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生产废水</w:t>
                  </w:r>
                </w:p>
              </w:tc>
              <w:tc>
                <w:tcPr>
                  <w:tcW w:w="3437"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将5个沉淀池改造成2个沉淀池和1个清水池，对生产废水进行混凝沉淀配置了一台带式压滤机。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vMerge w:val="continue"/>
                  <w:vAlign w:val="center"/>
                </w:tcPr>
                <w:p>
                  <w:pPr>
                    <w:snapToGrid w:val="0"/>
                    <w:spacing w:line="276" w:lineRule="auto"/>
                    <w:jc w:val="center"/>
                    <w:rPr>
                      <w:rFonts w:cs="宋体"/>
                      <w:bCs/>
                    </w:rPr>
                  </w:pPr>
                </w:p>
              </w:tc>
              <w:tc>
                <w:tcPr>
                  <w:tcW w:w="910"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生活污水</w:t>
                  </w:r>
                </w:p>
              </w:tc>
              <w:tc>
                <w:tcPr>
                  <w:tcW w:w="3437"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化类池1个，容积约3立方米，生活污水经化粪池处理后供周围农地施肥。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vMerge w:val="continue"/>
                  <w:vAlign w:val="center"/>
                </w:tcPr>
                <w:p>
                  <w:pPr>
                    <w:snapToGrid w:val="0"/>
                    <w:spacing w:line="276" w:lineRule="auto"/>
                    <w:jc w:val="center"/>
                    <w:rPr>
                      <w:rFonts w:cs="宋体"/>
                      <w:bCs/>
                    </w:rPr>
                  </w:pPr>
                </w:p>
              </w:tc>
              <w:tc>
                <w:tcPr>
                  <w:tcW w:w="910"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噪声</w:t>
                  </w:r>
                </w:p>
              </w:tc>
              <w:tc>
                <w:tcPr>
                  <w:tcW w:w="3437"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破碎机等设备均设有减振装置；破碎机、筛分机等设备周围采用彩钢板围档，上部设棚。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vMerge w:val="continue"/>
                  <w:vAlign w:val="center"/>
                </w:tcPr>
                <w:p>
                  <w:pPr>
                    <w:snapToGrid w:val="0"/>
                    <w:spacing w:line="276" w:lineRule="auto"/>
                    <w:jc w:val="center"/>
                    <w:rPr>
                      <w:rFonts w:cs="宋体"/>
                      <w:bCs/>
                    </w:rPr>
                  </w:pPr>
                </w:p>
              </w:tc>
              <w:tc>
                <w:tcPr>
                  <w:tcW w:w="910"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固体废物</w:t>
                  </w:r>
                </w:p>
              </w:tc>
              <w:tc>
                <w:tcPr>
                  <w:tcW w:w="3437"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利于一个原有沉淀池作为泥沙暂存池，上部设有钢架棚。</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vMerge w:val="restart"/>
                  <w:vAlign w:val="center"/>
                </w:tcPr>
                <w:p>
                  <w:pPr>
                    <w:pStyle w:val="37"/>
                    <w:ind w:left="120" w:right="120" w:firstLine="0"/>
                    <w:jc w:val="center"/>
                    <w:rPr>
                      <w:bCs/>
                    </w:rPr>
                  </w:pPr>
                  <w:r>
                    <w:rPr>
                      <w:rFonts w:hint="eastAsia" w:ascii="Times New Roman" w:cs="Times New Roman"/>
                      <w:color w:val="auto"/>
                      <w:sz w:val="21"/>
                      <w:szCs w:val="21"/>
                    </w:rPr>
                    <w:t>仓储工程</w:t>
                  </w:r>
                </w:p>
              </w:tc>
              <w:tc>
                <w:tcPr>
                  <w:tcW w:w="910"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原料堆场</w:t>
                  </w:r>
                </w:p>
              </w:tc>
              <w:tc>
                <w:tcPr>
                  <w:tcW w:w="3437"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用于鹅卵连沙石堆放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3" w:type="pct"/>
                  <w:vMerge w:val="continue"/>
                  <w:vAlign w:val="center"/>
                </w:tcPr>
                <w:p>
                  <w:pPr>
                    <w:snapToGrid w:val="0"/>
                    <w:spacing w:line="276" w:lineRule="auto"/>
                    <w:jc w:val="center"/>
                    <w:rPr>
                      <w:rFonts w:cs="宋体"/>
                      <w:bCs/>
                    </w:rPr>
                  </w:pPr>
                </w:p>
              </w:tc>
              <w:tc>
                <w:tcPr>
                  <w:tcW w:w="910"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产品堆场</w:t>
                  </w:r>
                </w:p>
              </w:tc>
              <w:tc>
                <w:tcPr>
                  <w:tcW w:w="3437" w:type="pct"/>
                  <w:vAlign w:val="center"/>
                </w:tcPr>
                <w:p>
                  <w:pPr>
                    <w:pStyle w:val="37"/>
                    <w:ind w:left="120" w:right="120" w:firstLine="0"/>
                    <w:jc w:val="center"/>
                    <w:rPr>
                      <w:rFonts w:ascii="Times New Roman" w:cs="Times New Roman"/>
                      <w:color w:val="auto"/>
                      <w:sz w:val="21"/>
                      <w:szCs w:val="21"/>
                    </w:rPr>
                  </w:pPr>
                  <w:r>
                    <w:rPr>
                      <w:rFonts w:hint="eastAsia" w:ascii="Times New Roman" w:cs="Times New Roman"/>
                      <w:color w:val="auto"/>
                      <w:sz w:val="21"/>
                      <w:szCs w:val="21"/>
                    </w:rPr>
                    <w:t>用于碎石、沙成品的堆存</w:t>
                  </w:r>
                  <w:bookmarkStart w:id="1" w:name="_GoBack"/>
                  <w:bookmarkEnd w:id="1"/>
                  <w:r>
                    <w:rPr>
                      <w:rFonts w:hint="eastAsia" w:ascii="Times New Roman" w:cs="Times New Roman"/>
                      <w:color w:val="auto"/>
                      <w:sz w:val="21"/>
                      <w:szCs w:val="21"/>
                    </w:rPr>
                    <w:t>，细沙堆场周围设置了围档，上部设有钢加棚。</w:t>
                  </w:r>
                </w:p>
              </w:tc>
            </w:tr>
          </w:tbl>
          <w:p>
            <w:pPr>
              <w:autoSpaceDE w:val="0"/>
              <w:autoSpaceDN w:val="0"/>
              <w:spacing w:line="360" w:lineRule="auto"/>
              <w:ind w:firstLine="482" w:firstLineChars="200"/>
              <w:rPr>
                <w:b/>
                <w:color w:val="000000" w:themeColor="text1"/>
                <w14:textFill>
                  <w14:solidFill>
                    <w14:schemeClr w14:val="tx1"/>
                  </w14:solidFill>
                </w14:textFill>
              </w:rPr>
            </w:pPr>
            <w:r>
              <w:rPr>
                <w:rFonts w:hint="eastAsia"/>
                <w:b/>
                <w:color w:val="000000" w:themeColor="text1"/>
                <w14:textFill>
                  <w14:solidFill>
                    <w14:schemeClr w14:val="tx1"/>
                  </w14:solidFill>
                </w14:textFill>
              </w:rPr>
              <w:t>3、现有项目生产工艺流程</w:t>
            </w:r>
          </w:p>
          <w:p>
            <w:pPr>
              <w:spacing w:line="360" w:lineRule="auto"/>
              <w:ind w:firstLine="360" w:firstLineChars="150"/>
              <w:rPr>
                <w:b/>
                <w:color w:val="000000" w:themeColor="text1"/>
                <w:szCs w:val="24"/>
                <w14:textFill>
                  <w14:solidFill>
                    <w14:schemeClr w14:val="tx1"/>
                  </w14:solidFill>
                </w14:textFill>
              </w:rPr>
            </w:pPr>
            <w:r>
              <w:rPr>
                <w:rFonts w:hint="eastAsia"/>
                <w:color w:val="000000" w:themeColor="text1"/>
                <w14:textFill>
                  <w14:solidFill>
                    <w14:schemeClr w14:val="tx1"/>
                  </w14:solidFill>
                </w14:textFill>
              </w:rPr>
              <w:t>现有</w:t>
            </w:r>
            <w:r>
              <w:rPr>
                <w:color w:val="000000" w:themeColor="text1"/>
                <w14:textFill>
                  <w14:solidFill>
                    <w14:schemeClr w14:val="tx1"/>
                  </w14:solidFill>
                </w14:textFill>
              </w:rPr>
              <w:t>项目设置</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条砂石加工生产线，</w:t>
            </w:r>
            <w:r>
              <w:rPr>
                <w:rFonts w:hint="eastAsia"/>
                <w:color w:val="000000" w:themeColor="text1"/>
                <w14:textFill>
                  <w14:solidFill>
                    <w14:schemeClr w14:val="tx1"/>
                  </w14:solidFill>
                </w14:textFill>
              </w:rPr>
              <w:t>现有</w:t>
            </w:r>
            <w:r>
              <w:rPr>
                <w:color w:val="000000" w:themeColor="text1"/>
                <w:szCs w:val="22"/>
                <w14:textFill>
                  <w14:solidFill>
                    <w14:schemeClr w14:val="tx1"/>
                  </w14:solidFill>
                </w14:textFill>
              </w:rPr>
              <w:t>项目工艺流程及产污环节见图2-5。</w:t>
            </w:r>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035550" cy="52857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035550" cy="5285740"/>
                          </a:xfrm>
                          <a:prstGeom prst="rect">
                            <a:avLst/>
                          </a:prstGeom>
                          <a:noFill/>
                        </pic:spPr>
                      </pic:pic>
                    </a:graphicData>
                  </a:graphic>
                </wp:inline>
              </w:drawing>
            </w:r>
          </w:p>
          <w:p>
            <w:pPr>
              <w:snapToGrid w:val="0"/>
              <w:ind w:firstLine="482"/>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图2-4  砂石加工生产线加工生产工艺及产污环节图</w:t>
            </w:r>
          </w:p>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主要工序简述：</w:t>
            </w:r>
          </w:p>
          <w:p>
            <w:pPr>
              <w:autoSpaceDE w:val="0"/>
              <w:autoSpaceDN w:val="0"/>
              <w:spacing w:line="360" w:lineRule="auto"/>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①原料卸料</w:t>
            </w:r>
          </w:p>
          <w:p>
            <w:pPr>
              <w:autoSpaceDE w:val="0"/>
              <w:autoSpaceDN w:val="0"/>
              <w:spacing w:line="360" w:lineRule="auto"/>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现有项目原料主要来自外购</w:t>
            </w:r>
            <w:r>
              <w:rPr>
                <w:rFonts w:hint="eastAsia"/>
                <w:spacing w:val="7"/>
              </w:rPr>
              <w:t>河砂石</w:t>
            </w:r>
            <w:r>
              <w:rPr>
                <w:spacing w:val="7"/>
              </w:rPr>
              <w:t>原料以及建筑工地废砂石料</w:t>
            </w:r>
            <w:r>
              <w:rPr>
                <w:rFonts w:hint="eastAsia"/>
                <w:bCs/>
                <w:color w:val="000000" w:themeColor="text1"/>
                <w14:textFill>
                  <w14:solidFill>
                    <w14:schemeClr w14:val="tx1"/>
                  </w14:solidFill>
                </w14:textFill>
              </w:rPr>
              <w:t>。外购原料经汽车运输至车间自卸车卸料至原料堆场。此过程会产生运输扬尘、装卸扬尘及噪声。</w:t>
            </w:r>
          </w:p>
          <w:p>
            <w:pPr>
              <w:autoSpaceDE w:val="0"/>
              <w:autoSpaceDN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②振动给料</w:t>
            </w:r>
          </w:p>
          <w:p>
            <w:pPr>
              <w:autoSpaceDE w:val="0"/>
              <w:autoSpaceDN w:val="0"/>
              <w:spacing w:line="360" w:lineRule="auto"/>
              <w:ind w:firstLine="480" w:firstLineChars="200"/>
              <w:rPr>
                <w:bCs/>
                <w:color w:val="000000" w:themeColor="text1"/>
                <w14:textFill>
                  <w14:solidFill>
                    <w14:schemeClr w14:val="tx1"/>
                  </w14:solidFill>
                </w14:textFill>
              </w:rPr>
            </w:pPr>
            <w:r>
              <w:rPr>
                <w:rFonts w:hint="eastAsia"/>
                <w:color w:val="000000" w:themeColor="text1"/>
                <w14:textFill>
                  <w14:solidFill>
                    <w14:schemeClr w14:val="tx1"/>
                  </w14:solidFill>
                </w14:textFill>
              </w:rPr>
              <w:t>生产时由装载机将原料送至给料机，再经皮带平稳输送至颚破机。此过程会产生粉尘和噪声。</w:t>
            </w:r>
          </w:p>
          <w:p>
            <w:pPr>
              <w:autoSpaceDE w:val="0"/>
              <w:autoSpaceDN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③颚破及反击破</w:t>
            </w:r>
          </w:p>
          <w:p>
            <w:pPr>
              <w:autoSpaceDE w:val="0"/>
              <w:autoSpaceDN w:val="0"/>
              <w:spacing w:line="360" w:lineRule="auto"/>
              <w:ind w:firstLine="480" w:firstLineChars="200"/>
              <w:rPr>
                <w:bCs/>
                <w:color w:val="000000" w:themeColor="text1"/>
                <w14:textFill>
                  <w14:solidFill>
                    <w14:schemeClr w14:val="tx1"/>
                  </w14:solidFill>
                </w14:textFill>
              </w:rPr>
            </w:pPr>
            <w:r>
              <w:rPr>
                <w:rFonts w:hint="eastAsia"/>
                <w:color w:val="000000" w:themeColor="text1"/>
                <w14:textFill>
                  <w14:solidFill>
                    <w14:schemeClr w14:val="tx1"/>
                  </w14:solidFill>
                </w14:textFill>
              </w:rPr>
              <w:t>原料首先进入颚破机，利用颚式破碎机将原矿石料破碎至小规格砂石，再利用输送带设备输送至反击破碎机，进一步降低石子粒径。当物料进入反击破的破碎腔时，它们与旋转的锤头发生碰撞。由于转子的高速旋转，锤头对物料施加很大的冲击力。物料在冲击力的作用下被击碎和压碎。大部分破碎发生在物料与冲击板直接碰撞的区域，也有一部分破碎发生在物料之间的碰撞区域。经过两级破碎后的原料经皮带输送至多级振动筛分机。此过程会产生粉尘和噪声。</w:t>
            </w:r>
          </w:p>
          <w:p>
            <w:pPr>
              <w:autoSpaceDE w:val="0"/>
              <w:autoSpaceDN w:val="0"/>
              <w:spacing w:line="360" w:lineRule="auto"/>
              <w:ind w:firstLine="480" w:firstLineChars="200"/>
            </w:pPr>
            <w:r>
              <w:rPr>
                <w:rFonts w:hint="eastAsia"/>
              </w:rPr>
              <w:t>④多级振动筛分</w:t>
            </w:r>
          </w:p>
          <w:p>
            <w:pPr>
              <w:autoSpaceDE w:val="0"/>
              <w:autoSpaceDN w:val="0"/>
              <w:spacing w:line="360" w:lineRule="auto"/>
              <w:ind w:firstLine="480" w:firstLineChars="200"/>
              <w:rPr>
                <w:bCs/>
              </w:rPr>
            </w:pPr>
            <w:r>
              <w:rPr>
                <w:rFonts w:hint="eastAsia"/>
              </w:rPr>
              <w:t>物料进入多级振动筛分机，设备运行时由给水管一直冲水，筛分过程对物料进行冲洗，使泥、石分离。满足粒径要求且清洗干净的碎石由出料口经皮带输送至相应规格的碎石堆场。筛上较大块的不合格物料则经皮带返回至反击破再次破碎。筛下0.5~ 10mm的物料经皮带输送至制砂机粉碎制砂。粒径≤0.5mm的砂与冲洗水形成砂水混合物经溜槽收集至振动筛旁边的洗砂池进行洗砂。此过程会产生设备噪声和冲洗废水（砂水混合物）。</w:t>
            </w:r>
          </w:p>
          <w:p>
            <w:pPr>
              <w:autoSpaceDE w:val="0"/>
              <w:autoSpaceDN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⑤制砂、螺旋洗砂</w:t>
            </w:r>
          </w:p>
          <w:p>
            <w:pPr>
              <w:autoSpaceDE w:val="0"/>
              <w:autoSpaceDN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0.5~ 10mm的物料进入制砂机制砂，制砂过程实则是对物料进行破碎、粉碎，使其达到≤0.5mm的机砂标准，然后直接落料在洗砂池中。</w:t>
            </w:r>
          </w:p>
          <w:p>
            <w:pPr>
              <w:autoSpaceDE w:val="0"/>
              <w:autoSpaceDN w:val="0"/>
              <w:spacing w:line="360" w:lineRule="auto"/>
              <w:ind w:firstLine="480" w:firstLineChars="200"/>
              <w:rPr>
                <w:bCs/>
                <w:color w:val="000000" w:themeColor="text1"/>
                <w14:textFill>
                  <w14:solidFill>
                    <w14:schemeClr w14:val="tx1"/>
                  </w14:solidFill>
                </w14:textFill>
              </w:rPr>
            </w:pPr>
            <w:r>
              <w:rPr>
                <w:rFonts w:hint="eastAsia"/>
                <w:color w:val="000000" w:themeColor="text1"/>
                <w14:textFill>
                  <w14:solidFill>
                    <w14:schemeClr w14:val="tx1"/>
                  </w14:solidFill>
                </w14:textFill>
              </w:rPr>
              <w:t>螺旋洗砂机主要通过设备内的螺旋装置对砂进行搅拌，从而使砂中的泥土与水进行混合，从设备上的流口排出，而砂则在螺旋装置的作用下被逐步筛选。本项目螺旋洗砂机配备有冲水管，在机砂从洗砂机顶端的出料口排出之前，进行冲洗从而实现了砂的清洗筛选效果。螺旋洗砂机的启动端浸入洗砂池，将泥水混合物螺旋提升，选出机制砂，废水则进入尾砂回收机。此过程会产生洗砂废水、设备噪声</w:t>
            </w:r>
            <w:r>
              <w:rPr>
                <w:bCs/>
                <w:color w:val="000000" w:themeColor="text1"/>
                <w14:textFill>
                  <w14:solidFill>
                    <w14:schemeClr w14:val="tx1"/>
                  </w14:solidFill>
                </w14:textFill>
              </w:rPr>
              <w:t>。</w:t>
            </w:r>
          </w:p>
          <w:p>
            <w:pPr>
              <w:autoSpaceDE w:val="0"/>
              <w:autoSpaceDN w:val="0"/>
              <w:spacing w:line="360" w:lineRule="auto"/>
              <w:ind w:firstLine="480" w:firstLineChars="200"/>
            </w:pPr>
            <w:r>
              <w:rPr>
                <w:rFonts w:hint="eastAsia"/>
              </w:rPr>
              <w:t>⑥尾砂回收</w:t>
            </w:r>
          </w:p>
          <w:p>
            <w:pPr>
              <w:autoSpaceDE w:val="0"/>
              <w:autoSpaceDN w:val="0"/>
              <w:spacing w:line="360" w:lineRule="auto"/>
              <w:ind w:firstLine="480" w:firstLineChars="200"/>
            </w:pPr>
            <w:r>
              <w:rPr>
                <w:rFonts w:hint="eastAsia"/>
              </w:rPr>
              <w:t>尾砂回收机主要由碴浆泵、泥砂分离器、直线振动筛、清洗槽、返料箱等组成。泥浆泵将砂水混合物输送至泥砂分离器，离心分级浓缩的细砂经沉砂嘴提供给直线振动筛，经直线振动筛脱水后，细砂与水有效分离。直线振动筛回收的细砂经皮带输送至机砂料仓。少量细砂、泥等经返料箱再回到清洗槽，清洗槽液面过高时，经出料口排出。剩下的泥浆水则进入废水处理系统处理后，上清液回用生产，池底淤泥定期泵至板框压滤机脱水处理，产生的泥饼定期外售砖厂利用。此过程会产生废水及设备噪声。</w:t>
            </w:r>
          </w:p>
          <w:p>
            <w:pPr>
              <w:snapToGrid w:val="0"/>
              <w:spacing w:line="360" w:lineRule="auto"/>
              <w:rPr>
                <w:b/>
                <w:bCs/>
              </w:rPr>
            </w:pPr>
            <w:r>
              <w:rPr>
                <w:rFonts w:hint="eastAsia"/>
                <w:b/>
                <w:bCs/>
              </w:rPr>
              <w:t>4、现有工程污染物排放情况</w:t>
            </w:r>
          </w:p>
          <w:p>
            <w:pPr>
              <w:autoSpaceDE w:val="0"/>
              <w:autoSpaceDN w:val="0"/>
              <w:spacing w:line="360" w:lineRule="auto"/>
              <w:ind w:firstLine="480" w:firstLineChars="200"/>
              <w:rPr>
                <w:color w:val="000000" w:themeColor="text1"/>
                <w14:textFill>
                  <w14:solidFill>
                    <w14:schemeClr w14:val="tx1"/>
                  </w14:solidFill>
                </w14:textFill>
              </w:rPr>
            </w:pPr>
            <w:r>
              <w:rPr>
                <w:rFonts w:hint="eastAsia" w:cs="宋体"/>
                <w:bCs/>
              </w:rPr>
              <w:t>现有项目污染情况如下：</w:t>
            </w:r>
          </w:p>
          <w:p>
            <w:pPr>
              <w:spacing w:line="360" w:lineRule="auto"/>
              <w:ind w:firstLine="482" w:firstLineChars="200"/>
              <w:rPr>
                <w:b/>
                <w:bCs/>
              </w:rPr>
            </w:pPr>
            <w:r>
              <w:rPr>
                <w:rFonts w:hint="eastAsia"/>
                <w:b/>
                <w:szCs w:val="18"/>
              </w:rPr>
              <w:t>（1）现有项目污染物排放及治理措施情况</w:t>
            </w:r>
          </w:p>
          <w:p>
            <w:pPr>
              <w:spacing w:line="360" w:lineRule="auto"/>
              <w:ind w:firstLine="482" w:firstLineChars="200"/>
            </w:pPr>
            <w:r>
              <w:rPr>
                <w:rFonts w:hint="eastAsia"/>
                <w:b/>
                <w:bCs/>
              </w:rPr>
              <w:t>1）</w:t>
            </w:r>
            <w:r>
              <w:rPr>
                <w:rFonts w:hint="eastAsia" w:cs="宋体"/>
                <w:b/>
                <w:bCs/>
              </w:rPr>
              <w:t>现有项目废水污染物排放及治理措施</w:t>
            </w:r>
          </w:p>
          <w:p>
            <w:pPr>
              <w:spacing w:line="360" w:lineRule="auto"/>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现有项目</w:t>
            </w:r>
            <w:r>
              <w:rPr>
                <w:color w:val="000000" w:themeColor="text1"/>
                <w:szCs w:val="24"/>
                <w14:textFill>
                  <w14:solidFill>
                    <w14:schemeClr w14:val="tx1"/>
                  </w14:solidFill>
                </w14:textFill>
              </w:rPr>
              <w:t>用水主要</w:t>
            </w:r>
            <w:r>
              <w:rPr>
                <w:color w:val="000000" w:themeColor="text1"/>
                <w:szCs w:val="24"/>
                <w:lang w:val="zh-CN"/>
                <w14:textFill>
                  <w14:solidFill>
                    <w14:schemeClr w14:val="tx1"/>
                  </w14:solidFill>
                </w14:textFill>
              </w:rPr>
              <w:t>包括</w:t>
            </w:r>
            <w:r>
              <w:rPr>
                <w:rFonts w:hint="eastAsia"/>
                <w:color w:val="000000" w:themeColor="text1"/>
                <w:szCs w:val="24"/>
                <w:lang w:val="zh-CN"/>
                <w14:textFill>
                  <w14:solidFill>
                    <w14:schemeClr w14:val="tx1"/>
                  </w14:solidFill>
                </w14:textFill>
              </w:rPr>
              <w:t>生产用水</w:t>
            </w:r>
            <w:r>
              <w:rPr>
                <w:color w:val="000000" w:themeColor="text1"/>
                <w:szCs w:val="24"/>
                <w14:textFill>
                  <w14:solidFill>
                    <w14:schemeClr w14:val="tx1"/>
                  </w14:solidFill>
                </w14:textFill>
              </w:rPr>
              <w:t>和生活用水。</w:t>
            </w:r>
          </w:p>
          <w:p>
            <w:pPr>
              <w:spacing w:line="360" w:lineRule="auto"/>
              <w:ind w:firstLine="482"/>
              <w:rPr>
                <w:color w:val="000000" w:themeColor="text1"/>
                <w:szCs w:val="24"/>
                <w14:textFill>
                  <w14:solidFill>
                    <w14:schemeClr w14:val="tx1"/>
                  </w14:solidFill>
                </w14:textFill>
              </w:rPr>
            </w:pPr>
            <w:r>
              <w:rPr>
                <w:b/>
                <w:bCs/>
                <w:color w:val="000000" w:themeColor="text1"/>
                <w:szCs w:val="24"/>
                <w14:textFill>
                  <w14:solidFill>
                    <w14:schemeClr w14:val="tx1"/>
                  </w14:solidFill>
                </w14:textFill>
              </w:rPr>
              <w:t>生活用水：</w:t>
            </w:r>
            <w:r>
              <w:rPr>
                <w:rFonts w:hint="eastAsia"/>
                <w:szCs w:val="24"/>
              </w:rPr>
              <w:t>现有</w:t>
            </w:r>
            <w:r>
              <w:rPr>
                <w:color w:val="000000" w:themeColor="text1"/>
                <w:szCs w:val="24"/>
                <w14:textFill>
                  <w14:solidFill>
                    <w14:schemeClr w14:val="tx1"/>
                  </w14:solidFill>
                </w14:textFill>
              </w:rPr>
              <w:t>项目劳动定员</w:t>
            </w:r>
            <w:r>
              <w:rPr>
                <w:rFonts w:hint="eastAsia"/>
                <w:color w:val="000000" w:themeColor="text1"/>
                <w:szCs w:val="24"/>
                <w14:textFill>
                  <w14:solidFill>
                    <w14:schemeClr w14:val="tx1"/>
                  </w14:solidFill>
                </w14:textFill>
              </w:rPr>
              <w:t>7</w:t>
            </w:r>
            <w:r>
              <w:rPr>
                <w:color w:val="000000" w:themeColor="text1"/>
                <w:szCs w:val="24"/>
                <w14:textFill>
                  <w14:solidFill>
                    <w14:schemeClr w14:val="tx1"/>
                  </w14:solidFill>
                </w14:textFill>
              </w:rPr>
              <w:t>人，不设</w:t>
            </w:r>
            <w:r>
              <w:rPr>
                <w:rFonts w:hint="eastAsia"/>
                <w:color w:val="000000" w:themeColor="text1"/>
                <w:szCs w:val="24"/>
                <w14:textFill>
                  <w14:solidFill>
                    <w14:schemeClr w14:val="tx1"/>
                  </w14:solidFill>
                </w14:textFill>
              </w:rPr>
              <w:t>住宿</w:t>
            </w:r>
            <w:r>
              <w:rPr>
                <w:color w:val="000000" w:themeColor="text1"/>
                <w:szCs w:val="24"/>
                <w14:textFill>
                  <w14:solidFill>
                    <w14:schemeClr w14:val="tx1"/>
                  </w14:solidFill>
                </w14:textFill>
              </w:rPr>
              <w:t>，生活用水量为</w:t>
            </w:r>
            <w:r>
              <w:rPr>
                <w:rFonts w:hint="eastAsia"/>
                <w:color w:val="000000" w:themeColor="text1"/>
                <w:szCs w:val="24"/>
                <w14:textFill>
                  <w14:solidFill>
                    <w14:schemeClr w14:val="tx1"/>
                  </w14:solidFill>
                </w14:textFill>
              </w:rPr>
              <w:t>0.42</w:t>
            </w:r>
            <w:r>
              <w:rPr>
                <w:color w:val="000000" w:themeColor="text1"/>
                <w:szCs w:val="24"/>
                <w14:textFill>
                  <w14:solidFill>
                    <w14:schemeClr w14:val="tx1"/>
                  </w14:solidFill>
                </w14:textFill>
              </w:rPr>
              <w:t>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126</w:t>
            </w:r>
            <w:r>
              <w:rPr>
                <w:color w:val="000000" w:themeColor="text1"/>
                <w:szCs w:val="24"/>
                <w14:textFill>
                  <w14:solidFill>
                    <w14:schemeClr w14:val="tx1"/>
                  </w14:solidFill>
                </w14:textFill>
              </w:rPr>
              <w:t>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/a。</w:t>
            </w:r>
            <w:r>
              <w:rPr>
                <w:rFonts w:hint="eastAsia"/>
                <w:color w:val="000000" w:themeColor="text1"/>
                <w:szCs w:val="24"/>
                <w14:textFill>
                  <w14:solidFill>
                    <w14:schemeClr w14:val="tx1"/>
                  </w14:solidFill>
                </w14:textFill>
              </w:rPr>
              <w:t>现有</w:t>
            </w:r>
            <w:r>
              <w:rPr>
                <w:color w:val="000000" w:themeColor="text1"/>
                <w:szCs w:val="24"/>
                <w14:textFill>
                  <w14:solidFill>
                    <w14:schemeClr w14:val="tx1"/>
                  </w14:solidFill>
                </w14:textFill>
              </w:rPr>
              <w:t>生活污水产生量为</w:t>
            </w:r>
            <w:r>
              <w:rPr>
                <w:rFonts w:hint="eastAsia"/>
                <w:color w:val="000000" w:themeColor="text1"/>
                <w:szCs w:val="24"/>
                <w14:textFill>
                  <w14:solidFill>
                    <w14:schemeClr w14:val="tx1"/>
                  </w14:solidFill>
                </w14:textFill>
              </w:rPr>
              <w:t>0.336</w:t>
            </w:r>
            <w:r>
              <w:rPr>
                <w:color w:val="000000" w:themeColor="text1"/>
                <w:szCs w:val="24"/>
                <w14:textFill>
                  <w14:solidFill>
                    <w14:schemeClr w14:val="tx1"/>
                  </w14:solidFill>
                </w14:textFill>
              </w:rPr>
              <w:t>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100.8</w:t>
            </w:r>
            <w:r>
              <w:rPr>
                <w:color w:val="000000" w:themeColor="text1"/>
                <w:szCs w:val="24"/>
                <w14:textFill>
                  <w14:solidFill>
                    <w14:schemeClr w14:val="tx1"/>
                  </w14:solidFill>
                </w14:textFill>
              </w:rPr>
              <w:t>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/a，</w:t>
            </w:r>
            <w:r>
              <w:rPr>
                <w:rFonts w:hint="eastAsia"/>
                <w:color w:val="000000" w:themeColor="text1"/>
                <w:szCs w:val="24"/>
                <w14:textFill>
                  <w14:solidFill>
                    <w14:schemeClr w14:val="tx1"/>
                  </w14:solidFill>
                </w14:textFill>
              </w:rPr>
              <w:t>员工日常生活污水经厂区化粪池处理后用作农肥</w:t>
            </w:r>
            <w:r>
              <w:rPr>
                <w:color w:val="000000" w:themeColor="text1"/>
                <w:szCs w:val="24"/>
                <w14:textFill>
                  <w14:solidFill>
                    <w14:schemeClr w14:val="tx1"/>
                  </w14:solidFill>
                </w14:textFill>
              </w:rPr>
              <w:t>。</w:t>
            </w:r>
          </w:p>
          <w:p>
            <w:pPr>
              <w:spacing w:line="360" w:lineRule="auto"/>
              <w:ind w:firstLine="482"/>
              <w:rPr>
                <w:b/>
                <w:color w:val="000000" w:themeColor="text1"/>
                <w:szCs w:val="24"/>
                <w:lang w:val="zh-CN"/>
                <w14:textFill>
                  <w14:solidFill>
                    <w14:schemeClr w14:val="tx1"/>
                  </w14:solidFill>
                </w14:textFill>
              </w:rPr>
            </w:pPr>
            <w:r>
              <w:rPr>
                <w:b/>
                <w:color w:val="000000" w:themeColor="text1"/>
                <w:szCs w:val="24"/>
                <w:lang w:val="zh-CN"/>
                <w14:textFill>
                  <w14:solidFill>
                    <w14:schemeClr w14:val="tx1"/>
                  </w14:solidFill>
                </w14:textFill>
              </w:rPr>
              <w:t>生产用水：包括</w:t>
            </w:r>
            <w:r>
              <w:rPr>
                <w:rFonts w:hint="eastAsia"/>
                <w:b/>
                <w:color w:val="000000" w:themeColor="text1"/>
                <w:szCs w:val="24"/>
                <w:lang w:val="zh-CN"/>
                <w14:textFill>
                  <w14:solidFill>
                    <w14:schemeClr w14:val="tx1"/>
                  </w14:solidFill>
                </w14:textFill>
              </w:rPr>
              <w:t>生产线</w:t>
            </w:r>
            <w:r>
              <w:rPr>
                <w:b/>
                <w:color w:val="000000" w:themeColor="text1"/>
                <w:szCs w:val="24"/>
                <w14:textFill>
                  <w14:solidFill>
                    <w14:schemeClr w14:val="tx1"/>
                  </w14:solidFill>
                </w14:textFill>
              </w:rPr>
              <w:t>用水</w:t>
            </w:r>
            <w:r>
              <w:rPr>
                <w:b/>
                <w:color w:val="000000" w:themeColor="text1"/>
                <w:szCs w:val="24"/>
                <w:lang w:val="zh-CN"/>
                <w14:textFill>
                  <w14:solidFill>
                    <w14:schemeClr w14:val="tx1"/>
                  </w14:solidFill>
                </w14:textFill>
              </w:rPr>
              <w:t>、</w:t>
            </w:r>
            <w:r>
              <w:rPr>
                <w:rFonts w:hint="eastAsia"/>
                <w:b/>
                <w:color w:val="000000" w:themeColor="text1"/>
                <w:szCs w:val="24"/>
                <w:lang w:val="zh-CN"/>
                <w14:textFill>
                  <w14:solidFill>
                    <w14:schemeClr w14:val="tx1"/>
                  </w14:solidFill>
                </w14:textFill>
              </w:rPr>
              <w:t>喷雾防尘用水、产品渗沥水、</w:t>
            </w:r>
            <w:r>
              <w:rPr>
                <w:b/>
                <w:color w:val="000000" w:themeColor="text1"/>
                <w:szCs w:val="24"/>
                <w:lang w:val="zh-CN"/>
                <w14:textFill>
                  <w14:solidFill>
                    <w14:schemeClr w14:val="tx1"/>
                  </w14:solidFill>
                </w14:textFill>
              </w:rPr>
              <w:t>车辆冲洗用水、</w:t>
            </w:r>
            <w:r>
              <w:rPr>
                <w:rFonts w:hint="eastAsia"/>
                <w:b/>
                <w:color w:val="000000" w:themeColor="text1"/>
                <w:szCs w:val="24"/>
                <w:lang w:val="zh-CN"/>
                <w14:textFill>
                  <w14:solidFill>
                    <w14:schemeClr w14:val="tx1"/>
                  </w14:solidFill>
                </w14:textFill>
              </w:rPr>
              <w:t>泥浆压滤水</w:t>
            </w:r>
            <w:r>
              <w:rPr>
                <w:b/>
                <w:color w:val="000000" w:themeColor="text1"/>
                <w:szCs w:val="24"/>
                <w:lang w:val="zh-CN"/>
                <w14:textFill>
                  <w14:solidFill>
                    <w14:schemeClr w14:val="tx1"/>
                  </w14:solidFill>
                </w14:textFill>
              </w:rPr>
              <w:t>。</w:t>
            </w:r>
          </w:p>
          <w:p>
            <w:pPr>
              <w:spacing w:line="360" w:lineRule="auto"/>
              <w:ind w:firstLine="482" w:firstLineChars="200"/>
              <w:jc w:val="left"/>
              <w:rPr>
                <w:color w:val="000000" w:themeColor="text1"/>
                <w:kern w:val="24"/>
                <w:szCs w:val="24"/>
                <w14:textFill>
                  <w14:solidFill>
                    <w14:schemeClr w14:val="tx1"/>
                  </w14:solidFill>
                </w14:textFill>
              </w:rPr>
            </w:pPr>
            <w:r>
              <w:rPr>
                <w:rFonts w:hint="eastAsia"/>
                <w:b/>
                <w:bCs/>
                <w:color w:val="000000" w:themeColor="text1"/>
                <w:kern w:val="24"/>
                <w:szCs w:val="24"/>
                <w14:textFill>
                  <w14:solidFill>
                    <w14:schemeClr w14:val="tx1"/>
                  </w14:solidFill>
                </w14:textFill>
              </w:rPr>
              <w:t>喷雾防尘</w:t>
            </w:r>
            <w:r>
              <w:rPr>
                <w:b/>
                <w:bCs/>
                <w:color w:val="000000" w:themeColor="text1"/>
                <w:kern w:val="24"/>
                <w:szCs w:val="24"/>
                <w14:textFill>
                  <w14:solidFill>
                    <w14:schemeClr w14:val="tx1"/>
                  </w14:solidFill>
                </w14:textFill>
              </w:rPr>
              <w:t>用水：</w:t>
            </w:r>
            <w:r>
              <w:rPr>
                <w:rFonts w:hint="eastAsia"/>
                <w:color w:val="000000" w:themeColor="text1"/>
                <w:kern w:val="24"/>
                <w:szCs w:val="24"/>
                <w14:textFill>
                  <w14:solidFill>
                    <w14:schemeClr w14:val="tx1"/>
                  </w14:solidFill>
                </w14:textFill>
              </w:rPr>
              <w:t>现有项目采用湿法生产工艺，在多级振动筛分处冲水能够抑制粉尘产生， 现有项目产生粉尘的环节主要有原料卸料、破碎环节。</w:t>
            </w:r>
          </w:p>
          <w:p>
            <w:pPr>
              <w:spacing w:line="360" w:lineRule="auto"/>
              <w:ind w:firstLine="480"/>
              <w:rPr>
                <w:b/>
                <w:color w:val="000000" w:themeColor="text1"/>
                <w:szCs w:val="24"/>
                <w14:textFill>
                  <w14:solidFill>
                    <w14:schemeClr w14:val="tx1"/>
                  </w14:solidFill>
                </w14:textFill>
              </w:rPr>
            </w:pPr>
            <w:r>
              <w:rPr>
                <w:rFonts w:hint="eastAsia"/>
                <w:color w:val="000000" w:themeColor="text1"/>
                <w:kern w:val="24"/>
                <w:szCs w:val="24"/>
                <w14:textFill>
                  <w14:solidFill>
                    <w14:schemeClr w14:val="tx1"/>
                  </w14:solidFill>
                </w14:textFill>
              </w:rPr>
              <w:t>现有项目在生产车间内共设置20个防尘喷雾喷头。现有项目生产车间内防尘喷雾总用水量为3.2</w:t>
            </w:r>
            <w:r>
              <w:rPr>
                <w:rFonts w:hint="eastAsia"/>
                <w:color w:val="000000" w:themeColor="text1"/>
                <w:szCs w:val="24"/>
                <w14:textFill>
                  <w14:solidFill>
                    <w14:schemeClr w14:val="tx1"/>
                  </w14:solidFill>
                </w14:textFill>
              </w:rPr>
              <w:t>m³</w:t>
            </w:r>
            <w:r>
              <w:rPr>
                <w:rFonts w:hint="eastAsia"/>
                <w:color w:val="000000" w:themeColor="text1"/>
                <w:kern w:val="24"/>
                <w:szCs w:val="24"/>
                <w14:textFill>
                  <w14:solidFill>
                    <w14:schemeClr w14:val="tx1"/>
                  </w14:solidFill>
                </w14:textFill>
              </w:rPr>
              <w:t>/d 。喷雾降尘水全部蒸发损耗，不会形成径流废水。</w:t>
            </w:r>
          </w:p>
          <w:p>
            <w:pPr>
              <w:spacing w:line="360" w:lineRule="auto"/>
              <w:ind w:firstLine="480"/>
              <w:rPr>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生产线</w:t>
            </w:r>
            <w:r>
              <w:rPr>
                <w:b/>
                <w:color w:val="000000" w:themeColor="text1"/>
                <w:szCs w:val="24"/>
                <w14:textFill>
                  <w14:solidFill>
                    <w14:schemeClr w14:val="tx1"/>
                  </w14:solidFill>
                </w14:textFill>
              </w:rPr>
              <w:t>用水：</w:t>
            </w:r>
            <w:r>
              <w:rPr>
                <w:rFonts w:hint="eastAsia"/>
                <w:bCs/>
                <w:color w:val="000000" w:themeColor="text1"/>
                <w:szCs w:val="24"/>
                <w14:textFill>
                  <w14:solidFill>
                    <w14:schemeClr w14:val="tx1"/>
                  </w14:solidFill>
                </w14:textFill>
              </w:rPr>
              <w:t>现有</w:t>
            </w:r>
            <w:r>
              <w:rPr>
                <w:spacing w:val="-1"/>
              </w:rPr>
              <w:t>项目生产线用水主要是多级振动筛分环节冲水。项目原料来源于</w:t>
            </w:r>
            <w:r>
              <w:rPr>
                <w:rFonts w:hint="eastAsia"/>
                <w:spacing w:val="-1"/>
              </w:rPr>
              <w:t>河道砂</w:t>
            </w:r>
            <w:r>
              <w:rPr>
                <w:rFonts w:hint="eastAsia"/>
                <w:color w:val="000000" w:themeColor="text1"/>
                <w:szCs w:val="24"/>
                <w14:textFill>
                  <w14:solidFill>
                    <w14:schemeClr w14:val="tx1"/>
                  </w14:solidFill>
                </w14:textFill>
              </w:rPr>
              <w:t>石、建筑废料</w:t>
            </w:r>
            <w:r>
              <w:rPr>
                <w:color w:val="000000" w:themeColor="text1"/>
                <w:szCs w:val="24"/>
                <w14:textFill>
                  <w14:solidFill>
                    <w14:schemeClr w14:val="tx1"/>
                  </w14:solidFill>
                </w14:textFill>
              </w:rPr>
              <w:t>等，水洗加工的用水量与原料的含泥量、粒度以及洗砂机的种类等都有关。</w:t>
            </w:r>
            <w:r>
              <w:rPr>
                <w:rFonts w:hint="eastAsia"/>
                <w:color w:val="000000" w:themeColor="text1"/>
                <w:szCs w:val="24"/>
                <w14:textFill>
                  <w14:solidFill>
                    <w14:schemeClr w14:val="tx1"/>
                  </w14:solidFill>
                </w14:textFill>
              </w:rPr>
              <w:t>现有项目</w:t>
            </w:r>
            <w:r>
              <w:rPr>
                <w:color w:val="000000" w:themeColor="text1"/>
                <w:szCs w:val="24"/>
                <w14:textFill>
                  <w14:solidFill>
                    <w14:schemeClr w14:val="tx1"/>
                  </w14:solidFill>
                </w14:textFill>
              </w:rPr>
              <w:t>生产线水洗总用水量</w:t>
            </w:r>
            <w:r>
              <w:rPr>
                <w:rFonts w:hint="eastAsia"/>
                <w:color w:val="000000" w:themeColor="text1"/>
                <w:szCs w:val="24"/>
                <w14:textFill>
                  <w14:solidFill>
                    <w14:schemeClr w14:val="tx1"/>
                  </w14:solidFill>
                </w14:textFill>
              </w:rPr>
              <w:t>50001m³</w:t>
            </w:r>
            <w:r>
              <w:rPr>
                <w:color w:val="000000" w:themeColor="text1"/>
                <w:szCs w:val="24"/>
                <w14:textFill>
                  <w14:solidFill>
                    <w14:schemeClr w14:val="tx1"/>
                  </w14:solidFill>
                </w14:textFill>
              </w:rPr>
              <w:t>/a（</w:t>
            </w:r>
            <w:r>
              <w:rPr>
                <w:rFonts w:hint="eastAsia"/>
                <w:color w:val="000000" w:themeColor="text1"/>
                <w:szCs w:val="24"/>
                <w14:textFill>
                  <w14:solidFill>
                    <w14:schemeClr w14:val="tx1"/>
                  </w14:solidFill>
                </w14:textFill>
              </w:rPr>
              <w:t>166.67m³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其中振动筛分环节用水量</w:t>
            </w:r>
            <w:r>
              <w:rPr>
                <w:rFonts w:hint="eastAsia"/>
                <w:color w:val="000000" w:themeColor="text1"/>
                <w:szCs w:val="24"/>
                <w14:textFill>
                  <w14:solidFill>
                    <w14:schemeClr w14:val="tx1"/>
                  </w14:solidFill>
                </w14:textFill>
              </w:rPr>
              <w:t>116.67 m³</w:t>
            </w:r>
            <w:r>
              <w:rPr>
                <w:color w:val="000000" w:themeColor="text1"/>
                <w:szCs w:val="24"/>
                <w14:textFill>
                  <w14:solidFill>
                    <w14:schemeClr w14:val="tx1"/>
                  </w14:solidFill>
                </w14:textFill>
              </w:rPr>
              <w:t>/d ，螺旋洗砂环节用水量</w:t>
            </w:r>
            <w:r>
              <w:rPr>
                <w:rFonts w:hint="eastAsia"/>
                <w:color w:val="000000" w:themeColor="text1"/>
                <w:szCs w:val="24"/>
                <w14:textFill>
                  <w14:solidFill>
                    <w14:schemeClr w14:val="tx1"/>
                  </w14:solidFill>
                </w14:textFill>
              </w:rPr>
              <w:t>50m³</w:t>
            </w:r>
            <w:r>
              <w:rPr>
                <w:color w:val="000000" w:themeColor="text1"/>
                <w:szCs w:val="24"/>
                <w14:textFill>
                  <w14:solidFill>
                    <w14:schemeClr w14:val="tx1"/>
                  </w14:solidFill>
                </w14:textFill>
              </w:rPr>
              <w:t>/d。</w:t>
            </w:r>
          </w:p>
          <w:p>
            <w:pPr>
              <w:spacing w:line="360" w:lineRule="auto"/>
              <w:ind w:firstLine="482"/>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现有项目</w:t>
            </w:r>
            <w:r>
              <w:rPr>
                <w:color w:val="000000" w:themeColor="text1"/>
                <w:szCs w:val="24"/>
                <w14:textFill>
                  <w14:solidFill>
                    <w14:schemeClr w14:val="tx1"/>
                  </w14:solidFill>
                </w14:textFill>
              </w:rPr>
              <w:t>筛选出的碎石产品经皮带输送至成品堆场，碎石产品离开生产线时带走水分约</w:t>
            </w:r>
            <w:r>
              <w:rPr>
                <w:rFonts w:hint="eastAsia"/>
                <w:color w:val="000000" w:themeColor="text1"/>
                <w:szCs w:val="24"/>
                <w14:textFill>
                  <w14:solidFill>
                    <w14:schemeClr w14:val="tx1"/>
                  </w14:solidFill>
                </w14:textFill>
              </w:rPr>
              <w:t>11.67m³</w:t>
            </w:r>
            <w:r>
              <w:rPr>
                <w:color w:val="000000" w:themeColor="text1"/>
                <w:szCs w:val="24"/>
                <w14:textFill>
                  <w14:solidFill>
                    <w14:schemeClr w14:val="tx1"/>
                  </w14:solidFill>
                </w14:textFill>
              </w:rPr>
              <w:t>/d；振动筛分过程蒸发、损耗约</w:t>
            </w:r>
            <w:r>
              <w:rPr>
                <w:rFonts w:hint="eastAsia"/>
                <w:color w:val="000000" w:themeColor="text1"/>
                <w:szCs w:val="24"/>
                <w14:textFill>
                  <w14:solidFill>
                    <w14:schemeClr w14:val="tx1"/>
                  </w14:solidFill>
                </w14:textFill>
              </w:rPr>
              <w:t>1.67 m³</w:t>
            </w:r>
            <w:r>
              <w:rPr>
                <w:color w:val="000000" w:themeColor="text1"/>
                <w:szCs w:val="24"/>
                <w14:textFill>
                  <w14:solidFill>
                    <w14:schemeClr w14:val="tx1"/>
                  </w14:solidFill>
                </w14:textFill>
              </w:rPr>
              <w:t>/d 。</w:t>
            </w:r>
            <w:r>
              <w:rPr>
                <w:rFonts w:hint="eastAsia"/>
                <w:color w:val="000000" w:themeColor="text1"/>
                <w:szCs w:val="24"/>
                <w14:textFill>
                  <w14:solidFill>
                    <w14:schemeClr w14:val="tx1"/>
                  </w14:solidFill>
                </w14:textFill>
              </w:rPr>
              <w:t>现有项目</w:t>
            </w:r>
            <w:r>
              <w:rPr>
                <w:color w:val="000000" w:themeColor="text1"/>
                <w:szCs w:val="24"/>
                <w14:textFill>
                  <w14:solidFill>
                    <w14:schemeClr w14:val="tx1"/>
                  </w14:solidFill>
                </w14:textFill>
              </w:rPr>
              <w:t>进入洗砂池的砂水混合物的含水量</w:t>
            </w:r>
            <w:r>
              <w:rPr>
                <w:rFonts w:hint="eastAsia"/>
                <w:color w:val="000000" w:themeColor="text1"/>
                <w:szCs w:val="24"/>
                <w14:textFill>
                  <w14:solidFill>
                    <w14:schemeClr w14:val="tx1"/>
                  </w14:solidFill>
                </w14:textFill>
              </w:rPr>
              <w:t>总量</w:t>
            </w:r>
            <w:r>
              <w:rPr>
                <w:color w:val="000000" w:themeColor="text1"/>
                <w:szCs w:val="24"/>
                <w14:textFill>
                  <w14:solidFill>
                    <w14:schemeClr w14:val="tx1"/>
                  </w14:solidFill>
                </w14:textFill>
              </w:rPr>
              <w:t>为</w:t>
            </w:r>
            <w:r>
              <w:rPr>
                <w:rFonts w:hint="eastAsia"/>
                <w:color w:val="000000" w:themeColor="text1"/>
                <w:szCs w:val="24"/>
                <w14:textFill>
                  <w14:solidFill>
                    <w14:schemeClr w14:val="tx1"/>
                  </w14:solidFill>
                </w14:textFill>
              </w:rPr>
              <w:t>103.33m³</w:t>
            </w:r>
            <w:r>
              <w:rPr>
                <w:color w:val="000000" w:themeColor="text1"/>
                <w:szCs w:val="24"/>
                <w14:textFill>
                  <w14:solidFill>
                    <w14:schemeClr w14:val="tx1"/>
                  </w14:solidFill>
                </w14:textFill>
              </w:rPr>
              <w:t>/d。</w:t>
            </w:r>
          </w:p>
          <w:p>
            <w:pPr>
              <w:spacing w:line="360" w:lineRule="auto"/>
              <w:ind w:firstLine="482"/>
              <w:rPr>
                <w:color w:val="000000" w:themeColor="text1"/>
                <w:szCs w:val="24"/>
                <w14:textFill>
                  <w14:solidFill>
                    <w14:schemeClr w14:val="tx1"/>
                  </w14:solidFill>
                </w14:textFill>
              </w:rPr>
            </w:pPr>
            <w:r>
              <w:rPr>
                <w:color w:val="000000" w:themeColor="text1"/>
                <w:szCs w:val="24"/>
                <w14:textFill>
                  <w14:solidFill>
                    <w14:schemeClr w14:val="tx1"/>
                  </w14:solidFill>
                </w14:textFill>
              </w:rPr>
              <w:t>砂水混合物进入洗砂池，由螺旋洗砂机将机砂螺旋提升出来，然后在离开螺旋洗砂机之前再次用水进行冲洗，螺旋洗砂环节</w:t>
            </w:r>
            <w:r>
              <w:rPr>
                <w:rFonts w:hint="eastAsia"/>
                <w:color w:val="000000" w:themeColor="text1"/>
                <w:szCs w:val="24"/>
                <w14:textFill>
                  <w14:solidFill>
                    <w14:schemeClr w14:val="tx1"/>
                  </w14:solidFill>
                </w14:textFill>
              </w:rPr>
              <w:t>现有项目</w:t>
            </w:r>
            <w:r>
              <w:rPr>
                <w:color w:val="000000" w:themeColor="text1"/>
                <w:szCs w:val="24"/>
                <w14:textFill>
                  <w14:solidFill>
                    <w14:schemeClr w14:val="tx1"/>
                  </w14:solidFill>
                </w14:textFill>
              </w:rPr>
              <w:t>用水量</w:t>
            </w:r>
            <w:r>
              <w:rPr>
                <w:rFonts w:hint="eastAsia"/>
                <w:color w:val="000000" w:themeColor="text1"/>
                <w:szCs w:val="24"/>
                <w14:textFill>
                  <w14:solidFill>
                    <w14:schemeClr w14:val="tx1"/>
                  </w14:solidFill>
                </w14:textFill>
              </w:rPr>
              <w:t>50 m³</w:t>
            </w:r>
            <w:r>
              <w:rPr>
                <w:color w:val="000000" w:themeColor="text1"/>
                <w:szCs w:val="24"/>
                <w14:textFill>
                  <w14:solidFill>
                    <w14:schemeClr w14:val="tx1"/>
                  </w14:solidFill>
                </w14:textFill>
              </w:rPr>
              <w:t>/d。冲洗水向下流入洗砂池内。洗砂生产线的机砂产品带走水</w:t>
            </w:r>
            <w:r>
              <w:rPr>
                <w:rFonts w:hint="eastAsia"/>
                <w:color w:val="000000" w:themeColor="text1"/>
                <w:szCs w:val="24"/>
                <w14:textFill>
                  <w14:solidFill>
                    <w14:schemeClr w14:val="tx1"/>
                  </w14:solidFill>
                </w14:textFill>
              </w:rPr>
              <w:t>量</w:t>
            </w:r>
            <w:r>
              <w:rPr>
                <w:color w:val="000000" w:themeColor="text1"/>
                <w:szCs w:val="24"/>
                <w14:textFill>
                  <w14:solidFill>
                    <w14:schemeClr w14:val="tx1"/>
                  </w14:solidFill>
                </w14:textFill>
              </w:rPr>
              <w:t>为</w:t>
            </w:r>
            <w:r>
              <w:rPr>
                <w:rFonts w:hint="eastAsia"/>
                <w:color w:val="000000" w:themeColor="text1"/>
                <w:szCs w:val="24"/>
                <w14:textFill>
                  <w14:solidFill>
                    <w14:schemeClr w14:val="tx1"/>
                  </w14:solidFill>
                </w14:textFill>
              </w:rPr>
              <w:t>10m³</w:t>
            </w:r>
            <w:r>
              <w:rPr>
                <w:color w:val="000000" w:themeColor="text1"/>
                <w:szCs w:val="24"/>
                <w14:textFill>
                  <w14:solidFill>
                    <w14:schemeClr w14:val="tx1"/>
                  </w14:solidFill>
                </w14:textFill>
              </w:rPr>
              <w:t>/d；洗砂过程蒸发、损耗</w:t>
            </w:r>
            <w:r>
              <w:rPr>
                <w:rFonts w:hint="eastAsia"/>
                <w:color w:val="000000" w:themeColor="text1"/>
                <w:szCs w:val="24"/>
                <w14:textFill>
                  <w14:solidFill>
                    <w14:schemeClr w14:val="tx1"/>
                  </w14:solidFill>
                </w14:textFill>
              </w:rPr>
              <w:t>量</w:t>
            </w:r>
            <w:r>
              <w:rPr>
                <w:color w:val="000000" w:themeColor="text1"/>
                <w:szCs w:val="24"/>
                <w14:textFill>
                  <w14:solidFill>
                    <w14:schemeClr w14:val="tx1"/>
                  </w14:solidFill>
                </w14:textFill>
              </w:rPr>
              <w:t>约</w:t>
            </w:r>
            <w:r>
              <w:rPr>
                <w:rFonts w:hint="eastAsia"/>
                <w:color w:val="000000" w:themeColor="text1"/>
                <w:szCs w:val="24"/>
                <w14:textFill>
                  <w14:solidFill>
                    <w14:schemeClr w14:val="tx1"/>
                  </w14:solidFill>
                </w14:textFill>
              </w:rPr>
              <w:t>1.5m³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现有项目生产线</w:t>
            </w:r>
            <w:r>
              <w:rPr>
                <w:color w:val="000000" w:themeColor="text1"/>
                <w:szCs w:val="24"/>
                <w14:textFill>
                  <w14:solidFill>
                    <w14:schemeClr w14:val="tx1"/>
                  </w14:solidFill>
                </w14:textFill>
              </w:rPr>
              <w:t>产生的</w:t>
            </w:r>
            <w:r>
              <w:rPr>
                <w:rFonts w:hint="eastAsia"/>
                <w:color w:val="000000" w:themeColor="text1"/>
                <w:szCs w:val="24"/>
                <w14:textFill>
                  <w14:solidFill>
                    <w14:schemeClr w14:val="tx1"/>
                  </w14:solidFill>
                </w14:textFill>
              </w:rPr>
              <w:t>总</w:t>
            </w:r>
            <w:r>
              <w:rPr>
                <w:color w:val="000000" w:themeColor="text1"/>
                <w:szCs w:val="24"/>
                <w14:textFill>
                  <w14:solidFill>
                    <w14:schemeClr w14:val="tx1"/>
                  </w14:solidFill>
                </w14:textFill>
              </w:rPr>
              <w:t>废水约</w:t>
            </w:r>
            <w:r>
              <w:rPr>
                <w:rFonts w:hint="eastAsia"/>
                <w:color w:val="000000" w:themeColor="text1"/>
                <w:szCs w:val="24"/>
                <w14:textFill>
                  <w14:solidFill>
                    <w14:schemeClr w14:val="tx1"/>
                  </w14:solidFill>
                </w14:textFill>
              </w:rPr>
              <w:t>141.83m³</w:t>
            </w:r>
            <w:r>
              <w:rPr>
                <w:color w:val="000000" w:themeColor="text1"/>
                <w:szCs w:val="24"/>
                <w14:textFill>
                  <w14:solidFill>
                    <w14:schemeClr w14:val="tx1"/>
                  </w14:solidFill>
                </w14:textFill>
              </w:rPr>
              <w:t>/d ，进入废水处理系统处理后再回用。</w:t>
            </w:r>
          </w:p>
          <w:p>
            <w:pPr>
              <w:spacing w:line="360" w:lineRule="auto"/>
              <w:ind w:firstLine="482" w:firstLineChars="200"/>
              <w:jc w:val="left"/>
              <w:rPr>
                <w:spacing w:val="-1"/>
              </w:rPr>
            </w:pPr>
            <w:r>
              <w:rPr>
                <w:rFonts w:hint="eastAsia"/>
                <w:b/>
                <w:bCs/>
                <w:color w:val="000000" w:themeColor="text1"/>
                <w:kern w:val="24"/>
                <w:szCs w:val="24"/>
                <w14:textFill>
                  <w14:solidFill>
                    <w14:schemeClr w14:val="tx1"/>
                  </w14:solidFill>
                </w14:textFill>
              </w:rPr>
              <w:t>产品渗沥水</w:t>
            </w:r>
            <w:r>
              <w:rPr>
                <w:b/>
                <w:bCs/>
                <w:color w:val="000000" w:themeColor="text1"/>
                <w:kern w:val="24"/>
                <w:szCs w:val="24"/>
                <w14:textFill>
                  <w14:solidFill>
                    <w14:schemeClr w14:val="tx1"/>
                  </w14:solidFill>
                </w14:textFill>
              </w:rPr>
              <w:t>：</w:t>
            </w:r>
            <w:r>
              <w:rPr>
                <w:rFonts w:hint="eastAsia"/>
                <w:spacing w:val="-1"/>
              </w:rPr>
              <w:t>现有项目</w:t>
            </w:r>
            <w:r>
              <w:rPr>
                <w:spacing w:val="-1"/>
              </w:rPr>
              <w:t>碎石产品离开生产线时</w:t>
            </w:r>
            <w:r>
              <w:rPr>
                <w:spacing w:val="-2"/>
              </w:rPr>
              <w:t>带走水量为</w:t>
            </w:r>
            <w:r>
              <w:rPr>
                <w:rFonts w:hint="eastAsia" w:eastAsiaTheme="minorEastAsia"/>
                <w:spacing w:val="-2"/>
              </w:rPr>
              <w:t>21.67</w:t>
            </w:r>
            <w:r>
              <w:rPr>
                <w:rFonts w:eastAsia="Times New Roman"/>
                <w:spacing w:val="-2"/>
              </w:rPr>
              <w:t>m</w:t>
            </w:r>
            <w:r>
              <w:rPr>
                <w:rFonts w:eastAsia="Times New Roman"/>
                <w:spacing w:val="-2"/>
                <w:position w:val="8"/>
                <w:sz w:val="15"/>
                <w:szCs w:val="15"/>
              </w:rPr>
              <w:t>3</w:t>
            </w:r>
            <w:r>
              <w:rPr>
                <w:rFonts w:eastAsia="Times New Roman"/>
                <w:spacing w:val="-2"/>
              </w:rPr>
              <w:t>/d</w:t>
            </w:r>
            <w:r>
              <w:rPr>
                <w:rFonts w:eastAsia="Times New Roman"/>
                <w:spacing w:val="-30"/>
              </w:rPr>
              <w:t xml:space="preserve"> </w:t>
            </w:r>
            <w:r>
              <w:rPr>
                <w:spacing w:val="-2"/>
              </w:rPr>
              <w:t>。项目外售的砂石料成品带走水量约</w:t>
            </w:r>
            <w:r>
              <w:rPr>
                <w:rFonts w:hint="eastAsia" w:eastAsiaTheme="minorEastAsia"/>
                <w:spacing w:val="-2"/>
              </w:rPr>
              <w:t>3.33</w:t>
            </w:r>
            <w:r>
              <w:rPr>
                <w:rFonts w:eastAsia="Times New Roman"/>
                <w:spacing w:val="-2"/>
              </w:rPr>
              <w:t xml:space="preserve"> m</w:t>
            </w:r>
            <w:r>
              <w:rPr>
                <w:rFonts w:eastAsia="Times New Roman"/>
                <w:spacing w:val="-2"/>
                <w:position w:val="8"/>
                <w:sz w:val="15"/>
                <w:szCs w:val="15"/>
              </w:rPr>
              <w:t>3</w:t>
            </w:r>
            <w:r>
              <w:rPr>
                <w:color w:val="000000" w:themeColor="text1"/>
                <w:kern w:val="24"/>
                <w:szCs w:val="24"/>
                <w14:textFill>
                  <w14:solidFill>
                    <w14:schemeClr w14:val="tx1"/>
                  </w14:solidFill>
                </w14:textFill>
              </w:rPr>
              <w:t>/d。</w:t>
            </w:r>
            <w:r>
              <w:rPr>
                <w:rFonts w:hint="eastAsia"/>
                <w:spacing w:val="-2"/>
              </w:rPr>
              <w:t>则现有项目</w:t>
            </w:r>
            <w:r>
              <w:rPr>
                <w:spacing w:val="-2"/>
              </w:rPr>
              <w:t>碎石产品渗沥水为</w:t>
            </w:r>
            <w:r>
              <w:rPr>
                <w:rFonts w:hint="eastAsia"/>
                <w:spacing w:val="-2"/>
              </w:rPr>
              <w:t>18.34</w:t>
            </w:r>
            <w:r>
              <w:rPr>
                <w:rFonts w:eastAsia="Times New Roman"/>
                <w:spacing w:val="-1"/>
              </w:rPr>
              <w:t>m</w:t>
            </w:r>
            <w:r>
              <w:rPr>
                <w:rFonts w:eastAsia="Times New Roman"/>
                <w:spacing w:val="-1"/>
                <w:position w:val="8"/>
                <w:sz w:val="15"/>
                <w:szCs w:val="15"/>
              </w:rPr>
              <w:t>3</w:t>
            </w:r>
            <w:r>
              <w:rPr>
                <w:rFonts w:eastAsia="Times New Roman"/>
                <w:spacing w:val="-1"/>
              </w:rPr>
              <w:t>/d</w:t>
            </w:r>
            <w:r>
              <w:rPr>
                <w:spacing w:val="-1"/>
              </w:rPr>
              <w:t>。成品堆场设渗沥水导水沟，排入洗砂废水处理设施处理会回用。</w:t>
            </w:r>
          </w:p>
          <w:p>
            <w:pPr>
              <w:spacing w:line="360" w:lineRule="auto"/>
              <w:ind w:firstLine="482" w:firstLineChars="200"/>
              <w:jc w:val="left"/>
              <w:rPr>
                <w:color w:val="000000" w:themeColor="text1"/>
                <w:kern w:val="24"/>
                <w:szCs w:val="24"/>
                <w14:textFill>
                  <w14:solidFill>
                    <w14:schemeClr w14:val="tx1"/>
                  </w14:solidFill>
                </w14:textFill>
              </w:rPr>
            </w:pPr>
            <w:r>
              <w:rPr>
                <w:rFonts w:hint="eastAsia"/>
                <w:b/>
                <w:color w:val="000000" w:themeColor="text1"/>
                <w:kern w:val="24"/>
                <w:szCs w:val="24"/>
                <w14:textFill>
                  <w14:solidFill>
                    <w14:schemeClr w14:val="tx1"/>
                  </w14:solidFill>
                </w14:textFill>
              </w:rPr>
              <w:t>泥浆压滤水：</w:t>
            </w:r>
            <w:r>
              <w:rPr>
                <w:rFonts w:hint="eastAsia"/>
                <w:color w:val="000000" w:themeColor="text1"/>
                <w:kern w:val="24"/>
                <w:szCs w:val="24"/>
                <w14:textFill>
                  <w14:solidFill>
                    <w14:schemeClr w14:val="tx1"/>
                  </w14:solidFill>
                </w14:textFill>
              </w:rPr>
              <w:t>洗砂废水会夹带砂、泥，进入废水处理池并在池底沉淀，每日对池底泥砂进行清理，经板框压滤机压滤后泥饼含水率约60%。现有项目原料含泥砂量约5435t/a。洗砂过程约洗去80%的泥砂，现有项目泥砂量约4348t/a。板框压滤后含水60%的泥饼量约10870t/a，36.24t/d。泥饼带走水分约6522 m³/a，21.74m³/d。压滤水直接返回洗砂废水处理设施的清水池回用生产。</w:t>
            </w:r>
          </w:p>
          <w:p>
            <w:pPr>
              <w:spacing w:line="360" w:lineRule="auto"/>
              <w:ind w:firstLine="480" w:firstLineChars="200"/>
              <w:jc w:val="left"/>
              <w:rPr>
                <w:kern w:val="24"/>
                <w:szCs w:val="24"/>
              </w:rPr>
            </w:pPr>
            <w:r>
              <w:rPr>
                <w:kern w:val="24"/>
                <w:szCs w:val="24"/>
              </w:rPr>
              <w:t>综上分析，项目生产线进入洗砂废水处理设施的废水量包括洗砂废水和产品渗沥水，</w:t>
            </w:r>
            <w:r>
              <w:rPr>
                <w:rFonts w:hint="eastAsia"/>
                <w:kern w:val="24"/>
                <w:szCs w:val="24"/>
              </w:rPr>
              <w:t>扩建后</w:t>
            </w:r>
            <w:r>
              <w:rPr>
                <w:kern w:val="24"/>
                <w:szCs w:val="24"/>
              </w:rPr>
              <w:t>总水量约</w:t>
            </w:r>
            <w:r>
              <w:rPr>
                <w:rFonts w:hint="eastAsia"/>
                <w:kern w:val="24"/>
                <w:szCs w:val="24"/>
              </w:rPr>
              <w:t>160.17 m³</w:t>
            </w:r>
            <w:r>
              <w:rPr>
                <w:kern w:val="24"/>
                <w:szCs w:val="24"/>
              </w:rPr>
              <w:t>/d，处理后泥饼带走水量为</w:t>
            </w:r>
            <w:r>
              <w:rPr>
                <w:rFonts w:hint="eastAsia"/>
                <w:kern w:val="24"/>
                <w:szCs w:val="24"/>
              </w:rPr>
              <w:t>21.74m³</w:t>
            </w:r>
            <w:r>
              <w:rPr>
                <w:kern w:val="24"/>
                <w:szCs w:val="24"/>
              </w:rPr>
              <w:t>/d，</w:t>
            </w:r>
            <w:r>
              <w:rPr>
                <w:rFonts w:hint="eastAsia"/>
                <w:kern w:val="24"/>
                <w:szCs w:val="24"/>
              </w:rPr>
              <w:t>现有项目全厂</w:t>
            </w:r>
            <w:r>
              <w:rPr>
                <w:kern w:val="24"/>
                <w:szCs w:val="24"/>
              </w:rPr>
              <w:t>回用水量为</w:t>
            </w:r>
            <w:r>
              <w:rPr>
                <w:rFonts w:hint="eastAsia"/>
                <w:kern w:val="24"/>
                <w:szCs w:val="24"/>
              </w:rPr>
              <w:t>138.43 m³</w:t>
            </w:r>
            <w:r>
              <w:rPr>
                <w:kern w:val="24"/>
                <w:szCs w:val="24"/>
              </w:rPr>
              <w:t>/d</w:t>
            </w:r>
            <w:r>
              <w:rPr>
                <w:rFonts w:hint="eastAsia"/>
                <w:kern w:val="24"/>
                <w:szCs w:val="24"/>
              </w:rPr>
              <w:t>（扩建项目新增回用水量为2</w:t>
            </w:r>
            <w:r>
              <w:rPr>
                <w:kern w:val="24"/>
                <w:szCs w:val="24"/>
              </w:rPr>
              <w:t>35.32</w:t>
            </w:r>
            <w:r>
              <w:rPr>
                <w:rFonts w:hint="eastAsia"/>
                <w:kern w:val="24"/>
                <w:szCs w:val="24"/>
              </w:rPr>
              <w:t xml:space="preserve"> m³</w:t>
            </w:r>
            <w:r>
              <w:rPr>
                <w:kern w:val="24"/>
                <w:szCs w:val="24"/>
              </w:rPr>
              <w:t>/d</w:t>
            </w:r>
            <w:r>
              <w:rPr>
                <w:rFonts w:hint="eastAsia"/>
                <w:kern w:val="24"/>
                <w:szCs w:val="24"/>
              </w:rPr>
              <w:t>）</w:t>
            </w:r>
            <w:r>
              <w:rPr>
                <w:kern w:val="24"/>
                <w:szCs w:val="24"/>
              </w:rPr>
              <w:t>。</w:t>
            </w:r>
          </w:p>
          <w:p>
            <w:pPr>
              <w:spacing w:line="360" w:lineRule="auto"/>
              <w:ind w:firstLine="482" w:firstLineChars="200"/>
              <w:rPr>
                <w:color w:val="FF0000"/>
              </w:rPr>
            </w:pPr>
            <w:r>
              <w:rPr>
                <w:b/>
                <w:bCs/>
                <w:color w:val="000000" w:themeColor="text1"/>
                <w:szCs w:val="24"/>
                <w14:textFill>
                  <w14:solidFill>
                    <w14:schemeClr w14:val="tx1"/>
                  </w14:solidFill>
                </w14:textFill>
              </w:rPr>
              <w:t>车辆冲洗用水：</w:t>
            </w:r>
            <w:r>
              <w:rPr>
                <w:rFonts w:hint="eastAsia"/>
                <w:color w:val="000000" w:themeColor="text1"/>
                <w:szCs w:val="24"/>
                <w14:textFill>
                  <w14:solidFill>
                    <w14:schemeClr w14:val="tx1"/>
                  </w14:solidFill>
                </w14:textFill>
              </w:rPr>
              <w:t>根据建设单位介绍，现有项目原料和产品均依靠汽车运输，单车运载能力取20t ，年生产300天，则运输作业平均每天约17次。现有项目</w:t>
            </w:r>
            <w:r>
              <w:rPr>
                <w:rFonts w:hint="eastAsia"/>
                <w:bCs/>
                <w:color w:val="000000" w:themeColor="text1"/>
                <w14:textFill>
                  <w14:solidFill>
                    <w14:schemeClr w14:val="tx1"/>
                  </w14:solidFill>
                </w14:textFill>
              </w:rPr>
              <w:t>车辆冲洗用水量为1.36</w:t>
            </w:r>
            <w:r>
              <w:rPr>
                <w:rFonts w:hint="eastAsia"/>
                <w:color w:val="000000" w:themeColor="text1"/>
                <w:kern w:val="24"/>
                <w:szCs w:val="24"/>
                <w14:textFill>
                  <w14:solidFill>
                    <w14:schemeClr w14:val="tx1"/>
                  </w14:solidFill>
                </w14:textFill>
              </w:rPr>
              <w:t xml:space="preserve"> m³</w:t>
            </w:r>
            <w:r>
              <w:rPr>
                <w:rFonts w:hint="eastAsia"/>
                <w:bCs/>
                <w:color w:val="000000" w:themeColor="text1"/>
                <w14:textFill>
                  <w14:solidFill>
                    <w14:schemeClr w14:val="tx1"/>
                  </w14:solidFill>
                </w14:textFill>
              </w:rPr>
              <w:t>/d，现有项目冲洗废水产生量为1.16</w:t>
            </w:r>
            <w:r>
              <w:rPr>
                <w:rFonts w:hint="eastAsia"/>
                <w:color w:val="000000" w:themeColor="text1"/>
                <w:kern w:val="24"/>
                <w:szCs w:val="24"/>
                <w14:textFill>
                  <w14:solidFill>
                    <w14:schemeClr w14:val="tx1"/>
                  </w14:solidFill>
                </w14:textFill>
              </w:rPr>
              <w:t xml:space="preserve"> m³</w:t>
            </w:r>
            <w:r>
              <w:rPr>
                <w:rFonts w:hint="eastAsia"/>
                <w:bCs/>
                <w:color w:val="000000" w:themeColor="text1"/>
                <w14:textFill>
                  <w14:solidFill>
                    <w14:schemeClr w14:val="tx1"/>
                  </w14:solidFill>
                </w14:textFill>
              </w:rPr>
              <w:t>/d。车辆冲洗废水设沉淀池收集处理后循环回用不外排。现有项目车辆冲洗补充水为0.2</w:t>
            </w:r>
            <w:r>
              <w:rPr>
                <w:rFonts w:hint="eastAsia"/>
                <w:color w:val="000000" w:themeColor="text1"/>
                <w:kern w:val="24"/>
                <w:szCs w:val="24"/>
                <w14:textFill>
                  <w14:solidFill>
                    <w14:schemeClr w14:val="tx1"/>
                  </w14:solidFill>
                </w14:textFill>
              </w:rPr>
              <w:t xml:space="preserve"> m³</w:t>
            </w:r>
            <w:r>
              <w:rPr>
                <w:rFonts w:hint="eastAsia"/>
                <w:bCs/>
                <w:color w:val="000000" w:themeColor="text1"/>
                <w14:textFill>
                  <w14:solidFill>
                    <w14:schemeClr w14:val="tx1"/>
                  </w14:solidFill>
                </w14:textFill>
              </w:rPr>
              <w:t>/d。</w:t>
            </w:r>
          </w:p>
          <w:p>
            <w:pPr>
              <w:spacing w:line="360" w:lineRule="auto"/>
              <w:ind w:firstLine="480" w:firstLineChars="200"/>
            </w:pPr>
            <w:r>
              <w:rPr>
                <w:rFonts w:hint="eastAsia"/>
              </w:rPr>
              <w:t>现有项目生产废水经处理后回用于生产，不外排，生活污水经厂区化粪池处理后用作周边农地农肥，不外排。</w:t>
            </w:r>
          </w:p>
          <w:p>
            <w:pPr>
              <w:spacing w:line="360" w:lineRule="auto"/>
              <w:ind w:firstLine="482" w:firstLineChars="200"/>
              <w:rPr>
                <w:b/>
                <w:bCs/>
              </w:rPr>
            </w:pPr>
            <w:r>
              <w:rPr>
                <w:rFonts w:hint="eastAsia"/>
                <w:b/>
                <w:bCs/>
              </w:rPr>
              <w:t>2）</w:t>
            </w:r>
            <w:r>
              <w:rPr>
                <w:rFonts w:hint="eastAsia" w:cs="宋体"/>
                <w:b/>
                <w:bCs/>
              </w:rPr>
              <w:t>现有项目废气污染物排放及治理措施</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现有项目废气主要为物料运输扬尘、堆场装卸扬尘、原料给料上料粉尘、破碎粉尘、成品堆场装车粉尘以及汽车运输扬尘。食堂会产生少量食堂油烟。</w:t>
            </w:r>
          </w:p>
          <w:p>
            <w:pPr>
              <w:pStyle w:val="41"/>
              <w:numPr>
                <w:ilvl w:val="0"/>
                <w:numId w:val="1"/>
              </w:numPr>
              <w:spacing w:line="360" w:lineRule="auto"/>
              <w:ind w:firstLineChars="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原料装卸粉尘</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原料装卸粉尘主要是原料中的细颗粒物在自由下落过程，随风迁移飘散形成。现有项目原料总量54350t/a ，现有项目原料堆场卸料粉尘产生量为1.09t/a。</w:t>
            </w:r>
            <w:r>
              <w:rPr>
                <w:rFonts w:hint="eastAsia"/>
                <w:bCs/>
                <w:szCs w:val="24"/>
              </w:rPr>
              <w:t>现有项目原料堆场为露天堆场，未采取封闭式建设，同时也未设置喷雾降尘装置，</w:t>
            </w:r>
            <w:r>
              <w:rPr>
                <w:rFonts w:hint="eastAsia"/>
                <w:bCs/>
                <w:color w:val="000000" w:themeColor="text1"/>
                <w:szCs w:val="24"/>
                <w14:textFill>
                  <w14:solidFill>
                    <w14:schemeClr w14:val="tx1"/>
                  </w14:solidFill>
                </w14:textFill>
              </w:rPr>
              <w:t>卸料粉尘排放方式为无组织排放。</w:t>
            </w:r>
          </w:p>
          <w:p>
            <w:pPr>
              <w:spacing w:line="360" w:lineRule="auto"/>
              <w:ind w:firstLine="360"/>
              <w:rPr>
                <w:bCs/>
                <w:color w:val="000000" w:themeColor="text1"/>
                <w14:textFill>
                  <w14:solidFill>
                    <w14:schemeClr w14:val="tx1"/>
                  </w14:solidFill>
                </w14:textFill>
              </w:rPr>
            </w:pPr>
            <w:r>
              <w:rPr>
                <w:rFonts w:hint="eastAsia"/>
                <w:bCs/>
                <w:color w:val="000000" w:themeColor="text1"/>
                <w:szCs w:val="24"/>
                <w14:textFill>
                  <w14:solidFill>
                    <w14:schemeClr w14:val="tx1"/>
                  </w14:solidFill>
                </w14:textFill>
              </w:rPr>
              <w:t>②给</w:t>
            </w:r>
            <w:r>
              <w:rPr>
                <w:rFonts w:hint="eastAsia"/>
                <w:bCs/>
                <w:color w:val="000000" w:themeColor="text1"/>
                <w14:textFill>
                  <w14:solidFill>
                    <w14:schemeClr w14:val="tx1"/>
                  </w14:solidFill>
                </w14:textFill>
              </w:rPr>
              <w:t>料机上料粉尘</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现有项目生产时通过装载机将原料从堆场转移至给料机上料。原料在跌落过程也会产生一定的粉尘。现有项目给料机上料过程粉尘产生量为1.09t/a。现有项目给料机进料口未设置三面封闭，同时也未设置喷雾降尘装置，上料粉尘排放方式为无组织排放。</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③破碎粉尘</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现有项目砂石料生产过程涉及两次破碎，一次破碎为颚式破碎，二次破碎为反击式破碎。破碎粉尘的产生主要是物料在机械内部相互撞击、翻滚的过程。现有项目物料两次破碎粉尘产生量为54.35t/a。现有项目颚破机、反击破设备均为密闭型的破碎设备，设备出料口设置喷雾降尘。再对破碎设备采取了二次密闭，能够降低粉尘外逸。现有项目采取上述治理措施，两级破碎粉尘综合抑尘率取90% ，则现有项目破碎粉尘排放量约5.44t/a ，排放方式为无组织排放。</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④皮带输送粉尘</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现有项目生产时原料、产品均通过皮带输送。输送皮带运行本身不会产生粉尘，主要是在皮带转运点，物料跌落过程会产生少量的粉尘。现有项目皮带机输送时粉尘产生量0.5t/a。现有项目对输送皮带配备减速机，使皮带能够平稳运行。对输送皮带采取全封闭措施。同时采取的湿法生产工艺，砂石料成品均具有一定的含水率，从皮带落料至地面的过程几乎不会产生粉尘。因此，现有项目皮带输送粉尘控制措施能够满足环保要求。现有项目采取上述治理措施，皮带输送粉尘抑尘率取90%。经估算，皮带输送粉尘排放约0.05t/a。</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⑤多级振动筛分和制砂环节的粉尘</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现有项目在多级振动筛分环节采取不间断冲水，起到清洗物料的作用，同时也是极好的抑尘措施。现有项目对多级振动筛分机采取了封闭措施。并采取湿法作业工艺，过程中几乎无粉尘产生。项目振动筛分出来的0.5~ 10mm的物料经皮带送入制砂机制砂，制砂机运行过程其内部破碎室也处于密闭状态，同时由于物料含水率较大。因此制砂过程也无粉尘产生。</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⑥成品堆场扬尘</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现有项目生产工艺通过采取湿法生产工艺，离开生产线的砂石成品具有一定的含水率，正常堆放期间不会受到风力影响，不考虑风力扬尘产生尘。在成品装车外运时利用成品含水的抑尘效果，产生扬尘较少。</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⑦运输道路的扬尘</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现有项目所用原料和生产的产品均利用汽车进行运输，主要依托附近村道公路。现有项目在厂区进出口设置有车辆冲洗设施。日常加强车辆运输管理，避免车速过快，加盖篷布，减小扬尘的产生。强化厂区内部卫生管理，安排专人适时对厂区地面进行洒水、清扫，保持清洁卫生。通过采取上述扬尘防治措施，现有项目道路扬尘对周边环境污染影响较小。</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⑧食堂油烟</w:t>
            </w:r>
          </w:p>
          <w:p>
            <w:pPr>
              <w:spacing w:line="360" w:lineRule="auto"/>
              <w:ind w:firstLine="360" w:firstLineChars="150"/>
              <w:rPr>
                <w:color w:val="FF0000"/>
              </w:rPr>
            </w:pPr>
            <w:r>
              <w:rPr>
                <w:rFonts w:hint="eastAsia"/>
                <w:bCs/>
                <w:color w:val="000000" w:themeColor="text1"/>
                <w:szCs w:val="24"/>
                <w14:textFill>
                  <w14:solidFill>
                    <w14:schemeClr w14:val="tx1"/>
                  </w14:solidFill>
                </w14:textFill>
              </w:rPr>
              <w:t>现有项目有劳动员工7人，厂区设有员工食堂提供中午午餐， 仅部分员工在厂区就餐。厨房烹饪使用液化气做燃料，属于清洁燃料产生的大气污染物较少。烹饪过程将产生油烟。由于项目食堂规模极小。食堂已安装抽油烟机，对油烟进行收集净化处理后引至室外排放，能够降低对人体的损害和环境污染。</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根据四川省汉谱环境检测服务有限公司于2</w:t>
            </w:r>
            <w:r>
              <w:rPr>
                <w:bCs/>
                <w:color w:val="000000" w:themeColor="text1"/>
                <w:szCs w:val="24"/>
                <w14:textFill>
                  <w14:solidFill>
                    <w14:schemeClr w14:val="tx1"/>
                  </w14:solidFill>
                </w14:textFill>
              </w:rPr>
              <w:t>02</w:t>
            </w:r>
            <w:r>
              <w:rPr>
                <w:rFonts w:hint="eastAsia"/>
                <w:bCs/>
                <w:color w:val="000000" w:themeColor="text1"/>
                <w:szCs w:val="24"/>
                <w14:textFill>
                  <w14:solidFill>
                    <w14:schemeClr w14:val="tx1"/>
                  </w14:solidFill>
                </w14:textFill>
              </w:rPr>
              <w:t>3年7月20日对现有项目厂区进行的自行检测（检测编号：汉谱HB[2023]第0079号），对厂界无组织排放废气检测结果如下表：</w:t>
            </w:r>
          </w:p>
          <w:p>
            <w:pPr>
              <w:pStyle w:val="2"/>
              <w:ind w:left="307" w:leftChars="45" w:hanging="199" w:hangingChars="99"/>
              <w:jc w:val="center"/>
              <w:rPr>
                <w:rFonts w:eastAsia="黑体"/>
                <w:b/>
                <w:bCs/>
                <w:color w:val="000000" w:themeColor="text1"/>
                <w:kern w:val="0"/>
                <w:sz w:val="20"/>
                <w14:textFill>
                  <w14:solidFill>
                    <w14:schemeClr w14:val="tx1"/>
                  </w14:solidFill>
                </w14:textFill>
              </w:rPr>
            </w:pPr>
            <w:r>
              <w:rPr>
                <w:rFonts w:hint="eastAsia" w:eastAsia="黑体"/>
                <w:b/>
                <w:bCs/>
                <w:color w:val="000000" w:themeColor="text1"/>
                <w:kern w:val="0"/>
                <w:sz w:val="20"/>
                <w14:textFill>
                  <w14:solidFill>
                    <w14:schemeClr w14:val="tx1"/>
                  </w14:solidFill>
                </w14:textFill>
              </w:rPr>
              <w:t>表2</w:t>
            </w:r>
            <w:r>
              <w:rPr>
                <w:rFonts w:eastAsia="黑体"/>
                <w:b/>
                <w:bCs/>
                <w:color w:val="000000" w:themeColor="text1"/>
                <w:kern w:val="0"/>
                <w:sz w:val="20"/>
                <w14:textFill>
                  <w14:solidFill>
                    <w14:schemeClr w14:val="tx1"/>
                  </w14:solidFill>
                </w14:textFill>
              </w:rPr>
              <w:t>-</w:t>
            </w:r>
            <w:r>
              <w:rPr>
                <w:rFonts w:hint="eastAsia" w:eastAsia="黑体"/>
                <w:b/>
                <w:bCs/>
                <w:color w:val="000000" w:themeColor="text1"/>
                <w:kern w:val="0"/>
                <w:sz w:val="20"/>
                <w14:textFill>
                  <w14:solidFill>
                    <w14:schemeClr w14:val="tx1"/>
                  </w14:solidFill>
                </w14:textFill>
              </w:rPr>
              <w:t>8</w:t>
            </w:r>
            <w:r>
              <w:rPr>
                <w:rFonts w:eastAsia="黑体"/>
                <w:b/>
                <w:bCs/>
                <w:color w:val="000000" w:themeColor="text1"/>
                <w:kern w:val="0"/>
                <w:sz w:val="20"/>
                <w14:textFill>
                  <w14:solidFill>
                    <w14:schemeClr w14:val="tx1"/>
                  </w14:solidFill>
                </w14:textFill>
              </w:rPr>
              <w:t xml:space="preserve"> </w:t>
            </w:r>
            <w:r>
              <w:rPr>
                <w:rFonts w:hint="eastAsia" w:eastAsia="黑体"/>
                <w:b/>
                <w:bCs/>
                <w:color w:val="000000" w:themeColor="text1"/>
                <w:kern w:val="0"/>
                <w:sz w:val="20"/>
                <w14:textFill>
                  <w14:solidFill>
                    <w14:schemeClr w14:val="tx1"/>
                  </w14:solidFill>
                </w14:textFill>
              </w:rPr>
              <w:t>现有项目废气无组织废气检测结果及评价</w:t>
            </w:r>
          </w:p>
          <w:tbl>
            <w:tblPr>
              <w:tblStyle w:val="15"/>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16"/>
              <w:gridCol w:w="1357"/>
              <w:gridCol w:w="1793"/>
              <w:gridCol w:w="1370"/>
              <w:gridCol w:w="1958"/>
              <w:gridCol w:w="95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7" w:type="pct"/>
                  <w:vMerge w:val="restart"/>
                  <w:vAlign w:val="center"/>
                </w:tcPr>
                <w:p>
                  <w:pPr>
                    <w:pStyle w:val="24"/>
                  </w:pPr>
                  <w:r>
                    <w:rPr>
                      <w:rFonts w:hint="eastAsia"/>
                    </w:rPr>
                    <w:t>检测点位</w:t>
                  </w:r>
                </w:p>
              </w:tc>
              <w:tc>
                <w:tcPr>
                  <w:tcW w:w="718" w:type="pct"/>
                  <w:vMerge w:val="restart"/>
                  <w:vAlign w:val="center"/>
                </w:tcPr>
                <w:p>
                  <w:pPr>
                    <w:pStyle w:val="24"/>
                  </w:pPr>
                  <w:r>
                    <w:rPr>
                      <w:rFonts w:hint="eastAsia"/>
                    </w:rPr>
                    <w:t>检测指标</w:t>
                  </w:r>
                </w:p>
              </w:tc>
              <w:tc>
                <w:tcPr>
                  <w:tcW w:w="2710" w:type="pct"/>
                  <w:gridSpan w:val="3"/>
                  <w:vAlign w:val="center"/>
                </w:tcPr>
                <w:p>
                  <w:pPr>
                    <w:pStyle w:val="24"/>
                  </w:pPr>
                  <w:r>
                    <w:rPr>
                      <w:rFonts w:hint="eastAsia"/>
                    </w:rPr>
                    <w:t>2</w:t>
                  </w:r>
                  <w:r>
                    <w:t>0</w:t>
                  </w:r>
                  <w:r>
                    <w:rPr>
                      <w:rFonts w:hint="eastAsia"/>
                    </w:rPr>
                    <w:t>23年7月20日</w:t>
                  </w:r>
                </w:p>
              </w:tc>
              <w:tc>
                <w:tcPr>
                  <w:tcW w:w="505" w:type="pct"/>
                  <w:vMerge w:val="restart"/>
                  <w:vAlign w:val="center"/>
                </w:tcPr>
                <w:p>
                  <w:pPr>
                    <w:pStyle w:val="24"/>
                  </w:pPr>
                  <w:r>
                    <w:rPr>
                      <w:rFonts w:hint="eastAsia"/>
                    </w:rPr>
                    <w:t>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7" w:type="pct"/>
                  <w:vMerge w:val="continue"/>
                  <w:vAlign w:val="center"/>
                </w:tcPr>
                <w:p>
                  <w:pPr>
                    <w:pStyle w:val="24"/>
                  </w:pPr>
                </w:p>
              </w:tc>
              <w:tc>
                <w:tcPr>
                  <w:tcW w:w="718" w:type="pct"/>
                  <w:vMerge w:val="continue"/>
                  <w:vAlign w:val="center"/>
                </w:tcPr>
                <w:p>
                  <w:pPr>
                    <w:pStyle w:val="24"/>
                  </w:pPr>
                </w:p>
              </w:tc>
              <w:tc>
                <w:tcPr>
                  <w:tcW w:w="949" w:type="pct"/>
                  <w:vAlign w:val="center"/>
                </w:tcPr>
                <w:p>
                  <w:pPr>
                    <w:pStyle w:val="24"/>
                  </w:pPr>
                  <w:r>
                    <w:rPr>
                      <w:rFonts w:hint="eastAsia"/>
                    </w:rPr>
                    <w:t>第1次</w:t>
                  </w:r>
                </w:p>
              </w:tc>
              <w:tc>
                <w:tcPr>
                  <w:tcW w:w="725" w:type="pct"/>
                  <w:vAlign w:val="center"/>
                </w:tcPr>
                <w:p>
                  <w:pPr>
                    <w:pStyle w:val="24"/>
                  </w:pPr>
                  <w:r>
                    <w:rPr>
                      <w:rFonts w:hint="eastAsia"/>
                    </w:rPr>
                    <w:t>第2次</w:t>
                  </w:r>
                </w:p>
              </w:tc>
              <w:tc>
                <w:tcPr>
                  <w:tcW w:w="1036" w:type="pct"/>
                  <w:vAlign w:val="center"/>
                </w:tcPr>
                <w:p>
                  <w:pPr>
                    <w:pStyle w:val="24"/>
                  </w:pPr>
                  <w:r>
                    <w:rPr>
                      <w:rFonts w:hint="eastAsia"/>
                    </w:rPr>
                    <w:t>第3次</w:t>
                  </w:r>
                </w:p>
              </w:tc>
              <w:tc>
                <w:tcPr>
                  <w:tcW w:w="505" w:type="pct"/>
                  <w:vMerge w:val="continue"/>
                  <w:vAlign w:val="center"/>
                </w:tcPr>
                <w:p>
                  <w:pPr>
                    <w:pStyle w:val="24"/>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7" w:type="pct"/>
                  <w:vAlign w:val="center"/>
                </w:tcPr>
                <w:p>
                  <w:pPr>
                    <w:pStyle w:val="24"/>
                  </w:pPr>
                  <w:r>
                    <w:rPr>
                      <w:rFonts w:hint="eastAsia"/>
                    </w:rPr>
                    <w:t>1#厂界外上风向3m</w:t>
                  </w:r>
                </w:p>
              </w:tc>
              <w:tc>
                <w:tcPr>
                  <w:tcW w:w="718" w:type="pct"/>
                  <w:vMerge w:val="restart"/>
                  <w:vAlign w:val="center"/>
                </w:tcPr>
                <w:p>
                  <w:pPr>
                    <w:pStyle w:val="24"/>
                  </w:pPr>
                  <w:r>
                    <w:rPr>
                      <w:rFonts w:hint="eastAsia"/>
                    </w:rPr>
                    <w:t>总悬浮颗粒物</w:t>
                  </w:r>
                </w:p>
              </w:tc>
              <w:tc>
                <w:tcPr>
                  <w:tcW w:w="949" w:type="pct"/>
                  <w:vAlign w:val="center"/>
                </w:tcPr>
                <w:p>
                  <w:pPr>
                    <w:pStyle w:val="24"/>
                  </w:pPr>
                  <w:r>
                    <w:rPr>
                      <w:rFonts w:hint="eastAsia"/>
                    </w:rPr>
                    <w:t>0.177</w:t>
                  </w:r>
                </w:p>
              </w:tc>
              <w:tc>
                <w:tcPr>
                  <w:tcW w:w="725" w:type="pct"/>
                  <w:vAlign w:val="center"/>
                </w:tcPr>
                <w:p>
                  <w:pPr>
                    <w:pStyle w:val="24"/>
                  </w:pPr>
                  <w:r>
                    <w:rPr>
                      <w:rFonts w:hint="eastAsia"/>
                    </w:rPr>
                    <w:t>0.173</w:t>
                  </w:r>
                </w:p>
              </w:tc>
              <w:tc>
                <w:tcPr>
                  <w:tcW w:w="1036" w:type="pct"/>
                  <w:vAlign w:val="center"/>
                </w:tcPr>
                <w:p>
                  <w:pPr>
                    <w:pStyle w:val="24"/>
                  </w:pPr>
                  <w:r>
                    <w:rPr>
                      <w:rFonts w:hint="eastAsia"/>
                    </w:rPr>
                    <w:t>0.186</w:t>
                  </w:r>
                </w:p>
              </w:tc>
              <w:tc>
                <w:tcPr>
                  <w:tcW w:w="505" w:type="pct"/>
                  <w:vMerge w:val="restart"/>
                  <w:vAlign w:val="center"/>
                </w:tcPr>
                <w:p>
                  <w:pPr>
                    <w:pStyle w:val="24"/>
                  </w:pPr>
                  <w:r>
                    <w:rPr>
                      <w:rFonts w:hint="eastAsia"/>
                    </w:rPr>
                    <w:t>1</w:t>
                  </w:r>
                  <w: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7" w:type="pct"/>
                  <w:vAlign w:val="center"/>
                </w:tcPr>
                <w:p>
                  <w:pPr>
                    <w:pStyle w:val="24"/>
                  </w:pPr>
                  <w:r>
                    <w:rPr>
                      <w:rFonts w:hint="eastAsia"/>
                    </w:rPr>
                    <w:t>2#厂界外下风向3m</w:t>
                  </w:r>
                </w:p>
              </w:tc>
              <w:tc>
                <w:tcPr>
                  <w:tcW w:w="718" w:type="pct"/>
                  <w:vMerge w:val="continue"/>
                  <w:vAlign w:val="center"/>
                </w:tcPr>
                <w:p>
                  <w:pPr>
                    <w:pStyle w:val="24"/>
                  </w:pPr>
                </w:p>
              </w:tc>
              <w:tc>
                <w:tcPr>
                  <w:tcW w:w="949" w:type="pct"/>
                  <w:vAlign w:val="center"/>
                </w:tcPr>
                <w:p>
                  <w:pPr>
                    <w:pStyle w:val="24"/>
                  </w:pPr>
                  <w:r>
                    <w:rPr>
                      <w:rFonts w:hint="eastAsia"/>
                    </w:rPr>
                    <w:t>0.333</w:t>
                  </w:r>
                </w:p>
              </w:tc>
              <w:tc>
                <w:tcPr>
                  <w:tcW w:w="725" w:type="pct"/>
                  <w:vAlign w:val="center"/>
                </w:tcPr>
                <w:p>
                  <w:pPr>
                    <w:pStyle w:val="24"/>
                  </w:pPr>
                  <w:r>
                    <w:rPr>
                      <w:rFonts w:hint="eastAsia"/>
                    </w:rPr>
                    <w:t>0.342</w:t>
                  </w:r>
                </w:p>
              </w:tc>
              <w:tc>
                <w:tcPr>
                  <w:tcW w:w="1036" w:type="pct"/>
                  <w:vAlign w:val="center"/>
                </w:tcPr>
                <w:p>
                  <w:pPr>
                    <w:pStyle w:val="24"/>
                  </w:pPr>
                  <w:r>
                    <w:rPr>
                      <w:rFonts w:hint="eastAsia"/>
                    </w:rPr>
                    <w:t>0.350</w:t>
                  </w:r>
                </w:p>
              </w:tc>
              <w:tc>
                <w:tcPr>
                  <w:tcW w:w="505" w:type="pct"/>
                  <w:vMerge w:val="continue"/>
                  <w:vAlign w:val="center"/>
                </w:tcPr>
                <w:p>
                  <w:pPr>
                    <w:pStyle w:val="24"/>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67" w:type="pct"/>
                  <w:vAlign w:val="center"/>
                </w:tcPr>
                <w:p>
                  <w:pPr>
                    <w:pStyle w:val="24"/>
                  </w:pPr>
                  <w:r>
                    <w:rPr>
                      <w:rFonts w:hint="eastAsia"/>
                    </w:rPr>
                    <w:t>3#厂界外下风向3m</w:t>
                  </w:r>
                </w:p>
              </w:tc>
              <w:tc>
                <w:tcPr>
                  <w:tcW w:w="718" w:type="pct"/>
                  <w:vMerge w:val="continue"/>
                  <w:vAlign w:val="center"/>
                </w:tcPr>
                <w:p>
                  <w:pPr>
                    <w:pStyle w:val="24"/>
                  </w:pPr>
                </w:p>
              </w:tc>
              <w:tc>
                <w:tcPr>
                  <w:tcW w:w="949" w:type="pct"/>
                  <w:vAlign w:val="center"/>
                </w:tcPr>
                <w:p>
                  <w:pPr>
                    <w:pStyle w:val="24"/>
                  </w:pPr>
                  <w:r>
                    <w:rPr>
                      <w:rFonts w:hint="eastAsia"/>
                    </w:rPr>
                    <w:t>0.269</w:t>
                  </w:r>
                </w:p>
              </w:tc>
              <w:tc>
                <w:tcPr>
                  <w:tcW w:w="725" w:type="pct"/>
                  <w:vAlign w:val="center"/>
                </w:tcPr>
                <w:p>
                  <w:pPr>
                    <w:pStyle w:val="24"/>
                  </w:pPr>
                  <w:r>
                    <w:rPr>
                      <w:rFonts w:hint="eastAsia"/>
                    </w:rPr>
                    <w:t>0.273</w:t>
                  </w:r>
                </w:p>
              </w:tc>
              <w:tc>
                <w:tcPr>
                  <w:tcW w:w="1036" w:type="pct"/>
                  <w:vAlign w:val="center"/>
                </w:tcPr>
                <w:p>
                  <w:pPr>
                    <w:pStyle w:val="24"/>
                  </w:pPr>
                  <w:r>
                    <w:rPr>
                      <w:rFonts w:hint="eastAsia"/>
                    </w:rPr>
                    <w:t>0.278</w:t>
                  </w:r>
                </w:p>
              </w:tc>
              <w:tc>
                <w:tcPr>
                  <w:tcW w:w="505" w:type="pct"/>
                  <w:vMerge w:val="continue"/>
                  <w:vAlign w:val="center"/>
                </w:tcPr>
                <w:p>
                  <w:pPr>
                    <w:pStyle w:val="24"/>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1067" w:type="pct"/>
                  <w:vAlign w:val="center"/>
                </w:tcPr>
                <w:p>
                  <w:pPr>
                    <w:pStyle w:val="24"/>
                  </w:pPr>
                  <w:r>
                    <w:rPr>
                      <w:rFonts w:hint="eastAsia"/>
                    </w:rPr>
                    <w:t>4#厂界外下风向3m</w:t>
                  </w:r>
                </w:p>
              </w:tc>
              <w:tc>
                <w:tcPr>
                  <w:tcW w:w="718" w:type="pct"/>
                  <w:vMerge w:val="continue"/>
                  <w:vAlign w:val="center"/>
                </w:tcPr>
                <w:p>
                  <w:pPr>
                    <w:pStyle w:val="24"/>
                  </w:pPr>
                </w:p>
              </w:tc>
              <w:tc>
                <w:tcPr>
                  <w:tcW w:w="949" w:type="pct"/>
                  <w:vAlign w:val="center"/>
                </w:tcPr>
                <w:p>
                  <w:pPr>
                    <w:pStyle w:val="24"/>
                  </w:pPr>
                  <w:r>
                    <w:rPr>
                      <w:rFonts w:hint="eastAsia"/>
                    </w:rPr>
                    <w:t>0.226</w:t>
                  </w:r>
                </w:p>
              </w:tc>
              <w:tc>
                <w:tcPr>
                  <w:tcW w:w="725" w:type="pct"/>
                  <w:vAlign w:val="center"/>
                </w:tcPr>
                <w:p>
                  <w:pPr>
                    <w:pStyle w:val="24"/>
                  </w:pPr>
                  <w:r>
                    <w:rPr>
                      <w:rFonts w:hint="eastAsia"/>
                    </w:rPr>
                    <w:t>0.243</w:t>
                  </w:r>
                </w:p>
              </w:tc>
              <w:tc>
                <w:tcPr>
                  <w:tcW w:w="1036" w:type="pct"/>
                  <w:vAlign w:val="center"/>
                </w:tcPr>
                <w:p>
                  <w:pPr>
                    <w:pStyle w:val="24"/>
                  </w:pPr>
                  <w:r>
                    <w:rPr>
                      <w:rFonts w:hint="eastAsia"/>
                    </w:rPr>
                    <w:t>0.245</w:t>
                  </w:r>
                </w:p>
              </w:tc>
              <w:tc>
                <w:tcPr>
                  <w:tcW w:w="505" w:type="pct"/>
                  <w:vMerge w:val="continue"/>
                  <w:vAlign w:val="center"/>
                </w:tcPr>
                <w:p>
                  <w:pPr>
                    <w:pStyle w:val="24"/>
                  </w:pPr>
                </w:p>
              </w:tc>
            </w:tr>
          </w:tbl>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从表2-8可知，现有项目生产过程产生的无组织废气总悬浮颗粒物排放可达到《大气污染物综合排放标准》（GB16297-1996）表2中排放限值。</w:t>
            </w:r>
          </w:p>
          <w:p>
            <w:pPr>
              <w:spacing w:line="360" w:lineRule="auto"/>
              <w:ind w:firstLine="361" w:firstLineChars="150"/>
            </w:pPr>
            <w:r>
              <w:rPr>
                <w:rFonts w:hint="eastAsia"/>
                <w:b/>
                <w:color w:val="000000" w:themeColor="text1"/>
                <w:szCs w:val="24"/>
                <w14:textFill>
                  <w14:solidFill>
                    <w14:schemeClr w14:val="tx1"/>
                  </w14:solidFill>
                </w14:textFill>
              </w:rPr>
              <w:t>3）现有项</w:t>
            </w:r>
            <w:r>
              <w:rPr>
                <w:rFonts w:hint="eastAsia" w:cs="宋体"/>
                <w:b/>
                <w:bCs/>
              </w:rPr>
              <w:t>目噪声污染物排放及治理措施</w:t>
            </w:r>
          </w:p>
          <w:p>
            <w:pPr>
              <w:autoSpaceDE w:val="0"/>
              <w:autoSpaceDN w:val="0"/>
              <w:spacing w:line="360" w:lineRule="auto"/>
              <w:ind w:firstLine="472" w:firstLineChars="200"/>
              <w:rPr>
                <w:color w:val="FF0000"/>
              </w:rPr>
            </w:pPr>
            <w:r>
              <w:rPr>
                <w:rFonts w:hint="eastAsia" w:ascii="宋体" w:hAnsi="宋体" w:cs="宋体"/>
                <w:spacing w:val="-2"/>
              </w:rPr>
              <w:t>现有</w:t>
            </w:r>
            <w:r>
              <w:rPr>
                <w:rFonts w:ascii="宋体" w:hAnsi="宋体" w:cs="宋体"/>
                <w:spacing w:val="-2"/>
              </w:rPr>
              <w:t>项目主要噪声源为</w:t>
            </w:r>
            <w:r>
              <w:rPr>
                <w:rFonts w:hint="eastAsia" w:ascii="宋体" w:hAnsi="宋体" w:cs="宋体"/>
                <w:spacing w:val="-2"/>
              </w:rPr>
              <w:t>给料机、颚破机、反击破、多级振动筛分机、螺旋洗砂机、板框压滤机、尾砂回收机、装载机、水泵等的设备运行的噪声</w:t>
            </w:r>
            <w:r>
              <w:rPr>
                <w:rFonts w:hint="eastAsia" w:ascii="宋体" w:hAnsi="宋体" w:cs="宋体"/>
              </w:rPr>
              <w:t>。现有</w:t>
            </w:r>
            <w:r>
              <w:rPr>
                <w:rFonts w:hint="eastAsia"/>
              </w:rPr>
              <w:t>项目生产设备均选用低噪声设备，并定期进行维护保养；产污设备合理布局，合理利用厂房进行隔音。</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根据四川省汉谱环境检测服务有限公司于2</w:t>
            </w:r>
            <w:r>
              <w:rPr>
                <w:bCs/>
                <w:color w:val="000000" w:themeColor="text1"/>
                <w:szCs w:val="24"/>
                <w14:textFill>
                  <w14:solidFill>
                    <w14:schemeClr w14:val="tx1"/>
                  </w14:solidFill>
                </w14:textFill>
              </w:rPr>
              <w:t>02</w:t>
            </w:r>
            <w:r>
              <w:rPr>
                <w:rFonts w:hint="eastAsia"/>
                <w:bCs/>
                <w:color w:val="000000" w:themeColor="text1"/>
                <w:szCs w:val="24"/>
                <w14:textFill>
                  <w14:solidFill>
                    <w14:schemeClr w14:val="tx1"/>
                  </w14:solidFill>
                </w14:textFill>
              </w:rPr>
              <w:t>3年7月20日对现有项目厂区进行的自行检测（检测编号：汉谱HB[2023]第0079号），对厂界噪声检测结果如下表：</w:t>
            </w:r>
          </w:p>
          <w:p>
            <w:pPr>
              <w:pStyle w:val="2"/>
              <w:ind w:left="307" w:leftChars="45" w:hanging="199" w:hangingChars="99"/>
              <w:jc w:val="center"/>
              <w:rPr>
                <w:rFonts w:eastAsia="黑体"/>
                <w:b/>
                <w:bCs/>
                <w:color w:val="000000" w:themeColor="text1"/>
                <w:kern w:val="0"/>
                <w:sz w:val="20"/>
                <w14:textFill>
                  <w14:solidFill>
                    <w14:schemeClr w14:val="tx1"/>
                  </w14:solidFill>
                </w14:textFill>
              </w:rPr>
            </w:pPr>
            <w:r>
              <w:rPr>
                <w:rFonts w:hint="eastAsia" w:eastAsia="黑体"/>
                <w:b/>
                <w:bCs/>
                <w:color w:val="000000" w:themeColor="text1"/>
                <w:kern w:val="0"/>
                <w:sz w:val="20"/>
                <w14:textFill>
                  <w14:solidFill>
                    <w14:schemeClr w14:val="tx1"/>
                  </w14:solidFill>
                </w14:textFill>
              </w:rPr>
              <w:t>表2</w:t>
            </w:r>
            <w:r>
              <w:rPr>
                <w:rFonts w:eastAsia="黑体"/>
                <w:b/>
                <w:bCs/>
                <w:color w:val="000000" w:themeColor="text1"/>
                <w:kern w:val="0"/>
                <w:sz w:val="20"/>
                <w14:textFill>
                  <w14:solidFill>
                    <w14:schemeClr w14:val="tx1"/>
                  </w14:solidFill>
                </w14:textFill>
              </w:rPr>
              <w:t>-</w:t>
            </w:r>
            <w:r>
              <w:rPr>
                <w:rFonts w:hint="eastAsia" w:eastAsia="黑体"/>
                <w:b/>
                <w:bCs/>
                <w:color w:val="000000" w:themeColor="text1"/>
                <w:kern w:val="0"/>
                <w:sz w:val="20"/>
                <w14:textFill>
                  <w14:solidFill>
                    <w14:schemeClr w14:val="tx1"/>
                  </w14:solidFill>
                </w14:textFill>
              </w:rPr>
              <w:t>9</w:t>
            </w:r>
            <w:r>
              <w:rPr>
                <w:rFonts w:eastAsia="黑体"/>
                <w:b/>
                <w:bCs/>
                <w:color w:val="000000" w:themeColor="text1"/>
                <w:kern w:val="0"/>
                <w:sz w:val="20"/>
                <w14:textFill>
                  <w14:solidFill>
                    <w14:schemeClr w14:val="tx1"/>
                  </w14:solidFill>
                </w14:textFill>
              </w:rPr>
              <w:t xml:space="preserve"> </w:t>
            </w:r>
            <w:r>
              <w:rPr>
                <w:rFonts w:hint="eastAsia" w:eastAsia="黑体"/>
                <w:b/>
                <w:bCs/>
                <w:color w:val="000000" w:themeColor="text1"/>
                <w:kern w:val="0"/>
                <w:sz w:val="20"/>
                <w14:textFill>
                  <w14:solidFill>
                    <w14:schemeClr w14:val="tx1"/>
                  </w14:solidFill>
                </w14:textFill>
              </w:rPr>
              <w:t>现有项目厂界噪声检测结果及评价</w:t>
            </w:r>
          </w:p>
          <w:tbl>
            <w:tblPr>
              <w:tblStyle w:val="15"/>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3549"/>
              <w:gridCol w:w="2921"/>
              <w:gridCol w:w="17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pct"/>
                  <w:vMerge w:val="restart"/>
                  <w:vAlign w:val="center"/>
                </w:tcPr>
                <w:p>
                  <w:pPr>
                    <w:pStyle w:val="24"/>
                  </w:pPr>
                  <w:r>
                    <w:rPr>
                      <w:rFonts w:hint="eastAsia"/>
                    </w:rPr>
                    <w:t>检测点位</w:t>
                  </w:r>
                </w:p>
              </w:tc>
              <w:tc>
                <w:tcPr>
                  <w:tcW w:w="1878" w:type="pct"/>
                  <w:vMerge w:val="restart"/>
                  <w:vAlign w:val="center"/>
                </w:tcPr>
                <w:p>
                  <w:pPr>
                    <w:pStyle w:val="24"/>
                  </w:pPr>
                  <w:r>
                    <w:rPr>
                      <w:rFonts w:hint="eastAsia"/>
                    </w:rPr>
                    <w:t>点位名称</w:t>
                  </w:r>
                </w:p>
              </w:tc>
              <w:tc>
                <w:tcPr>
                  <w:tcW w:w="1546" w:type="pct"/>
                  <w:vAlign w:val="center"/>
                </w:tcPr>
                <w:p>
                  <w:pPr>
                    <w:pStyle w:val="24"/>
                  </w:pPr>
                  <w:r>
                    <w:rPr>
                      <w:rFonts w:hint="eastAsia"/>
                    </w:rPr>
                    <w:t>2</w:t>
                  </w:r>
                  <w:r>
                    <w:t>02</w:t>
                  </w:r>
                  <w:r>
                    <w:rPr>
                      <w:rFonts w:hint="eastAsia"/>
                    </w:rPr>
                    <w:t>3年7月20日</w:t>
                  </w:r>
                </w:p>
              </w:tc>
              <w:tc>
                <w:tcPr>
                  <w:tcW w:w="933" w:type="pct"/>
                  <w:vMerge w:val="restart"/>
                  <w:vAlign w:val="center"/>
                </w:tcPr>
                <w:p>
                  <w:pPr>
                    <w:pStyle w:val="24"/>
                  </w:pPr>
                  <w:r>
                    <w:rPr>
                      <w:rFonts w:hint="eastAsia"/>
                    </w:rPr>
                    <w:t>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pct"/>
                  <w:vMerge w:val="continue"/>
                  <w:vAlign w:val="center"/>
                </w:tcPr>
                <w:p>
                  <w:pPr>
                    <w:pStyle w:val="24"/>
                  </w:pPr>
                </w:p>
              </w:tc>
              <w:tc>
                <w:tcPr>
                  <w:tcW w:w="1878" w:type="pct"/>
                  <w:vMerge w:val="continue"/>
                  <w:vAlign w:val="center"/>
                </w:tcPr>
                <w:p>
                  <w:pPr>
                    <w:pStyle w:val="24"/>
                  </w:pPr>
                </w:p>
              </w:tc>
              <w:tc>
                <w:tcPr>
                  <w:tcW w:w="1546" w:type="pct"/>
                  <w:vAlign w:val="center"/>
                </w:tcPr>
                <w:p>
                  <w:pPr>
                    <w:pStyle w:val="24"/>
                  </w:pPr>
                  <w:r>
                    <w:rPr>
                      <w:rFonts w:hint="eastAsia"/>
                    </w:rPr>
                    <w:t>昼间</w:t>
                  </w:r>
                </w:p>
              </w:tc>
              <w:tc>
                <w:tcPr>
                  <w:tcW w:w="933" w:type="pct"/>
                  <w:vMerge w:val="continue"/>
                  <w:vAlign w:val="center"/>
                </w:tcPr>
                <w:p>
                  <w:pPr>
                    <w:pStyle w:val="24"/>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pct"/>
                  <w:vAlign w:val="center"/>
                </w:tcPr>
                <w:p>
                  <w:pPr>
                    <w:pStyle w:val="24"/>
                  </w:pPr>
                  <w:r>
                    <w:rPr>
                      <w:rFonts w:hint="eastAsia"/>
                    </w:rPr>
                    <w:t>1</w:t>
                  </w:r>
                  <w:r>
                    <w:t>#</w:t>
                  </w:r>
                </w:p>
              </w:tc>
              <w:tc>
                <w:tcPr>
                  <w:tcW w:w="1878" w:type="pct"/>
                  <w:vAlign w:val="center"/>
                </w:tcPr>
                <w:p>
                  <w:pPr>
                    <w:pStyle w:val="24"/>
                  </w:pPr>
                  <w:r>
                    <w:rPr>
                      <w:rFonts w:hint="eastAsia"/>
                    </w:rPr>
                    <w:t>项目地东厂界外1m</w:t>
                  </w:r>
                </w:p>
              </w:tc>
              <w:tc>
                <w:tcPr>
                  <w:tcW w:w="1546" w:type="pct"/>
                  <w:vAlign w:val="center"/>
                </w:tcPr>
                <w:p>
                  <w:pPr>
                    <w:pStyle w:val="24"/>
                  </w:pPr>
                  <w:r>
                    <w:rPr>
                      <w:rFonts w:hint="eastAsia"/>
                    </w:rPr>
                    <w:t>55</w:t>
                  </w:r>
                </w:p>
              </w:tc>
              <w:tc>
                <w:tcPr>
                  <w:tcW w:w="933" w:type="pct"/>
                  <w:vMerge w:val="restart"/>
                  <w:vAlign w:val="center"/>
                </w:tcPr>
                <w:p>
                  <w:pPr>
                    <w:pStyle w:val="24"/>
                  </w:pPr>
                  <w:r>
                    <w:rPr>
                      <w:rFonts w:hint="eastAsia"/>
                    </w:rPr>
                    <w:t>昼间：60</w:t>
                  </w:r>
                </w:p>
                <w:p>
                  <w:pPr>
                    <w:pStyle w:val="24"/>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pct"/>
                  <w:vAlign w:val="center"/>
                </w:tcPr>
                <w:p>
                  <w:pPr>
                    <w:pStyle w:val="24"/>
                  </w:pPr>
                  <w:r>
                    <w:rPr>
                      <w:rFonts w:hint="eastAsia"/>
                    </w:rPr>
                    <w:t>2</w:t>
                  </w:r>
                  <w:r>
                    <w:t>#</w:t>
                  </w:r>
                </w:p>
              </w:tc>
              <w:tc>
                <w:tcPr>
                  <w:tcW w:w="1878" w:type="pct"/>
                  <w:vAlign w:val="center"/>
                </w:tcPr>
                <w:p>
                  <w:pPr>
                    <w:pStyle w:val="24"/>
                  </w:pPr>
                  <w:r>
                    <w:rPr>
                      <w:rFonts w:hint="eastAsia"/>
                    </w:rPr>
                    <w:t>项目地南厂界外1m</w:t>
                  </w:r>
                </w:p>
              </w:tc>
              <w:tc>
                <w:tcPr>
                  <w:tcW w:w="1546" w:type="pct"/>
                  <w:vAlign w:val="center"/>
                </w:tcPr>
                <w:p>
                  <w:pPr>
                    <w:pStyle w:val="24"/>
                  </w:pPr>
                  <w:r>
                    <w:rPr>
                      <w:rFonts w:hint="eastAsia"/>
                    </w:rPr>
                    <w:t>53</w:t>
                  </w:r>
                </w:p>
              </w:tc>
              <w:tc>
                <w:tcPr>
                  <w:tcW w:w="933" w:type="pct"/>
                  <w:vMerge w:val="continue"/>
                  <w:vAlign w:val="center"/>
                </w:tcPr>
                <w:p>
                  <w:pPr>
                    <w:pStyle w:val="24"/>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pct"/>
                  <w:vAlign w:val="center"/>
                </w:tcPr>
                <w:p>
                  <w:pPr>
                    <w:pStyle w:val="24"/>
                  </w:pPr>
                  <w:r>
                    <w:rPr>
                      <w:rFonts w:hint="eastAsia"/>
                    </w:rPr>
                    <w:t>3</w:t>
                  </w:r>
                  <w:r>
                    <w:t>#</w:t>
                  </w:r>
                </w:p>
              </w:tc>
              <w:tc>
                <w:tcPr>
                  <w:tcW w:w="1878" w:type="pct"/>
                  <w:vAlign w:val="center"/>
                </w:tcPr>
                <w:p>
                  <w:pPr>
                    <w:pStyle w:val="24"/>
                  </w:pPr>
                  <w:r>
                    <w:rPr>
                      <w:rFonts w:hint="eastAsia"/>
                    </w:rPr>
                    <w:t>项目地西厂界外1m</w:t>
                  </w:r>
                </w:p>
              </w:tc>
              <w:tc>
                <w:tcPr>
                  <w:tcW w:w="1546" w:type="pct"/>
                  <w:vAlign w:val="center"/>
                </w:tcPr>
                <w:p>
                  <w:pPr>
                    <w:pStyle w:val="24"/>
                  </w:pPr>
                  <w:r>
                    <w:rPr>
                      <w:rFonts w:hint="eastAsia"/>
                    </w:rPr>
                    <w:t>56</w:t>
                  </w:r>
                </w:p>
              </w:tc>
              <w:tc>
                <w:tcPr>
                  <w:tcW w:w="933" w:type="pct"/>
                  <w:vMerge w:val="continue"/>
                  <w:vAlign w:val="center"/>
                </w:tcPr>
                <w:p>
                  <w:pPr>
                    <w:pStyle w:val="24"/>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4" w:type="pct"/>
                  <w:vAlign w:val="center"/>
                </w:tcPr>
                <w:p>
                  <w:pPr>
                    <w:pStyle w:val="24"/>
                  </w:pPr>
                  <w:r>
                    <w:rPr>
                      <w:rFonts w:hint="eastAsia"/>
                    </w:rPr>
                    <w:t>4</w:t>
                  </w:r>
                  <w:r>
                    <w:t>#</w:t>
                  </w:r>
                </w:p>
              </w:tc>
              <w:tc>
                <w:tcPr>
                  <w:tcW w:w="1878" w:type="pct"/>
                  <w:vAlign w:val="center"/>
                </w:tcPr>
                <w:p>
                  <w:pPr>
                    <w:pStyle w:val="24"/>
                  </w:pPr>
                  <w:r>
                    <w:rPr>
                      <w:rFonts w:hint="eastAsia"/>
                    </w:rPr>
                    <w:t>项目地北厂界外1m</w:t>
                  </w:r>
                </w:p>
              </w:tc>
              <w:tc>
                <w:tcPr>
                  <w:tcW w:w="1546" w:type="pct"/>
                  <w:vAlign w:val="center"/>
                </w:tcPr>
                <w:p>
                  <w:pPr>
                    <w:pStyle w:val="24"/>
                  </w:pPr>
                  <w:r>
                    <w:rPr>
                      <w:rFonts w:hint="eastAsia"/>
                    </w:rPr>
                    <w:t>54</w:t>
                  </w:r>
                </w:p>
              </w:tc>
              <w:tc>
                <w:tcPr>
                  <w:tcW w:w="933" w:type="pct"/>
                  <w:vMerge w:val="continue"/>
                  <w:vAlign w:val="center"/>
                </w:tcPr>
                <w:p>
                  <w:pPr>
                    <w:pStyle w:val="24"/>
                  </w:pPr>
                </w:p>
              </w:tc>
            </w:tr>
          </w:tbl>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根据表2-9可知，现有项目厂界噪声均满足《工业企业厂界环境噪声排放标准》（GB12348-2008）中2类标准限值（昼间≤60dB（A）），表明现有项目对噪声采取的环保措施是可行的，能够使工业企业厂界环境噪声实现达标排放。</w:t>
            </w:r>
          </w:p>
          <w:p>
            <w:pPr>
              <w:autoSpaceDE w:val="0"/>
              <w:autoSpaceDN w:val="0"/>
              <w:spacing w:line="360" w:lineRule="auto"/>
              <w:ind w:firstLine="482" w:firstLineChars="200"/>
              <w:rPr>
                <w:b/>
                <w:bCs/>
              </w:rPr>
            </w:pPr>
            <w:r>
              <w:rPr>
                <w:rFonts w:hint="eastAsia"/>
                <w:b/>
                <w:bCs/>
              </w:rPr>
              <w:t>4）</w:t>
            </w:r>
            <w:r>
              <w:rPr>
                <w:rFonts w:hint="eastAsia" w:cs="宋体"/>
                <w:b/>
                <w:bCs/>
              </w:rPr>
              <w:t>现有项目固废产生及处置措施</w:t>
            </w:r>
          </w:p>
          <w:p>
            <w:pPr>
              <w:autoSpaceDE w:val="0"/>
              <w:autoSpaceDN w:val="0"/>
              <w:spacing w:line="360" w:lineRule="auto"/>
              <w:ind w:firstLine="480" w:firstLineChars="200"/>
            </w:pPr>
            <w:r>
              <w:rPr>
                <w:rFonts w:hint="eastAsia"/>
              </w:rPr>
              <w:t>根据现有项目工程分析及业主提供的资料，现有项目产生的固体废物主要有干化泥饼、废絮凝剂桶、办公生活垃圾、废机油和废机油桶。</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现有项目固废采取的处理措施见下表：</w:t>
            </w:r>
          </w:p>
          <w:p>
            <w:pPr>
              <w:pStyle w:val="2"/>
              <w:ind w:left="307" w:leftChars="45" w:hanging="199" w:hangingChars="99"/>
              <w:jc w:val="center"/>
              <w:rPr>
                <w:rFonts w:eastAsia="黑体"/>
                <w:b/>
                <w:bCs/>
                <w:color w:val="000000" w:themeColor="text1"/>
                <w:kern w:val="0"/>
                <w:sz w:val="20"/>
                <w14:textFill>
                  <w14:solidFill>
                    <w14:schemeClr w14:val="tx1"/>
                  </w14:solidFill>
                </w14:textFill>
              </w:rPr>
            </w:pPr>
            <w:r>
              <w:rPr>
                <w:rFonts w:hint="eastAsia" w:eastAsia="黑体"/>
                <w:b/>
                <w:bCs/>
                <w:color w:val="000000" w:themeColor="text1"/>
                <w:kern w:val="0"/>
                <w:sz w:val="20"/>
                <w14:textFill>
                  <w14:solidFill>
                    <w14:schemeClr w14:val="tx1"/>
                  </w14:solidFill>
                </w14:textFill>
              </w:rPr>
              <w:t>表2-10 现有项目固废处置情况</w:t>
            </w:r>
          </w:p>
          <w:tbl>
            <w:tblPr>
              <w:tblStyle w:val="15"/>
              <w:tblW w:w="5000" w:type="pct"/>
              <w:jc w:val="center"/>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313"/>
              <w:gridCol w:w="2224"/>
              <w:gridCol w:w="1342"/>
              <w:gridCol w:w="3836"/>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8" w:hRule="atLeast"/>
                <w:jc w:val="center"/>
              </w:trPr>
              <w:tc>
                <w:tcPr>
                  <w:tcW w:w="2260" w:type="pct"/>
                  <w:gridSpan w:val="3"/>
                  <w:vAlign w:val="center"/>
                </w:tcPr>
                <w:p>
                  <w:pPr>
                    <w:spacing w:line="276" w:lineRule="auto"/>
                    <w:ind w:left="-42"/>
                    <w:jc w:val="center"/>
                  </w:pPr>
                  <w:r>
                    <w:rPr>
                      <w:rFonts w:hint="eastAsia"/>
                    </w:rPr>
                    <w:t>固废</w:t>
                  </w:r>
                  <w:r>
                    <w:t>来源及名称</w:t>
                  </w:r>
                </w:p>
              </w:tc>
              <w:tc>
                <w:tcPr>
                  <w:tcW w:w="710" w:type="pct"/>
                  <w:vAlign w:val="center"/>
                </w:tcPr>
                <w:p>
                  <w:pPr>
                    <w:spacing w:line="276" w:lineRule="auto"/>
                    <w:jc w:val="center"/>
                  </w:pPr>
                  <w:r>
                    <w:t>产生量</w:t>
                  </w:r>
                </w:p>
              </w:tc>
              <w:tc>
                <w:tcPr>
                  <w:tcW w:w="2030" w:type="pct"/>
                  <w:vAlign w:val="center"/>
                </w:tcPr>
                <w:p>
                  <w:pPr>
                    <w:spacing w:line="276" w:lineRule="auto"/>
                    <w:jc w:val="center"/>
                  </w:pPr>
                  <w:r>
                    <w:t>处置措施</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8" w:type="pct"/>
                  <w:vMerge w:val="restart"/>
                  <w:vAlign w:val="center"/>
                </w:tcPr>
                <w:p>
                  <w:pPr>
                    <w:spacing w:line="276" w:lineRule="auto"/>
                    <w:jc w:val="center"/>
                  </w:pPr>
                  <w:r>
                    <w:rPr>
                      <w:rFonts w:hint="eastAsia"/>
                    </w:rPr>
                    <w:t>危险废物</w:t>
                  </w:r>
                </w:p>
              </w:tc>
              <w:tc>
                <w:tcPr>
                  <w:tcW w:w="695" w:type="pct"/>
                  <w:vAlign w:val="center"/>
                </w:tcPr>
                <w:p>
                  <w:pPr>
                    <w:spacing w:line="276" w:lineRule="auto"/>
                    <w:jc w:val="center"/>
                  </w:pPr>
                  <w:r>
                    <w:rPr>
                      <w:rFonts w:hint="eastAsia"/>
                    </w:rPr>
                    <w:t>H</w:t>
                  </w:r>
                  <w:r>
                    <w:t>W</w:t>
                  </w:r>
                  <w:r>
                    <w:rPr>
                      <w:rFonts w:hint="eastAsia"/>
                    </w:rPr>
                    <w:t>08</w:t>
                  </w:r>
                </w:p>
              </w:tc>
              <w:tc>
                <w:tcPr>
                  <w:tcW w:w="1177" w:type="pct"/>
                  <w:vAlign w:val="center"/>
                </w:tcPr>
                <w:p>
                  <w:pPr>
                    <w:adjustRightInd w:val="0"/>
                    <w:snapToGrid w:val="0"/>
                    <w:jc w:val="center"/>
                  </w:pPr>
                  <w:r>
                    <w:rPr>
                      <w:rFonts w:hint="eastAsia"/>
                    </w:rPr>
                    <w:t>废机油桶</w:t>
                  </w:r>
                </w:p>
              </w:tc>
              <w:tc>
                <w:tcPr>
                  <w:tcW w:w="710" w:type="pct"/>
                  <w:vAlign w:val="center"/>
                </w:tcPr>
                <w:p>
                  <w:pPr>
                    <w:spacing w:line="276" w:lineRule="auto"/>
                    <w:ind w:left="-42"/>
                    <w:jc w:val="center"/>
                  </w:pPr>
                  <w:r>
                    <w:rPr>
                      <w:rFonts w:hint="eastAsia"/>
                    </w:rPr>
                    <w:t>0.05t/a</w:t>
                  </w:r>
                </w:p>
              </w:tc>
              <w:tc>
                <w:tcPr>
                  <w:tcW w:w="2030" w:type="pct"/>
                  <w:vMerge w:val="restart"/>
                  <w:vAlign w:val="center"/>
                </w:tcPr>
                <w:p>
                  <w:pPr>
                    <w:spacing w:line="276" w:lineRule="auto"/>
                    <w:ind w:left="-42"/>
                    <w:jc w:val="center"/>
                    <w:rPr>
                      <w:bCs/>
                    </w:rPr>
                  </w:pPr>
                  <w:r>
                    <w:rPr>
                      <w:rFonts w:hint="eastAsia"/>
                      <w:bCs/>
                    </w:rPr>
                    <w:t>暂存于危废暂存间，交由有资质的单位处理。</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73" w:hRule="atLeast"/>
                <w:jc w:val="center"/>
              </w:trPr>
              <w:tc>
                <w:tcPr>
                  <w:tcW w:w="388" w:type="pct"/>
                  <w:vMerge w:val="continue"/>
                  <w:vAlign w:val="center"/>
                </w:tcPr>
                <w:p>
                  <w:pPr>
                    <w:widowControl/>
                    <w:spacing w:line="276" w:lineRule="auto"/>
                    <w:jc w:val="left"/>
                  </w:pPr>
                </w:p>
              </w:tc>
              <w:tc>
                <w:tcPr>
                  <w:tcW w:w="695" w:type="pct"/>
                  <w:vAlign w:val="center"/>
                </w:tcPr>
                <w:p>
                  <w:pPr>
                    <w:spacing w:line="276" w:lineRule="auto"/>
                    <w:jc w:val="center"/>
                  </w:pPr>
                  <w:r>
                    <w:rPr>
                      <w:rFonts w:hint="eastAsia"/>
                    </w:rPr>
                    <w:t>H</w:t>
                  </w:r>
                  <w:r>
                    <w:t>W</w:t>
                  </w:r>
                  <w:r>
                    <w:rPr>
                      <w:rFonts w:hint="eastAsia"/>
                    </w:rPr>
                    <w:t>08</w:t>
                  </w:r>
                </w:p>
              </w:tc>
              <w:tc>
                <w:tcPr>
                  <w:tcW w:w="1177" w:type="pct"/>
                  <w:vAlign w:val="center"/>
                </w:tcPr>
                <w:p>
                  <w:pPr>
                    <w:adjustRightInd w:val="0"/>
                    <w:snapToGrid w:val="0"/>
                    <w:jc w:val="center"/>
                  </w:pPr>
                  <w:r>
                    <w:rPr>
                      <w:rFonts w:hint="eastAsia"/>
                    </w:rPr>
                    <w:t>废机油</w:t>
                  </w:r>
                </w:p>
              </w:tc>
              <w:tc>
                <w:tcPr>
                  <w:tcW w:w="710" w:type="pct"/>
                  <w:vAlign w:val="center"/>
                </w:tcPr>
                <w:p>
                  <w:pPr>
                    <w:spacing w:line="276" w:lineRule="auto"/>
                    <w:ind w:left="-42"/>
                    <w:jc w:val="center"/>
                  </w:pPr>
                  <w:r>
                    <w:t>0.0</w:t>
                  </w:r>
                  <w:r>
                    <w:rPr>
                      <w:rFonts w:hint="eastAsia"/>
                    </w:rPr>
                    <w:t>3</w:t>
                  </w:r>
                  <w:r>
                    <w:t>t/a</w:t>
                  </w:r>
                </w:p>
              </w:tc>
              <w:tc>
                <w:tcPr>
                  <w:tcW w:w="2030" w:type="pct"/>
                  <w:vMerge w:val="continue"/>
                  <w:vAlign w:val="center"/>
                </w:tcPr>
                <w:p>
                  <w:pPr>
                    <w:widowControl/>
                    <w:spacing w:line="276" w:lineRule="auto"/>
                    <w:jc w:val="left"/>
                  </w:pP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388" w:type="pct"/>
                  <w:vMerge w:val="restart"/>
                  <w:vAlign w:val="center"/>
                </w:tcPr>
                <w:p>
                  <w:pPr>
                    <w:widowControl/>
                    <w:spacing w:line="276" w:lineRule="auto"/>
                    <w:jc w:val="left"/>
                  </w:pPr>
                  <w:r>
                    <w:rPr>
                      <w:rFonts w:hint="eastAsia"/>
                    </w:rPr>
                    <w:t>一般废物</w:t>
                  </w:r>
                </w:p>
              </w:tc>
              <w:tc>
                <w:tcPr>
                  <w:tcW w:w="1872" w:type="pct"/>
                  <w:gridSpan w:val="2"/>
                  <w:vAlign w:val="center"/>
                </w:tcPr>
                <w:p>
                  <w:pPr>
                    <w:adjustRightInd w:val="0"/>
                    <w:snapToGrid w:val="0"/>
                    <w:jc w:val="center"/>
                  </w:pPr>
                  <w:r>
                    <w:rPr>
                      <w:rFonts w:hint="eastAsia"/>
                    </w:rPr>
                    <w:t>干化泥饼</w:t>
                  </w:r>
                </w:p>
              </w:tc>
              <w:tc>
                <w:tcPr>
                  <w:tcW w:w="710" w:type="pct"/>
                  <w:vAlign w:val="center"/>
                </w:tcPr>
                <w:p>
                  <w:pPr>
                    <w:spacing w:line="276" w:lineRule="auto"/>
                    <w:ind w:left="-42"/>
                    <w:jc w:val="center"/>
                    <w:rPr>
                      <w:bCs/>
                    </w:rPr>
                  </w:pPr>
                  <w:r>
                    <w:rPr>
                      <w:rFonts w:hint="eastAsia"/>
                      <w:bCs/>
                    </w:rPr>
                    <w:t>10870</w:t>
                  </w:r>
                  <w:r>
                    <w:rPr>
                      <w:rFonts w:hint="eastAsia"/>
                    </w:rPr>
                    <w:t>t/a</w:t>
                  </w:r>
                </w:p>
              </w:tc>
              <w:tc>
                <w:tcPr>
                  <w:tcW w:w="2030" w:type="pct"/>
                  <w:vAlign w:val="center"/>
                </w:tcPr>
                <w:p>
                  <w:pPr>
                    <w:widowControl/>
                    <w:spacing w:line="276" w:lineRule="auto"/>
                    <w:jc w:val="center"/>
                  </w:pPr>
                  <w:r>
                    <w:rPr>
                      <w:rFonts w:hint="eastAsia"/>
                      <w:bCs/>
                      <w:color w:val="000000" w:themeColor="text1"/>
                      <w14:textFill>
                        <w14:solidFill>
                          <w14:schemeClr w14:val="tx1"/>
                        </w14:solidFill>
                      </w14:textFill>
                    </w:rPr>
                    <w:t>定期外运至砖厂做原料利用</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388" w:type="pct"/>
                  <w:vMerge w:val="continue"/>
                  <w:vAlign w:val="center"/>
                </w:tcPr>
                <w:p>
                  <w:pPr>
                    <w:widowControl/>
                    <w:spacing w:line="276" w:lineRule="auto"/>
                    <w:jc w:val="left"/>
                  </w:pPr>
                </w:p>
              </w:tc>
              <w:tc>
                <w:tcPr>
                  <w:tcW w:w="1872" w:type="pct"/>
                  <w:gridSpan w:val="2"/>
                  <w:vAlign w:val="center"/>
                </w:tcPr>
                <w:p>
                  <w:pPr>
                    <w:adjustRightInd w:val="0"/>
                    <w:snapToGrid w:val="0"/>
                    <w:jc w:val="center"/>
                  </w:pPr>
                  <w:r>
                    <w:rPr>
                      <w:rFonts w:hint="eastAsia"/>
                    </w:rPr>
                    <w:t>废絮凝剂桶</w:t>
                  </w:r>
                </w:p>
              </w:tc>
              <w:tc>
                <w:tcPr>
                  <w:tcW w:w="710" w:type="pct"/>
                  <w:vAlign w:val="center"/>
                </w:tcPr>
                <w:p>
                  <w:pPr>
                    <w:spacing w:line="276" w:lineRule="auto"/>
                    <w:ind w:left="-42"/>
                    <w:jc w:val="center"/>
                    <w:rPr>
                      <w:bCs/>
                    </w:rPr>
                  </w:pPr>
                  <w:r>
                    <w:rPr>
                      <w:rFonts w:hint="eastAsia"/>
                      <w:bCs/>
                    </w:rPr>
                    <w:t>0.03</w:t>
                  </w:r>
                  <w:r>
                    <w:rPr>
                      <w:rFonts w:hint="eastAsia"/>
                    </w:rPr>
                    <w:t>t/a</w:t>
                  </w:r>
                </w:p>
              </w:tc>
              <w:tc>
                <w:tcPr>
                  <w:tcW w:w="2030" w:type="pct"/>
                  <w:vAlign w:val="center"/>
                </w:tcPr>
                <w:p>
                  <w:pPr>
                    <w:widowControl/>
                    <w:spacing w:line="276" w:lineRule="auto"/>
                    <w:jc w:val="center"/>
                  </w:pPr>
                  <w:r>
                    <w:rPr>
                      <w:rFonts w:hint="eastAsia"/>
                    </w:rPr>
                    <w:t>统一收集后，由厂家回收利用</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388" w:type="pct"/>
                  <w:vMerge w:val="continue"/>
                  <w:vAlign w:val="center"/>
                </w:tcPr>
                <w:p>
                  <w:pPr>
                    <w:widowControl/>
                    <w:spacing w:line="276" w:lineRule="auto"/>
                    <w:jc w:val="left"/>
                  </w:pPr>
                </w:p>
              </w:tc>
              <w:tc>
                <w:tcPr>
                  <w:tcW w:w="1872" w:type="pct"/>
                  <w:gridSpan w:val="2"/>
                  <w:vAlign w:val="center"/>
                </w:tcPr>
                <w:p>
                  <w:pPr>
                    <w:adjustRightInd w:val="0"/>
                    <w:snapToGrid w:val="0"/>
                    <w:jc w:val="center"/>
                  </w:pPr>
                  <w:r>
                    <w:rPr>
                      <w:rFonts w:hint="eastAsia"/>
                    </w:rPr>
                    <w:t>生活垃圾</w:t>
                  </w:r>
                </w:p>
              </w:tc>
              <w:tc>
                <w:tcPr>
                  <w:tcW w:w="710" w:type="pct"/>
                  <w:vAlign w:val="center"/>
                </w:tcPr>
                <w:p>
                  <w:pPr>
                    <w:spacing w:line="276" w:lineRule="auto"/>
                    <w:ind w:left="-42"/>
                    <w:jc w:val="center"/>
                    <w:rPr>
                      <w:bCs/>
                    </w:rPr>
                  </w:pPr>
                  <w:r>
                    <w:rPr>
                      <w:rFonts w:hint="eastAsia"/>
                      <w:bCs/>
                    </w:rPr>
                    <w:t>1.05</w:t>
                  </w:r>
                  <w:r>
                    <w:t xml:space="preserve"> </w:t>
                  </w:r>
                  <w:r>
                    <w:rPr>
                      <w:bCs/>
                    </w:rPr>
                    <w:t>t/a</w:t>
                  </w:r>
                </w:p>
              </w:tc>
              <w:tc>
                <w:tcPr>
                  <w:tcW w:w="2030" w:type="pct"/>
                  <w:vAlign w:val="center"/>
                </w:tcPr>
                <w:p>
                  <w:pPr>
                    <w:widowControl/>
                    <w:spacing w:line="276" w:lineRule="auto"/>
                    <w:jc w:val="center"/>
                  </w:pPr>
                  <w:r>
                    <w:rPr>
                      <w:rFonts w:hint="eastAsia"/>
                    </w:rPr>
                    <w:t>交由</w:t>
                  </w:r>
                  <w:r>
                    <w:t>环卫部门统一清运处理</w:t>
                  </w:r>
                </w:p>
              </w:tc>
            </w:tr>
          </w:tbl>
          <w:p>
            <w:pPr>
              <w:adjustRightInd w:val="0"/>
              <w:spacing w:line="360" w:lineRule="auto"/>
              <w:ind w:firstLine="482" w:firstLineChars="200"/>
              <w:textAlignment w:val="baseline"/>
              <w:rPr>
                <w:b/>
                <w:bCs/>
              </w:rPr>
            </w:pPr>
            <w:r>
              <w:rPr>
                <w:rFonts w:hint="eastAsia"/>
                <w:b/>
                <w:bCs/>
              </w:rPr>
              <w:t>（2）现有工程污染物排放量汇总</w:t>
            </w:r>
          </w:p>
          <w:p>
            <w:pPr>
              <w:pStyle w:val="2"/>
              <w:ind w:left="307" w:leftChars="45" w:hanging="199" w:hangingChars="99"/>
              <w:jc w:val="center"/>
              <w:rPr>
                <w:rFonts w:eastAsia="黑体"/>
                <w:b/>
                <w:bCs/>
                <w:color w:val="000000" w:themeColor="text1"/>
                <w:kern w:val="0"/>
                <w:sz w:val="20"/>
                <w14:textFill>
                  <w14:solidFill>
                    <w14:schemeClr w14:val="tx1"/>
                  </w14:solidFill>
                </w14:textFill>
              </w:rPr>
            </w:pPr>
            <w:r>
              <w:rPr>
                <w:rFonts w:hint="eastAsia" w:eastAsia="黑体"/>
                <w:b/>
                <w:bCs/>
                <w:color w:val="000000" w:themeColor="text1"/>
                <w:kern w:val="0"/>
                <w:sz w:val="20"/>
                <w14:textFill>
                  <w14:solidFill>
                    <w14:schemeClr w14:val="tx1"/>
                  </w14:solidFill>
                </w14:textFill>
              </w:rPr>
              <w:t>表2</w:t>
            </w:r>
            <w:r>
              <w:rPr>
                <w:rFonts w:eastAsia="黑体"/>
                <w:b/>
                <w:bCs/>
                <w:color w:val="000000" w:themeColor="text1"/>
                <w:kern w:val="0"/>
                <w:sz w:val="20"/>
                <w14:textFill>
                  <w14:solidFill>
                    <w14:schemeClr w14:val="tx1"/>
                  </w14:solidFill>
                </w14:textFill>
              </w:rPr>
              <w:t>-1</w:t>
            </w:r>
            <w:r>
              <w:rPr>
                <w:rFonts w:hint="eastAsia" w:eastAsia="黑体"/>
                <w:b/>
                <w:bCs/>
                <w:color w:val="000000" w:themeColor="text1"/>
                <w:kern w:val="0"/>
                <w:sz w:val="20"/>
                <w14:textFill>
                  <w14:solidFill>
                    <w14:schemeClr w14:val="tx1"/>
                  </w14:solidFill>
                </w14:textFill>
              </w:rPr>
              <w:t>1</w:t>
            </w:r>
            <w:r>
              <w:rPr>
                <w:rFonts w:eastAsia="黑体"/>
                <w:b/>
                <w:bCs/>
                <w:color w:val="000000" w:themeColor="text1"/>
                <w:kern w:val="0"/>
                <w:sz w:val="20"/>
                <w14:textFill>
                  <w14:solidFill>
                    <w14:schemeClr w14:val="tx1"/>
                  </w14:solidFill>
                </w14:textFill>
              </w:rPr>
              <w:t xml:space="preserve"> </w:t>
            </w:r>
            <w:r>
              <w:rPr>
                <w:rFonts w:hint="eastAsia" w:eastAsia="黑体"/>
                <w:b/>
                <w:bCs/>
                <w:color w:val="000000" w:themeColor="text1"/>
                <w:kern w:val="0"/>
                <w:sz w:val="20"/>
                <w14:textFill>
                  <w14:solidFill>
                    <w14:schemeClr w14:val="tx1"/>
                  </w14:solidFill>
                </w14:textFill>
              </w:rPr>
              <w:t>现有工程污染物排放情况一览表</w:t>
            </w:r>
          </w:p>
          <w:tbl>
            <w:tblPr>
              <w:tblStyle w:val="15"/>
              <w:tblW w:w="4998" w:type="pct"/>
              <w:jc w:val="center"/>
              <w:tblBorders>
                <w:top w:val="single" w:color="auto" w:sz="2" w:space="0"/>
                <w:left w:val="none" w:color="auto" w:sz="0" w:space="0"/>
                <w:bottom w:val="single" w:color="auto" w:sz="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28"/>
              <w:gridCol w:w="2712"/>
              <w:gridCol w:w="5004"/>
            </w:tblGrid>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1728" w:type="dxa"/>
                  <w:vAlign w:val="center"/>
                </w:tcPr>
                <w:p>
                  <w:pPr>
                    <w:spacing w:line="276" w:lineRule="auto"/>
                    <w:jc w:val="center"/>
                  </w:pPr>
                  <w:r>
                    <w:t>污染源</w:t>
                  </w:r>
                </w:p>
              </w:tc>
              <w:tc>
                <w:tcPr>
                  <w:tcW w:w="2712" w:type="dxa"/>
                  <w:vAlign w:val="center"/>
                </w:tcPr>
                <w:p>
                  <w:pPr>
                    <w:spacing w:line="276" w:lineRule="auto"/>
                    <w:jc w:val="center"/>
                  </w:pPr>
                  <w:r>
                    <w:t>污染物</w:t>
                  </w:r>
                </w:p>
              </w:tc>
              <w:tc>
                <w:tcPr>
                  <w:tcW w:w="5004" w:type="dxa"/>
                  <w:vAlign w:val="center"/>
                </w:tcPr>
                <w:p>
                  <w:pPr>
                    <w:spacing w:line="276" w:lineRule="auto"/>
                    <w:jc w:val="center"/>
                  </w:pPr>
                  <w:r>
                    <w:t>污染物排放量</w:t>
                  </w:r>
                  <w:r>
                    <w:rPr>
                      <w:rFonts w:hint="eastAsia"/>
                    </w:rPr>
                    <w:t>（t/a）</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728" w:type="dxa"/>
                  <w:vAlign w:val="center"/>
                </w:tcPr>
                <w:p>
                  <w:pPr>
                    <w:spacing w:line="276" w:lineRule="auto"/>
                    <w:jc w:val="center"/>
                  </w:pPr>
                  <w:r>
                    <w:t>大气污染物</w:t>
                  </w:r>
                </w:p>
              </w:tc>
              <w:tc>
                <w:tcPr>
                  <w:tcW w:w="2712" w:type="dxa"/>
                  <w:vAlign w:val="center"/>
                </w:tcPr>
                <w:p>
                  <w:pPr>
                    <w:spacing w:line="276" w:lineRule="auto"/>
                    <w:jc w:val="center"/>
                  </w:pPr>
                  <w:r>
                    <w:rPr>
                      <w:rFonts w:hint="eastAsia"/>
                    </w:rPr>
                    <w:t>颗粒物</w:t>
                  </w:r>
                </w:p>
              </w:tc>
              <w:tc>
                <w:tcPr>
                  <w:tcW w:w="5004" w:type="dxa"/>
                  <w:vAlign w:val="center"/>
                </w:tcPr>
                <w:p>
                  <w:pPr>
                    <w:spacing w:line="276" w:lineRule="auto"/>
                    <w:jc w:val="center"/>
                  </w:pPr>
                  <w:r>
                    <w:rPr>
                      <w:rFonts w:hint="eastAsia"/>
                    </w:rPr>
                    <w:t>7.67</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728" w:type="dxa"/>
                  <w:vAlign w:val="center"/>
                </w:tcPr>
                <w:p>
                  <w:pPr>
                    <w:spacing w:line="276" w:lineRule="auto"/>
                    <w:jc w:val="center"/>
                  </w:pPr>
                  <w:r>
                    <w:t>废水</w:t>
                  </w:r>
                </w:p>
              </w:tc>
              <w:tc>
                <w:tcPr>
                  <w:tcW w:w="2712" w:type="dxa"/>
                  <w:vAlign w:val="center"/>
                </w:tcPr>
                <w:p>
                  <w:pPr>
                    <w:spacing w:line="276" w:lineRule="auto"/>
                    <w:jc w:val="center"/>
                  </w:pPr>
                  <w:r>
                    <w:rPr>
                      <w:rFonts w:hint="eastAsia"/>
                    </w:rPr>
                    <w:t>总废水量</w:t>
                  </w:r>
                </w:p>
              </w:tc>
              <w:tc>
                <w:tcPr>
                  <w:tcW w:w="5004" w:type="dxa"/>
                  <w:vAlign w:val="center"/>
                </w:tcPr>
                <w:p>
                  <w:pPr>
                    <w:pStyle w:val="26"/>
                    <w:spacing w:line="276" w:lineRule="auto"/>
                    <w:jc w:val="center"/>
                    <w:rPr>
                      <w:szCs w:val="21"/>
                    </w:rPr>
                  </w:pPr>
                  <w:r>
                    <w:rPr>
                      <w:rFonts w:hint="eastAsia"/>
                      <w:szCs w:val="21"/>
                      <w:lang w:eastAsia="zh-CN"/>
                    </w:rPr>
                    <w:t>不外排</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728" w:type="dxa"/>
                  <w:vMerge w:val="restart"/>
                  <w:vAlign w:val="center"/>
                </w:tcPr>
                <w:p>
                  <w:pPr>
                    <w:widowControl/>
                    <w:spacing w:line="276" w:lineRule="auto"/>
                    <w:jc w:val="center"/>
                  </w:pPr>
                  <w:r>
                    <w:rPr>
                      <w:rFonts w:hint="eastAsia"/>
                    </w:rPr>
                    <w:t>固体废物</w:t>
                  </w:r>
                </w:p>
              </w:tc>
              <w:tc>
                <w:tcPr>
                  <w:tcW w:w="2712" w:type="dxa"/>
                  <w:vAlign w:val="center"/>
                </w:tcPr>
                <w:p>
                  <w:pPr>
                    <w:adjustRightInd w:val="0"/>
                    <w:snapToGrid w:val="0"/>
                    <w:jc w:val="center"/>
                  </w:pPr>
                  <w:r>
                    <w:rPr>
                      <w:rFonts w:hint="eastAsia"/>
                    </w:rPr>
                    <w:t>废机油桶</w:t>
                  </w:r>
                </w:p>
              </w:tc>
              <w:tc>
                <w:tcPr>
                  <w:tcW w:w="5004" w:type="dxa"/>
                  <w:vAlign w:val="center"/>
                </w:tcPr>
                <w:p>
                  <w:pPr>
                    <w:spacing w:line="276" w:lineRule="auto"/>
                    <w:ind w:left="-42"/>
                    <w:jc w:val="center"/>
                  </w:pPr>
                  <w:r>
                    <w:rPr>
                      <w:rFonts w:hint="eastAsia"/>
                    </w:rPr>
                    <w:t>0.05</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728" w:type="dxa"/>
                  <w:vMerge w:val="continue"/>
                  <w:vAlign w:val="center"/>
                </w:tcPr>
                <w:p>
                  <w:pPr>
                    <w:widowControl/>
                    <w:spacing w:line="276" w:lineRule="auto"/>
                    <w:jc w:val="center"/>
                  </w:pPr>
                </w:p>
              </w:tc>
              <w:tc>
                <w:tcPr>
                  <w:tcW w:w="2712" w:type="dxa"/>
                  <w:vAlign w:val="center"/>
                </w:tcPr>
                <w:p>
                  <w:pPr>
                    <w:adjustRightInd w:val="0"/>
                    <w:snapToGrid w:val="0"/>
                    <w:jc w:val="center"/>
                  </w:pPr>
                  <w:r>
                    <w:rPr>
                      <w:rFonts w:hint="eastAsia"/>
                    </w:rPr>
                    <w:t>废机油</w:t>
                  </w:r>
                </w:p>
              </w:tc>
              <w:tc>
                <w:tcPr>
                  <w:tcW w:w="5004" w:type="dxa"/>
                  <w:vAlign w:val="center"/>
                </w:tcPr>
                <w:p>
                  <w:pPr>
                    <w:spacing w:line="276" w:lineRule="auto"/>
                    <w:ind w:left="-42"/>
                    <w:jc w:val="center"/>
                  </w:pPr>
                  <w:r>
                    <w:rPr>
                      <w:rFonts w:hint="eastAsia"/>
                    </w:rPr>
                    <w:t>0.03</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728" w:type="dxa"/>
                  <w:vMerge w:val="continue"/>
                  <w:vAlign w:val="center"/>
                </w:tcPr>
                <w:p>
                  <w:pPr>
                    <w:widowControl/>
                    <w:spacing w:line="276" w:lineRule="auto"/>
                    <w:jc w:val="center"/>
                  </w:pPr>
                </w:p>
              </w:tc>
              <w:tc>
                <w:tcPr>
                  <w:tcW w:w="2712" w:type="dxa"/>
                  <w:vAlign w:val="center"/>
                </w:tcPr>
                <w:p>
                  <w:pPr>
                    <w:adjustRightInd w:val="0"/>
                    <w:snapToGrid w:val="0"/>
                    <w:jc w:val="center"/>
                  </w:pPr>
                  <w:r>
                    <w:rPr>
                      <w:rFonts w:hint="eastAsia"/>
                    </w:rPr>
                    <w:t>干化泥饼</w:t>
                  </w:r>
                </w:p>
              </w:tc>
              <w:tc>
                <w:tcPr>
                  <w:tcW w:w="5004" w:type="dxa"/>
                  <w:vAlign w:val="center"/>
                </w:tcPr>
                <w:p>
                  <w:pPr>
                    <w:spacing w:line="276" w:lineRule="auto"/>
                    <w:ind w:left="-42"/>
                    <w:jc w:val="center"/>
                  </w:pPr>
                  <w:r>
                    <w:rPr>
                      <w:rFonts w:hint="eastAsia"/>
                    </w:rPr>
                    <w:t>10870</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728" w:type="dxa"/>
                  <w:vMerge w:val="continue"/>
                  <w:vAlign w:val="center"/>
                </w:tcPr>
                <w:p>
                  <w:pPr>
                    <w:widowControl/>
                    <w:spacing w:line="276" w:lineRule="auto"/>
                    <w:jc w:val="center"/>
                  </w:pPr>
                </w:p>
              </w:tc>
              <w:tc>
                <w:tcPr>
                  <w:tcW w:w="2712" w:type="dxa"/>
                  <w:vAlign w:val="center"/>
                </w:tcPr>
                <w:p>
                  <w:pPr>
                    <w:adjustRightInd w:val="0"/>
                    <w:snapToGrid w:val="0"/>
                    <w:jc w:val="center"/>
                  </w:pPr>
                  <w:r>
                    <w:rPr>
                      <w:rFonts w:hint="eastAsia"/>
                    </w:rPr>
                    <w:t>废絮凝剂桶</w:t>
                  </w:r>
                </w:p>
              </w:tc>
              <w:tc>
                <w:tcPr>
                  <w:tcW w:w="5004" w:type="dxa"/>
                  <w:vAlign w:val="center"/>
                </w:tcPr>
                <w:p>
                  <w:pPr>
                    <w:spacing w:line="276" w:lineRule="auto"/>
                    <w:ind w:left="-42"/>
                    <w:jc w:val="center"/>
                  </w:pPr>
                  <w:r>
                    <w:rPr>
                      <w:rFonts w:hint="eastAsia"/>
                    </w:rPr>
                    <w:t>0.03</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728" w:type="dxa"/>
                  <w:vMerge w:val="continue"/>
                  <w:vAlign w:val="center"/>
                </w:tcPr>
                <w:p>
                  <w:pPr>
                    <w:widowControl/>
                    <w:spacing w:line="276" w:lineRule="auto"/>
                    <w:jc w:val="center"/>
                  </w:pPr>
                </w:p>
              </w:tc>
              <w:tc>
                <w:tcPr>
                  <w:tcW w:w="2712" w:type="dxa"/>
                  <w:vAlign w:val="center"/>
                </w:tcPr>
                <w:p>
                  <w:pPr>
                    <w:adjustRightInd w:val="0"/>
                    <w:snapToGrid w:val="0"/>
                    <w:jc w:val="center"/>
                  </w:pPr>
                  <w:r>
                    <w:rPr>
                      <w:rFonts w:hint="eastAsia"/>
                    </w:rPr>
                    <w:t>生活垃圾</w:t>
                  </w:r>
                </w:p>
              </w:tc>
              <w:tc>
                <w:tcPr>
                  <w:tcW w:w="5004" w:type="dxa"/>
                  <w:vAlign w:val="center"/>
                </w:tcPr>
                <w:p>
                  <w:pPr>
                    <w:spacing w:line="276" w:lineRule="auto"/>
                    <w:ind w:left="-42"/>
                    <w:jc w:val="center"/>
                  </w:pPr>
                  <w:r>
                    <w:rPr>
                      <w:rFonts w:hint="eastAsia"/>
                    </w:rPr>
                    <w:t>1.05</w:t>
                  </w:r>
                </w:p>
              </w:tc>
            </w:tr>
            <w:tr>
              <w:tblPrEx>
                <w:tblBorders>
                  <w:top w:val="single" w:color="auto" w:sz="2" w:space="0"/>
                  <w:left w:val="none" w:color="auto" w:sz="0" w:space="0"/>
                  <w:bottom w:val="sing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728" w:type="dxa"/>
                  <w:vAlign w:val="center"/>
                </w:tcPr>
                <w:p>
                  <w:pPr>
                    <w:widowControl/>
                    <w:spacing w:line="276" w:lineRule="auto"/>
                    <w:jc w:val="center"/>
                  </w:pPr>
                  <w:r>
                    <w:rPr>
                      <w:rFonts w:hint="eastAsia"/>
                    </w:rPr>
                    <w:t>噪声</w:t>
                  </w:r>
                </w:p>
              </w:tc>
              <w:tc>
                <w:tcPr>
                  <w:tcW w:w="2712" w:type="dxa"/>
                  <w:vAlign w:val="center"/>
                </w:tcPr>
                <w:p>
                  <w:pPr>
                    <w:spacing w:line="276" w:lineRule="auto"/>
                    <w:jc w:val="center"/>
                  </w:pPr>
                  <w:r>
                    <w:rPr>
                      <w:rFonts w:hint="eastAsia"/>
                    </w:rPr>
                    <w:t>设备噪声</w:t>
                  </w:r>
                </w:p>
              </w:tc>
              <w:tc>
                <w:tcPr>
                  <w:tcW w:w="5004" w:type="dxa"/>
                  <w:vAlign w:val="center"/>
                </w:tcPr>
                <w:p>
                  <w:pPr>
                    <w:pStyle w:val="26"/>
                    <w:spacing w:line="276" w:lineRule="auto"/>
                    <w:jc w:val="center"/>
                    <w:rPr>
                      <w:szCs w:val="21"/>
                      <w:lang w:eastAsia="zh-CN"/>
                    </w:rPr>
                  </w:pPr>
                  <w:r>
                    <w:rPr>
                      <w:rFonts w:hint="eastAsia"/>
                      <w:szCs w:val="21"/>
                      <w:lang w:eastAsia="zh-CN"/>
                    </w:rPr>
                    <w:t>项目主要噪声源</w:t>
                  </w:r>
                  <w:r>
                    <w:rPr>
                      <w:rFonts w:hAnsi="宋体"/>
                      <w:szCs w:val="21"/>
                      <w:lang w:eastAsia="zh-CN"/>
                    </w:rPr>
                    <w:t>为</w:t>
                  </w:r>
                  <w:r>
                    <w:rPr>
                      <w:rFonts w:hint="eastAsia" w:hAnsi="宋体"/>
                      <w:spacing w:val="-2"/>
                      <w:szCs w:val="21"/>
                      <w:lang w:eastAsia="zh-CN"/>
                    </w:rPr>
                    <w:t>给料机、颚破机、反击破、多级振动筛分机、螺旋洗砂机、板框压滤机、尾砂回收机、装载机、水泵等的设备运行的噪声。现有项目生产设备均选用低噪声设备，并定期进行维护保养；产污设备合理布局，合理利用厂房进行隔音</w:t>
                  </w:r>
                  <w:r>
                    <w:rPr>
                      <w:rFonts w:hint="eastAsia"/>
                      <w:szCs w:val="21"/>
                      <w:lang w:eastAsia="zh-CN"/>
                    </w:rPr>
                    <w:t>，厂界噪声昼间≤60 dB(A)</w:t>
                  </w:r>
                </w:p>
              </w:tc>
            </w:tr>
          </w:tbl>
          <w:p>
            <w:pPr>
              <w:pStyle w:val="2"/>
              <w:ind w:left="960" w:hanging="480"/>
            </w:pPr>
          </w:p>
          <w:p>
            <w:pPr>
              <w:adjustRightInd w:val="0"/>
              <w:spacing w:line="360" w:lineRule="auto"/>
              <w:textAlignment w:val="baseline"/>
              <w:rPr>
                <w:b/>
                <w:bCs/>
              </w:rPr>
            </w:pPr>
            <w:r>
              <w:rPr>
                <w:rFonts w:hint="eastAsia"/>
                <w:b/>
                <w:bCs/>
              </w:rPr>
              <w:t>4、原有项目存在的主要问题及“以新带老”措施</w:t>
            </w:r>
          </w:p>
          <w:p>
            <w:pPr>
              <w:adjustRightInd w:val="0"/>
              <w:spacing w:line="360" w:lineRule="auto"/>
              <w:ind w:firstLine="480" w:firstLineChars="200"/>
              <w:textAlignment w:val="baseline"/>
              <w:rPr>
                <w:rFonts w:hAnsi="宋体"/>
              </w:rPr>
            </w:pPr>
            <w:r>
              <w:rPr>
                <w:rFonts w:hint="eastAsia"/>
              </w:rPr>
              <w:t>根据现场勘查及现状污染物调</w:t>
            </w:r>
            <w:r>
              <w:rPr>
                <w:rFonts w:hint="eastAsia" w:hAnsi="宋体"/>
                <w:bCs/>
              </w:rPr>
              <w:t>查</w:t>
            </w:r>
            <w:r>
              <w:rPr>
                <w:rFonts w:hint="eastAsia" w:ascii="宋体" w:hAnsi="宋体"/>
                <w:bCs/>
              </w:rPr>
              <w:t>，</w:t>
            </w:r>
            <w:r>
              <w:rPr>
                <w:rFonts w:hint="eastAsia" w:ascii="宋体" w:hAnsi="宋体"/>
              </w:rPr>
              <w:t>目前</w:t>
            </w:r>
            <w:r>
              <w:rPr>
                <w:rFonts w:hint="eastAsia" w:hAnsi="宋体"/>
              </w:rPr>
              <w:t>厂</w:t>
            </w:r>
            <w:r>
              <w:rPr>
                <w:rFonts w:hint="eastAsia" w:ascii="宋体" w:hAnsi="宋体"/>
              </w:rPr>
              <w:t>区存在的主要问题有：</w:t>
            </w:r>
          </w:p>
          <w:p>
            <w:pPr>
              <w:pStyle w:val="39"/>
            </w:pPr>
            <w:r>
              <w:rPr>
                <w:rFonts w:hint="eastAsia"/>
              </w:rPr>
              <w:t>（1）项目未设置封闭式原料及成品堆场，也未采取喷雾降尘措施。仅对现有生产设备设置了封闭式围挡，未建设将整个生产区包括在内的封闭式车间。</w:t>
            </w:r>
          </w:p>
          <w:p>
            <w:pPr>
              <w:pStyle w:val="39"/>
            </w:pPr>
            <w:r>
              <w:rPr>
                <w:rFonts w:hint="eastAsia"/>
              </w:rPr>
              <w:t>（2）项目厂区地面未采取硬化处理。</w:t>
            </w:r>
          </w:p>
          <w:p>
            <w:pPr>
              <w:pStyle w:val="39"/>
            </w:pPr>
            <w:r>
              <w:rPr>
                <w:rFonts w:hint="eastAsia"/>
              </w:rPr>
              <w:t>（3）项目区未设置规范的危废暂存间。</w:t>
            </w:r>
          </w:p>
          <w:p>
            <w:pPr>
              <w:pStyle w:val="39"/>
            </w:pPr>
            <w:r>
              <w:rPr>
                <w:rFonts w:hint="eastAsia"/>
              </w:rPr>
              <w:t>（4）项目区未建设配套的生产废水处理设施。</w:t>
            </w:r>
          </w:p>
          <w:p>
            <w:pPr>
              <w:pStyle w:val="39"/>
            </w:pPr>
            <w:r>
              <w:rPr>
                <w:rFonts w:hint="eastAsia"/>
              </w:rPr>
              <w:t>评价要求：建设单位在后续施工中，应落实各项污染治理措施，确保项目建成正式投产时，做到生产废水处理后全部循环回用，废气噪声实现达标排放，各类固废得到妥善处置不造成二次污染，杜绝发生环境污染事件。</w:t>
            </w:r>
          </w:p>
          <w:p/>
        </w:tc>
      </w:tr>
    </w:tbl>
    <w:p>
      <w:pPr>
        <w:rPr>
          <w:color w:val="000000" w:themeColor="text1"/>
          <w14:textFill>
            <w14:solidFill>
              <w14:schemeClr w14:val="tx1"/>
            </w14:solidFill>
          </w14:textFill>
        </w:rPr>
      </w:pPr>
    </w:p>
    <w:p>
      <w:pPr>
        <w:rPr>
          <w:color w:val="000000" w:themeColor="text1"/>
          <w14:textFill>
            <w14:solidFill>
              <w14:schemeClr w14:val="tx1"/>
            </w14:solidFill>
          </w14:textFill>
        </w:rPr>
        <w:sectPr>
          <w:footerReference r:id="rId4" w:type="default"/>
          <w:pgSz w:w="11906" w:h="16838"/>
          <w:pgMar w:top="1440" w:right="1800" w:bottom="1440" w:left="1800" w:header="851" w:footer="992" w:gutter="0"/>
          <w:cols w:space="720" w:num="1"/>
          <w:docGrid w:type="lines" w:linePitch="312" w:charSpace="0"/>
        </w:sectPr>
      </w:pPr>
    </w:p>
    <w:p>
      <w:pPr>
        <w:pStyle w:val="18"/>
        <w:jc w:val="center"/>
        <w:rPr>
          <w:rFonts w:eastAsia="黑体"/>
          <w:b w:val="0"/>
          <w:color w:val="000000" w:themeColor="text1"/>
          <w:sz w:val="30"/>
          <w:szCs w:val="30"/>
          <w14:textFill>
            <w14:solidFill>
              <w14:schemeClr w14:val="tx1"/>
            </w14:solidFill>
          </w14:textFill>
        </w:rPr>
      </w:pPr>
      <w:r>
        <w:rPr>
          <w:rFonts w:eastAsia="黑体"/>
          <w:b w:val="0"/>
          <w:color w:val="000000" w:themeColor="text1"/>
          <w:sz w:val="30"/>
          <w:szCs w:val="30"/>
          <w14:textFill>
            <w14:solidFill>
              <w14:schemeClr w14:val="tx1"/>
            </w14:solidFill>
          </w14:textFill>
        </w:rPr>
        <w:t>三、区域环境质量现状、环境保护目标及评价标准</w:t>
      </w:r>
    </w:p>
    <w:tbl>
      <w:tblPr>
        <w:tblStyle w:val="15"/>
        <w:tblW w:w="9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8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3" w:type="dxa"/>
            <w:vAlign w:val="center"/>
          </w:tcPr>
          <w:p>
            <w:pPr>
              <w:spacing w:line="360"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区域</w:t>
            </w:r>
          </w:p>
          <w:p>
            <w:pPr>
              <w:spacing w:line="360"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环境</w:t>
            </w:r>
          </w:p>
          <w:p>
            <w:pPr>
              <w:spacing w:line="360"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质量</w:t>
            </w:r>
          </w:p>
          <w:p>
            <w:pPr>
              <w:spacing w:line="360"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现状</w:t>
            </w:r>
          </w:p>
        </w:tc>
        <w:tc>
          <w:tcPr>
            <w:tcW w:w="8759" w:type="dxa"/>
            <w:vAlign w:val="center"/>
          </w:tcPr>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1、大气环境质量现状</w:t>
            </w:r>
          </w:p>
          <w:p>
            <w:pPr>
              <w:spacing w:line="360" w:lineRule="auto"/>
              <w:ind w:firstLine="472" w:firstLineChars="196"/>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（1）基本污染物现状</w:t>
            </w:r>
          </w:p>
          <w:p>
            <w:pPr>
              <w:spacing w:line="360" w:lineRule="auto"/>
              <w:ind w:firstLine="470" w:firstLineChars="196"/>
              <w:rPr>
                <w:color w:val="000000" w:themeColor="text1"/>
                <w:szCs w:val="24"/>
                <w14:textFill>
                  <w14:solidFill>
                    <w14:schemeClr w14:val="tx1"/>
                  </w14:solidFill>
                </w14:textFill>
              </w:rPr>
            </w:pPr>
            <w:r>
              <w:rPr>
                <w:color w:val="000000" w:themeColor="text1"/>
                <w:szCs w:val="24"/>
                <w14:textFill>
                  <w14:solidFill>
                    <w14:schemeClr w14:val="tx1"/>
                  </w14:solidFill>
                </w14:textFill>
              </w:rPr>
              <w:t>根据《环境影响评价技术导则 大气环境》（HJ2.2-2018），空气质量达标区判定优先采用国家或地方生态环境主管部门公开发布的评价基准年环境质量公告或环境质量报告中的数据或结论，包括各评价因子的浓度、标准及达标判定结果等。本次评价采用达州市生态环境局</w:t>
            </w:r>
            <w:r>
              <w:rPr>
                <w:rFonts w:hint="eastAsia"/>
                <w:color w:val="000000" w:themeColor="text1"/>
                <w:szCs w:val="24"/>
                <w14:textFill>
                  <w14:solidFill>
                    <w14:schemeClr w14:val="tx1"/>
                  </w14:solidFill>
                </w14:textFill>
              </w:rPr>
              <w:t>2023</w:t>
            </w:r>
            <w:r>
              <w:rPr>
                <w:color w:val="000000" w:themeColor="text1"/>
                <w:szCs w:val="24"/>
                <w14:textFill>
                  <w14:solidFill>
                    <w14:schemeClr w14:val="tx1"/>
                  </w14:solidFill>
                </w14:textFill>
              </w:rPr>
              <w:t>年</w:t>
            </w:r>
            <w:r>
              <w:rPr>
                <w:rFonts w:hint="eastAsia"/>
                <w:color w:val="000000" w:themeColor="text1"/>
                <w:szCs w:val="24"/>
                <w14:textFill>
                  <w14:solidFill>
                    <w14:schemeClr w14:val="tx1"/>
                  </w14:solidFill>
                </w14:textFill>
              </w:rPr>
              <w:t>1</w:t>
            </w:r>
            <w:r>
              <w:rPr>
                <w:color w:val="000000" w:themeColor="text1"/>
                <w:szCs w:val="24"/>
                <w14:textFill>
                  <w14:solidFill>
                    <w14:schemeClr w14:val="tx1"/>
                  </w14:solidFill>
                </w14:textFill>
              </w:rPr>
              <w:t>月公布的《</w:t>
            </w:r>
            <w:r>
              <w:rPr>
                <w:rFonts w:hint="eastAsia"/>
                <w:color w:val="000000" w:themeColor="text1"/>
                <w:kern w:val="0"/>
                <w14:textFill>
                  <w14:solidFill>
                    <w14:schemeClr w14:val="tx1"/>
                  </w14:solidFill>
                </w14:textFill>
              </w:rPr>
              <w:t>达州市2022年环境空气质量现状</w:t>
            </w:r>
            <w:r>
              <w:rPr>
                <w:color w:val="000000" w:themeColor="text1"/>
                <w:szCs w:val="24"/>
                <w14:textFill>
                  <w14:solidFill>
                    <w14:schemeClr w14:val="tx1"/>
                  </w14:solidFill>
                </w14:textFill>
              </w:rPr>
              <w:t>》中相关数据和结论。</w:t>
            </w:r>
          </w:p>
          <w:p>
            <w:pPr>
              <w:spacing w:line="360" w:lineRule="auto"/>
              <w:ind w:firstLine="470" w:firstLineChars="196"/>
              <w:rPr>
                <w:color w:val="000000" w:themeColor="text1"/>
                <w:szCs w:val="24"/>
                <w14:textFill>
                  <w14:solidFill>
                    <w14:schemeClr w14:val="tx1"/>
                  </w14:solidFill>
                </w14:textFill>
              </w:rPr>
            </w:pPr>
            <w:r>
              <w:rPr>
                <w:color w:val="000000" w:themeColor="text1"/>
                <w:szCs w:val="24"/>
                <w14:textFill>
                  <w14:solidFill>
                    <w14:schemeClr w14:val="tx1"/>
                  </w14:solidFill>
                </w14:textFill>
              </w:rPr>
              <w:t>根据《</w:t>
            </w:r>
            <w:r>
              <w:rPr>
                <w:rFonts w:hint="eastAsia"/>
                <w:color w:val="000000" w:themeColor="text1"/>
                <w:kern w:val="0"/>
                <w14:textFill>
                  <w14:solidFill>
                    <w14:schemeClr w14:val="tx1"/>
                  </w14:solidFill>
                </w14:textFill>
              </w:rPr>
              <w:t>达州市2022年环境空气质量状况</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宣汉县2022年1月1日至12月31日对城区环境空气质量进行了连续自动监测。全年有效监测天数365天，达标天数355天，达标率为97.3%。其中：优194天，占53.1%，良161天，占44.1%，轻度污染9天，占2.5%，中度污染1天，占0.3%。</w:t>
            </w:r>
          </w:p>
          <w:p>
            <w:pPr>
              <w:spacing w:line="360" w:lineRule="auto"/>
              <w:ind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宣汉县内</w:t>
            </w:r>
            <w:r>
              <w:rPr>
                <w:color w:val="000000" w:themeColor="text1"/>
                <w:szCs w:val="24"/>
                <w14:textFill>
                  <w14:solidFill>
                    <w14:schemeClr w14:val="tx1"/>
                  </w14:solidFill>
                </w14:textFill>
              </w:rPr>
              <w:t>SO</w:t>
            </w:r>
            <w:r>
              <w:rPr>
                <w:color w:val="000000" w:themeColor="text1"/>
                <w:szCs w:val="24"/>
                <w:vertAlign w:val="subscript"/>
                <w14:textFill>
                  <w14:solidFill>
                    <w14:schemeClr w14:val="tx1"/>
                  </w14:solidFill>
                </w14:textFill>
              </w:rPr>
              <w:t>2</w:t>
            </w:r>
            <w:r>
              <w:rPr>
                <w:rFonts w:hint="eastAsia"/>
                <w:color w:val="000000" w:themeColor="text1"/>
                <w:szCs w:val="24"/>
                <w14:textFill>
                  <w14:solidFill>
                    <w14:schemeClr w14:val="tx1"/>
                  </w14:solidFill>
                </w14:textFill>
              </w:rPr>
              <w:t>年均值为5微克/立方米，</w:t>
            </w:r>
            <w:r>
              <w:rPr>
                <w:color w:val="000000" w:themeColor="text1"/>
                <w:szCs w:val="24"/>
                <w14:textFill>
                  <w14:solidFill>
                    <w14:schemeClr w14:val="tx1"/>
                  </w14:solidFill>
                </w14:textFill>
              </w:rPr>
              <w:t>NO</w:t>
            </w:r>
            <w:r>
              <w:rPr>
                <w:color w:val="000000" w:themeColor="text1"/>
                <w:szCs w:val="24"/>
                <w:vertAlign w:val="subscript"/>
                <w14:textFill>
                  <w14:solidFill>
                    <w14:schemeClr w14:val="tx1"/>
                  </w14:solidFill>
                </w14:textFill>
              </w:rPr>
              <w:t>2</w:t>
            </w:r>
            <w:r>
              <w:rPr>
                <w:rFonts w:hint="eastAsia"/>
                <w:color w:val="000000" w:themeColor="text1"/>
                <w:szCs w:val="24"/>
                <w14:textFill>
                  <w14:solidFill>
                    <w14:schemeClr w14:val="tx1"/>
                  </w14:solidFill>
                </w14:textFill>
              </w:rPr>
              <w:t>年均值为19微克/立方米，</w:t>
            </w:r>
            <w:r>
              <w:rPr>
                <w:color w:val="000000" w:themeColor="text1"/>
                <w:szCs w:val="24"/>
                <w14:textFill>
                  <w14:solidFill>
                    <w14:schemeClr w14:val="tx1"/>
                  </w14:solidFill>
                </w14:textFill>
              </w:rPr>
              <w:t>PM</w:t>
            </w:r>
            <w:r>
              <w:rPr>
                <w:color w:val="000000" w:themeColor="text1"/>
                <w:szCs w:val="24"/>
                <w:vertAlign w:val="subscript"/>
                <w14:textFill>
                  <w14:solidFill>
                    <w14:schemeClr w14:val="tx1"/>
                  </w14:solidFill>
                </w14:textFill>
              </w:rPr>
              <w:t>10</w:t>
            </w:r>
            <w:r>
              <w:rPr>
                <w:rFonts w:hint="eastAsia"/>
                <w:color w:val="000000" w:themeColor="text1"/>
                <w:szCs w:val="24"/>
                <w14:textFill>
                  <w14:solidFill>
                    <w14:schemeClr w14:val="tx1"/>
                  </w14:solidFill>
                </w14:textFill>
              </w:rPr>
              <w:t>年均值为50微克/立方米，</w:t>
            </w:r>
            <w:r>
              <w:rPr>
                <w:color w:val="000000" w:themeColor="text1"/>
                <w:szCs w:val="24"/>
                <w14:textFill>
                  <w14:solidFill>
                    <w14:schemeClr w14:val="tx1"/>
                  </w14:solidFill>
                </w14:textFill>
              </w:rPr>
              <w:t>PM</w:t>
            </w:r>
            <w:r>
              <w:rPr>
                <w:color w:val="000000" w:themeColor="text1"/>
                <w:szCs w:val="24"/>
                <w:vertAlign w:val="subscript"/>
                <w14:textFill>
                  <w14:solidFill>
                    <w14:schemeClr w14:val="tx1"/>
                  </w14:solidFill>
                </w14:textFill>
              </w:rPr>
              <w:t>2.5</w:t>
            </w:r>
            <w:r>
              <w:rPr>
                <w:rFonts w:hint="eastAsia"/>
                <w:color w:val="000000" w:themeColor="text1"/>
                <w:szCs w:val="24"/>
                <w14:textFill>
                  <w14:solidFill>
                    <w14:schemeClr w14:val="tx1"/>
                  </w14:solidFill>
                </w14:textFill>
              </w:rPr>
              <w:t>年均值为27微克/立方米，</w:t>
            </w:r>
            <w:r>
              <w:rPr>
                <w:color w:val="000000" w:themeColor="text1"/>
                <w:szCs w:val="24"/>
                <w14:textFill>
                  <w14:solidFill>
                    <w14:schemeClr w14:val="tx1"/>
                  </w14:solidFill>
                </w14:textFill>
              </w:rPr>
              <w:t>O</w:t>
            </w:r>
            <w:r>
              <w:rPr>
                <w:color w:val="000000" w:themeColor="text1"/>
                <w:szCs w:val="24"/>
                <w:vertAlign w:val="subscript"/>
                <w14:textFill>
                  <w14:solidFill>
                    <w14:schemeClr w14:val="tx1"/>
                  </w14:solidFill>
                </w14:textFill>
              </w:rPr>
              <w:t>3</w:t>
            </w:r>
            <w:r>
              <w:rPr>
                <w:rFonts w:hint="eastAsia"/>
                <w:color w:val="000000" w:themeColor="text1"/>
                <w:szCs w:val="24"/>
                <w14:textFill>
                  <w14:solidFill>
                    <w14:schemeClr w14:val="tx1"/>
                  </w14:solidFill>
                </w14:textFill>
              </w:rPr>
              <w:t>年均值为99微克/立方米，</w:t>
            </w:r>
            <w:r>
              <w:rPr>
                <w:color w:val="000000" w:themeColor="text1"/>
                <w:szCs w:val="24"/>
                <w14:textFill>
                  <w14:solidFill>
                    <w14:schemeClr w14:val="tx1"/>
                  </w14:solidFill>
                </w14:textFill>
              </w:rPr>
              <w:t>CO</w:t>
            </w:r>
            <w:r>
              <w:rPr>
                <w:rFonts w:hint="eastAsia"/>
                <w:color w:val="000000" w:themeColor="text1"/>
                <w:szCs w:val="24"/>
                <w14:textFill>
                  <w14:solidFill>
                    <w14:schemeClr w14:val="tx1"/>
                  </w14:solidFill>
                </w14:textFill>
              </w:rPr>
              <w:t>年均值为1.1毫克/立方米，宣汉县内环境空气质量年均值达到《环境空气质量标准》（</w:t>
            </w:r>
            <w:r>
              <w:rPr>
                <w:color w:val="000000" w:themeColor="text1"/>
                <w:szCs w:val="24"/>
                <w14:textFill>
                  <w14:solidFill>
                    <w14:schemeClr w14:val="tx1"/>
                  </w14:solidFill>
                </w14:textFill>
              </w:rPr>
              <w:t>GB3095</w:t>
            </w:r>
            <w:r>
              <w:rPr>
                <w:rFonts w:hint="eastAsia"/>
                <w:color w:val="000000" w:themeColor="text1"/>
                <w:szCs w:val="24"/>
                <w14:textFill>
                  <w14:solidFill>
                    <w14:schemeClr w14:val="tx1"/>
                  </w14:solidFill>
                </w14:textFill>
              </w:rPr>
              <w:t>—2012）中二级标准。</w:t>
            </w:r>
          </w:p>
          <w:p>
            <w:pPr>
              <w:spacing w:line="360" w:lineRule="auto"/>
              <w:ind w:firstLine="470" w:firstLineChars="196"/>
              <w:rPr>
                <w:color w:val="000000" w:themeColor="text1"/>
                <w:szCs w:val="24"/>
                <w14:textFill>
                  <w14:solidFill>
                    <w14:schemeClr w14:val="tx1"/>
                  </w14:solidFill>
                </w14:textFill>
              </w:rPr>
            </w:pPr>
            <w:r>
              <w:rPr>
                <w:color w:val="000000" w:themeColor="text1"/>
                <w:szCs w:val="24"/>
                <w14:textFill>
                  <w14:solidFill>
                    <w14:schemeClr w14:val="tx1"/>
                  </w14:solidFill>
                </w14:textFill>
              </w:rPr>
              <w:t>项目位于</w:t>
            </w:r>
            <w:r>
              <w:rPr>
                <w:rFonts w:hint="eastAsia"/>
                <w:color w:val="000000" w:themeColor="text1"/>
                <w:szCs w:val="24"/>
                <w14:textFill>
                  <w14:solidFill>
                    <w14:schemeClr w14:val="tx1"/>
                  </w14:solidFill>
                </w14:textFill>
              </w:rPr>
              <w:t>宣汉</w:t>
            </w:r>
            <w:r>
              <w:rPr>
                <w:color w:val="000000" w:themeColor="text1"/>
                <w:szCs w:val="24"/>
                <w14:textFill>
                  <w14:solidFill>
                    <w14:schemeClr w14:val="tx1"/>
                  </w14:solidFill>
                </w14:textFill>
              </w:rPr>
              <w:t>县内，</w:t>
            </w:r>
            <w:r>
              <w:rPr>
                <w:rFonts w:hint="eastAsia"/>
                <w:color w:val="000000" w:themeColor="text1"/>
                <w:szCs w:val="24"/>
                <w14:textFill>
                  <w14:solidFill>
                    <w14:schemeClr w14:val="tx1"/>
                  </w14:solidFill>
                </w14:textFill>
              </w:rPr>
              <w:t>根据</w:t>
            </w:r>
            <w:r>
              <w:rPr>
                <w:color w:val="000000" w:themeColor="text1"/>
                <w:szCs w:val="24"/>
                <w14:textFill>
                  <w14:solidFill>
                    <w14:schemeClr w14:val="tx1"/>
                  </w14:solidFill>
                </w14:textFill>
              </w:rPr>
              <w:t>《</w:t>
            </w:r>
            <w:r>
              <w:rPr>
                <w:rFonts w:hint="eastAsia"/>
                <w:color w:val="000000" w:themeColor="text1"/>
                <w:kern w:val="0"/>
                <w14:textFill>
                  <w14:solidFill>
                    <w14:schemeClr w14:val="tx1"/>
                  </w14:solidFill>
                </w14:textFill>
              </w:rPr>
              <w:t>达州市2022年环境空气质量现状</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，项目所在区域均为环境空气质量达标区域，项目所在地空气环境质量基本符合《环境空气质量标准》（GB3095-2012）中二级标准，环境空气质量良好。</w:t>
            </w:r>
          </w:p>
          <w:p>
            <w:pPr>
              <w:spacing w:line="360" w:lineRule="auto"/>
              <w:ind w:firstLine="361" w:firstLineChars="150"/>
              <w:rPr>
                <w:b/>
                <w:color w:val="000000" w:themeColor="text1"/>
                <w:kern w:val="24"/>
                <w:szCs w:val="24"/>
                <w14:textFill>
                  <w14:solidFill>
                    <w14:schemeClr w14:val="tx1"/>
                  </w14:solidFill>
                </w14:textFill>
              </w:rPr>
            </w:pPr>
            <w:r>
              <w:rPr>
                <w:b/>
                <w:color w:val="000000" w:themeColor="text1"/>
                <w:kern w:val="24"/>
                <w:szCs w:val="24"/>
                <w14:textFill>
                  <w14:solidFill>
                    <w14:schemeClr w14:val="tx1"/>
                  </w14:solidFill>
                </w14:textFill>
              </w:rPr>
              <w:t>（2）其他污染物现状</w:t>
            </w:r>
          </w:p>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1）其他污染物现状监测</w:t>
            </w:r>
          </w:p>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①监测点位</w:t>
            </w:r>
          </w:p>
          <w:p>
            <w:pPr>
              <w:spacing w:line="360" w:lineRule="auto"/>
              <w:ind w:firstLine="480" w:firstLineChars="200"/>
              <w:rPr>
                <w:color w:val="000000" w:themeColor="text1"/>
                <w:szCs w:val="24"/>
                <w14:textFill>
                  <w14:solidFill>
                    <w14:schemeClr w14:val="tx1"/>
                  </w14:solidFill>
                </w14:textFill>
              </w:rPr>
            </w:pPr>
            <w:r>
              <w:rPr>
                <w:rFonts w:hint="eastAsia"/>
                <w:bCs/>
                <w:szCs w:val="24"/>
              </w:rPr>
              <w:t>本项目委托四川省汉谱环境检测服务有限公司对本项目特征污染物T</w:t>
            </w:r>
            <w:r>
              <w:rPr>
                <w:bCs/>
                <w:szCs w:val="24"/>
              </w:rPr>
              <w:t>SP</w:t>
            </w:r>
            <w:r>
              <w:rPr>
                <w:rFonts w:hint="eastAsia"/>
                <w:bCs/>
                <w:szCs w:val="24"/>
              </w:rPr>
              <w:t>进行监测，其监测情况如下：</w:t>
            </w:r>
          </w:p>
          <w:p>
            <w:pPr>
              <w:spacing w:line="360" w:lineRule="auto"/>
              <w:jc w:val="center"/>
              <w:rPr>
                <w:rFonts w:eastAsia="黑体"/>
                <w:color w:val="000000" w:themeColor="text1"/>
                <w:sz w:val="21"/>
                <w14:textFill>
                  <w14:solidFill>
                    <w14:schemeClr w14:val="tx1"/>
                  </w14:solidFill>
                </w14:textFill>
              </w:rPr>
            </w:pPr>
            <w:r>
              <w:rPr>
                <w:rFonts w:eastAsia="黑体"/>
                <w:b/>
                <w:bCs/>
                <w:color w:val="000000" w:themeColor="text1"/>
                <w:kern w:val="0"/>
                <w:sz w:val="20"/>
                <w:szCs w:val="20"/>
                <w14:textFill>
                  <w14:solidFill>
                    <w14:schemeClr w14:val="tx1"/>
                  </w14:solidFill>
                </w14:textFill>
              </w:rPr>
              <w:t>表3-1  其他污染物监测点位基本信息</w:t>
            </w:r>
          </w:p>
          <w:tbl>
            <w:tblPr>
              <w:tblStyle w:val="16"/>
              <w:tblW w:w="853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74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1034"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kern w:val="0"/>
                      <w:sz w:val="21"/>
                      <w14:textFill>
                        <w14:solidFill>
                          <w14:schemeClr w14:val="tx1"/>
                        </w14:solidFill>
                      </w14:textFill>
                    </w:rPr>
                    <w:t>编号</w:t>
                  </w:r>
                </w:p>
              </w:tc>
              <w:tc>
                <w:tcPr>
                  <w:tcW w:w="7499"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kern w:val="0"/>
                      <w:sz w:val="21"/>
                      <w14:textFill>
                        <w14:solidFill>
                          <w14:schemeClr w14:val="tx1"/>
                        </w14:solidFill>
                      </w14:textFill>
                    </w:rPr>
                    <w:t>监测点位置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34"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w:t>
                  </w:r>
                </w:p>
              </w:tc>
              <w:tc>
                <w:tcPr>
                  <w:tcW w:w="7499" w:type="dxa"/>
                  <w:tcBorders>
                    <w:tl2br w:val="nil"/>
                    <w:tr2bl w:val="nil"/>
                  </w:tcBorders>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项目地厂界下风向</w:t>
                  </w:r>
                </w:p>
              </w:tc>
            </w:tr>
          </w:tbl>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②监测因子</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TSP。</w:t>
            </w:r>
          </w:p>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③监测时段</w:t>
            </w:r>
          </w:p>
          <w:p>
            <w:pPr>
              <w:spacing w:line="360" w:lineRule="auto"/>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2024年4月7日~10日，共3天。</w:t>
            </w:r>
          </w:p>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④监测结果</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区域环境空气质量现状监测结果见表3-2。</w:t>
            </w:r>
          </w:p>
          <w:p>
            <w:pPr>
              <w:snapToGrid w:val="0"/>
              <w:ind w:firstLine="482"/>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表3-2  环境空气质量现状监测结果</w:t>
            </w:r>
          </w:p>
          <w:tbl>
            <w:tblPr>
              <w:tblStyle w:val="16"/>
              <w:tblW w:w="8519"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6"/>
              <w:gridCol w:w="1357"/>
              <w:gridCol w:w="1910"/>
              <w:gridCol w:w="1915"/>
              <w:gridCol w:w="192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tblHeader/>
              </w:trPr>
              <w:tc>
                <w:tcPr>
                  <w:tcW w:w="1416" w:type="dxa"/>
                  <w:vMerge w:val="restart"/>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监测点位</w:t>
                  </w:r>
                </w:p>
              </w:tc>
              <w:tc>
                <w:tcPr>
                  <w:tcW w:w="1357" w:type="dxa"/>
                  <w:vMerge w:val="restart"/>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监测因子</w:t>
                  </w:r>
                </w:p>
              </w:tc>
              <w:tc>
                <w:tcPr>
                  <w:tcW w:w="5746" w:type="dxa"/>
                  <w:gridSpan w:val="3"/>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监测结果（mg/m</w:t>
                  </w:r>
                  <w:r>
                    <w:rPr>
                      <w:b/>
                      <w:bCs/>
                      <w:color w:val="000000" w:themeColor="text1"/>
                      <w:sz w:val="21"/>
                      <w:vertAlign w:val="superscript"/>
                      <w14:textFill>
                        <w14:solidFill>
                          <w14:schemeClr w14:val="tx1"/>
                        </w14:solidFill>
                      </w14:textFill>
                    </w:rPr>
                    <w:t>3</w:t>
                  </w:r>
                  <w:r>
                    <w:rPr>
                      <w:b/>
                      <w:bCs/>
                      <w:color w:val="000000" w:themeColor="text1"/>
                      <w:sz w:val="21"/>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tblHeader/>
              </w:trPr>
              <w:tc>
                <w:tcPr>
                  <w:tcW w:w="1416" w:type="dxa"/>
                  <w:vMerge w:val="continue"/>
                  <w:tcBorders>
                    <w:tl2br w:val="nil"/>
                    <w:tr2bl w:val="nil"/>
                  </w:tcBorders>
                  <w:vAlign w:val="center"/>
                </w:tcPr>
                <w:p>
                  <w:pPr>
                    <w:jc w:val="center"/>
                    <w:rPr>
                      <w:b/>
                      <w:bCs/>
                      <w:color w:val="000000" w:themeColor="text1"/>
                      <w:sz w:val="21"/>
                      <w14:textFill>
                        <w14:solidFill>
                          <w14:schemeClr w14:val="tx1"/>
                        </w14:solidFill>
                      </w14:textFill>
                    </w:rPr>
                  </w:pPr>
                </w:p>
              </w:tc>
              <w:tc>
                <w:tcPr>
                  <w:tcW w:w="1357" w:type="dxa"/>
                  <w:vMerge w:val="continue"/>
                  <w:tcBorders>
                    <w:tl2br w:val="nil"/>
                    <w:tr2bl w:val="nil"/>
                  </w:tcBorders>
                  <w:vAlign w:val="center"/>
                </w:tcPr>
                <w:p>
                  <w:pPr>
                    <w:jc w:val="center"/>
                    <w:rPr>
                      <w:b/>
                      <w:bCs/>
                      <w:color w:val="000000" w:themeColor="text1"/>
                      <w:sz w:val="21"/>
                      <w14:textFill>
                        <w14:solidFill>
                          <w14:schemeClr w14:val="tx1"/>
                        </w14:solidFill>
                      </w14:textFill>
                    </w:rPr>
                  </w:pPr>
                </w:p>
              </w:tc>
              <w:tc>
                <w:tcPr>
                  <w:tcW w:w="1910"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2024.04.07~</w:t>
                  </w:r>
                </w:p>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2024.04.08</w:t>
                  </w:r>
                </w:p>
              </w:tc>
              <w:tc>
                <w:tcPr>
                  <w:tcW w:w="1915"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2024.04.08~</w:t>
                  </w:r>
                </w:p>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2024.04.09</w:t>
                  </w:r>
                </w:p>
              </w:tc>
              <w:tc>
                <w:tcPr>
                  <w:tcW w:w="1921"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2024.04.09~</w:t>
                  </w:r>
                </w:p>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2024.04.10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1416"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w:t>
                  </w:r>
                </w:p>
              </w:tc>
              <w:tc>
                <w:tcPr>
                  <w:tcW w:w="1357"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TSP</w:t>
                  </w:r>
                </w:p>
              </w:tc>
              <w:tc>
                <w:tcPr>
                  <w:tcW w:w="1910" w:type="dxa"/>
                  <w:tcBorders>
                    <w:tl2br w:val="nil"/>
                    <w:tr2bl w:val="nil"/>
                  </w:tcBorders>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w:t>
                  </w:r>
                  <w:r>
                    <w:rPr>
                      <w:color w:val="000000" w:themeColor="text1"/>
                      <w:sz w:val="21"/>
                      <w14:textFill>
                        <w14:solidFill>
                          <w14:schemeClr w14:val="tx1"/>
                        </w14:solidFill>
                      </w14:textFill>
                    </w:rPr>
                    <w:t>.114</w:t>
                  </w:r>
                </w:p>
              </w:tc>
              <w:tc>
                <w:tcPr>
                  <w:tcW w:w="1915" w:type="dxa"/>
                  <w:tcBorders>
                    <w:tl2br w:val="nil"/>
                    <w:tr2bl w:val="nil"/>
                  </w:tcBorders>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w:t>
                  </w:r>
                  <w:r>
                    <w:rPr>
                      <w:color w:val="000000" w:themeColor="text1"/>
                      <w:sz w:val="21"/>
                      <w14:textFill>
                        <w14:solidFill>
                          <w14:schemeClr w14:val="tx1"/>
                        </w14:solidFill>
                      </w14:textFill>
                    </w:rPr>
                    <w:t>.094</w:t>
                  </w:r>
                </w:p>
              </w:tc>
              <w:tc>
                <w:tcPr>
                  <w:tcW w:w="1921" w:type="dxa"/>
                  <w:tcBorders>
                    <w:tl2br w:val="nil"/>
                    <w:tr2bl w:val="nil"/>
                  </w:tcBorders>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w:t>
                  </w:r>
                  <w:r>
                    <w:rPr>
                      <w:color w:val="000000" w:themeColor="text1"/>
                      <w:sz w:val="21"/>
                      <w14:textFill>
                        <w14:solidFill>
                          <w14:schemeClr w14:val="tx1"/>
                        </w14:solidFill>
                      </w14:textFill>
                    </w:rPr>
                    <w:t>.104</w:t>
                  </w:r>
                </w:p>
              </w:tc>
            </w:tr>
          </w:tbl>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2）其他污染物现状评价</w:t>
            </w:r>
          </w:p>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①评价因子</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TSP。</w:t>
            </w:r>
          </w:p>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②评价标准</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执行《环境空气质量标准》（GB3095-2012）二级标准。</w:t>
            </w:r>
          </w:p>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③评价方法</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采用单项质量指数法，公式为：</w:t>
            </w:r>
          </w:p>
          <w:p>
            <w:pPr>
              <w:spacing w:line="360" w:lineRule="auto"/>
              <w:jc w:val="center"/>
              <w:rPr>
                <w:i/>
                <w:color w:val="000000" w:themeColor="text1"/>
                <w:szCs w:val="24"/>
                <w14:textFill>
                  <w14:solidFill>
                    <w14:schemeClr w14:val="tx1"/>
                  </w14:solidFill>
                </w14:textFill>
              </w:rPr>
            </w:pPr>
            <w:r>
              <w:rPr>
                <w:i/>
                <w:color w:val="000000" w:themeColor="text1"/>
                <w:szCs w:val="24"/>
                <w14:textFill>
                  <w14:solidFill>
                    <w14:schemeClr w14:val="tx1"/>
                  </w14:solidFill>
                </w14:textFill>
              </w:rPr>
              <w:t>P</w:t>
            </w:r>
            <w:r>
              <w:rPr>
                <w:i/>
                <w:color w:val="000000" w:themeColor="text1"/>
                <w:szCs w:val="24"/>
                <w:vertAlign w:val="subscript"/>
                <w14:textFill>
                  <w14:solidFill>
                    <w14:schemeClr w14:val="tx1"/>
                  </w14:solidFill>
                </w14:textFill>
              </w:rPr>
              <w:t>i</w:t>
            </w:r>
            <w:r>
              <w:rPr>
                <w:color w:val="000000" w:themeColor="text1"/>
                <w:szCs w:val="24"/>
                <w14:textFill>
                  <w14:solidFill>
                    <w14:schemeClr w14:val="tx1"/>
                  </w14:solidFill>
                </w14:textFill>
              </w:rPr>
              <w:t xml:space="preserve"> = </w:t>
            </w:r>
            <w:r>
              <w:rPr>
                <w:i/>
                <w:color w:val="000000" w:themeColor="text1"/>
                <w:szCs w:val="24"/>
                <w14:textFill>
                  <w14:solidFill>
                    <w14:schemeClr w14:val="tx1"/>
                  </w14:solidFill>
                </w14:textFill>
              </w:rPr>
              <w:t>C</w:t>
            </w:r>
            <w:r>
              <w:rPr>
                <w:i/>
                <w:color w:val="000000" w:themeColor="text1"/>
                <w:szCs w:val="24"/>
                <w:vertAlign w:val="subscript"/>
                <w14:textFill>
                  <w14:solidFill>
                    <w14:schemeClr w14:val="tx1"/>
                  </w14:solidFill>
                </w14:textFill>
              </w:rPr>
              <w:t>i</w:t>
            </w:r>
            <w:r>
              <w:rPr>
                <w:color w:val="000000" w:themeColor="text1"/>
                <w:szCs w:val="24"/>
                <w14:textFill>
                  <w14:solidFill>
                    <w14:schemeClr w14:val="tx1"/>
                  </w14:solidFill>
                </w14:textFill>
              </w:rPr>
              <w:t xml:space="preserve"> / </w:t>
            </w:r>
            <w:r>
              <w:rPr>
                <w:i/>
                <w:color w:val="000000" w:themeColor="text1"/>
                <w:szCs w:val="24"/>
                <w14:textFill>
                  <w14:solidFill>
                    <w14:schemeClr w14:val="tx1"/>
                  </w14:solidFill>
                </w14:textFill>
              </w:rPr>
              <w:t>S</w:t>
            </w:r>
            <w:r>
              <w:rPr>
                <w:i/>
                <w:color w:val="000000" w:themeColor="text1"/>
                <w:szCs w:val="24"/>
                <w:vertAlign w:val="subscript"/>
                <w14:textFill>
                  <w14:solidFill>
                    <w14:schemeClr w14:val="tx1"/>
                  </w14:solidFill>
                </w14:textFill>
              </w:rPr>
              <w:t>i</w:t>
            </w:r>
          </w:p>
          <w:p>
            <w:pPr>
              <w:pStyle w:val="5"/>
              <w:spacing w:after="0"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式中，</w:t>
            </w:r>
            <w:r>
              <w:rPr>
                <w:i/>
                <w:color w:val="000000" w:themeColor="text1"/>
                <w14:textFill>
                  <w14:solidFill>
                    <w14:schemeClr w14:val="tx1"/>
                  </w14:solidFill>
                </w14:textFill>
              </w:rPr>
              <w:t>P</w:t>
            </w:r>
            <w:r>
              <w:rPr>
                <w:i/>
                <w:color w:val="000000" w:themeColor="text1"/>
                <w:vertAlign w:val="subscript"/>
                <w14:textFill>
                  <w14:solidFill>
                    <w14:schemeClr w14:val="tx1"/>
                  </w14:solidFill>
                </w14:textFill>
              </w:rPr>
              <w:t>i</w:t>
            </w:r>
            <w:r>
              <w:rPr>
                <w:color w:val="000000" w:themeColor="text1"/>
                <w14:textFill>
                  <w14:solidFill>
                    <w14:schemeClr w14:val="tx1"/>
                  </w14:solidFill>
                </w14:textFill>
              </w:rPr>
              <w:t>——第</w:t>
            </w:r>
            <w:r>
              <w:rPr>
                <w:i/>
                <w:color w:val="000000" w:themeColor="text1"/>
                <w14:textFill>
                  <w14:solidFill>
                    <w14:schemeClr w14:val="tx1"/>
                  </w14:solidFill>
                </w14:textFill>
              </w:rPr>
              <w:t>i</w:t>
            </w:r>
            <w:r>
              <w:rPr>
                <w:color w:val="000000" w:themeColor="text1"/>
                <w14:textFill>
                  <w14:solidFill>
                    <w14:schemeClr w14:val="tx1"/>
                  </w14:solidFill>
                </w14:textFill>
              </w:rPr>
              <w:t>个污染物标准指数值；</w:t>
            </w:r>
          </w:p>
          <w:p>
            <w:pPr>
              <w:pStyle w:val="5"/>
              <w:spacing w:after="0" w:line="360" w:lineRule="auto"/>
              <w:ind w:firstLine="1200" w:firstLineChars="500"/>
              <w:rPr>
                <w:color w:val="000000" w:themeColor="text1"/>
                <w14:textFill>
                  <w14:solidFill>
                    <w14:schemeClr w14:val="tx1"/>
                  </w14:solidFill>
                </w14:textFill>
              </w:rPr>
            </w:pPr>
            <w:r>
              <w:rPr>
                <w:i/>
                <w:color w:val="000000" w:themeColor="text1"/>
                <w14:textFill>
                  <w14:solidFill>
                    <w14:schemeClr w14:val="tx1"/>
                  </w14:solidFill>
                </w14:textFill>
              </w:rPr>
              <w:t>C</w:t>
            </w:r>
            <w:r>
              <w:rPr>
                <w:i/>
                <w:color w:val="000000" w:themeColor="text1"/>
                <w:vertAlign w:val="subscript"/>
                <w14:textFill>
                  <w14:solidFill>
                    <w14:schemeClr w14:val="tx1"/>
                  </w14:solidFill>
                </w14:textFill>
              </w:rPr>
              <w:t>i</w:t>
            </w:r>
            <w:r>
              <w:rPr>
                <w:color w:val="000000" w:themeColor="text1"/>
                <w14:textFill>
                  <w14:solidFill>
                    <w14:schemeClr w14:val="tx1"/>
                  </w14:solidFill>
                </w14:textFill>
              </w:rPr>
              <w:t>——第</w:t>
            </w:r>
            <w:r>
              <w:rPr>
                <w:i/>
                <w:color w:val="000000" w:themeColor="text1"/>
                <w14:textFill>
                  <w14:solidFill>
                    <w14:schemeClr w14:val="tx1"/>
                  </w14:solidFill>
                </w14:textFill>
              </w:rPr>
              <w:t>i</w:t>
            </w:r>
            <w:r>
              <w:rPr>
                <w:color w:val="000000" w:themeColor="text1"/>
                <w14:textFill>
                  <w14:solidFill>
                    <w14:schemeClr w14:val="tx1"/>
                  </w14:solidFill>
                </w14:textFill>
              </w:rPr>
              <w:t>个污染物实测浓度值，mg/m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pPr>
              <w:pStyle w:val="5"/>
              <w:spacing w:after="0" w:line="360" w:lineRule="auto"/>
              <w:ind w:firstLine="1200" w:firstLineChars="500"/>
              <w:rPr>
                <w:color w:val="000000" w:themeColor="text1"/>
                <w14:textFill>
                  <w14:solidFill>
                    <w14:schemeClr w14:val="tx1"/>
                  </w14:solidFill>
                </w14:textFill>
              </w:rPr>
            </w:pPr>
            <w:r>
              <w:rPr>
                <w:i/>
                <w:color w:val="000000" w:themeColor="text1"/>
                <w14:textFill>
                  <w14:solidFill>
                    <w14:schemeClr w14:val="tx1"/>
                  </w14:solidFill>
                </w14:textFill>
              </w:rPr>
              <w:t>S</w:t>
            </w:r>
            <w:r>
              <w:rPr>
                <w:i/>
                <w:color w:val="000000" w:themeColor="text1"/>
                <w:vertAlign w:val="subscript"/>
                <w14:textFill>
                  <w14:solidFill>
                    <w14:schemeClr w14:val="tx1"/>
                  </w14:solidFill>
                </w14:textFill>
              </w:rPr>
              <w:t>i</w:t>
            </w:r>
            <w:r>
              <w:rPr>
                <w:color w:val="000000" w:themeColor="text1"/>
                <w14:textFill>
                  <w14:solidFill>
                    <w14:schemeClr w14:val="tx1"/>
                  </w14:solidFill>
                </w14:textFill>
              </w:rPr>
              <w:t>——第</w:t>
            </w:r>
            <w:r>
              <w:rPr>
                <w:i/>
                <w:color w:val="000000" w:themeColor="text1"/>
                <w14:textFill>
                  <w14:solidFill>
                    <w14:schemeClr w14:val="tx1"/>
                  </w14:solidFill>
                </w14:textFill>
              </w:rPr>
              <w:t>i</w:t>
            </w:r>
            <w:r>
              <w:rPr>
                <w:color w:val="000000" w:themeColor="text1"/>
                <w14:textFill>
                  <w14:solidFill>
                    <w14:schemeClr w14:val="tx1"/>
                  </w14:solidFill>
                </w14:textFill>
              </w:rPr>
              <w:t>个污染物评价标准限值，mg/m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pPr>
              <w:pStyle w:val="5"/>
              <w:spacing w:after="0" w:line="360" w:lineRule="auto"/>
              <w:ind w:firstLine="1200" w:firstLineChars="500"/>
              <w:rPr>
                <w:color w:val="000000" w:themeColor="text1"/>
                <w14:textFill>
                  <w14:solidFill>
                    <w14:schemeClr w14:val="tx1"/>
                  </w14:solidFill>
                </w14:textFill>
              </w:rPr>
            </w:pPr>
            <w:r>
              <w:rPr>
                <w:color w:val="000000" w:themeColor="text1"/>
                <w14:textFill>
                  <w14:solidFill>
                    <w14:schemeClr w14:val="tx1"/>
                  </w14:solidFill>
                </w14:textFill>
              </w:rPr>
              <w:t>当</w:t>
            </w:r>
            <w:r>
              <w:rPr>
                <w:i/>
                <w:color w:val="000000" w:themeColor="text1"/>
                <w14:textFill>
                  <w14:solidFill>
                    <w14:schemeClr w14:val="tx1"/>
                  </w14:solidFill>
                </w14:textFill>
              </w:rPr>
              <w:t>P</w:t>
            </w:r>
            <w:r>
              <w:rPr>
                <w:i/>
                <w:color w:val="000000" w:themeColor="text1"/>
                <w:vertAlign w:val="subscript"/>
                <w14:textFill>
                  <w14:solidFill>
                    <w14:schemeClr w14:val="tx1"/>
                  </w14:solidFill>
                </w14:textFill>
              </w:rPr>
              <w:t>i</w:t>
            </w:r>
            <w:r>
              <w:rPr>
                <w:color w:val="000000" w:themeColor="text1"/>
                <w14:textFill>
                  <w14:solidFill>
                    <w14:schemeClr w14:val="tx1"/>
                  </w14:solidFill>
                </w14:textFill>
              </w:rPr>
              <w:t>值大于1.0时，表明大气环境已受到该项评价因子所表征的污染物的污染。</w:t>
            </w:r>
            <w:r>
              <w:rPr>
                <w:i/>
                <w:color w:val="000000" w:themeColor="text1"/>
                <w14:textFill>
                  <w14:solidFill>
                    <w14:schemeClr w14:val="tx1"/>
                  </w14:solidFill>
                </w14:textFill>
              </w:rPr>
              <w:t>P</w:t>
            </w:r>
            <w:r>
              <w:rPr>
                <w:i/>
                <w:color w:val="000000" w:themeColor="text1"/>
                <w:vertAlign w:val="subscript"/>
                <w14:textFill>
                  <w14:solidFill>
                    <w14:schemeClr w14:val="tx1"/>
                  </w14:solidFill>
                </w14:textFill>
              </w:rPr>
              <w:t>i</w:t>
            </w:r>
            <w:r>
              <w:rPr>
                <w:color w:val="000000" w:themeColor="text1"/>
                <w14:textFill>
                  <w14:solidFill>
                    <w14:schemeClr w14:val="tx1"/>
                  </w14:solidFill>
                </w14:textFill>
              </w:rPr>
              <w:t>值越大，受污染程度越重；</w:t>
            </w:r>
            <w:r>
              <w:rPr>
                <w:i/>
                <w:color w:val="000000" w:themeColor="text1"/>
                <w14:textFill>
                  <w14:solidFill>
                    <w14:schemeClr w14:val="tx1"/>
                  </w14:solidFill>
                </w14:textFill>
              </w:rPr>
              <w:t>P</w:t>
            </w:r>
            <w:r>
              <w:rPr>
                <w:i/>
                <w:color w:val="000000" w:themeColor="text1"/>
                <w:vertAlign w:val="subscript"/>
                <w14:textFill>
                  <w14:solidFill>
                    <w14:schemeClr w14:val="tx1"/>
                  </w14:solidFill>
                </w14:textFill>
              </w:rPr>
              <w:t>i</w:t>
            </w:r>
            <w:r>
              <w:rPr>
                <w:color w:val="000000" w:themeColor="text1"/>
                <w14:textFill>
                  <w14:solidFill>
                    <w14:schemeClr w14:val="tx1"/>
                  </w14:solidFill>
                </w14:textFill>
              </w:rPr>
              <w:t>值越小，受污染程度越轻。</w:t>
            </w:r>
          </w:p>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④评价结果</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区域环境空气其他污染物现状评价结果见表3-3。</w:t>
            </w:r>
          </w:p>
          <w:p>
            <w:pPr>
              <w:snapToGrid w:val="0"/>
              <w:ind w:firstLine="482"/>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表3-3  其他污染物现状评价结果</w:t>
            </w:r>
          </w:p>
          <w:tbl>
            <w:tblPr>
              <w:tblStyle w:val="16"/>
              <w:tblW w:w="8596"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4"/>
              <w:gridCol w:w="1125"/>
              <w:gridCol w:w="1319"/>
              <w:gridCol w:w="1612"/>
              <w:gridCol w:w="1463"/>
              <w:gridCol w:w="1022"/>
              <w:gridCol w:w="11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7" w:hRule="atLeast"/>
                <w:tblHeader/>
              </w:trPr>
              <w:tc>
                <w:tcPr>
                  <w:tcW w:w="954"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污染物</w:t>
                  </w:r>
                </w:p>
              </w:tc>
              <w:tc>
                <w:tcPr>
                  <w:tcW w:w="1125"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平均时间</w:t>
                  </w:r>
                </w:p>
              </w:tc>
              <w:tc>
                <w:tcPr>
                  <w:tcW w:w="1319"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评价标准（mg/m</w:t>
                  </w:r>
                  <w:r>
                    <w:rPr>
                      <w:b/>
                      <w:bCs/>
                      <w:color w:val="000000" w:themeColor="text1"/>
                      <w:sz w:val="21"/>
                      <w:vertAlign w:val="superscript"/>
                      <w14:textFill>
                        <w14:solidFill>
                          <w14:schemeClr w14:val="tx1"/>
                        </w14:solidFill>
                      </w14:textFill>
                    </w:rPr>
                    <w:t>3</w:t>
                  </w:r>
                  <w:r>
                    <w:rPr>
                      <w:b/>
                      <w:bCs/>
                      <w:color w:val="000000" w:themeColor="text1"/>
                      <w:sz w:val="21"/>
                      <w14:textFill>
                        <w14:solidFill>
                          <w14:schemeClr w14:val="tx1"/>
                        </w14:solidFill>
                      </w14:textFill>
                    </w:rPr>
                    <w:t>）</w:t>
                  </w:r>
                </w:p>
              </w:tc>
              <w:tc>
                <w:tcPr>
                  <w:tcW w:w="1612"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监测浓度范围（mg/m</w:t>
                  </w:r>
                  <w:r>
                    <w:rPr>
                      <w:b/>
                      <w:bCs/>
                      <w:color w:val="000000" w:themeColor="text1"/>
                      <w:sz w:val="21"/>
                      <w:vertAlign w:val="superscript"/>
                      <w14:textFill>
                        <w14:solidFill>
                          <w14:schemeClr w14:val="tx1"/>
                        </w14:solidFill>
                      </w14:textFill>
                    </w:rPr>
                    <w:t>3</w:t>
                  </w:r>
                  <w:r>
                    <w:rPr>
                      <w:b/>
                      <w:bCs/>
                      <w:color w:val="000000" w:themeColor="text1"/>
                      <w:sz w:val="21"/>
                      <w14:textFill>
                        <w14:solidFill>
                          <w14:schemeClr w14:val="tx1"/>
                        </w14:solidFill>
                      </w14:textFill>
                    </w:rPr>
                    <w:t>）</w:t>
                  </w:r>
                </w:p>
              </w:tc>
              <w:tc>
                <w:tcPr>
                  <w:tcW w:w="1463"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最大浓度占标率（%）</w:t>
                  </w:r>
                </w:p>
              </w:tc>
              <w:tc>
                <w:tcPr>
                  <w:tcW w:w="1022"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超标率（%）</w:t>
                  </w:r>
                </w:p>
              </w:tc>
              <w:tc>
                <w:tcPr>
                  <w:tcW w:w="1101"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54"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TSP</w:t>
                  </w:r>
                </w:p>
              </w:tc>
              <w:tc>
                <w:tcPr>
                  <w:tcW w:w="1125"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24h平均</w:t>
                  </w:r>
                </w:p>
              </w:tc>
              <w:tc>
                <w:tcPr>
                  <w:tcW w:w="1319"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0.300</w:t>
                  </w:r>
                </w:p>
              </w:tc>
              <w:tc>
                <w:tcPr>
                  <w:tcW w:w="1612"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0.094~0.114</w:t>
                  </w:r>
                </w:p>
              </w:tc>
              <w:tc>
                <w:tcPr>
                  <w:tcW w:w="1463"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38</w:t>
                  </w:r>
                </w:p>
              </w:tc>
              <w:tc>
                <w:tcPr>
                  <w:tcW w:w="1022"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0</w:t>
                  </w:r>
                </w:p>
              </w:tc>
              <w:tc>
                <w:tcPr>
                  <w:tcW w:w="1101"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达标</w:t>
                  </w:r>
                </w:p>
              </w:tc>
            </w:tr>
          </w:tbl>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由上表可知，评价区域环境空气中TSP满足《环境空气质量标准》（GB3095-2012）二级标准，项目所在区域环境空气质量良好。</w:t>
            </w:r>
          </w:p>
          <w:p>
            <w:pPr>
              <w:numPr>
                <w:ilvl w:val="0"/>
                <w:numId w:val="2"/>
              </w:num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地表水环境质量现状</w:t>
            </w:r>
          </w:p>
          <w:p>
            <w:pPr>
              <w:adjustRightInd w:val="0"/>
              <w:snapToGrid w:val="0"/>
              <w:spacing w:line="360" w:lineRule="auto"/>
              <w:ind w:firstLine="480" w:firstLineChars="200"/>
              <w:rPr>
                <w:kern w:val="0"/>
              </w:rPr>
            </w:pPr>
            <w:r>
              <w:rPr>
                <w:kern w:val="0"/>
              </w:rPr>
              <w:t>根据《2024年3月达州市地表水水质月报》：2024年3月全市37个河流断面均为优（Ⅰ~Ⅱ类）良（Ⅲ类）水质断面</w:t>
            </w:r>
            <w:r>
              <w:rPr>
                <w:rFonts w:hint="eastAsia"/>
                <w:kern w:val="0"/>
              </w:rPr>
              <w:t>3</w:t>
            </w:r>
            <w:r>
              <w:rPr>
                <w:kern w:val="0"/>
              </w:rPr>
              <w:t>6</w:t>
            </w:r>
            <w:r>
              <w:rPr>
                <w:rFonts w:hint="eastAsia"/>
                <w:kern w:val="0"/>
              </w:rPr>
              <w:t>个</w:t>
            </w:r>
            <w:r>
              <w:rPr>
                <w:kern w:val="0"/>
              </w:rPr>
              <w:t>，占比</w:t>
            </w:r>
            <w:r>
              <w:rPr>
                <w:rFonts w:hint="eastAsia"/>
                <w:kern w:val="0"/>
              </w:rPr>
              <w:t>97.3%；轻度污染（Ⅳ类）水质断面1个，占比2.7%</w:t>
            </w:r>
            <w:r>
              <w:rPr>
                <w:kern w:val="0"/>
              </w:rPr>
              <w:t>。</w:t>
            </w:r>
          </w:p>
          <w:p>
            <w:pPr>
              <w:snapToGrid w:val="0"/>
              <w:ind w:firstLine="482"/>
              <w:jc w:val="center"/>
              <w:rPr>
                <w:rFonts w:eastAsia="黑体"/>
                <w:b/>
                <w:bCs/>
                <w:color w:val="000000" w:themeColor="text1"/>
                <w:kern w:val="0"/>
                <w:sz w:val="20"/>
                <w:szCs w:val="20"/>
                <w14:textFill>
                  <w14:solidFill>
                    <w14:schemeClr w14:val="tx1"/>
                  </w14:solidFill>
                </w14:textFill>
              </w:rPr>
            </w:pPr>
            <w:r>
              <w:rPr>
                <w:rFonts w:hint="eastAsia" w:eastAsia="黑体"/>
                <w:b/>
                <w:bCs/>
                <w:color w:val="000000" w:themeColor="text1"/>
                <w:kern w:val="0"/>
                <w:sz w:val="20"/>
                <w:szCs w:val="20"/>
                <w14:textFill>
                  <w14:solidFill>
                    <w14:schemeClr w14:val="tx1"/>
                  </w14:solidFill>
                </w14:textFill>
              </w:rPr>
              <w:t>表3</w:t>
            </w:r>
            <w:r>
              <w:rPr>
                <w:rFonts w:eastAsia="黑体"/>
                <w:b/>
                <w:bCs/>
                <w:color w:val="000000" w:themeColor="text1"/>
                <w:kern w:val="0"/>
                <w:sz w:val="20"/>
                <w:szCs w:val="20"/>
                <w14:textFill>
                  <w14:solidFill>
                    <w14:schemeClr w14:val="tx1"/>
                  </w14:solidFill>
                </w14:textFill>
              </w:rPr>
              <w:t>-4  2023年10月达州市河流水质评价结果表</w:t>
            </w:r>
          </w:p>
          <w:tbl>
            <w:tblPr>
              <w:tblStyle w:val="15"/>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51"/>
              <w:gridCol w:w="945"/>
              <w:gridCol w:w="583"/>
              <w:gridCol w:w="957"/>
              <w:gridCol w:w="1594"/>
              <w:gridCol w:w="957"/>
              <w:gridCol w:w="565"/>
              <w:gridCol w:w="565"/>
              <w:gridCol w:w="562"/>
              <w:gridCol w:w="126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551" w:type="dxa"/>
                  <w:vAlign w:val="center"/>
                </w:tcPr>
                <w:p>
                  <w:pPr>
                    <w:pStyle w:val="43"/>
                    <w:spacing w:line="240" w:lineRule="auto"/>
                    <w:ind w:firstLine="0" w:firstLineChars="0"/>
                    <w:jc w:val="center"/>
                    <w:rPr>
                      <w:sz w:val="18"/>
                      <w:szCs w:val="18"/>
                    </w:rPr>
                  </w:pPr>
                  <w:r>
                    <w:rPr>
                      <w:sz w:val="18"/>
                      <w:szCs w:val="18"/>
                    </w:rPr>
                    <w:t>序号</w:t>
                  </w:r>
                </w:p>
              </w:tc>
              <w:tc>
                <w:tcPr>
                  <w:tcW w:w="1528" w:type="dxa"/>
                  <w:gridSpan w:val="2"/>
                  <w:vAlign w:val="center"/>
                </w:tcPr>
                <w:p>
                  <w:pPr>
                    <w:pStyle w:val="43"/>
                    <w:spacing w:line="240" w:lineRule="auto"/>
                    <w:ind w:firstLine="0" w:firstLineChars="0"/>
                    <w:jc w:val="center"/>
                    <w:rPr>
                      <w:sz w:val="18"/>
                      <w:szCs w:val="18"/>
                    </w:rPr>
                  </w:pPr>
                  <w:r>
                    <w:rPr>
                      <w:sz w:val="18"/>
                      <w:szCs w:val="18"/>
                    </w:rPr>
                    <w:t>河流</w:t>
                  </w:r>
                </w:p>
              </w:tc>
              <w:tc>
                <w:tcPr>
                  <w:tcW w:w="957" w:type="dxa"/>
                  <w:vAlign w:val="center"/>
                </w:tcPr>
                <w:p>
                  <w:pPr>
                    <w:pStyle w:val="43"/>
                    <w:spacing w:line="240" w:lineRule="auto"/>
                    <w:ind w:firstLine="0" w:firstLineChars="0"/>
                    <w:jc w:val="center"/>
                    <w:rPr>
                      <w:sz w:val="18"/>
                      <w:szCs w:val="18"/>
                    </w:rPr>
                  </w:pPr>
                  <w:r>
                    <w:rPr>
                      <w:sz w:val="18"/>
                      <w:szCs w:val="18"/>
                    </w:rPr>
                    <w:t>断面名称</w:t>
                  </w:r>
                </w:p>
              </w:tc>
              <w:tc>
                <w:tcPr>
                  <w:tcW w:w="1594" w:type="dxa"/>
                  <w:vAlign w:val="center"/>
                </w:tcPr>
                <w:p>
                  <w:pPr>
                    <w:pStyle w:val="43"/>
                    <w:spacing w:line="240" w:lineRule="auto"/>
                    <w:ind w:firstLine="0" w:firstLineChars="0"/>
                    <w:jc w:val="center"/>
                    <w:rPr>
                      <w:sz w:val="18"/>
                      <w:szCs w:val="18"/>
                    </w:rPr>
                  </w:pPr>
                  <w:r>
                    <w:rPr>
                      <w:sz w:val="18"/>
                      <w:szCs w:val="18"/>
                    </w:rPr>
                    <w:t>断面属性</w:t>
                  </w:r>
                </w:p>
              </w:tc>
              <w:tc>
                <w:tcPr>
                  <w:tcW w:w="957" w:type="dxa"/>
                  <w:vAlign w:val="center"/>
                </w:tcPr>
                <w:p>
                  <w:pPr>
                    <w:pStyle w:val="43"/>
                    <w:spacing w:line="240" w:lineRule="auto"/>
                    <w:ind w:firstLine="0" w:firstLineChars="0"/>
                    <w:jc w:val="center"/>
                    <w:rPr>
                      <w:sz w:val="18"/>
                      <w:szCs w:val="18"/>
                    </w:rPr>
                  </w:pPr>
                  <w:r>
                    <w:rPr>
                      <w:sz w:val="18"/>
                      <w:szCs w:val="18"/>
                    </w:rPr>
                    <w:t>断面性质</w:t>
                  </w:r>
                </w:p>
              </w:tc>
              <w:tc>
                <w:tcPr>
                  <w:tcW w:w="565" w:type="dxa"/>
                  <w:vAlign w:val="center"/>
                </w:tcPr>
                <w:p>
                  <w:pPr>
                    <w:pStyle w:val="43"/>
                    <w:spacing w:line="240" w:lineRule="auto"/>
                    <w:ind w:firstLine="0" w:firstLineChars="0"/>
                    <w:jc w:val="center"/>
                    <w:rPr>
                      <w:sz w:val="18"/>
                      <w:szCs w:val="18"/>
                    </w:rPr>
                  </w:pPr>
                  <w:r>
                    <w:rPr>
                      <w:sz w:val="18"/>
                      <w:szCs w:val="18"/>
                    </w:rPr>
                    <w:t>上年</w:t>
                  </w:r>
                </w:p>
                <w:p>
                  <w:pPr>
                    <w:pStyle w:val="43"/>
                    <w:spacing w:line="240" w:lineRule="auto"/>
                    <w:ind w:firstLine="0" w:firstLineChars="0"/>
                    <w:jc w:val="center"/>
                    <w:rPr>
                      <w:sz w:val="18"/>
                      <w:szCs w:val="18"/>
                    </w:rPr>
                  </w:pPr>
                  <w:r>
                    <w:rPr>
                      <w:sz w:val="18"/>
                      <w:szCs w:val="18"/>
                    </w:rPr>
                    <w:t>同期</w:t>
                  </w:r>
                </w:p>
              </w:tc>
              <w:tc>
                <w:tcPr>
                  <w:tcW w:w="565" w:type="dxa"/>
                  <w:vAlign w:val="center"/>
                </w:tcPr>
                <w:p>
                  <w:pPr>
                    <w:pStyle w:val="43"/>
                    <w:spacing w:line="240" w:lineRule="auto"/>
                    <w:ind w:firstLine="0" w:firstLineChars="0"/>
                    <w:jc w:val="center"/>
                    <w:rPr>
                      <w:sz w:val="18"/>
                      <w:szCs w:val="18"/>
                    </w:rPr>
                  </w:pPr>
                  <w:r>
                    <w:rPr>
                      <w:sz w:val="18"/>
                      <w:szCs w:val="18"/>
                    </w:rPr>
                    <w:t>上月</w:t>
                  </w:r>
                </w:p>
                <w:p>
                  <w:pPr>
                    <w:pStyle w:val="43"/>
                    <w:spacing w:line="240" w:lineRule="auto"/>
                    <w:ind w:firstLine="0" w:firstLineChars="0"/>
                    <w:jc w:val="center"/>
                    <w:rPr>
                      <w:sz w:val="18"/>
                      <w:szCs w:val="18"/>
                    </w:rPr>
                  </w:pPr>
                  <w:r>
                    <w:rPr>
                      <w:sz w:val="18"/>
                      <w:szCs w:val="18"/>
                    </w:rPr>
                    <w:t>类别</w:t>
                  </w:r>
                </w:p>
              </w:tc>
              <w:tc>
                <w:tcPr>
                  <w:tcW w:w="562" w:type="dxa"/>
                  <w:vAlign w:val="center"/>
                </w:tcPr>
                <w:p>
                  <w:pPr>
                    <w:pStyle w:val="43"/>
                    <w:spacing w:line="240" w:lineRule="auto"/>
                    <w:ind w:firstLine="0" w:firstLineChars="0"/>
                    <w:jc w:val="center"/>
                    <w:rPr>
                      <w:sz w:val="18"/>
                      <w:szCs w:val="18"/>
                    </w:rPr>
                  </w:pPr>
                  <w:r>
                    <w:rPr>
                      <w:sz w:val="18"/>
                      <w:szCs w:val="18"/>
                    </w:rPr>
                    <w:t>本月</w:t>
                  </w:r>
                </w:p>
                <w:p>
                  <w:pPr>
                    <w:pStyle w:val="43"/>
                    <w:spacing w:line="240" w:lineRule="auto"/>
                    <w:ind w:firstLine="0" w:firstLineChars="0"/>
                    <w:jc w:val="center"/>
                    <w:rPr>
                      <w:sz w:val="18"/>
                      <w:szCs w:val="18"/>
                    </w:rPr>
                  </w:pPr>
                  <w:r>
                    <w:rPr>
                      <w:sz w:val="18"/>
                      <w:szCs w:val="18"/>
                    </w:rPr>
                    <w:t>类别</w:t>
                  </w:r>
                </w:p>
              </w:tc>
              <w:tc>
                <w:tcPr>
                  <w:tcW w:w="1264" w:type="dxa"/>
                  <w:vAlign w:val="center"/>
                </w:tcPr>
                <w:p>
                  <w:pPr>
                    <w:pStyle w:val="43"/>
                    <w:spacing w:line="240" w:lineRule="auto"/>
                    <w:ind w:firstLine="0" w:firstLineChars="0"/>
                    <w:jc w:val="center"/>
                    <w:rPr>
                      <w:sz w:val="18"/>
                      <w:szCs w:val="18"/>
                    </w:rPr>
                  </w:pPr>
                  <w:r>
                    <w:rPr>
                      <w:sz w:val="18"/>
                      <w:szCs w:val="18"/>
                    </w:rPr>
                    <w:t>主要污染指标（类别）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 w:hRule="atLeast"/>
                <w:jc w:val="center"/>
              </w:trPr>
              <w:tc>
                <w:tcPr>
                  <w:tcW w:w="551" w:type="dxa"/>
                  <w:vAlign w:val="center"/>
                </w:tcPr>
                <w:p>
                  <w:pPr>
                    <w:pStyle w:val="43"/>
                    <w:spacing w:line="240" w:lineRule="auto"/>
                    <w:ind w:firstLine="0" w:firstLineChars="0"/>
                    <w:jc w:val="center"/>
                    <w:rPr>
                      <w:sz w:val="18"/>
                      <w:szCs w:val="18"/>
                    </w:rPr>
                  </w:pPr>
                  <w:r>
                    <w:rPr>
                      <w:sz w:val="18"/>
                      <w:szCs w:val="18"/>
                    </w:rPr>
                    <w:t>1</w:t>
                  </w:r>
                </w:p>
              </w:tc>
              <w:tc>
                <w:tcPr>
                  <w:tcW w:w="945" w:type="dxa"/>
                  <w:vMerge w:val="restart"/>
                  <w:vAlign w:val="center"/>
                </w:tcPr>
                <w:p>
                  <w:pPr>
                    <w:pStyle w:val="43"/>
                    <w:spacing w:line="240" w:lineRule="auto"/>
                    <w:ind w:firstLine="0" w:firstLineChars="0"/>
                    <w:jc w:val="center"/>
                    <w:rPr>
                      <w:sz w:val="18"/>
                      <w:szCs w:val="18"/>
                    </w:rPr>
                  </w:pPr>
                  <w:r>
                    <w:rPr>
                      <w:sz w:val="18"/>
                      <w:szCs w:val="18"/>
                    </w:rPr>
                    <w:t>州河水系</w:t>
                  </w:r>
                </w:p>
              </w:tc>
              <w:tc>
                <w:tcPr>
                  <w:tcW w:w="583" w:type="dxa"/>
                  <w:vAlign w:val="center"/>
                </w:tcPr>
                <w:p>
                  <w:pPr>
                    <w:pStyle w:val="43"/>
                    <w:spacing w:line="240" w:lineRule="auto"/>
                    <w:ind w:firstLine="0" w:firstLineChars="0"/>
                    <w:jc w:val="center"/>
                    <w:rPr>
                      <w:sz w:val="18"/>
                      <w:szCs w:val="18"/>
                    </w:rPr>
                  </w:pPr>
                  <w:r>
                    <w:rPr>
                      <w:sz w:val="18"/>
                      <w:szCs w:val="18"/>
                    </w:rPr>
                    <w:t>干流</w:t>
                  </w:r>
                </w:p>
              </w:tc>
              <w:tc>
                <w:tcPr>
                  <w:tcW w:w="957" w:type="dxa"/>
                  <w:vAlign w:val="center"/>
                </w:tcPr>
                <w:p>
                  <w:pPr>
                    <w:pStyle w:val="43"/>
                    <w:spacing w:line="240" w:lineRule="auto"/>
                    <w:ind w:firstLine="0" w:firstLineChars="0"/>
                    <w:jc w:val="center"/>
                    <w:rPr>
                      <w:sz w:val="18"/>
                      <w:szCs w:val="18"/>
                    </w:rPr>
                  </w:pPr>
                  <w:r>
                    <w:rPr>
                      <w:sz w:val="18"/>
                      <w:szCs w:val="18"/>
                    </w:rPr>
                    <w:t>张鼓坪</w:t>
                  </w:r>
                </w:p>
              </w:tc>
              <w:tc>
                <w:tcPr>
                  <w:tcW w:w="1594" w:type="dxa"/>
                  <w:vAlign w:val="center"/>
                </w:tcPr>
                <w:p>
                  <w:pPr>
                    <w:pStyle w:val="43"/>
                    <w:spacing w:line="240" w:lineRule="auto"/>
                    <w:ind w:firstLine="0" w:firstLineChars="0"/>
                    <w:jc w:val="center"/>
                    <w:rPr>
                      <w:sz w:val="18"/>
                      <w:szCs w:val="18"/>
                    </w:rPr>
                  </w:pPr>
                  <w:r>
                    <w:rPr>
                      <w:sz w:val="18"/>
                      <w:szCs w:val="18"/>
                    </w:rPr>
                    <w:t>县界</w:t>
                  </w:r>
                </w:p>
                <w:p>
                  <w:pPr>
                    <w:pStyle w:val="43"/>
                    <w:spacing w:line="240" w:lineRule="auto"/>
                    <w:ind w:firstLine="0" w:firstLineChars="0"/>
                    <w:jc w:val="center"/>
                    <w:rPr>
                      <w:sz w:val="18"/>
                      <w:szCs w:val="18"/>
                    </w:rPr>
                  </w:pPr>
                  <w:r>
                    <w:rPr>
                      <w:sz w:val="18"/>
                      <w:szCs w:val="18"/>
                    </w:rPr>
                    <w:t>宣汉县→通川区</w:t>
                  </w:r>
                </w:p>
              </w:tc>
              <w:tc>
                <w:tcPr>
                  <w:tcW w:w="957" w:type="dxa"/>
                  <w:vAlign w:val="center"/>
                </w:tcPr>
                <w:p>
                  <w:pPr>
                    <w:pStyle w:val="43"/>
                    <w:spacing w:line="240" w:lineRule="auto"/>
                    <w:ind w:firstLine="0" w:firstLineChars="0"/>
                    <w:jc w:val="center"/>
                    <w:rPr>
                      <w:sz w:val="18"/>
                      <w:szCs w:val="18"/>
                    </w:rPr>
                  </w:pPr>
                  <w:r>
                    <w:rPr>
                      <w:sz w:val="18"/>
                      <w:szCs w:val="18"/>
                    </w:rPr>
                    <w:t>省控考核评价</w:t>
                  </w:r>
                </w:p>
              </w:tc>
              <w:tc>
                <w:tcPr>
                  <w:tcW w:w="565" w:type="dxa"/>
                  <w:vAlign w:val="center"/>
                </w:tcPr>
                <w:p>
                  <w:pPr>
                    <w:pStyle w:val="43"/>
                    <w:spacing w:line="240" w:lineRule="auto"/>
                    <w:ind w:firstLine="0" w:firstLineChars="0"/>
                    <w:jc w:val="center"/>
                    <w:rPr>
                      <w:sz w:val="18"/>
                      <w:szCs w:val="18"/>
                    </w:rPr>
                  </w:pPr>
                  <w:r>
                    <w:rPr>
                      <w:rFonts w:eastAsia="微软雅黑"/>
                      <w:sz w:val="18"/>
                      <w:szCs w:val="18"/>
                    </w:rPr>
                    <w:t>Ⅲ</w:t>
                  </w:r>
                </w:p>
              </w:tc>
              <w:tc>
                <w:tcPr>
                  <w:tcW w:w="565" w:type="dxa"/>
                  <w:vAlign w:val="center"/>
                </w:tcPr>
                <w:p>
                  <w:pPr>
                    <w:pStyle w:val="43"/>
                    <w:spacing w:line="240" w:lineRule="auto"/>
                    <w:ind w:firstLine="0" w:firstLineChars="0"/>
                    <w:jc w:val="center"/>
                    <w:rPr>
                      <w:sz w:val="18"/>
                      <w:szCs w:val="18"/>
                    </w:rPr>
                  </w:pPr>
                  <w:r>
                    <w:rPr>
                      <w:sz w:val="18"/>
                      <w:szCs w:val="18"/>
                    </w:rPr>
                    <w:t>II</w:t>
                  </w:r>
                </w:p>
              </w:tc>
              <w:tc>
                <w:tcPr>
                  <w:tcW w:w="562" w:type="dxa"/>
                  <w:vAlign w:val="center"/>
                </w:tcPr>
                <w:p>
                  <w:pPr>
                    <w:pStyle w:val="43"/>
                    <w:spacing w:line="240" w:lineRule="auto"/>
                    <w:ind w:firstLine="0" w:firstLineChars="0"/>
                    <w:jc w:val="center"/>
                    <w:rPr>
                      <w:sz w:val="18"/>
                      <w:szCs w:val="18"/>
                    </w:rPr>
                  </w:pPr>
                  <w:r>
                    <w:rPr>
                      <w:sz w:val="18"/>
                      <w:szCs w:val="18"/>
                    </w:rPr>
                    <w:t>II</w:t>
                  </w:r>
                </w:p>
              </w:tc>
              <w:tc>
                <w:tcPr>
                  <w:tcW w:w="1264" w:type="dxa"/>
                  <w:vAlign w:val="center"/>
                </w:tcPr>
                <w:p>
                  <w:pPr>
                    <w:pStyle w:val="43"/>
                    <w:spacing w:line="240" w:lineRule="auto"/>
                    <w:ind w:firstLine="0" w:firstLineChars="0"/>
                    <w:jc w:val="center"/>
                    <w:rPr>
                      <w:sz w:val="18"/>
                      <w:szCs w:val="18"/>
                    </w:rPr>
                  </w:pPr>
                  <w:r>
                    <w:rPr>
                      <w:sz w:val="18"/>
                      <w:szCs w:val="18"/>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1" w:hRule="atLeast"/>
                <w:jc w:val="center"/>
              </w:trPr>
              <w:tc>
                <w:tcPr>
                  <w:tcW w:w="551" w:type="dxa"/>
                  <w:vAlign w:val="center"/>
                </w:tcPr>
                <w:p>
                  <w:pPr>
                    <w:pStyle w:val="43"/>
                    <w:spacing w:line="240" w:lineRule="auto"/>
                    <w:ind w:firstLine="0" w:firstLineChars="0"/>
                    <w:jc w:val="center"/>
                    <w:rPr>
                      <w:sz w:val="18"/>
                      <w:szCs w:val="18"/>
                    </w:rPr>
                  </w:pPr>
                  <w:r>
                    <w:rPr>
                      <w:rFonts w:hint="eastAsia"/>
                      <w:sz w:val="18"/>
                      <w:szCs w:val="18"/>
                    </w:rPr>
                    <w:t>2</w:t>
                  </w:r>
                </w:p>
              </w:tc>
              <w:tc>
                <w:tcPr>
                  <w:tcW w:w="945" w:type="dxa"/>
                  <w:vMerge w:val="continue"/>
                  <w:vAlign w:val="center"/>
                </w:tcPr>
                <w:p>
                  <w:pPr>
                    <w:pStyle w:val="43"/>
                    <w:spacing w:line="240" w:lineRule="auto"/>
                    <w:ind w:firstLine="0" w:firstLineChars="0"/>
                    <w:jc w:val="center"/>
                    <w:rPr>
                      <w:sz w:val="18"/>
                      <w:szCs w:val="18"/>
                    </w:rPr>
                  </w:pPr>
                </w:p>
              </w:tc>
              <w:tc>
                <w:tcPr>
                  <w:tcW w:w="583" w:type="dxa"/>
                  <w:vAlign w:val="center"/>
                </w:tcPr>
                <w:p>
                  <w:pPr>
                    <w:pStyle w:val="43"/>
                    <w:spacing w:line="240" w:lineRule="auto"/>
                    <w:ind w:firstLine="0" w:firstLineChars="0"/>
                    <w:jc w:val="center"/>
                    <w:rPr>
                      <w:sz w:val="18"/>
                      <w:szCs w:val="18"/>
                    </w:rPr>
                  </w:pPr>
                  <w:r>
                    <w:rPr>
                      <w:rFonts w:hint="eastAsia"/>
                      <w:sz w:val="18"/>
                      <w:szCs w:val="18"/>
                    </w:rPr>
                    <w:t>前河</w:t>
                  </w:r>
                </w:p>
              </w:tc>
              <w:tc>
                <w:tcPr>
                  <w:tcW w:w="957" w:type="dxa"/>
                  <w:vAlign w:val="center"/>
                </w:tcPr>
                <w:p>
                  <w:pPr>
                    <w:pStyle w:val="43"/>
                    <w:spacing w:line="240" w:lineRule="auto"/>
                    <w:ind w:firstLine="0" w:firstLineChars="0"/>
                    <w:jc w:val="center"/>
                    <w:rPr>
                      <w:sz w:val="18"/>
                      <w:szCs w:val="18"/>
                    </w:rPr>
                  </w:pPr>
                  <w:r>
                    <w:rPr>
                      <w:rFonts w:hint="eastAsia"/>
                      <w:sz w:val="18"/>
                      <w:szCs w:val="18"/>
                    </w:rPr>
                    <w:t>土堡寨</w:t>
                  </w:r>
                </w:p>
              </w:tc>
              <w:tc>
                <w:tcPr>
                  <w:tcW w:w="1594" w:type="dxa"/>
                  <w:vAlign w:val="center"/>
                </w:tcPr>
                <w:p>
                  <w:pPr>
                    <w:pStyle w:val="43"/>
                    <w:spacing w:line="240" w:lineRule="auto"/>
                    <w:ind w:firstLine="0" w:firstLineChars="0"/>
                    <w:jc w:val="center"/>
                    <w:rPr>
                      <w:sz w:val="18"/>
                      <w:szCs w:val="18"/>
                    </w:rPr>
                  </w:pPr>
                  <w:r>
                    <w:rPr>
                      <w:rFonts w:hint="eastAsia"/>
                      <w:sz w:val="18"/>
                      <w:szCs w:val="18"/>
                    </w:rPr>
                    <w:t>省界（渝</w:t>
                  </w:r>
                  <w:r>
                    <w:rPr>
                      <w:sz w:val="18"/>
                      <w:szCs w:val="18"/>
                    </w:rPr>
                    <w:t>→</w:t>
                  </w:r>
                  <w:r>
                    <w:rPr>
                      <w:rFonts w:hint="eastAsia"/>
                      <w:sz w:val="18"/>
                      <w:szCs w:val="18"/>
                    </w:rPr>
                    <w:t>川）</w:t>
                  </w:r>
                </w:p>
              </w:tc>
              <w:tc>
                <w:tcPr>
                  <w:tcW w:w="957" w:type="dxa"/>
                  <w:vAlign w:val="center"/>
                </w:tcPr>
                <w:p>
                  <w:pPr>
                    <w:pStyle w:val="43"/>
                    <w:spacing w:line="240" w:lineRule="auto"/>
                    <w:ind w:firstLine="0" w:firstLineChars="0"/>
                    <w:jc w:val="center"/>
                    <w:rPr>
                      <w:sz w:val="18"/>
                      <w:szCs w:val="18"/>
                    </w:rPr>
                  </w:pPr>
                  <w:r>
                    <w:rPr>
                      <w:rFonts w:hint="eastAsia"/>
                      <w:sz w:val="18"/>
                      <w:szCs w:val="18"/>
                    </w:rPr>
                    <w:t>国控</w:t>
                  </w:r>
                </w:p>
              </w:tc>
              <w:tc>
                <w:tcPr>
                  <w:tcW w:w="565" w:type="dxa"/>
                  <w:vAlign w:val="center"/>
                </w:tcPr>
                <w:p>
                  <w:pPr>
                    <w:pStyle w:val="43"/>
                    <w:spacing w:line="240" w:lineRule="auto"/>
                    <w:ind w:firstLine="0" w:firstLineChars="0"/>
                    <w:jc w:val="center"/>
                    <w:rPr>
                      <w:rFonts w:eastAsia="微软雅黑"/>
                      <w:sz w:val="18"/>
                      <w:szCs w:val="18"/>
                    </w:rPr>
                  </w:pPr>
                  <w:r>
                    <w:rPr>
                      <w:sz w:val="18"/>
                      <w:szCs w:val="18"/>
                    </w:rPr>
                    <w:t>II</w:t>
                  </w:r>
                </w:p>
              </w:tc>
              <w:tc>
                <w:tcPr>
                  <w:tcW w:w="565" w:type="dxa"/>
                  <w:vAlign w:val="center"/>
                </w:tcPr>
                <w:p>
                  <w:pPr>
                    <w:pStyle w:val="43"/>
                    <w:spacing w:line="240" w:lineRule="auto"/>
                    <w:ind w:firstLine="0" w:firstLineChars="0"/>
                    <w:jc w:val="center"/>
                    <w:rPr>
                      <w:sz w:val="18"/>
                      <w:szCs w:val="18"/>
                    </w:rPr>
                  </w:pPr>
                  <w:r>
                    <w:rPr>
                      <w:rFonts w:hint="eastAsia"/>
                      <w:sz w:val="18"/>
                      <w:szCs w:val="18"/>
                    </w:rPr>
                    <w:t>Ⅰ</w:t>
                  </w:r>
                </w:p>
              </w:tc>
              <w:tc>
                <w:tcPr>
                  <w:tcW w:w="562" w:type="dxa"/>
                  <w:vAlign w:val="center"/>
                </w:tcPr>
                <w:p>
                  <w:pPr>
                    <w:pStyle w:val="43"/>
                    <w:spacing w:line="240" w:lineRule="auto"/>
                    <w:ind w:firstLine="0" w:firstLineChars="0"/>
                    <w:jc w:val="center"/>
                    <w:rPr>
                      <w:sz w:val="18"/>
                      <w:szCs w:val="18"/>
                    </w:rPr>
                  </w:pPr>
                  <w:r>
                    <w:rPr>
                      <w:sz w:val="18"/>
                      <w:szCs w:val="18"/>
                    </w:rPr>
                    <w:t>II</w:t>
                  </w:r>
                </w:p>
              </w:tc>
              <w:tc>
                <w:tcPr>
                  <w:tcW w:w="1264" w:type="dxa"/>
                  <w:vAlign w:val="center"/>
                </w:tcPr>
                <w:p>
                  <w:pPr>
                    <w:pStyle w:val="43"/>
                    <w:spacing w:line="240" w:lineRule="auto"/>
                    <w:ind w:firstLine="0" w:firstLineChars="0"/>
                    <w:jc w:val="center"/>
                    <w:rPr>
                      <w:sz w:val="18"/>
                      <w:szCs w:val="18"/>
                    </w:rPr>
                  </w:pPr>
                  <w:r>
                    <w:rPr>
                      <w:rFonts w:hint="eastAsia"/>
                      <w:sz w:val="18"/>
                      <w:szCs w:val="18"/>
                    </w:rPr>
                    <w:t>/</w:t>
                  </w:r>
                </w:p>
              </w:tc>
            </w:tr>
          </w:tbl>
          <w:p>
            <w:pPr>
              <w:adjustRightInd w:val="0"/>
              <w:spacing w:line="360" w:lineRule="auto"/>
              <w:ind w:firstLine="480" w:firstLineChars="200"/>
              <w:rPr>
                <w:color w:val="000000" w:themeColor="text1"/>
                <w:sz w:val="21"/>
                <w14:textFill>
                  <w14:solidFill>
                    <w14:schemeClr w14:val="tx1"/>
                  </w14:solidFill>
                </w14:textFill>
              </w:rPr>
            </w:pPr>
            <w:r>
              <w:rPr>
                <w:kern w:val="0"/>
              </w:rPr>
              <w:t>根据现场调查本项目最近河流地表水为</w:t>
            </w:r>
            <w:r>
              <w:rPr>
                <w:rFonts w:hint="eastAsia"/>
                <w:kern w:val="0"/>
              </w:rPr>
              <w:t>丁家坝河</w:t>
            </w:r>
            <w:r>
              <w:rPr>
                <w:kern w:val="0"/>
              </w:rPr>
              <w:t>，</w:t>
            </w:r>
            <w:r>
              <w:rPr>
                <w:rFonts w:hint="eastAsia"/>
                <w:kern w:val="0"/>
              </w:rPr>
              <w:t>汇入前河后最终汇入州河</w:t>
            </w:r>
            <w:r>
              <w:rPr>
                <w:kern w:val="0"/>
              </w:rPr>
              <w:t>，与项目区相距较近的监测断面为</w:t>
            </w:r>
            <w:r>
              <w:rPr>
                <w:rFonts w:hint="eastAsia"/>
                <w:kern w:val="0"/>
              </w:rPr>
              <w:t>州河水系前河土堡寨断面和</w:t>
            </w:r>
            <w:r>
              <w:rPr>
                <w:kern w:val="0"/>
              </w:rPr>
              <w:t>州河张鼓坪断面。根据上表例行监测数据表明：项目区域地表水体州河水系的</w:t>
            </w:r>
            <w:r>
              <w:rPr>
                <w:rFonts w:hint="eastAsia"/>
                <w:kern w:val="0"/>
              </w:rPr>
              <w:t>前河土堡寨断面和</w:t>
            </w:r>
            <w:r>
              <w:rPr>
                <w:kern w:val="0"/>
              </w:rPr>
              <w:t>州河张鼓坪监测断面的水质能够满足《地表水环境质量标准》（GB3838-2002）Ⅲ类水域</w:t>
            </w:r>
            <w:r>
              <w:rPr>
                <w:rFonts w:hint="eastAsia"/>
                <w:kern w:val="0"/>
              </w:rPr>
              <w:t>。</w:t>
            </w:r>
          </w:p>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3、声环境质量现状</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为了解区域声环境质量现状，本次对区域声环境质量进行监测</w:t>
            </w:r>
            <w:r>
              <w:rPr>
                <w:rFonts w:hint="eastAsia"/>
                <w:color w:val="000000" w:themeColor="text1"/>
                <w:szCs w:val="24"/>
                <w14:textFill>
                  <w14:solidFill>
                    <w14:schemeClr w14:val="tx1"/>
                  </w14:solidFill>
                </w14:textFill>
              </w:rPr>
              <w:t>。</w:t>
            </w:r>
          </w:p>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①监测点位</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本次环评共设噪声监测点6个，监测点位置见表3-5。</w:t>
            </w:r>
          </w:p>
          <w:p>
            <w:pPr>
              <w:spacing w:line="500" w:lineRule="exact"/>
              <w:ind w:firstLine="402" w:firstLineChars="200"/>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表3-5  噪声监测点位表</w:t>
            </w:r>
          </w:p>
          <w:tbl>
            <w:tblPr>
              <w:tblStyle w:val="16"/>
              <w:tblW w:w="850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93"/>
              <w:gridCol w:w="610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393"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编号</w:t>
                  </w:r>
                </w:p>
              </w:tc>
              <w:tc>
                <w:tcPr>
                  <w:tcW w:w="6107"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监测点名称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393" w:type="dxa"/>
                  <w:tcBorders>
                    <w:tl2br w:val="nil"/>
                    <w:tr2bl w:val="nil"/>
                  </w:tcBorders>
                  <w:vAlign w:val="center"/>
                </w:tcPr>
                <w:p>
                  <w:pPr>
                    <w:spacing w:line="300" w:lineRule="exac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N1</w:t>
                  </w:r>
                </w:p>
              </w:tc>
              <w:tc>
                <w:tcPr>
                  <w:tcW w:w="6107" w:type="dxa"/>
                  <w:tcBorders>
                    <w:tl2br w:val="nil"/>
                    <w:tr2bl w:val="nil"/>
                  </w:tcBorders>
                  <w:vAlign w:val="center"/>
                </w:tcPr>
                <w:p>
                  <w:pPr>
                    <w:jc w:val="center"/>
                    <w:rPr>
                      <w:color w:val="000000" w:themeColor="text1"/>
                      <w:sz w:val="21"/>
                      <w:highlight w:val="yellow"/>
                      <w14:textFill>
                        <w14:solidFill>
                          <w14:schemeClr w14:val="tx1"/>
                        </w14:solidFill>
                      </w14:textFill>
                    </w:rPr>
                  </w:pPr>
                  <w:r>
                    <w:rPr>
                      <w:color w:val="000000" w:themeColor="text1"/>
                      <w:sz w:val="21"/>
                      <w14:textFill>
                        <w14:solidFill>
                          <w14:schemeClr w14:val="tx1"/>
                        </w14:solidFill>
                      </w14:textFill>
                    </w:rPr>
                    <w:t>项目东侧厂界外1m处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2393" w:type="dxa"/>
                  <w:tcBorders>
                    <w:tl2br w:val="nil"/>
                    <w:tr2bl w:val="nil"/>
                  </w:tcBorders>
                  <w:vAlign w:val="center"/>
                </w:tcPr>
                <w:p>
                  <w:pPr>
                    <w:spacing w:line="300" w:lineRule="exac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N2</w:t>
                  </w:r>
                </w:p>
              </w:tc>
              <w:tc>
                <w:tcPr>
                  <w:tcW w:w="6107" w:type="dxa"/>
                  <w:tcBorders>
                    <w:tl2br w:val="nil"/>
                    <w:tr2bl w:val="nil"/>
                  </w:tcBorders>
                  <w:vAlign w:val="center"/>
                </w:tcPr>
                <w:p>
                  <w:pPr>
                    <w:jc w:val="center"/>
                    <w:rPr>
                      <w:color w:val="000000" w:themeColor="text1"/>
                      <w:sz w:val="21"/>
                      <w:highlight w:val="yellow"/>
                      <w14:textFill>
                        <w14:solidFill>
                          <w14:schemeClr w14:val="tx1"/>
                        </w14:solidFill>
                      </w14:textFill>
                    </w:rPr>
                  </w:pPr>
                  <w:r>
                    <w:rPr>
                      <w:color w:val="000000" w:themeColor="text1"/>
                      <w:sz w:val="21"/>
                      <w14:textFill>
                        <w14:solidFill>
                          <w14:schemeClr w14:val="tx1"/>
                        </w14:solidFill>
                      </w14:textFill>
                    </w:rPr>
                    <w:t>项目</w:t>
                  </w:r>
                  <w:r>
                    <w:rPr>
                      <w:rFonts w:hint="eastAsia"/>
                      <w:color w:val="000000" w:themeColor="text1"/>
                      <w:sz w:val="21"/>
                      <w14:textFill>
                        <w14:solidFill>
                          <w14:schemeClr w14:val="tx1"/>
                        </w14:solidFill>
                      </w14:textFill>
                    </w:rPr>
                    <w:t>西</w:t>
                  </w:r>
                  <w:r>
                    <w:rPr>
                      <w:color w:val="000000" w:themeColor="text1"/>
                      <w:sz w:val="21"/>
                      <w14:textFill>
                        <w14:solidFill>
                          <w14:schemeClr w14:val="tx1"/>
                        </w14:solidFill>
                      </w14:textFill>
                    </w:rPr>
                    <w:t>侧厂界外1m处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2393" w:type="dxa"/>
                  <w:tcBorders>
                    <w:tl2br w:val="nil"/>
                    <w:tr2bl w:val="nil"/>
                  </w:tcBorders>
                  <w:vAlign w:val="center"/>
                </w:tcPr>
                <w:p>
                  <w:pPr>
                    <w:spacing w:line="300" w:lineRule="exac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N3</w:t>
                  </w:r>
                </w:p>
              </w:tc>
              <w:tc>
                <w:tcPr>
                  <w:tcW w:w="6107" w:type="dxa"/>
                  <w:tcBorders>
                    <w:tl2br w:val="nil"/>
                    <w:tr2bl w:val="nil"/>
                  </w:tcBorders>
                  <w:vAlign w:val="center"/>
                </w:tcPr>
                <w:p>
                  <w:pPr>
                    <w:jc w:val="center"/>
                    <w:rPr>
                      <w:color w:val="000000" w:themeColor="text1"/>
                      <w:sz w:val="21"/>
                      <w:highlight w:val="yellow"/>
                      <w14:textFill>
                        <w14:solidFill>
                          <w14:schemeClr w14:val="tx1"/>
                        </w14:solidFill>
                      </w14:textFill>
                    </w:rPr>
                  </w:pPr>
                  <w:r>
                    <w:rPr>
                      <w:color w:val="000000" w:themeColor="text1"/>
                      <w:sz w:val="21"/>
                      <w14:textFill>
                        <w14:solidFill>
                          <w14:schemeClr w14:val="tx1"/>
                        </w14:solidFill>
                      </w14:textFill>
                    </w:rPr>
                    <w:t>项目西</w:t>
                  </w:r>
                  <w:r>
                    <w:rPr>
                      <w:rFonts w:hint="eastAsia"/>
                      <w:color w:val="000000" w:themeColor="text1"/>
                      <w:sz w:val="21"/>
                      <w14:textFill>
                        <w14:solidFill>
                          <w14:schemeClr w14:val="tx1"/>
                        </w14:solidFill>
                      </w14:textFill>
                    </w:rPr>
                    <w:t>北</w:t>
                  </w:r>
                  <w:r>
                    <w:rPr>
                      <w:color w:val="000000" w:themeColor="text1"/>
                      <w:sz w:val="21"/>
                      <w14:textFill>
                        <w14:solidFill>
                          <w14:schemeClr w14:val="tx1"/>
                        </w14:solidFill>
                      </w14:textFill>
                    </w:rPr>
                    <w:t>侧厂界外1m处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2393" w:type="dxa"/>
                  <w:tcBorders>
                    <w:tl2br w:val="nil"/>
                    <w:tr2bl w:val="nil"/>
                  </w:tcBorders>
                  <w:vAlign w:val="center"/>
                </w:tcPr>
                <w:p>
                  <w:pPr>
                    <w:spacing w:line="300" w:lineRule="exac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N4</w:t>
                  </w:r>
                </w:p>
              </w:tc>
              <w:tc>
                <w:tcPr>
                  <w:tcW w:w="6107" w:type="dxa"/>
                  <w:tcBorders>
                    <w:tl2br w:val="nil"/>
                    <w:tr2bl w:val="nil"/>
                  </w:tcBorders>
                  <w:vAlign w:val="center"/>
                </w:tcPr>
                <w:p>
                  <w:pPr>
                    <w:jc w:val="center"/>
                    <w:rPr>
                      <w:color w:val="000000" w:themeColor="text1"/>
                      <w:sz w:val="21"/>
                      <w:highlight w:val="yellow"/>
                      <w14:textFill>
                        <w14:solidFill>
                          <w14:schemeClr w14:val="tx1"/>
                        </w14:solidFill>
                      </w14:textFill>
                    </w:rPr>
                  </w:pPr>
                  <w:r>
                    <w:rPr>
                      <w:color w:val="000000" w:themeColor="text1"/>
                      <w:sz w:val="21"/>
                      <w14:textFill>
                        <w14:solidFill>
                          <w14:schemeClr w14:val="tx1"/>
                        </w14:solidFill>
                      </w14:textFill>
                    </w:rPr>
                    <w:t>项目北侧厂界外1m处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2393" w:type="dxa"/>
                  <w:tcBorders>
                    <w:tl2br w:val="nil"/>
                    <w:tr2bl w:val="nil"/>
                  </w:tcBorders>
                  <w:vAlign w:val="center"/>
                </w:tcPr>
                <w:p>
                  <w:pPr>
                    <w:spacing w:line="30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N</w:t>
                  </w:r>
                  <w:r>
                    <w:rPr>
                      <w:color w:val="000000" w:themeColor="text1"/>
                      <w:sz w:val="21"/>
                      <w14:textFill>
                        <w14:solidFill>
                          <w14:schemeClr w14:val="tx1"/>
                        </w14:solidFill>
                      </w14:textFill>
                    </w:rPr>
                    <w:t>5</w:t>
                  </w:r>
                </w:p>
              </w:tc>
              <w:tc>
                <w:tcPr>
                  <w:tcW w:w="6107" w:type="dxa"/>
                  <w:tcBorders>
                    <w:tl2br w:val="nil"/>
                    <w:tr2bl w:val="nil"/>
                  </w:tcBorders>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项目厂区东北侧居民点外1m处</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2393" w:type="dxa"/>
                  <w:tcBorders>
                    <w:tl2br w:val="nil"/>
                    <w:tr2bl w:val="nil"/>
                  </w:tcBorders>
                  <w:vAlign w:val="center"/>
                </w:tcPr>
                <w:p>
                  <w:pPr>
                    <w:spacing w:line="30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N</w:t>
                  </w:r>
                  <w:r>
                    <w:rPr>
                      <w:color w:val="000000" w:themeColor="text1"/>
                      <w:sz w:val="21"/>
                      <w14:textFill>
                        <w14:solidFill>
                          <w14:schemeClr w14:val="tx1"/>
                        </w14:solidFill>
                      </w14:textFill>
                    </w:rPr>
                    <w:t>6</w:t>
                  </w:r>
                </w:p>
              </w:tc>
              <w:tc>
                <w:tcPr>
                  <w:tcW w:w="6107" w:type="dxa"/>
                  <w:tcBorders>
                    <w:tl2br w:val="nil"/>
                    <w:tr2bl w:val="nil"/>
                  </w:tcBorders>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项目厂区西北侧居民点外1m处</w:t>
                  </w:r>
                </w:p>
              </w:tc>
            </w:tr>
          </w:tbl>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②监测时间</w:t>
            </w:r>
          </w:p>
          <w:p>
            <w:pPr>
              <w:spacing w:line="360" w:lineRule="auto"/>
              <w:ind w:firstLine="480" w:firstLineChars="200"/>
              <w:rPr>
                <w:color w:val="000000" w:themeColor="text1"/>
                <w:szCs w:val="24"/>
                <w14:textFill>
                  <w14:solidFill>
                    <w14:schemeClr w14:val="tx1"/>
                  </w14:solidFill>
                </w14:textFill>
              </w:rPr>
            </w:pPr>
            <w:r>
              <w:rPr>
                <w:snapToGrid w:val="0"/>
                <w:color w:val="000000" w:themeColor="text1"/>
                <w:szCs w:val="24"/>
                <w14:textFill>
                  <w14:solidFill>
                    <w14:schemeClr w14:val="tx1"/>
                  </w14:solidFill>
                </w14:textFill>
              </w:rPr>
              <w:t>2024年4月12日</w:t>
            </w:r>
            <w:r>
              <w:rPr>
                <w:rFonts w:hint="eastAsia"/>
                <w:snapToGrid w:val="0"/>
                <w:color w:val="000000" w:themeColor="text1"/>
                <w:szCs w:val="24"/>
                <w14:textFill>
                  <w14:solidFill>
                    <w14:schemeClr w14:val="tx1"/>
                  </w14:solidFill>
                </w14:textFill>
              </w:rPr>
              <w:t>，</w:t>
            </w:r>
            <w:r>
              <w:rPr>
                <w:color w:val="000000" w:themeColor="text1"/>
                <w14:textFill>
                  <w14:solidFill>
                    <w14:schemeClr w14:val="tx1"/>
                  </w14:solidFill>
                </w14:textFill>
              </w:rPr>
              <w:t>检测</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天，每天昼</w:t>
            </w:r>
            <w:r>
              <w:rPr>
                <w:rFonts w:hint="eastAsia"/>
                <w:color w:val="000000" w:themeColor="text1"/>
                <w14:textFill>
                  <w14:solidFill>
                    <w14:schemeClr w14:val="tx1"/>
                  </w14:solidFill>
                </w14:textFill>
              </w:rPr>
              <w:t>间</w:t>
            </w:r>
            <w:r>
              <w:rPr>
                <w:color w:val="000000" w:themeColor="text1"/>
                <w14:textFill>
                  <w14:solidFill>
                    <w14:schemeClr w14:val="tx1"/>
                  </w14:solidFill>
                </w14:textFill>
              </w:rPr>
              <w:t>、夜</w:t>
            </w:r>
            <w:r>
              <w:rPr>
                <w:rFonts w:hint="eastAsia"/>
                <w:color w:val="000000" w:themeColor="text1"/>
                <w14:textFill>
                  <w14:solidFill>
                    <w14:schemeClr w14:val="tx1"/>
                  </w14:solidFill>
                </w14:textFill>
              </w:rPr>
              <w:t>间</w:t>
            </w:r>
            <w:r>
              <w:rPr>
                <w:color w:val="000000" w:themeColor="text1"/>
                <w14:textFill>
                  <w14:solidFill>
                    <w14:schemeClr w14:val="tx1"/>
                  </w14:solidFill>
                </w14:textFill>
              </w:rPr>
              <w:t>各检测1次</w:t>
            </w:r>
          </w:p>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③评价标准</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lang w:val="zh-CN"/>
                <w14:textFill>
                  <w14:solidFill>
                    <w14:schemeClr w14:val="tx1"/>
                  </w14:solidFill>
                </w14:textFill>
              </w:rPr>
              <w:t>执行《声环境质量标准》（GB3096-2008）2类标准</w:t>
            </w:r>
            <w:r>
              <w:rPr>
                <w:color w:val="000000" w:themeColor="text1"/>
                <w:szCs w:val="24"/>
                <w14:textFill>
                  <w14:solidFill>
                    <w14:schemeClr w14:val="tx1"/>
                  </w14:solidFill>
                </w14:textFill>
              </w:rPr>
              <w:t>。</w:t>
            </w:r>
          </w:p>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④评价结果</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声环境质量现状评价结果见表3-7。</w:t>
            </w:r>
          </w:p>
          <w:p>
            <w:pPr>
              <w:spacing w:line="500" w:lineRule="exact"/>
              <w:ind w:firstLine="402" w:firstLineChars="200"/>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表3-7  声环境质量现状评价结果</w:t>
            </w:r>
          </w:p>
          <w:tbl>
            <w:tblPr>
              <w:tblStyle w:val="15"/>
              <w:tblW w:w="85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5"/>
              <w:gridCol w:w="3170"/>
              <w:gridCol w:w="10"/>
              <w:gridCol w:w="1124"/>
              <w:gridCol w:w="10"/>
              <w:gridCol w:w="1124"/>
              <w:gridCol w:w="10"/>
              <w:gridCol w:w="1124"/>
              <w:gridCol w:w="10"/>
              <w:gridCol w:w="12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45" w:type="dxa"/>
                  <w:vMerge w:val="restart"/>
                  <w:vAlign w:val="center"/>
                </w:tcPr>
                <w:p>
                  <w:pPr>
                    <w:pStyle w:val="27"/>
                    <w:spacing w:before="0" w:after="0"/>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检测</w:t>
                  </w:r>
                </w:p>
                <w:p>
                  <w:pPr>
                    <w:pStyle w:val="27"/>
                    <w:spacing w:before="0" w:after="0"/>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因子</w:t>
                  </w:r>
                </w:p>
              </w:tc>
              <w:tc>
                <w:tcPr>
                  <w:tcW w:w="3180" w:type="dxa"/>
                  <w:gridSpan w:val="2"/>
                  <w:vMerge w:val="restart"/>
                  <w:vAlign w:val="center"/>
                </w:tcPr>
                <w:p>
                  <w:pPr>
                    <w:pStyle w:val="27"/>
                    <w:spacing w:before="0" w:after="0"/>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检测位置</w:t>
                  </w:r>
                </w:p>
              </w:tc>
              <w:tc>
                <w:tcPr>
                  <w:tcW w:w="2268" w:type="dxa"/>
                  <w:gridSpan w:val="4"/>
                  <w:vAlign w:val="center"/>
                </w:tcPr>
                <w:p>
                  <w:pPr>
                    <w:pStyle w:val="27"/>
                    <w:spacing w:before="0" w:after="0"/>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昼间</w:t>
                  </w:r>
                </w:p>
              </w:tc>
              <w:tc>
                <w:tcPr>
                  <w:tcW w:w="2369" w:type="dxa"/>
                  <w:gridSpan w:val="3"/>
                  <w:vAlign w:val="center"/>
                </w:tcPr>
                <w:p>
                  <w:pPr>
                    <w:pStyle w:val="27"/>
                    <w:spacing w:before="0" w:after="0"/>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45" w:type="dxa"/>
                  <w:vMerge w:val="continue"/>
                  <w:tcBorders>
                    <w:bottom w:val="single" w:color="auto" w:sz="12" w:space="0"/>
                  </w:tcBorders>
                  <w:vAlign w:val="center"/>
                </w:tcPr>
                <w:p>
                  <w:pPr>
                    <w:pStyle w:val="27"/>
                    <w:spacing w:before="0" w:after="0"/>
                    <w:rPr>
                      <w:rFonts w:cs="Times New Roman"/>
                      <w:b/>
                      <w:bCs/>
                      <w:color w:val="000000" w:themeColor="text1"/>
                      <w:sz w:val="21"/>
                      <w:szCs w:val="21"/>
                      <w14:textFill>
                        <w14:solidFill>
                          <w14:schemeClr w14:val="tx1"/>
                        </w14:solidFill>
                      </w14:textFill>
                    </w:rPr>
                  </w:pPr>
                </w:p>
              </w:tc>
              <w:tc>
                <w:tcPr>
                  <w:tcW w:w="3180" w:type="dxa"/>
                  <w:gridSpan w:val="2"/>
                  <w:vMerge w:val="continue"/>
                  <w:tcBorders>
                    <w:bottom w:val="single" w:color="auto" w:sz="12" w:space="0"/>
                  </w:tcBorders>
                  <w:vAlign w:val="center"/>
                </w:tcPr>
                <w:p>
                  <w:pPr>
                    <w:pStyle w:val="27"/>
                    <w:spacing w:before="0" w:after="0"/>
                    <w:rPr>
                      <w:rFonts w:cs="Times New Roman"/>
                      <w:b/>
                      <w:bCs/>
                      <w:color w:val="000000" w:themeColor="text1"/>
                      <w:sz w:val="21"/>
                      <w:szCs w:val="21"/>
                      <w14:textFill>
                        <w14:solidFill>
                          <w14:schemeClr w14:val="tx1"/>
                        </w14:solidFill>
                      </w14:textFill>
                    </w:rPr>
                  </w:pPr>
                </w:p>
              </w:tc>
              <w:tc>
                <w:tcPr>
                  <w:tcW w:w="1134" w:type="dxa"/>
                  <w:gridSpan w:val="2"/>
                  <w:tcBorders>
                    <w:bottom w:val="single" w:color="auto" w:sz="12" w:space="0"/>
                  </w:tcBorders>
                  <w:vAlign w:val="center"/>
                </w:tcPr>
                <w:p>
                  <w:pPr>
                    <w:pStyle w:val="27"/>
                    <w:spacing w:before="0" w:after="0"/>
                    <w:ind w:left="-120" w:leftChars="-50" w:right="-120" w:rightChars="-50"/>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检测结果</w:t>
                  </w:r>
                </w:p>
              </w:tc>
              <w:tc>
                <w:tcPr>
                  <w:tcW w:w="1134" w:type="dxa"/>
                  <w:gridSpan w:val="2"/>
                  <w:tcBorders>
                    <w:bottom w:val="single" w:color="auto" w:sz="12" w:space="0"/>
                  </w:tcBorders>
                  <w:vAlign w:val="center"/>
                </w:tcPr>
                <w:p>
                  <w:pPr>
                    <w:pStyle w:val="27"/>
                    <w:spacing w:before="0" w:after="0"/>
                    <w:ind w:left="-120" w:leftChars="-50" w:right="-120" w:rightChars="-50"/>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标准限值</w:t>
                  </w:r>
                </w:p>
              </w:tc>
              <w:tc>
                <w:tcPr>
                  <w:tcW w:w="1134" w:type="dxa"/>
                  <w:gridSpan w:val="2"/>
                  <w:tcBorders>
                    <w:bottom w:val="single" w:color="auto" w:sz="12" w:space="0"/>
                  </w:tcBorders>
                  <w:vAlign w:val="center"/>
                </w:tcPr>
                <w:p>
                  <w:pPr>
                    <w:pStyle w:val="27"/>
                    <w:spacing w:before="0" w:after="0"/>
                    <w:ind w:left="-120" w:leftChars="-50" w:right="-120" w:rightChars="-50"/>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检测结果</w:t>
                  </w:r>
                </w:p>
              </w:tc>
              <w:tc>
                <w:tcPr>
                  <w:tcW w:w="1235" w:type="dxa"/>
                  <w:tcBorders>
                    <w:bottom w:val="single" w:color="auto" w:sz="12" w:space="0"/>
                  </w:tcBorders>
                  <w:vAlign w:val="center"/>
                </w:tcPr>
                <w:p>
                  <w:pPr>
                    <w:pStyle w:val="27"/>
                    <w:spacing w:before="0" w:after="0"/>
                    <w:ind w:left="-120" w:leftChars="-50" w:right="-120" w:rightChars="-50"/>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5" w:type="dxa"/>
                  <w:vMerge w:val="restart"/>
                  <w:tcBorders>
                    <w:top w:val="single" w:color="auto" w:sz="12" w:space="0"/>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L</w:t>
                  </w:r>
                  <w:r>
                    <w:rPr>
                      <w:color w:val="000000" w:themeColor="text1"/>
                      <w:sz w:val="21"/>
                      <w:vertAlign w:val="subscript"/>
                      <w14:textFill>
                        <w14:solidFill>
                          <w14:schemeClr w14:val="tx1"/>
                        </w14:solidFill>
                      </w14:textFill>
                    </w:rPr>
                    <w:t>eq</w:t>
                  </w:r>
                </w:p>
              </w:tc>
              <w:tc>
                <w:tcPr>
                  <w:tcW w:w="3170" w:type="dxa"/>
                  <w:tcBorders>
                    <w:top w:val="single" w:color="auto" w:sz="12" w:space="0"/>
                    <w:bottom w:val="single" w:color="auto" w:sz="4" w:space="0"/>
                  </w:tcBorders>
                  <w:vAlign w:val="center"/>
                </w:tcPr>
                <w:p>
                  <w:pPr>
                    <w:jc w:val="center"/>
                    <w:rPr>
                      <w:color w:val="000000" w:themeColor="text1"/>
                      <w:sz w:val="21"/>
                      <w:highlight w:val="yellow"/>
                      <w14:textFill>
                        <w14:solidFill>
                          <w14:schemeClr w14:val="tx1"/>
                        </w14:solidFill>
                      </w14:textFill>
                    </w:rPr>
                  </w:pPr>
                  <w:r>
                    <w:rPr>
                      <w:color w:val="000000" w:themeColor="text1"/>
                      <w:sz w:val="21"/>
                      <w14:textFill>
                        <w14:solidFill>
                          <w14:schemeClr w14:val="tx1"/>
                        </w14:solidFill>
                      </w14:textFill>
                    </w:rPr>
                    <w:t>项目东侧厂界外1m处</w:t>
                  </w:r>
                </w:p>
              </w:tc>
              <w:tc>
                <w:tcPr>
                  <w:tcW w:w="1134" w:type="dxa"/>
                  <w:gridSpan w:val="2"/>
                  <w:tcBorders>
                    <w:top w:val="single" w:color="auto" w:sz="12" w:space="0"/>
                    <w:bottom w:val="single" w:color="auto" w:sz="4" w:space="0"/>
                  </w:tcBorders>
                  <w:vAlign w:val="center"/>
                </w:tcPr>
                <w:p>
                  <w:pPr>
                    <w:pStyle w:val="27"/>
                    <w:spacing w:before="0" w:after="0"/>
                    <w:ind w:left="-120" w:leftChars="-50" w:right="-120" w:rightChars="-5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4</w:t>
                  </w:r>
                  <w:r>
                    <w:rPr>
                      <w:rFonts w:cs="Times New Roman"/>
                      <w:bCs/>
                      <w:color w:val="000000" w:themeColor="text1"/>
                      <w:sz w:val="21"/>
                      <w:szCs w:val="21"/>
                      <w14:textFill>
                        <w14:solidFill>
                          <w14:schemeClr w14:val="tx1"/>
                        </w14:solidFill>
                      </w14:textFill>
                    </w:rPr>
                    <w:t>9</w:t>
                  </w:r>
                </w:p>
              </w:tc>
              <w:tc>
                <w:tcPr>
                  <w:tcW w:w="1134" w:type="dxa"/>
                  <w:gridSpan w:val="2"/>
                  <w:tcBorders>
                    <w:top w:val="single" w:color="auto" w:sz="12" w:space="0"/>
                    <w:bottom w:val="single" w:color="auto" w:sz="4" w:space="0"/>
                  </w:tcBorders>
                  <w:vAlign w:val="center"/>
                </w:tcPr>
                <w:p>
                  <w:pPr>
                    <w:pStyle w:val="27"/>
                    <w:spacing w:before="0" w:after="0"/>
                    <w:ind w:left="-120" w:leftChars="-50" w:right="-120" w:rightChars="-5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60</w:t>
                  </w:r>
                </w:p>
              </w:tc>
              <w:tc>
                <w:tcPr>
                  <w:tcW w:w="1134" w:type="dxa"/>
                  <w:gridSpan w:val="2"/>
                  <w:tcBorders>
                    <w:top w:val="single" w:color="auto" w:sz="12" w:space="0"/>
                    <w:bottom w:val="single" w:color="auto" w:sz="4" w:space="0"/>
                  </w:tcBorders>
                  <w:vAlign w:val="center"/>
                </w:tcPr>
                <w:p>
                  <w:pPr>
                    <w:pStyle w:val="27"/>
                    <w:spacing w:before="0" w:after="0"/>
                    <w:ind w:left="-120" w:leftChars="-50" w:right="-120" w:rightChars="-5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3</w:t>
                  </w:r>
                  <w:r>
                    <w:rPr>
                      <w:rFonts w:cs="Times New Roman"/>
                      <w:bCs/>
                      <w:color w:val="000000" w:themeColor="text1"/>
                      <w:sz w:val="21"/>
                      <w:szCs w:val="21"/>
                      <w14:textFill>
                        <w14:solidFill>
                          <w14:schemeClr w14:val="tx1"/>
                        </w14:solidFill>
                      </w14:textFill>
                    </w:rPr>
                    <w:t>8</w:t>
                  </w:r>
                </w:p>
              </w:tc>
              <w:tc>
                <w:tcPr>
                  <w:tcW w:w="1245" w:type="dxa"/>
                  <w:gridSpan w:val="2"/>
                  <w:tcBorders>
                    <w:top w:val="single" w:color="auto" w:sz="12" w:space="0"/>
                    <w:bottom w:val="single" w:color="auto" w:sz="4" w:space="0"/>
                  </w:tcBorders>
                  <w:vAlign w:val="center"/>
                </w:tcPr>
                <w:p>
                  <w:pPr>
                    <w:pStyle w:val="27"/>
                    <w:spacing w:before="0" w:after="0"/>
                    <w:ind w:left="-120" w:leftChars="-50" w:right="-120" w:rightChars="-5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5" w:type="dxa"/>
                  <w:vMerge w:val="continue"/>
                  <w:vAlign w:val="center"/>
                </w:tcPr>
                <w:p>
                  <w:pPr>
                    <w:jc w:val="center"/>
                    <w:rPr>
                      <w:color w:val="000000" w:themeColor="text1"/>
                      <w:sz w:val="21"/>
                      <w14:textFill>
                        <w14:solidFill>
                          <w14:schemeClr w14:val="tx1"/>
                        </w14:solidFill>
                      </w14:textFill>
                    </w:rPr>
                  </w:pPr>
                </w:p>
              </w:tc>
              <w:tc>
                <w:tcPr>
                  <w:tcW w:w="3170" w:type="dxa"/>
                  <w:tcBorders>
                    <w:top w:val="single" w:color="auto" w:sz="4" w:space="0"/>
                    <w:bottom w:val="single" w:color="auto" w:sz="4" w:space="0"/>
                  </w:tcBorders>
                  <w:vAlign w:val="center"/>
                </w:tcPr>
                <w:p>
                  <w:pPr>
                    <w:jc w:val="center"/>
                    <w:rPr>
                      <w:color w:val="000000" w:themeColor="text1"/>
                      <w:sz w:val="21"/>
                      <w:highlight w:val="yellow"/>
                      <w14:textFill>
                        <w14:solidFill>
                          <w14:schemeClr w14:val="tx1"/>
                        </w14:solidFill>
                      </w14:textFill>
                    </w:rPr>
                  </w:pPr>
                  <w:r>
                    <w:rPr>
                      <w:color w:val="000000" w:themeColor="text1"/>
                      <w:sz w:val="21"/>
                      <w14:textFill>
                        <w14:solidFill>
                          <w14:schemeClr w14:val="tx1"/>
                        </w14:solidFill>
                      </w14:textFill>
                    </w:rPr>
                    <w:t>项目</w:t>
                  </w:r>
                  <w:r>
                    <w:rPr>
                      <w:rFonts w:hint="eastAsia"/>
                      <w:color w:val="000000" w:themeColor="text1"/>
                      <w:sz w:val="21"/>
                      <w14:textFill>
                        <w14:solidFill>
                          <w14:schemeClr w14:val="tx1"/>
                        </w14:solidFill>
                      </w14:textFill>
                    </w:rPr>
                    <w:t>西</w:t>
                  </w:r>
                  <w:r>
                    <w:rPr>
                      <w:color w:val="000000" w:themeColor="text1"/>
                      <w:sz w:val="21"/>
                      <w14:textFill>
                        <w14:solidFill>
                          <w14:schemeClr w14:val="tx1"/>
                        </w14:solidFill>
                      </w14:textFill>
                    </w:rPr>
                    <w:t>侧厂界外1m处</w:t>
                  </w:r>
                </w:p>
              </w:tc>
              <w:tc>
                <w:tcPr>
                  <w:tcW w:w="1134" w:type="dxa"/>
                  <w:gridSpan w:val="2"/>
                  <w:tcBorders>
                    <w:top w:val="single" w:color="auto" w:sz="4" w:space="0"/>
                    <w:bottom w:val="single" w:color="auto" w:sz="4" w:space="0"/>
                  </w:tcBorders>
                  <w:vAlign w:val="center"/>
                </w:tcPr>
                <w:p>
                  <w:pPr>
                    <w:pStyle w:val="27"/>
                    <w:spacing w:before="0" w:after="0"/>
                    <w:ind w:left="-120" w:leftChars="-50" w:right="-120" w:rightChars="-5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5</w:t>
                  </w:r>
                  <w:r>
                    <w:rPr>
                      <w:rFonts w:cs="Times New Roman"/>
                      <w:bCs/>
                      <w:color w:val="000000" w:themeColor="text1"/>
                      <w:sz w:val="21"/>
                      <w:szCs w:val="21"/>
                      <w14:textFill>
                        <w14:solidFill>
                          <w14:schemeClr w14:val="tx1"/>
                        </w14:solidFill>
                      </w14:textFill>
                    </w:rPr>
                    <w:t>1</w:t>
                  </w:r>
                </w:p>
              </w:tc>
              <w:tc>
                <w:tcPr>
                  <w:tcW w:w="1134" w:type="dxa"/>
                  <w:gridSpan w:val="2"/>
                  <w:tcBorders>
                    <w:top w:val="single" w:color="auto" w:sz="4" w:space="0"/>
                    <w:bottom w:val="single" w:color="auto" w:sz="4" w:space="0"/>
                  </w:tcBorders>
                  <w:vAlign w:val="center"/>
                </w:tcPr>
                <w:p>
                  <w:pPr>
                    <w:pStyle w:val="27"/>
                    <w:spacing w:before="0" w:after="0"/>
                    <w:ind w:left="-120" w:leftChars="-50" w:right="-120" w:rightChars="-5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60</w:t>
                  </w:r>
                </w:p>
              </w:tc>
              <w:tc>
                <w:tcPr>
                  <w:tcW w:w="1134" w:type="dxa"/>
                  <w:gridSpan w:val="2"/>
                  <w:tcBorders>
                    <w:top w:val="single" w:color="auto" w:sz="4" w:space="0"/>
                    <w:bottom w:val="single" w:color="auto" w:sz="4" w:space="0"/>
                  </w:tcBorders>
                  <w:vAlign w:val="center"/>
                </w:tcPr>
                <w:p>
                  <w:pPr>
                    <w:pStyle w:val="27"/>
                    <w:spacing w:before="0" w:after="0"/>
                    <w:ind w:left="-120" w:leftChars="-50" w:right="-120" w:rightChars="-5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4</w:t>
                  </w:r>
                  <w:r>
                    <w:rPr>
                      <w:rFonts w:cs="Times New Roman"/>
                      <w:bCs/>
                      <w:color w:val="000000" w:themeColor="text1"/>
                      <w:sz w:val="21"/>
                      <w:szCs w:val="21"/>
                      <w14:textFill>
                        <w14:solidFill>
                          <w14:schemeClr w14:val="tx1"/>
                        </w14:solidFill>
                      </w14:textFill>
                    </w:rPr>
                    <w:t>1</w:t>
                  </w:r>
                </w:p>
              </w:tc>
              <w:tc>
                <w:tcPr>
                  <w:tcW w:w="1245" w:type="dxa"/>
                  <w:gridSpan w:val="2"/>
                  <w:tcBorders>
                    <w:top w:val="single" w:color="auto" w:sz="4" w:space="0"/>
                    <w:bottom w:val="single" w:color="auto" w:sz="4" w:space="0"/>
                  </w:tcBorders>
                  <w:vAlign w:val="center"/>
                </w:tcPr>
                <w:p>
                  <w:pPr>
                    <w:pStyle w:val="27"/>
                    <w:spacing w:before="0" w:after="0"/>
                    <w:ind w:left="-120" w:leftChars="-50" w:right="-120" w:rightChars="-5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5" w:type="dxa"/>
                  <w:vMerge w:val="continue"/>
                  <w:vAlign w:val="center"/>
                </w:tcPr>
                <w:p>
                  <w:pPr>
                    <w:jc w:val="center"/>
                    <w:rPr>
                      <w:color w:val="000000" w:themeColor="text1"/>
                      <w:sz w:val="21"/>
                      <w14:textFill>
                        <w14:solidFill>
                          <w14:schemeClr w14:val="tx1"/>
                        </w14:solidFill>
                      </w14:textFill>
                    </w:rPr>
                  </w:pPr>
                </w:p>
              </w:tc>
              <w:tc>
                <w:tcPr>
                  <w:tcW w:w="3170" w:type="dxa"/>
                  <w:tcBorders>
                    <w:top w:val="single" w:color="auto" w:sz="4" w:space="0"/>
                    <w:bottom w:val="single" w:color="auto" w:sz="4" w:space="0"/>
                  </w:tcBorders>
                  <w:vAlign w:val="center"/>
                </w:tcPr>
                <w:p>
                  <w:pPr>
                    <w:jc w:val="center"/>
                    <w:rPr>
                      <w:color w:val="000000" w:themeColor="text1"/>
                      <w:sz w:val="21"/>
                      <w:highlight w:val="yellow"/>
                      <w14:textFill>
                        <w14:solidFill>
                          <w14:schemeClr w14:val="tx1"/>
                        </w14:solidFill>
                      </w14:textFill>
                    </w:rPr>
                  </w:pPr>
                  <w:r>
                    <w:rPr>
                      <w:color w:val="000000" w:themeColor="text1"/>
                      <w:sz w:val="21"/>
                      <w14:textFill>
                        <w14:solidFill>
                          <w14:schemeClr w14:val="tx1"/>
                        </w14:solidFill>
                      </w14:textFill>
                    </w:rPr>
                    <w:t>项目西</w:t>
                  </w:r>
                  <w:r>
                    <w:rPr>
                      <w:rFonts w:hint="eastAsia"/>
                      <w:color w:val="000000" w:themeColor="text1"/>
                      <w:sz w:val="21"/>
                      <w14:textFill>
                        <w14:solidFill>
                          <w14:schemeClr w14:val="tx1"/>
                        </w14:solidFill>
                      </w14:textFill>
                    </w:rPr>
                    <w:t>北</w:t>
                  </w:r>
                  <w:r>
                    <w:rPr>
                      <w:color w:val="000000" w:themeColor="text1"/>
                      <w:sz w:val="21"/>
                      <w14:textFill>
                        <w14:solidFill>
                          <w14:schemeClr w14:val="tx1"/>
                        </w14:solidFill>
                      </w14:textFill>
                    </w:rPr>
                    <w:t>侧厂界外1m处</w:t>
                  </w:r>
                </w:p>
              </w:tc>
              <w:tc>
                <w:tcPr>
                  <w:tcW w:w="1134" w:type="dxa"/>
                  <w:gridSpan w:val="2"/>
                  <w:tcBorders>
                    <w:top w:val="single" w:color="auto" w:sz="4" w:space="0"/>
                    <w:bottom w:val="single" w:color="auto" w:sz="4" w:space="0"/>
                  </w:tcBorders>
                  <w:vAlign w:val="center"/>
                </w:tcPr>
                <w:p>
                  <w:pPr>
                    <w:pStyle w:val="27"/>
                    <w:spacing w:before="0" w:after="0"/>
                    <w:ind w:left="-120" w:leftChars="-50" w:right="-120" w:rightChars="-5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5</w:t>
                  </w:r>
                  <w:r>
                    <w:rPr>
                      <w:rFonts w:cs="Times New Roman"/>
                      <w:bCs/>
                      <w:color w:val="000000" w:themeColor="text1"/>
                      <w:sz w:val="21"/>
                      <w:szCs w:val="21"/>
                      <w14:textFill>
                        <w14:solidFill>
                          <w14:schemeClr w14:val="tx1"/>
                        </w14:solidFill>
                      </w14:textFill>
                    </w:rPr>
                    <w:t>2</w:t>
                  </w:r>
                </w:p>
              </w:tc>
              <w:tc>
                <w:tcPr>
                  <w:tcW w:w="1134" w:type="dxa"/>
                  <w:gridSpan w:val="2"/>
                  <w:tcBorders>
                    <w:top w:val="single" w:color="auto" w:sz="4" w:space="0"/>
                    <w:bottom w:val="single" w:color="auto" w:sz="4" w:space="0"/>
                  </w:tcBorders>
                  <w:vAlign w:val="center"/>
                </w:tcPr>
                <w:p>
                  <w:pPr>
                    <w:pStyle w:val="27"/>
                    <w:spacing w:before="0" w:after="0"/>
                    <w:ind w:left="-120" w:leftChars="-50" w:right="-120" w:rightChars="-5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60</w:t>
                  </w:r>
                </w:p>
              </w:tc>
              <w:tc>
                <w:tcPr>
                  <w:tcW w:w="1134" w:type="dxa"/>
                  <w:gridSpan w:val="2"/>
                  <w:tcBorders>
                    <w:top w:val="single" w:color="auto" w:sz="4" w:space="0"/>
                    <w:bottom w:val="single" w:color="auto" w:sz="4" w:space="0"/>
                  </w:tcBorders>
                  <w:vAlign w:val="center"/>
                </w:tcPr>
                <w:p>
                  <w:pPr>
                    <w:pStyle w:val="27"/>
                    <w:spacing w:before="0" w:after="0"/>
                    <w:ind w:left="-120" w:leftChars="-50" w:right="-120" w:rightChars="-5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4</w:t>
                  </w:r>
                  <w:r>
                    <w:rPr>
                      <w:rFonts w:cs="Times New Roman"/>
                      <w:bCs/>
                      <w:color w:val="000000" w:themeColor="text1"/>
                      <w:sz w:val="21"/>
                      <w:szCs w:val="21"/>
                      <w14:textFill>
                        <w14:solidFill>
                          <w14:schemeClr w14:val="tx1"/>
                        </w14:solidFill>
                      </w14:textFill>
                    </w:rPr>
                    <w:t>3</w:t>
                  </w:r>
                </w:p>
              </w:tc>
              <w:tc>
                <w:tcPr>
                  <w:tcW w:w="1245" w:type="dxa"/>
                  <w:gridSpan w:val="2"/>
                  <w:tcBorders>
                    <w:top w:val="single" w:color="auto" w:sz="4" w:space="0"/>
                    <w:bottom w:val="single" w:color="auto" w:sz="4" w:space="0"/>
                  </w:tcBorders>
                  <w:vAlign w:val="center"/>
                </w:tcPr>
                <w:p>
                  <w:pPr>
                    <w:pStyle w:val="27"/>
                    <w:spacing w:before="0" w:after="0"/>
                    <w:ind w:left="-120" w:leftChars="-50" w:right="-120" w:rightChars="-5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5" w:type="dxa"/>
                  <w:vMerge w:val="continue"/>
                  <w:vAlign w:val="center"/>
                </w:tcPr>
                <w:p>
                  <w:pPr>
                    <w:jc w:val="center"/>
                    <w:rPr>
                      <w:color w:val="000000" w:themeColor="text1"/>
                      <w:sz w:val="21"/>
                      <w14:textFill>
                        <w14:solidFill>
                          <w14:schemeClr w14:val="tx1"/>
                        </w14:solidFill>
                      </w14:textFill>
                    </w:rPr>
                  </w:pPr>
                </w:p>
              </w:tc>
              <w:tc>
                <w:tcPr>
                  <w:tcW w:w="3170" w:type="dxa"/>
                  <w:tcBorders>
                    <w:top w:val="single" w:color="auto" w:sz="4" w:space="0"/>
                    <w:bottom w:val="single" w:color="auto" w:sz="4" w:space="0"/>
                  </w:tcBorders>
                  <w:vAlign w:val="center"/>
                </w:tcPr>
                <w:p>
                  <w:pPr>
                    <w:jc w:val="center"/>
                    <w:rPr>
                      <w:color w:val="000000" w:themeColor="text1"/>
                      <w:sz w:val="21"/>
                      <w:highlight w:val="yellow"/>
                      <w14:textFill>
                        <w14:solidFill>
                          <w14:schemeClr w14:val="tx1"/>
                        </w14:solidFill>
                      </w14:textFill>
                    </w:rPr>
                  </w:pPr>
                  <w:r>
                    <w:rPr>
                      <w:color w:val="000000" w:themeColor="text1"/>
                      <w:sz w:val="21"/>
                      <w14:textFill>
                        <w14:solidFill>
                          <w14:schemeClr w14:val="tx1"/>
                        </w14:solidFill>
                      </w14:textFill>
                    </w:rPr>
                    <w:t>项目北侧厂界外1m处</w:t>
                  </w:r>
                </w:p>
              </w:tc>
              <w:tc>
                <w:tcPr>
                  <w:tcW w:w="1134" w:type="dxa"/>
                  <w:gridSpan w:val="2"/>
                  <w:tcBorders>
                    <w:top w:val="single" w:color="auto" w:sz="4" w:space="0"/>
                    <w:bottom w:val="single" w:color="auto" w:sz="4" w:space="0"/>
                  </w:tcBorders>
                  <w:vAlign w:val="center"/>
                </w:tcPr>
                <w:p>
                  <w:pPr>
                    <w:pStyle w:val="27"/>
                    <w:spacing w:before="0" w:after="0"/>
                    <w:ind w:left="-120" w:leftChars="-50" w:right="-120" w:rightChars="-5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5</w:t>
                  </w:r>
                  <w:r>
                    <w:rPr>
                      <w:rFonts w:cs="Times New Roman"/>
                      <w:bCs/>
                      <w:color w:val="000000" w:themeColor="text1"/>
                      <w:sz w:val="21"/>
                      <w:szCs w:val="21"/>
                      <w14:textFill>
                        <w14:solidFill>
                          <w14:schemeClr w14:val="tx1"/>
                        </w14:solidFill>
                      </w14:textFill>
                    </w:rPr>
                    <w:t>1</w:t>
                  </w:r>
                </w:p>
              </w:tc>
              <w:tc>
                <w:tcPr>
                  <w:tcW w:w="1134" w:type="dxa"/>
                  <w:gridSpan w:val="2"/>
                  <w:tcBorders>
                    <w:top w:val="single" w:color="auto" w:sz="4" w:space="0"/>
                    <w:bottom w:val="single" w:color="auto" w:sz="4" w:space="0"/>
                  </w:tcBorders>
                  <w:vAlign w:val="center"/>
                </w:tcPr>
                <w:p>
                  <w:pPr>
                    <w:pStyle w:val="27"/>
                    <w:spacing w:before="0" w:after="0"/>
                    <w:ind w:left="-120" w:leftChars="-50" w:right="-120" w:rightChars="-5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60</w:t>
                  </w:r>
                </w:p>
              </w:tc>
              <w:tc>
                <w:tcPr>
                  <w:tcW w:w="1134" w:type="dxa"/>
                  <w:gridSpan w:val="2"/>
                  <w:tcBorders>
                    <w:top w:val="single" w:color="auto" w:sz="4" w:space="0"/>
                    <w:bottom w:val="single" w:color="auto" w:sz="4" w:space="0"/>
                  </w:tcBorders>
                  <w:vAlign w:val="center"/>
                </w:tcPr>
                <w:p>
                  <w:pPr>
                    <w:pStyle w:val="27"/>
                    <w:spacing w:before="0" w:after="0"/>
                    <w:ind w:left="-120" w:leftChars="-50" w:right="-120" w:rightChars="-5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4</w:t>
                  </w:r>
                  <w:r>
                    <w:rPr>
                      <w:rFonts w:cs="Times New Roman"/>
                      <w:bCs/>
                      <w:color w:val="000000" w:themeColor="text1"/>
                      <w:sz w:val="21"/>
                      <w:szCs w:val="21"/>
                      <w14:textFill>
                        <w14:solidFill>
                          <w14:schemeClr w14:val="tx1"/>
                        </w14:solidFill>
                      </w14:textFill>
                    </w:rPr>
                    <w:t>0</w:t>
                  </w:r>
                </w:p>
              </w:tc>
              <w:tc>
                <w:tcPr>
                  <w:tcW w:w="1245" w:type="dxa"/>
                  <w:gridSpan w:val="2"/>
                  <w:tcBorders>
                    <w:top w:val="single" w:color="auto" w:sz="4" w:space="0"/>
                    <w:bottom w:val="single" w:color="auto" w:sz="4" w:space="0"/>
                  </w:tcBorders>
                  <w:vAlign w:val="center"/>
                </w:tcPr>
                <w:p>
                  <w:pPr>
                    <w:pStyle w:val="27"/>
                    <w:spacing w:before="0" w:after="0"/>
                    <w:ind w:left="-120" w:leftChars="-50" w:right="-120" w:rightChars="-5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5" w:type="dxa"/>
                  <w:vMerge w:val="continue"/>
                  <w:vAlign w:val="center"/>
                </w:tcPr>
                <w:p>
                  <w:pPr>
                    <w:jc w:val="center"/>
                    <w:rPr>
                      <w:color w:val="000000" w:themeColor="text1"/>
                      <w:sz w:val="21"/>
                      <w14:textFill>
                        <w14:solidFill>
                          <w14:schemeClr w14:val="tx1"/>
                        </w14:solidFill>
                      </w14:textFill>
                    </w:rPr>
                  </w:pPr>
                </w:p>
              </w:tc>
              <w:tc>
                <w:tcPr>
                  <w:tcW w:w="3170" w:type="dxa"/>
                  <w:tcBorders>
                    <w:top w:val="single" w:color="auto" w:sz="4" w:space="0"/>
                    <w:bottom w:val="single" w:color="auto" w:sz="4" w:space="0"/>
                  </w:tcBorders>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项目厂区东北侧居民点外1m处</w:t>
                  </w:r>
                </w:p>
              </w:tc>
              <w:tc>
                <w:tcPr>
                  <w:tcW w:w="1134" w:type="dxa"/>
                  <w:gridSpan w:val="2"/>
                  <w:tcBorders>
                    <w:top w:val="single" w:color="auto" w:sz="4" w:space="0"/>
                    <w:bottom w:val="single" w:color="auto" w:sz="4" w:space="0"/>
                  </w:tcBorders>
                  <w:vAlign w:val="center"/>
                </w:tcPr>
                <w:p>
                  <w:pPr>
                    <w:pStyle w:val="27"/>
                    <w:spacing w:before="0" w:after="0"/>
                    <w:ind w:left="-120" w:leftChars="-50" w:right="-120" w:rightChars="-5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5</w:t>
                  </w:r>
                  <w:r>
                    <w:rPr>
                      <w:rFonts w:cs="Times New Roman"/>
                      <w:bCs/>
                      <w:color w:val="000000" w:themeColor="text1"/>
                      <w:sz w:val="21"/>
                      <w:szCs w:val="21"/>
                      <w14:textFill>
                        <w14:solidFill>
                          <w14:schemeClr w14:val="tx1"/>
                        </w14:solidFill>
                      </w14:textFill>
                    </w:rPr>
                    <w:t>0</w:t>
                  </w:r>
                </w:p>
              </w:tc>
              <w:tc>
                <w:tcPr>
                  <w:tcW w:w="1134" w:type="dxa"/>
                  <w:gridSpan w:val="2"/>
                  <w:tcBorders>
                    <w:top w:val="single" w:color="auto" w:sz="4" w:space="0"/>
                    <w:bottom w:val="single" w:color="auto" w:sz="4" w:space="0"/>
                  </w:tcBorders>
                  <w:vAlign w:val="center"/>
                </w:tcPr>
                <w:p>
                  <w:pPr>
                    <w:pStyle w:val="27"/>
                    <w:spacing w:before="0" w:after="0"/>
                    <w:ind w:left="-120" w:leftChars="-50" w:right="-120" w:rightChars="-5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60</w:t>
                  </w:r>
                </w:p>
              </w:tc>
              <w:tc>
                <w:tcPr>
                  <w:tcW w:w="1134" w:type="dxa"/>
                  <w:gridSpan w:val="2"/>
                  <w:tcBorders>
                    <w:top w:val="single" w:color="auto" w:sz="4" w:space="0"/>
                    <w:bottom w:val="single" w:color="auto" w:sz="4" w:space="0"/>
                  </w:tcBorders>
                  <w:vAlign w:val="center"/>
                </w:tcPr>
                <w:p>
                  <w:pPr>
                    <w:ind w:left="-120" w:leftChars="-50" w:right="-120" w:rightChars="-50"/>
                    <w:jc w:val="center"/>
                    <w:rPr>
                      <w:bCs/>
                      <w:color w:val="000000" w:themeColor="text1"/>
                      <w:sz w:val="21"/>
                      <w14:textFill>
                        <w14:solidFill>
                          <w14:schemeClr w14:val="tx1"/>
                        </w14:solidFill>
                      </w14:textFill>
                    </w:rPr>
                  </w:pPr>
                  <w:r>
                    <w:rPr>
                      <w:rFonts w:hint="eastAsia"/>
                      <w:bCs/>
                      <w:color w:val="000000" w:themeColor="text1"/>
                      <w:sz w:val="21"/>
                      <w14:textFill>
                        <w14:solidFill>
                          <w14:schemeClr w14:val="tx1"/>
                        </w14:solidFill>
                      </w14:textFill>
                    </w:rPr>
                    <w:t>4</w:t>
                  </w:r>
                  <w:r>
                    <w:rPr>
                      <w:bCs/>
                      <w:color w:val="000000" w:themeColor="text1"/>
                      <w:sz w:val="21"/>
                      <w14:textFill>
                        <w14:solidFill>
                          <w14:schemeClr w14:val="tx1"/>
                        </w14:solidFill>
                      </w14:textFill>
                    </w:rPr>
                    <w:t>0</w:t>
                  </w:r>
                </w:p>
              </w:tc>
              <w:tc>
                <w:tcPr>
                  <w:tcW w:w="1245" w:type="dxa"/>
                  <w:gridSpan w:val="2"/>
                  <w:tcBorders>
                    <w:top w:val="single" w:color="auto" w:sz="4" w:space="0"/>
                    <w:bottom w:val="single" w:color="auto" w:sz="4" w:space="0"/>
                  </w:tcBorders>
                  <w:vAlign w:val="center"/>
                </w:tcPr>
                <w:p>
                  <w:pPr>
                    <w:pStyle w:val="27"/>
                    <w:spacing w:before="0" w:after="0"/>
                    <w:ind w:left="-120" w:leftChars="-50" w:right="-120" w:rightChars="-5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45" w:type="dxa"/>
                  <w:vMerge w:val="continue"/>
                  <w:tcBorders>
                    <w:bottom w:val="single" w:color="auto" w:sz="12" w:space="0"/>
                  </w:tcBorders>
                  <w:vAlign w:val="center"/>
                </w:tcPr>
                <w:p>
                  <w:pPr>
                    <w:jc w:val="center"/>
                    <w:rPr>
                      <w:color w:val="000000" w:themeColor="text1"/>
                      <w:sz w:val="21"/>
                      <w14:textFill>
                        <w14:solidFill>
                          <w14:schemeClr w14:val="tx1"/>
                        </w14:solidFill>
                      </w14:textFill>
                    </w:rPr>
                  </w:pPr>
                </w:p>
              </w:tc>
              <w:tc>
                <w:tcPr>
                  <w:tcW w:w="3170" w:type="dxa"/>
                  <w:tcBorders>
                    <w:top w:val="single" w:color="auto" w:sz="4" w:space="0"/>
                    <w:bottom w:val="single" w:color="auto" w:sz="12" w:space="0"/>
                  </w:tcBorders>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项目厂区西北侧居民点外1m处</w:t>
                  </w:r>
                </w:p>
              </w:tc>
              <w:tc>
                <w:tcPr>
                  <w:tcW w:w="1134" w:type="dxa"/>
                  <w:gridSpan w:val="2"/>
                  <w:tcBorders>
                    <w:top w:val="single" w:color="auto" w:sz="4" w:space="0"/>
                    <w:bottom w:val="single" w:color="auto" w:sz="12" w:space="0"/>
                  </w:tcBorders>
                  <w:vAlign w:val="center"/>
                </w:tcPr>
                <w:p>
                  <w:pPr>
                    <w:pStyle w:val="27"/>
                    <w:spacing w:before="0" w:after="0"/>
                    <w:ind w:left="-120" w:leftChars="-50" w:right="-120" w:rightChars="-5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5</w:t>
                  </w:r>
                  <w:r>
                    <w:rPr>
                      <w:rFonts w:cs="Times New Roman"/>
                      <w:bCs/>
                      <w:color w:val="000000" w:themeColor="text1"/>
                      <w:sz w:val="21"/>
                      <w:szCs w:val="21"/>
                      <w14:textFill>
                        <w14:solidFill>
                          <w14:schemeClr w14:val="tx1"/>
                        </w14:solidFill>
                      </w14:textFill>
                    </w:rPr>
                    <w:t>1</w:t>
                  </w:r>
                </w:p>
              </w:tc>
              <w:tc>
                <w:tcPr>
                  <w:tcW w:w="1134" w:type="dxa"/>
                  <w:gridSpan w:val="2"/>
                  <w:tcBorders>
                    <w:top w:val="single" w:color="auto" w:sz="4" w:space="0"/>
                    <w:bottom w:val="single" w:color="auto" w:sz="12" w:space="0"/>
                  </w:tcBorders>
                  <w:vAlign w:val="center"/>
                </w:tcPr>
                <w:p>
                  <w:pPr>
                    <w:pStyle w:val="27"/>
                    <w:spacing w:before="0" w:after="0"/>
                    <w:ind w:left="-120" w:leftChars="-50" w:right="-120" w:rightChars="-5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60</w:t>
                  </w:r>
                </w:p>
              </w:tc>
              <w:tc>
                <w:tcPr>
                  <w:tcW w:w="1134" w:type="dxa"/>
                  <w:gridSpan w:val="2"/>
                  <w:tcBorders>
                    <w:top w:val="single" w:color="auto" w:sz="4" w:space="0"/>
                    <w:bottom w:val="single" w:color="auto" w:sz="12" w:space="0"/>
                  </w:tcBorders>
                  <w:vAlign w:val="center"/>
                </w:tcPr>
                <w:p>
                  <w:pPr>
                    <w:ind w:left="-120" w:leftChars="-50" w:right="-120" w:rightChars="-50"/>
                    <w:jc w:val="center"/>
                    <w:rPr>
                      <w:bCs/>
                      <w:color w:val="000000" w:themeColor="text1"/>
                      <w:sz w:val="21"/>
                      <w14:textFill>
                        <w14:solidFill>
                          <w14:schemeClr w14:val="tx1"/>
                        </w14:solidFill>
                      </w14:textFill>
                    </w:rPr>
                  </w:pPr>
                  <w:r>
                    <w:rPr>
                      <w:rFonts w:hint="eastAsia"/>
                      <w:bCs/>
                      <w:color w:val="000000" w:themeColor="text1"/>
                      <w:sz w:val="21"/>
                      <w14:textFill>
                        <w14:solidFill>
                          <w14:schemeClr w14:val="tx1"/>
                        </w14:solidFill>
                      </w14:textFill>
                    </w:rPr>
                    <w:t>4</w:t>
                  </w:r>
                  <w:r>
                    <w:rPr>
                      <w:bCs/>
                      <w:color w:val="000000" w:themeColor="text1"/>
                      <w:sz w:val="21"/>
                      <w14:textFill>
                        <w14:solidFill>
                          <w14:schemeClr w14:val="tx1"/>
                        </w14:solidFill>
                      </w14:textFill>
                    </w:rPr>
                    <w:t>1</w:t>
                  </w:r>
                </w:p>
              </w:tc>
              <w:tc>
                <w:tcPr>
                  <w:tcW w:w="1245" w:type="dxa"/>
                  <w:gridSpan w:val="2"/>
                  <w:tcBorders>
                    <w:top w:val="single" w:color="auto" w:sz="4" w:space="0"/>
                    <w:bottom w:val="single" w:color="auto" w:sz="12" w:space="0"/>
                  </w:tcBorders>
                  <w:vAlign w:val="center"/>
                </w:tcPr>
                <w:p>
                  <w:pPr>
                    <w:pStyle w:val="27"/>
                    <w:spacing w:before="0" w:after="0"/>
                    <w:ind w:left="-120" w:leftChars="-50" w:right="-120" w:rightChars="-50"/>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50</w:t>
                  </w:r>
                </w:p>
              </w:tc>
            </w:tr>
          </w:tbl>
          <w:p>
            <w:pPr>
              <w:spacing w:line="360" w:lineRule="auto"/>
              <w:ind w:firstLine="480" w:firstLineChars="200"/>
              <w:rPr>
                <w:color w:val="000000" w:themeColor="text1"/>
                <w14:textFill>
                  <w14:solidFill>
                    <w14:schemeClr w14:val="tx1"/>
                  </w14:solidFill>
                </w14:textFill>
              </w:rPr>
            </w:pPr>
            <w:r>
              <w:rPr>
                <w:color w:val="000000" w:themeColor="text1"/>
                <w:szCs w:val="24"/>
                <w14:textFill>
                  <w14:solidFill>
                    <w14:schemeClr w14:val="tx1"/>
                  </w14:solidFill>
                </w14:textFill>
              </w:rPr>
              <w:t>结果表明，项目区域各噪声监测点达满足《声环境质量标准》（GB3096-2008）2类标准，区域声环境质量良好。</w:t>
            </w:r>
            <w:r>
              <w:rPr>
                <w:rFonts w:hint="eastAsia"/>
                <w:color w:val="000000" w:themeColor="text1"/>
                <w14:textFill>
                  <w14:solidFill>
                    <w14:schemeClr w14:val="tx1"/>
                  </w14:solidFill>
                </w14:textFill>
              </w:rPr>
              <w:t xml:space="preserve"> </w:t>
            </w:r>
          </w:p>
          <w:p>
            <w:pPr>
              <w:spacing w:line="360" w:lineRule="auto"/>
              <w:ind w:firstLine="482" w:firstLineChars="200"/>
              <w:rPr>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4、地下水环境质量现状</w:t>
            </w:r>
          </w:p>
          <w:p>
            <w:pPr>
              <w:spacing w:line="360" w:lineRule="auto"/>
              <w:ind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根据《环境影响评价技术导则地下水环境》（HJ610-2016），将建设项目分为四类，其中IV类项目不需进行地下水环境影响评价。本项目为其他建筑材料制造，编写报告表，属《环境影响评价技术导则地下水环境》（HJ610-2016）附录A中“J非金属矿采选及制品制造”类中相近的“64、砖瓦制造”，属IV类项目，不需进行地下水环境影响评价，故未开展地下水环境质量监测。</w:t>
            </w:r>
          </w:p>
          <w:p>
            <w:pPr>
              <w:spacing w:line="360" w:lineRule="auto"/>
              <w:ind w:firstLine="482" w:firstLineChars="200"/>
              <w:rPr>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5、土壤环境质量现状</w:t>
            </w:r>
          </w:p>
          <w:p>
            <w:pPr>
              <w:spacing w:line="360" w:lineRule="auto"/>
              <w:ind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根据《环境影响评价技术导则土壤环境（试行）》（HJ964—2018）附录A土壤环境影响评价项目类别表，本项目属于“其他行业类”的项目，属于IV类项目，可不开展土壤环境影响评价。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3" w:type="dxa"/>
            <w:vAlign w:val="center"/>
          </w:tcPr>
          <w:p>
            <w:pPr>
              <w:spacing w:line="360"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环境</w:t>
            </w:r>
          </w:p>
          <w:p>
            <w:pPr>
              <w:spacing w:line="360"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保护</w:t>
            </w:r>
          </w:p>
          <w:p>
            <w:pPr>
              <w:spacing w:line="360"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目标</w:t>
            </w:r>
          </w:p>
        </w:tc>
        <w:tc>
          <w:tcPr>
            <w:tcW w:w="8759" w:type="dxa"/>
            <w:vAlign w:val="center"/>
          </w:tcPr>
          <w:p>
            <w:pPr>
              <w:pStyle w:val="45"/>
              <w:adjustRightInd w:val="0"/>
              <w:snapToGrid w:val="0"/>
              <w:spacing w:before="156" w:beforeLines="50"/>
              <w:ind w:firstLine="0" w:firstLineChars="0"/>
              <w:rPr>
                <w:b/>
                <w:bCs/>
              </w:rPr>
            </w:pPr>
            <w:r>
              <w:rPr>
                <w:rFonts w:hint="eastAsia"/>
                <w:b/>
                <w:bCs/>
              </w:rPr>
              <w:t>1、项目外环境关系</w:t>
            </w:r>
          </w:p>
          <w:p>
            <w:pPr>
              <w:spacing w:line="360" w:lineRule="auto"/>
              <w:ind w:firstLine="480" w:firstLineChars="200"/>
              <w:rPr>
                <w:szCs w:val="24"/>
              </w:rPr>
            </w:pPr>
            <w:r>
              <w:rPr>
                <w:szCs w:val="24"/>
              </w:rPr>
              <w:t>本项目选址位于四川省达州市</w:t>
            </w:r>
            <w:r>
              <w:rPr>
                <w:rFonts w:hint="eastAsia"/>
                <w:szCs w:val="24"/>
              </w:rPr>
              <w:t>宣汉县南坝镇天台村三组</w:t>
            </w:r>
            <w:r>
              <w:rPr>
                <w:szCs w:val="24"/>
              </w:rPr>
              <w:t>，根据现场踏勘，项目</w:t>
            </w:r>
            <w:r>
              <w:rPr>
                <w:rFonts w:hint="eastAsia"/>
                <w:szCs w:val="24"/>
              </w:rPr>
              <w:t>北侧7m处有1户天台村居民，北侧1</w:t>
            </w:r>
            <w:r>
              <w:rPr>
                <w:szCs w:val="24"/>
              </w:rPr>
              <w:t>2</w:t>
            </w:r>
            <w:r>
              <w:rPr>
                <w:rFonts w:hint="eastAsia"/>
                <w:szCs w:val="24"/>
              </w:rPr>
              <w:t>m处分布有天台村居民</w:t>
            </w:r>
            <w:r>
              <w:rPr>
                <w:szCs w:val="24"/>
              </w:rPr>
              <w:t>；</w:t>
            </w:r>
            <w:r>
              <w:rPr>
                <w:rFonts w:hint="eastAsia"/>
                <w:szCs w:val="24"/>
              </w:rPr>
              <w:t>东侧紧邻一木板加工厂；南侧1</w:t>
            </w:r>
            <w:r>
              <w:rPr>
                <w:szCs w:val="24"/>
              </w:rPr>
              <w:t>7</w:t>
            </w:r>
            <w:r>
              <w:rPr>
                <w:rFonts w:hint="eastAsia"/>
                <w:szCs w:val="24"/>
              </w:rPr>
              <w:t>m处为丁家坝河，南侧1</w:t>
            </w:r>
            <w:r>
              <w:rPr>
                <w:szCs w:val="24"/>
              </w:rPr>
              <w:t>20</w:t>
            </w:r>
            <w:r>
              <w:rPr>
                <w:rFonts w:hint="eastAsia"/>
                <w:szCs w:val="24"/>
              </w:rPr>
              <w:t>m处分布有天台村居民；</w:t>
            </w:r>
            <w:r>
              <w:rPr>
                <w:szCs w:val="24"/>
              </w:rPr>
              <w:t>西侧</w:t>
            </w:r>
            <w:r>
              <w:rPr>
                <w:rFonts w:hint="eastAsia"/>
                <w:szCs w:val="24"/>
              </w:rPr>
              <w:t>2</w:t>
            </w:r>
            <w:r>
              <w:rPr>
                <w:szCs w:val="24"/>
              </w:rPr>
              <w:t>2</w:t>
            </w:r>
            <w:r>
              <w:rPr>
                <w:rFonts w:hint="eastAsia"/>
                <w:szCs w:val="24"/>
              </w:rPr>
              <w:t>0</w:t>
            </w:r>
            <w:r>
              <w:rPr>
                <w:szCs w:val="24"/>
              </w:rPr>
              <w:t>m处</w:t>
            </w:r>
            <w:r>
              <w:rPr>
                <w:rFonts w:hint="eastAsia"/>
                <w:szCs w:val="24"/>
              </w:rPr>
              <w:t>分布有天台村居民</w:t>
            </w:r>
            <w:r>
              <w:rPr>
                <w:szCs w:val="24"/>
              </w:rPr>
              <w:t>，</w:t>
            </w:r>
            <w:r>
              <w:rPr>
                <w:rFonts w:hint="eastAsia"/>
                <w:szCs w:val="24"/>
              </w:rPr>
              <w:t>西侧310m处为前河。</w:t>
            </w:r>
          </w:p>
          <w:p>
            <w:pPr>
              <w:tabs>
                <w:tab w:val="left" w:pos="7560"/>
              </w:tabs>
              <w:spacing w:line="360" w:lineRule="auto"/>
              <w:jc w:val="left"/>
              <w:rPr>
                <w:b/>
                <w:bCs/>
              </w:rPr>
            </w:pPr>
            <w:r>
              <w:rPr>
                <w:rFonts w:hint="eastAsia"/>
                <w:b/>
                <w:bCs/>
              </w:rPr>
              <w:t>2、环境保护目标</w:t>
            </w:r>
          </w:p>
          <w:p>
            <w:pPr>
              <w:tabs>
                <w:tab w:val="left" w:pos="7560"/>
              </w:tabs>
              <w:spacing w:line="360" w:lineRule="auto"/>
              <w:ind w:firstLine="480" w:firstLineChars="200"/>
              <w:jc w:val="left"/>
            </w:pPr>
            <w:r>
              <w:rPr>
                <w:rFonts w:hint="eastAsia"/>
              </w:rPr>
              <w:t>根据项目所处的地理位置并结合项目排污特点和外环境特征，本项目主要环境保护目标为：</w:t>
            </w:r>
          </w:p>
          <w:p>
            <w:pPr>
              <w:tabs>
                <w:tab w:val="left" w:pos="7560"/>
              </w:tabs>
              <w:spacing w:line="360" w:lineRule="auto"/>
              <w:ind w:firstLine="480" w:firstLineChars="200"/>
              <w:jc w:val="left"/>
            </w:pPr>
            <w:r>
              <w:rPr>
                <w:rFonts w:hint="eastAsia"/>
              </w:rPr>
              <w:t>（1）大气环境保护目标</w:t>
            </w:r>
          </w:p>
          <w:p>
            <w:pPr>
              <w:tabs>
                <w:tab w:val="left" w:pos="7560"/>
              </w:tabs>
              <w:spacing w:line="360" w:lineRule="auto"/>
              <w:ind w:firstLine="480" w:firstLineChars="200"/>
              <w:jc w:val="left"/>
            </w:pPr>
            <w:r>
              <w:rPr>
                <w:rFonts w:hint="eastAsia"/>
              </w:rPr>
              <w:t>本次评价的大气环境保护目标为厂界外500m范围内的自然保护区、风景名胜区、居住区、文化区和农村地区中人群较集中的区域。环境保护级别：不因本项目的实施而改变评价区域内环境空气质量，即满足《环境空气质量标准》（GB3095-2012）二级标准。</w:t>
            </w:r>
          </w:p>
          <w:p>
            <w:pPr>
              <w:tabs>
                <w:tab w:val="left" w:pos="7560"/>
              </w:tabs>
              <w:spacing w:line="360" w:lineRule="auto"/>
              <w:ind w:firstLine="480" w:firstLineChars="200"/>
              <w:jc w:val="left"/>
            </w:pPr>
            <w:r>
              <w:rPr>
                <w:rFonts w:hint="eastAsia"/>
              </w:rPr>
              <w:t>（2）声环境保护目标</w:t>
            </w:r>
          </w:p>
          <w:p>
            <w:pPr>
              <w:tabs>
                <w:tab w:val="left" w:pos="7560"/>
              </w:tabs>
              <w:spacing w:line="360" w:lineRule="auto"/>
              <w:ind w:firstLine="480" w:firstLineChars="200"/>
              <w:jc w:val="left"/>
            </w:pPr>
            <w:r>
              <w:rPr>
                <w:rFonts w:hint="eastAsia"/>
              </w:rPr>
              <w:t>本次评价的声学环境重点保护目标确定为：项目周边50m范围内的声学环境质量。周围环境噪声质量应满足《声环境质量标准》（GB3096-2008）中</w:t>
            </w:r>
            <w:r>
              <w:t>2</w:t>
            </w:r>
            <w:r>
              <w:rPr>
                <w:rFonts w:hint="eastAsia"/>
              </w:rPr>
              <w:t>类区域标准限值要求。</w:t>
            </w:r>
          </w:p>
          <w:p>
            <w:pPr>
              <w:tabs>
                <w:tab w:val="left" w:pos="7560"/>
              </w:tabs>
              <w:spacing w:line="360" w:lineRule="auto"/>
              <w:ind w:firstLine="480" w:firstLineChars="200"/>
              <w:jc w:val="left"/>
            </w:pPr>
            <w:r>
              <w:rPr>
                <w:rFonts w:hint="eastAsia"/>
              </w:rPr>
              <w:t>（3）地下水环境保护目标</w:t>
            </w:r>
          </w:p>
          <w:p>
            <w:pPr>
              <w:tabs>
                <w:tab w:val="left" w:pos="7560"/>
              </w:tabs>
              <w:spacing w:line="360" w:lineRule="auto"/>
              <w:ind w:firstLine="480" w:firstLineChars="200"/>
              <w:jc w:val="left"/>
            </w:pPr>
            <w:r>
              <w:rPr>
                <w:rFonts w:hint="eastAsia"/>
              </w:rPr>
              <w:t>本次评价的地下水环境保护目标：明确厂界外500m范围内的地下水集中式饮用水水源和热水、矿泉水、温泉等特殊地下水资源。地下水水质不因本项目的建设和营运而恶化，不改变现有的水体功能，评价区域内水体水质应达到《地下水质量标准》（GB/T14848-2017）中的III类标准要求。</w:t>
            </w:r>
          </w:p>
          <w:p>
            <w:pPr>
              <w:tabs>
                <w:tab w:val="left" w:pos="7560"/>
              </w:tabs>
              <w:spacing w:line="360" w:lineRule="auto"/>
              <w:ind w:firstLine="480" w:firstLineChars="200"/>
              <w:jc w:val="left"/>
            </w:pPr>
            <w:r>
              <w:rPr>
                <w:rFonts w:hint="eastAsia"/>
              </w:rPr>
              <w:t>（4）生态环境保护目标</w:t>
            </w:r>
          </w:p>
          <w:p>
            <w:pPr>
              <w:tabs>
                <w:tab w:val="left" w:pos="7560"/>
              </w:tabs>
              <w:spacing w:line="360" w:lineRule="auto"/>
              <w:ind w:firstLine="480" w:firstLineChars="200"/>
              <w:jc w:val="left"/>
            </w:pPr>
            <w:r>
              <w:rPr>
                <w:rFonts w:hint="eastAsia"/>
              </w:rPr>
              <w:t>不因本项目的建设改变该地区生态环境。</w:t>
            </w:r>
          </w:p>
          <w:p>
            <w:pPr>
              <w:pStyle w:val="2"/>
              <w:ind w:left="960" w:hanging="480"/>
            </w:pPr>
            <w:r>
              <w:t>本项目主要环境保护目标见表3-8。</w:t>
            </w:r>
          </w:p>
          <w:p>
            <w:pPr>
              <w:spacing w:line="500" w:lineRule="exact"/>
              <w:ind w:firstLine="402" w:firstLineChars="200"/>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表3-8  主要环境保护目标</w:t>
            </w:r>
          </w:p>
          <w:tbl>
            <w:tblPr>
              <w:tblStyle w:val="15"/>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505"/>
              <w:gridCol w:w="1135"/>
              <w:gridCol w:w="1560"/>
              <w:gridCol w:w="1427"/>
              <w:gridCol w:w="20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7" w:type="pct"/>
                  <w:vAlign w:val="center"/>
                </w:tcPr>
                <w:p>
                  <w:pPr>
                    <w:tabs>
                      <w:tab w:val="left" w:pos="7560"/>
                    </w:tabs>
                    <w:spacing w:line="276" w:lineRule="auto"/>
                    <w:jc w:val="center"/>
                    <w:rPr>
                      <w:sz w:val="21"/>
                    </w:rPr>
                  </w:pPr>
                  <w:r>
                    <w:rPr>
                      <w:rFonts w:hint="eastAsia"/>
                      <w:sz w:val="21"/>
                    </w:rPr>
                    <w:t>环境要素</w:t>
                  </w:r>
                </w:p>
              </w:tc>
              <w:tc>
                <w:tcPr>
                  <w:tcW w:w="881" w:type="pct"/>
                  <w:vAlign w:val="center"/>
                </w:tcPr>
                <w:p>
                  <w:pPr>
                    <w:tabs>
                      <w:tab w:val="left" w:pos="7560"/>
                    </w:tabs>
                    <w:spacing w:line="276" w:lineRule="auto"/>
                    <w:jc w:val="center"/>
                    <w:rPr>
                      <w:sz w:val="21"/>
                    </w:rPr>
                  </w:pPr>
                  <w:r>
                    <w:rPr>
                      <w:rFonts w:hint="eastAsia"/>
                      <w:sz w:val="21"/>
                    </w:rPr>
                    <w:t>保护目标</w:t>
                  </w:r>
                </w:p>
              </w:tc>
              <w:tc>
                <w:tcPr>
                  <w:tcW w:w="664" w:type="pct"/>
                  <w:vAlign w:val="center"/>
                </w:tcPr>
                <w:p>
                  <w:pPr>
                    <w:tabs>
                      <w:tab w:val="left" w:pos="7560"/>
                    </w:tabs>
                    <w:spacing w:line="276" w:lineRule="auto"/>
                    <w:jc w:val="center"/>
                    <w:rPr>
                      <w:sz w:val="21"/>
                    </w:rPr>
                  </w:pPr>
                  <w:r>
                    <w:rPr>
                      <w:rFonts w:hint="eastAsia"/>
                      <w:sz w:val="21"/>
                    </w:rPr>
                    <w:t>方位</w:t>
                  </w:r>
                </w:p>
              </w:tc>
              <w:tc>
                <w:tcPr>
                  <w:tcW w:w="912" w:type="pct"/>
                  <w:vAlign w:val="center"/>
                </w:tcPr>
                <w:p>
                  <w:pPr>
                    <w:tabs>
                      <w:tab w:val="left" w:pos="7560"/>
                    </w:tabs>
                    <w:spacing w:line="276" w:lineRule="auto"/>
                    <w:jc w:val="center"/>
                    <w:rPr>
                      <w:sz w:val="21"/>
                    </w:rPr>
                  </w:pPr>
                  <w:r>
                    <w:rPr>
                      <w:rFonts w:hint="eastAsia"/>
                      <w:sz w:val="21"/>
                    </w:rPr>
                    <w:t>与项目距离（m）</w:t>
                  </w:r>
                </w:p>
              </w:tc>
              <w:tc>
                <w:tcPr>
                  <w:tcW w:w="835" w:type="pct"/>
                  <w:vAlign w:val="center"/>
                </w:tcPr>
                <w:p>
                  <w:pPr>
                    <w:tabs>
                      <w:tab w:val="left" w:pos="7560"/>
                    </w:tabs>
                    <w:spacing w:line="276" w:lineRule="auto"/>
                    <w:jc w:val="center"/>
                    <w:rPr>
                      <w:sz w:val="21"/>
                    </w:rPr>
                  </w:pPr>
                  <w:r>
                    <w:rPr>
                      <w:rFonts w:hint="eastAsia"/>
                      <w:sz w:val="21"/>
                    </w:rPr>
                    <w:t>规模</w:t>
                  </w:r>
                </w:p>
              </w:tc>
              <w:tc>
                <w:tcPr>
                  <w:tcW w:w="1210" w:type="pct"/>
                  <w:vAlign w:val="center"/>
                </w:tcPr>
                <w:p>
                  <w:pPr>
                    <w:tabs>
                      <w:tab w:val="left" w:pos="7560"/>
                    </w:tabs>
                    <w:spacing w:line="276" w:lineRule="auto"/>
                    <w:jc w:val="center"/>
                    <w:rPr>
                      <w:sz w:val="21"/>
                    </w:rPr>
                  </w:pPr>
                  <w:r>
                    <w:rPr>
                      <w:rFonts w:hint="eastAsia"/>
                      <w:sz w:val="21"/>
                    </w:rPr>
                    <w:t>级别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7" w:type="pct"/>
                  <w:vMerge w:val="restart"/>
                  <w:vAlign w:val="center"/>
                </w:tcPr>
                <w:p>
                  <w:pPr>
                    <w:tabs>
                      <w:tab w:val="left" w:pos="7560"/>
                    </w:tabs>
                    <w:spacing w:line="276" w:lineRule="auto"/>
                    <w:jc w:val="center"/>
                    <w:rPr>
                      <w:sz w:val="21"/>
                    </w:rPr>
                  </w:pPr>
                  <w:r>
                    <w:rPr>
                      <w:rFonts w:hint="eastAsia"/>
                      <w:sz w:val="21"/>
                    </w:rPr>
                    <w:t>大气环境</w:t>
                  </w:r>
                </w:p>
              </w:tc>
              <w:tc>
                <w:tcPr>
                  <w:tcW w:w="881" w:type="pct"/>
                  <w:vAlign w:val="center"/>
                </w:tcPr>
                <w:p>
                  <w:pPr>
                    <w:tabs>
                      <w:tab w:val="left" w:pos="7560"/>
                    </w:tabs>
                    <w:spacing w:line="276" w:lineRule="auto"/>
                    <w:jc w:val="center"/>
                    <w:rPr>
                      <w:sz w:val="21"/>
                    </w:rPr>
                  </w:pPr>
                  <w:r>
                    <w:rPr>
                      <w:rFonts w:hint="eastAsia"/>
                      <w:sz w:val="21"/>
                    </w:rPr>
                    <w:t>天台村居民</w:t>
                  </w:r>
                </w:p>
              </w:tc>
              <w:tc>
                <w:tcPr>
                  <w:tcW w:w="664" w:type="pct"/>
                  <w:vAlign w:val="center"/>
                </w:tcPr>
                <w:p>
                  <w:pPr>
                    <w:tabs>
                      <w:tab w:val="left" w:pos="7560"/>
                    </w:tabs>
                    <w:spacing w:line="276" w:lineRule="auto"/>
                    <w:jc w:val="center"/>
                    <w:rPr>
                      <w:sz w:val="21"/>
                    </w:rPr>
                  </w:pPr>
                  <w:r>
                    <w:rPr>
                      <w:rFonts w:hint="eastAsia"/>
                      <w:sz w:val="21"/>
                    </w:rPr>
                    <w:t>北</w:t>
                  </w:r>
                </w:p>
              </w:tc>
              <w:tc>
                <w:tcPr>
                  <w:tcW w:w="912" w:type="pct"/>
                  <w:vAlign w:val="center"/>
                </w:tcPr>
                <w:p>
                  <w:pPr>
                    <w:tabs>
                      <w:tab w:val="left" w:pos="7560"/>
                    </w:tabs>
                    <w:spacing w:line="276" w:lineRule="auto"/>
                    <w:jc w:val="center"/>
                    <w:rPr>
                      <w:sz w:val="21"/>
                    </w:rPr>
                  </w:pPr>
                  <w:r>
                    <w:rPr>
                      <w:sz w:val="21"/>
                    </w:rPr>
                    <w:t>7</w:t>
                  </w:r>
                </w:p>
              </w:tc>
              <w:tc>
                <w:tcPr>
                  <w:tcW w:w="835" w:type="pct"/>
                  <w:vAlign w:val="center"/>
                </w:tcPr>
                <w:p>
                  <w:pPr>
                    <w:tabs>
                      <w:tab w:val="left" w:pos="7560"/>
                    </w:tabs>
                    <w:spacing w:line="276" w:lineRule="auto"/>
                    <w:jc w:val="center"/>
                    <w:rPr>
                      <w:sz w:val="21"/>
                    </w:rPr>
                  </w:pPr>
                  <w:r>
                    <w:rPr>
                      <w:rFonts w:hint="eastAsia"/>
                      <w:sz w:val="21"/>
                    </w:rPr>
                    <w:t>3人</w:t>
                  </w:r>
                </w:p>
              </w:tc>
              <w:tc>
                <w:tcPr>
                  <w:tcW w:w="1210" w:type="pct"/>
                  <w:vMerge w:val="restart"/>
                  <w:vAlign w:val="center"/>
                </w:tcPr>
                <w:p>
                  <w:pPr>
                    <w:tabs>
                      <w:tab w:val="left" w:pos="7560"/>
                    </w:tabs>
                    <w:spacing w:line="276" w:lineRule="auto"/>
                    <w:jc w:val="center"/>
                    <w:rPr>
                      <w:sz w:val="21"/>
                    </w:rPr>
                  </w:pPr>
                  <w:r>
                    <w:rPr>
                      <w:rFonts w:hint="eastAsia"/>
                      <w:sz w:val="21"/>
                    </w:rPr>
                    <w:t>《环境空气质量标准》（GB3095-2012）二级标准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7" w:type="pct"/>
                  <w:vMerge w:val="continue"/>
                  <w:vAlign w:val="center"/>
                </w:tcPr>
                <w:p>
                  <w:pPr>
                    <w:tabs>
                      <w:tab w:val="left" w:pos="7560"/>
                    </w:tabs>
                    <w:spacing w:line="276" w:lineRule="auto"/>
                    <w:jc w:val="center"/>
                    <w:rPr>
                      <w:sz w:val="21"/>
                    </w:rPr>
                  </w:pPr>
                </w:p>
              </w:tc>
              <w:tc>
                <w:tcPr>
                  <w:tcW w:w="881" w:type="pct"/>
                  <w:vAlign w:val="center"/>
                </w:tcPr>
                <w:p>
                  <w:pPr>
                    <w:tabs>
                      <w:tab w:val="left" w:pos="7560"/>
                    </w:tabs>
                    <w:spacing w:line="276" w:lineRule="auto"/>
                    <w:jc w:val="center"/>
                    <w:rPr>
                      <w:sz w:val="21"/>
                    </w:rPr>
                  </w:pPr>
                  <w:r>
                    <w:rPr>
                      <w:rFonts w:hint="eastAsia"/>
                      <w:sz w:val="21"/>
                    </w:rPr>
                    <w:t>天台村居民</w:t>
                  </w:r>
                </w:p>
              </w:tc>
              <w:tc>
                <w:tcPr>
                  <w:tcW w:w="664" w:type="pct"/>
                  <w:vAlign w:val="center"/>
                </w:tcPr>
                <w:p>
                  <w:pPr>
                    <w:tabs>
                      <w:tab w:val="left" w:pos="7560"/>
                    </w:tabs>
                    <w:spacing w:line="276" w:lineRule="auto"/>
                    <w:jc w:val="center"/>
                    <w:rPr>
                      <w:sz w:val="21"/>
                    </w:rPr>
                  </w:pPr>
                  <w:r>
                    <w:rPr>
                      <w:rFonts w:hint="eastAsia"/>
                      <w:sz w:val="21"/>
                    </w:rPr>
                    <w:t>北</w:t>
                  </w:r>
                </w:p>
              </w:tc>
              <w:tc>
                <w:tcPr>
                  <w:tcW w:w="912" w:type="pct"/>
                  <w:vAlign w:val="center"/>
                </w:tcPr>
                <w:p>
                  <w:pPr>
                    <w:tabs>
                      <w:tab w:val="left" w:pos="7560"/>
                    </w:tabs>
                    <w:spacing w:line="276" w:lineRule="auto"/>
                    <w:jc w:val="center"/>
                    <w:rPr>
                      <w:sz w:val="21"/>
                    </w:rPr>
                  </w:pPr>
                  <w:r>
                    <w:rPr>
                      <w:rFonts w:hint="eastAsia"/>
                      <w:sz w:val="21"/>
                    </w:rPr>
                    <w:t>1</w:t>
                  </w:r>
                  <w:r>
                    <w:rPr>
                      <w:sz w:val="21"/>
                    </w:rPr>
                    <w:t>2</w:t>
                  </w:r>
                </w:p>
              </w:tc>
              <w:tc>
                <w:tcPr>
                  <w:tcW w:w="835" w:type="pct"/>
                  <w:vAlign w:val="center"/>
                </w:tcPr>
                <w:p>
                  <w:pPr>
                    <w:tabs>
                      <w:tab w:val="left" w:pos="7560"/>
                    </w:tabs>
                    <w:spacing w:line="276" w:lineRule="auto"/>
                    <w:jc w:val="center"/>
                    <w:rPr>
                      <w:sz w:val="21"/>
                    </w:rPr>
                  </w:pPr>
                  <w:r>
                    <w:rPr>
                      <w:rFonts w:hint="eastAsia"/>
                      <w:sz w:val="21"/>
                    </w:rPr>
                    <w:t>约3</w:t>
                  </w:r>
                  <w:r>
                    <w:rPr>
                      <w:sz w:val="21"/>
                    </w:rPr>
                    <w:t>20</w:t>
                  </w:r>
                  <w:r>
                    <w:rPr>
                      <w:rFonts w:hint="eastAsia"/>
                      <w:sz w:val="21"/>
                    </w:rPr>
                    <w:t>人</w:t>
                  </w:r>
                </w:p>
              </w:tc>
              <w:tc>
                <w:tcPr>
                  <w:tcW w:w="1210" w:type="pct"/>
                  <w:vMerge w:val="continue"/>
                  <w:vAlign w:val="center"/>
                </w:tcPr>
                <w:p>
                  <w:pPr>
                    <w:tabs>
                      <w:tab w:val="left" w:pos="7560"/>
                    </w:tabs>
                    <w:spacing w:line="276" w:lineRule="auto"/>
                    <w:jc w:val="center"/>
                    <w:rPr>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7" w:type="pct"/>
                  <w:vMerge w:val="continue"/>
                  <w:vAlign w:val="center"/>
                </w:tcPr>
                <w:p>
                  <w:pPr>
                    <w:tabs>
                      <w:tab w:val="left" w:pos="7560"/>
                    </w:tabs>
                    <w:spacing w:line="276" w:lineRule="auto"/>
                    <w:jc w:val="center"/>
                    <w:rPr>
                      <w:sz w:val="21"/>
                    </w:rPr>
                  </w:pPr>
                </w:p>
              </w:tc>
              <w:tc>
                <w:tcPr>
                  <w:tcW w:w="881" w:type="pct"/>
                  <w:vAlign w:val="center"/>
                </w:tcPr>
                <w:p>
                  <w:pPr>
                    <w:tabs>
                      <w:tab w:val="left" w:pos="7560"/>
                    </w:tabs>
                    <w:spacing w:line="276" w:lineRule="auto"/>
                    <w:jc w:val="center"/>
                    <w:rPr>
                      <w:sz w:val="21"/>
                    </w:rPr>
                  </w:pPr>
                  <w:r>
                    <w:rPr>
                      <w:rFonts w:hint="eastAsia"/>
                      <w:sz w:val="21"/>
                    </w:rPr>
                    <w:t>天台村居民</w:t>
                  </w:r>
                </w:p>
              </w:tc>
              <w:tc>
                <w:tcPr>
                  <w:tcW w:w="664" w:type="pct"/>
                  <w:vAlign w:val="center"/>
                </w:tcPr>
                <w:p>
                  <w:pPr>
                    <w:tabs>
                      <w:tab w:val="left" w:pos="7560"/>
                    </w:tabs>
                    <w:spacing w:line="276" w:lineRule="auto"/>
                    <w:jc w:val="center"/>
                    <w:rPr>
                      <w:sz w:val="21"/>
                    </w:rPr>
                  </w:pPr>
                  <w:r>
                    <w:rPr>
                      <w:rFonts w:hint="eastAsia"/>
                      <w:sz w:val="21"/>
                    </w:rPr>
                    <w:t>南</w:t>
                  </w:r>
                </w:p>
              </w:tc>
              <w:tc>
                <w:tcPr>
                  <w:tcW w:w="912" w:type="pct"/>
                  <w:vAlign w:val="center"/>
                </w:tcPr>
                <w:p>
                  <w:pPr>
                    <w:tabs>
                      <w:tab w:val="left" w:pos="7560"/>
                    </w:tabs>
                    <w:spacing w:line="276" w:lineRule="auto"/>
                    <w:jc w:val="center"/>
                    <w:rPr>
                      <w:sz w:val="21"/>
                    </w:rPr>
                  </w:pPr>
                  <w:r>
                    <w:rPr>
                      <w:sz w:val="21"/>
                    </w:rPr>
                    <w:t>120</w:t>
                  </w:r>
                </w:p>
              </w:tc>
              <w:tc>
                <w:tcPr>
                  <w:tcW w:w="835" w:type="pct"/>
                  <w:vAlign w:val="center"/>
                </w:tcPr>
                <w:p>
                  <w:pPr>
                    <w:tabs>
                      <w:tab w:val="left" w:pos="7560"/>
                    </w:tabs>
                    <w:spacing w:line="276" w:lineRule="auto"/>
                    <w:jc w:val="center"/>
                    <w:rPr>
                      <w:sz w:val="21"/>
                    </w:rPr>
                  </w:pPr>
                  <w:r>
                    <w:rPr>
                      <w:rFonts w:hint="eastAsia"/>
                      <w:sz w:val="21"/>
                    </w:rPr>
                    <w:t>约</w:t>
                  </w:r>
                  <w:r>
                    <w:rPr>
                      <w:sz w:val="21"/>
                    </w:rPr>
                    <w:t>180</w:t>
                  </w:r>
                  <w:r>
                    <w:rPr>
                      <w:rFonts w:hint="eastAsia"/>
                      <w:sz w:val="21"/>
                    </w:rPr>
                    <w:t>人</w:t>
                  </w:r>
                </w:p>
              </w:tc>
              <w:tc>
                <w:tcPr>
                  <w:tcW w:w="1210" w:type="pct"/>
                  <w:vMerge w:val="continue"/>
                  <w:vAlign w:val="center"/>
                </w:tcPr>
                <w:p>
                  <w:pPr>
                    <w:tabs>
                      <w:tab w:val="left" w:pos="7560"/>
                    </w:tabs>
                    <w:spacing w:line="276" w:lineRule="auto"/>
                    <w:jc w:val="center"/>
                    <w:rPr>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497" w:type="pct"/>
                  <w:vMerge w:val="restart"/>
                  <w:vAlign w:val="center"/>
                </w:tcPr>
                <w:p>
                  <w:pPr>
                    <w:tabs>
                      <w:tab w:val="left" w:pos="7560"/>
                    </w:tabs>
                    <w:spacing w:line="276" w:lineRule="auto"/>
                    <w:jc w:val="center"/>
                    <w:rPr>
                      <w:sz w:val="21"/>
                    </w:rPr>
                  </w:pPr>
                  <w:r>
                    <w:rPr>
                      <w:rFonts w:hint="eastAsia"/>
                      <w:sz w:val="21"/>
                    </w:rPr>
                    <w:t>声环境</w:t>
                  </w:r>
                </w:p>
              </w:tc>
              <w:tc>
                <w:tcPr>
                  <w:tcW w:w="881" w:type="pct"/>
                  <w:vAlign w:val="center"/>
                </w:tcPr>
                <w:p>
                  <w:pPr>
                    <w:tabs>
                      <w:tab w:val="left" w:pos="7560"/>
                    </w:tabs>
                    <w:spacing w:line="276" w:lineRule="auto"/>
                    <w:jc w:val="center"/>
                    <w:rPr>
                      <w:sz w:val="21"/>
                    </w:rPr>
                  </w:pPr>
                  <w:r>
                    <w:rPr>
                      <w:rFonts w:hint="eastAsia"/>
                      <w:sz w:val="21"/>
                    </w:rPr>
                    <w:t>天台村居民</w:t>
                  </w:r>
                </w:p>
              </w:tc>
              <w:tc>
                <w:tcPr>
                  <w:tcW w:w="664" w:type="pct"/>
                  <w:vAlign w:val="center"/>
                </w:tcPr>
                <w:p>
                  <w:pPr>
                    <w:tabs>
                      <w:tab w:val="left" w:pos="7560"/>
                    </w:tabs>
                    <w:spacing w:line="276" w:lineRule="auto"/>
                    <w:jc w:val="center"/>
                    <w:rPr>
                      <w:sz w:val="21"/>
                    </w:rPr>
                  </w:pPr>
                  <w:r>
                    <w:rPr>
                      <w:rFonts w:hint="eastAsia"/>
                      <w:sz w:val="21"/>
                    </w:rPr>
                    <w:t>北</w:t>
                  </w:r>
                </w:p>
              </w:tc>
              <w:tc>
                <w:tcPr>
                  <w:tcW w:w="912" w:type="pct"/>
                  <w:vAlign w:val="center"/>
                </w:tcPr>
                <w:p>
                  <w:pPr>
                    <w:tabs>
                      <w:tab w:val="left" w:pos="7560"/>
                    </w:tabs>
                    <w:spacing w:line="276" w:lineRule="auto"/>
                    <w:jc w:val="center"/>
                    <w:rPr>
                      <w:sz w:val="21"/>
                    </w:rPr>
                  </w:pPr>
                  <w:r>
                    <w:rPr>
                      <w:sz w:val="21"/>
                    </w:rPr>
                    <w:t>7</w:t>
                  </w:r>
                </w:p>
              </w:tc>
              <w:tc>
                <w:tcPr>
                  <w:tcW w:w="835" w:type="pct"/>
                  <w:vAlign w:val="center"/>
                </w:tcPr>
                <w:p>
                  <w:pPr>
                    <w:tabs>
                      <w:tab w:val="left" w:pos="7560"/>
                    </w:tabs>
                    <w:spacing w:line="276" w:lineRule="auto"/>
                    <w:jc w:val="center"/>
                    <w:rPr>
                      <w:sz w:val="21"/>
                    </w:rPr>
                  </w:pPr>
                  <w:r>
                    <w:rPr>
                      <w:rFonts w:hint="eastAsia"/>
                      <w:sz w:val="21"/>
                    </w:rPr>
                    <w:t>3人</w:t>
                  </w:r>
                </w:p>
              </w:tc>
              <w:tc>
                <w:tcPr>
                  <w:tcW w:w="1210" w:type="pct"/>
                  <w:vMerge w:val="restart"/>
                  <w:vAlign w:val="center"/>
                </w:tcPr>
                <w:p>
                  <w:pPr>
                    <w:tabs>
                      <w:tab w:val="left" w:pos="7560"/>
                    </w:tabs>
                    <w:spacing w:line="276" w:lineRule="auto"/>
                    <w:jc w:val="center"/>
                    <w:rPr>
                      <w:sz w:val="21"/>
                    </w:rPr>
                  </w:pPr>
                  <w:r>
                    <w:rPr>
                      <w:rFonts w:hint="eastAsia"/>
                      <w:sz w:val="21"/>
                    </w:rPr>
                    <w:t>《声环境质量标准》（GB3096-2008）</w:t>
                  </w:r>
                  <w:r>
                    <w:rPr>
                      <w:sz w:val="21"/>
                    </w:rPr>
                    <w:t>3</w:t>
                  </w:r>
                  <w:r>
                    <w:rPr>
                      <w:rFonts w:hint="eastAsia"/>
                      <w:sz w:val="21"/>
                    </w:rPr>
                    <w:t xml:space="preserve"> 类限值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497" w:type="pct"/>
                  <w:vMerge w:val="continue"/>
                  <w:vAlign w:val="center"/>
                </w:tcPr>
                <w:p>
                  <w:pPr>
                    <w:tabs>
                      <w:tab w:val="left" w:pos="7560"/>
                    </w:tabs>
                    <w:spacing w:line="276" w:lineRule="auto"/>
                    <w:jc w:val="center"/>
                    <w:rPr>
                      <w:sz w:val="21"/>
                    </w:rPr>
                  </w:pPr>
                </w:p>
              </w:tc>
              <w:tc>
                <w:tcPr>
                  <w:tcW w:w="881" w:type="pct"/>
                  <w:vAlign w:val="center"/>
                </w:tcPr>
                <w:p>
                  <w:pPr>
                    <w:tabs>
                      <w:tab w:val="left" w:pos="7560"/>
                    </w:tabs>
                    <w:spacing w:line="276" w:lineRule="auto"/>
                    <w:jc w:val="center"/>
                    <w:rPr>
                      <w:sz w:val="21"/>
                    </w:rPr>
                  </w:pPr>
                  <w:r>
                    <w:rPr>
                      <w:rFonts w:hint="eastAsia"/>
                      <w:sz w:val="21"/>
                    </w:rPr>
                    <w:t>天台村居民</w:t>
                  </w:r>
                </w:p>
              </w:tc>
              <w:tc>
                <w:tcPr>
                  <w:tcW w:w="664" w:type="pct"/>
                  <w:vAlign w:val="center"/>
                </w:tcPr>
                <w:p>
                  <w:pPr>
                    <w:tabs>
                      <w:tab w:val="left" w:pos="7560"/>
                    </w:tabs>
                    <w:spacing w:line="276" w:lineRule="auto"/>
                    <w:jc w:val="center"/>
                    <w:rPr>
                      <w:sz w:val="21"/>
                    </w:rPr>
                  </w:pPr>
                  <w:r>
                    <w:rPr>
                      <w:rFonts w:hint="eastAsia"/>
                      <w:sz w:val="21"/>
                    </w:rPr>
                    <w:t>北</w:t>
                  </w:r>
                </w:p>
              </w:tc>
              <w:tc>
                <w:tcPr>
                  <w:tcW w:w="912" w:type="pct"/>
                  <w:vAlign w:val="center"/>
                </w:tcPr>
                <w:p>
                  <w:pPr>
                    <w:tabs>
                      <w:tab w:val="left" w:pos="7560"/>
                    </w:tabs>
                    <w:spacing w:line="276" w:lineRule="auto"/>
                    <w:jc w:val="center"/>
                    <w:rPr>
                      <w:sz w:val="21"/>
                    </w:rPr>
                  </w:pPr>
                  <w:r>
                    <w:rPr>
                      <w:rFonts w:hint="eastAsia"/>
                      <w:sz w:val="21"/>
                    </w:rPr>
                    <w:t>1</w:t>
                  </w:r>
                  <w:r>
                    <w:rPr>
                      <w:sz w:val="21"/>
                    </w:rPr>
                    <w:t>2</w:t>
                  </w:r>
                </w:p>
              </w:tc>
              <w:tc>
                <w:tcPr>
                  <w:tcW w:w="835" w:type="pct"/>
                  <w:vAlign w:val="center"/>
                </w:tcPr>
                <w:p>
                  <w:pPr>
                    <w:tabs>
                      <w:tab w:val="left" w:pos="7560"/>
                    </w:tabs>
                    <w:spacing w:line="276" w:lineRule="auto"/>
                    <w:jc w:val="center"/>
                    <w:rPr>
                      <w:sz w:val="21"/>
                    </w:rPr>
                  </w:pPr>
                  <w:r>
                    <w:rPr>
                      <w:rFonts w:hint="eastAsia"/>
                      <w:sz w:val="21"/>
                    </w:rPr>
                    <w:t>约</w:t>
                  </w:r>
                  <w:r>
                    <w:rPr>
                      <w:sz w:val="21"/>
                    </w:rPr>
                    <w:t>110</w:t>
                  </w:r>
                  <w:r>
                    <w:rPr>
                      <w:rFonts w:hint="eastAsia"/>
                      <w:sz w:val="21"/>
                    </w:rPr>
                    <w:t>人</w:t>
                  </w:r>
                </w:p>
              </w:tc>
              <w:tc>
                <w:tcPr>
                  <w:tcW w:w="1210" w:type="pct"/>
                  <w:vMerge w:val="continue"/>
                  <w:vAlign w:val="center"/>
                </w:tcPr>
                <w:p>
                  <w:pPr>
                    <w:tabs>
                      <w:tab w:val="left" w:pos="7560"/>
                    </w:tabs>
                    <w:spacing w:line="276" w:lineRule="auto"/>
                    <w:jc w:val="center"/>
                    <w:rPr>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7" w:type="pct"/>
                  <w:vMerge w:val="restart"/>
                  <w:vAlign w:val="center"/>
                </w:tcPr>
                <w:p>
                  <w:pPr>
                    <w:tabs>
                      <w:tab w:val="left" w:pos="7560"/>
                    </w:tabs>
                    <w:spacing w:line="276" w:lineRule="auto"/>
                    <w:jc w:val="center"/>
                    <w:rPr>
                      <w:sz w:val="21"/>
                    </w:rPr>
                  </w:pPr>
                  <w:r>
                    <w:rPr>
                      <w:rFonts w:hint="eastAsia"/>
                      <w:sz w:val="21"/>
                    </w:rPr>
                    <w:t>地表水环境</w:t>
                  </w:r>
                </w:p>
              </w:tc>
              <w:tc>
                <w:tcPr>
                  <w:tcW w:w="881" w:type="pct"/>
                  <w:vAlign w:val="center"/>
                </w:tcPr>
                <w:p>
                  <w:pPr>
                    <w:tabs>
                      <w:tab w:val="left" w:pos="7560"/>
                    </w:tabs>
                    <w:spacing w:line="276" w:lineRule="auto"/>
                    <w:jc w:val="center"/>
                    <w:rPr>
                      <w:sz w:val="21"/>
                    </w:rPr>
                  </w:pPr>
                  <w:r>
                    <w:rPr>
                      <w:rFonts w:hint="eastAsia"/>
                      <w:sz w:val="21"/>
                    </w:rPr>
                    <w:t>丁家坝河</w:t>
                  </w:r>
                </w:p>
              </w:tc>
              <w:tc>
                <w:tcPr>
                  <w:tcW w:w="664" w:type="pct"/>
                  <w:vAlign w:val="center"/>
                </w:tcPr>
                <w:p>
                  <w:pPr>
                    <w:tabs>
                      <w:tab w:val="left" w:pos="7560"/>
                    </w:tabs>
                    <w:spacing w:line="276" w:lineRule="auto"/>
                    <w:jc w:val="center"/>
                    <w:rPr>
                      <w:sz w:val="21"/>
                    </w:rPr>
                  </w:pPr>
                  <w:r>
                    <w:rPr>
                      <w:rFonts w:hint="eastAsia"/>
                      <w:sz w:val="21"/>
                    </w:rPr>
                    <w:t>南</w:t>
                  </w:r>
                </w:p>
              </w:tc>
              <w:tc>
                <w:tcPr>
                  <w:tcW w:w="912" w:type="pct"/>
                  <w:vAlign w:val="center"/>
                </w:tcPr>
                <w:p>
                  <w:pPr>
                    <w:tabs>
                      <w:tab w:val="left" w:pos="7560"/>
                    </w:tabs>
                    <w:spacing w:line="276" w:lineRule="auto"/>
                    <w:jc w:val="center"/>
                    <w:rPr>
                      <w:sz w:val="21"/>
                    </w:rPr>
                  </w:pPr>
                  <w:r>
                    <w:rPr>
                      <w:sz w:val="21"/>
                    </w:rPr>
                    <w:t>17</w:t>
                  </w:r>
                </w:p>
              </w:tc>
              <w:tc>
                <w:tcPr>
                  <w:tcW w:w="835" w:type="pct"/>
                  <w:vAlign w:val="center"/>
                </w:tcPr>
                <w:p>
                  <w:pPr>
                    <w:tabs>
                      <w:tab w:val="left" w:pos="7560"/>
                    </w:tabs>
                    <w:spacing w:line="276" w:lineRule="auto"/>
                    <w:jc w:val="center"/>
                    <w:rPr>
                      <w:sz w:val="21"/>
                    </w:rPr>
                  </w:pPr>
                  <w:r>
                    <w:rPr>
                      <w:rFonts w:hint="eastAsia"/>
                      <w:sz w:val="21"/>
                    </w:rPr>
                    <w:t>/</w:t>
                  </w:r>
                </w:p>
              </w:tc>
              <w:tc>
                <w:tcPr>
                  <w:tcW w:w="1210" w:type="pct"/>
                  <w:vMerge w:val="restart"/>
                  <w:vAlign w:val="center"/>
                </w:tcPr>
                <w:p>
                  <w:pPr>
                    <w:tabs>
                      <w:tab w:val="left" w:pos="7560"/>
                    </w:tabs>
                    <w:spacing w:line="276" w:lineRule="auto"/>
                    <w:jc w:val="center"/>
                    <w:rPr>
                      <w:sz w:val="21"/>
                    </w:rPr>
                  </w:pPr>
                  <w:r>
                    <w:rPr>
                      <w:rFonts w:hint="eastAsia"/>
                      <w:sz w:val="21"/>
                    </w:rPr>
                    <w:t>《地表水环境质量标准》(GB3838-2002）Ⅲ类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7" w:type="pct"/>
                  <w:vMerge w:val="continue"/>
                  <w:vAlign w:val="center"/>
                </w:tcPr>
                <w:p>
                  <w:pPr>
                    <w:tabs>
                      <w:tab w:val="left" w:pos="7560"/>
                    </w:tabs>
                    <w:spacing w:line="276" w:lineRule="auto"/>
                    <w:jc w:val="center"/>
                    <w:rPr>
                      <w:sz w:val="21"/>
                    </w:rPr>
                  </w:pPr>
                </w:p>
              </w:tc>
              <w:tc>
                <w:tcPr>
                  <w:tcW w:w="881" w:type="pct"/>
                  <w:vAlign w:val="center"/>
                </w:tcPr>
                <w:p>
                  <w:pPr>
                    <w:tabs>
                      <w:tab w:val="left" w:pos="7560"/>
                    </w:tabs>
                    <w:spacing w:line="276" w:lineRule="auto"/>
                    <w:jc w:val="center"/>
                    <w:rPr>
                      <w:sz w:val="21"/>
                    </w:rPr>
                  </w:pPr>
                  <w:r>
                    <w:rPr>
                      <w:rFonts w:hint="eastAsia"/>
                      <w:sz w:val="21"/>
                    </w:rPr>
                    <w:t>前河</w:t>
                  </w:r>
                </w:p>
              </w:tc>
              <w:tc>
                <w:tcPr>
                  <w:tcW w:w="664" w:type="pct"/>
                  <w:vAlign w:val="center"/>
                </w:tcPr>
                <w:p>
                  <w:pPr>
                    <w:tabs>
                      <w:tab w:val="left" w:pos="7560"/>
                    </w:tabs>
                    <w:spacing w:line="276" w:lineRule="auto"/>
                    <w:jc w:val="center"/>
                    <w:rPr>
                      <w:sz w:val="21"/>
                    </w:rPr>
                  </w:pPr>
                  <w:r>
                    <w:rPr>
                      <w:rFonts w:hint="eastAsia"/>
                      <w:sz w:val="21"/>
                    </w:rPr>
                    <w:t>西</w:t>
                  </w:r>
                </w:p>
              </w:tc>
              <w:tc>
                <w:tcPr>
                  <w:tcW w:w="912" w:type="pct"/>
                  <w:vAlign w:val="center"/>
                </w:tcPr>
                <w:p>
                  <w:pPr>
                    <w:tabs>
                      <w:tab w:val="left" w:pos="7560"/>
                    </w:tabs>
                    <w:spacing w:line="276" w:lineRule="auto"/>
                    <w:jc w:val="center"/>
                    <w:rPr>
                      <w:sz w:val="21"/>
                    </w:rPr>
                  </w:pPr>
                  <w:r>
                    <w:rPr>
                      <w:rFonts w:hint="eastAsia"/>
                      <w:sz w:val="21"/>
                    </w:rPr>
                    <w:t>3</w:t>
                  </w:r>
                  <w:r>
                    <w:rPr>
                      <w:sz w:val="21"/>
                    </w:rPr>
                    <w:t>10</w:t>
                  </w:r>
                </w:p>
              </w:tc>
              <w:tc>
                <w:tcPr>
                  <w:tcW w:w="835" w:type="pct"/>
                  <w:vAlign w:val="center"/>
                </w:tcPr>
                <w:p>
                  <w:pPr>
                    <w:tabs>
                      <w:tab w:val="left" w:pos="7560"/>
                    </w:tabs>
                    <w:spacing w:line="276" w:lineRule="auto"/>
                    <w:jc w:val="center"/>
                    <w:rPr>
                      <w:sz w:val="21"/>
                    </w:rPr>
                  </w:pPr>
                  <w:r>
                    <w:rPr>
                      <w:rFonts w:hint="eastAsia"/>
                      <w:sz w:val="21"/>
                    </w:rPr>
                    <w:t>/</w:t>
                  </w:r>
                </w:p>
              </w:tc>
              <w:tc>
                <w:tcPr>
                  <w:tcW w:w="1210" w:type="pct"/>
                  <w:vMerge w:val="continue"/>
                  <w:vAlign w:val="center"/>
                </w:tcPr>
                <w:p>
                  <w:pPr>
                    <w:tabs>
                      <w:tab w:val="left" w:pos="7560"/>
                    </w:tabs>
                    <w:spacing w:line="276" w:lineRule="auto"/>
                    <w:jc w:val="center"/>
                    <w:rPr>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7" w:type="pct"/>
                  <w:vAlign w:val="center"/>
                </w:tcPr>
                <w:p>
                  <w:pPr>
                    <w:tabs>
                      <w:tab w:val="left" w:pos="7560"/>
                    </w:tabs>
                    <w:spacing w:line="276" w:lineRule="auto"/>
                    <w:jc w:val="center"/>
                    <w:rPr>
                      <w:sz w:val="21"/>
                    </w:rPr>
                  </w:pPr>
                  <w:r>
                    <w:rPr>
                      <w:rFonts w:hint="eastAsia"/>
                      <w:sz w:val="21"/>
                    </w:rPr>
                    <w:t>地下水环境</w:t>
                  </w:r>
                </w:p>
              </w:tc>
              <w:tc>
                <w:tcPr>
                  <w:tcW w:w="2458" w:type="pct"/>
                  <w:gridSpan w:val="3"/>
                  <w:vAlign w:val="center"/>
                </w:tcPr>
                <w:p>
                  <w:pPr>
                    <w:tabs>
                      <w:tab w:val="left" w:pos="7560"/>
                    </w:tabs>
                    <w:spacing w:line="276" w:lineRule="auto"/>
                    <w:jc w:val="center"/>
                    <w:rPr>
                      <w:sz w:val="21"/>
                    </w:rPr>
                  </w:pPr>
                  <w:r>
                    <w:rPr>
                      <w:rFonts w:hint="eastAsia"/>
                      <w:sz w:val="21"/>
                    </w:rPr>
                    <w:t>厂界周围500m内无地下水保护目标</w:t>
                  </w:r>
                </w:p>
              </w:tc>
              <w:tc>
                <w:tcPr>
                  <w:tcW w:w="835" w:type="pct"/>
                  <w:vAlign w:val="center"/>
                </w:tcPr>
                <w:p>
                  <w:pPr>
                    <w:tabs>
                      <w:tab w:val="left" w:pos="7560"/>
                    </w:tabs>
                    <w:spacing w:line="276" w:lineRule="auto"/>
                    <w:jc w:val="center"/>
                    <w:rPr>
                      <w:sz w:val="21"/>
                    </w:rPr>
                  </w:pPr>
                  <w:r>
                    <w:rPr>
                      <w:rFonts w:hint="eastAsia"/>
                      <w:sz w:val="21"/>
                    </w:rPr>
                    <w:t>/</w:t>
                  </w:r>
                </w:p>
              </w:tc>
              <w:tc>
                <w:tcPr>
                  <w:tcW w:w="1210" w:type="pct"/>
                  <w:vAlign w:val="center"/>
                </w:tcPr>
                <w:p>
                  <w:pPr>
                    <w:tabs>
                      <w:tab w:val="left" w:pos="7560"/>
                    </w:tabs>
                    <w:spacing w:line="276" w:lineRule="auto"/>
                    <w:jc w:val="center"/>
                    <w:rPr>
                      <w:sz w:val="21"/>
                    </w:rPr>
                  </w:pPr>
                  <w:r>
                    <w:rPr>
                      <w:rFonts w:hint="eastAsia"/>
                      <w:sz w:val="21"/>
                    </w:rPr>
                    <w:t>《地下水质量标准》（GB/T14848-2017）III类标准</w:t>
                  </w:r>
                </w:p>
              </w:tc>
            </w:tr>
          </w:tbl>
          <w:p>
            <w:pPr>
              <w:spacing w:line="360" w:lineRule="auto"/>
              <w:ind w:firstLine="482" w:firstLineChars="200"/>
              <w:rPr>
                <w:b/>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33" w:type="dxa"/>
            <w:vAlign w:val="center"/>
          </w:tcPr>
          <w:p>
            <w:pPr>
              <w:spacing w:line="360"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污染</w:t>
            </w:r>
          </w:p>
          <w:p>
            <w:pPr>
              <w:spacing w:line="360"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物排</w:t>
            </w:r>
          </w:p>
          <w:p>
            <w:pPr>
              <w:spacing w:line="360"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放控</w:t>
            </w:r>
          </w:p>
          <w:p>
            <w:pPr>
              <w:spacing w:line="360"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制标</w:t>
            </w:r>
          </w:p>
          <w:p>
            <w:pPr>
              <w:spacing w:line="360"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准</w:t>
            </w:r>
          </w:p>
        </w:tc>
        <w:tc>
          <w:tcPr>
            <w:tcW w:w="8759" w:type="dxa"/>
            <w:vAlign w:val="center"/>
          </w:tcPr>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1、废气</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施工期扬尘执行《四川省施工场地扬尘排放标准》（DB51/2682-2020），运营期执行《大气污染物综合排放标准》（GB16297-1996）表2中二级标准。</w:t>
            </w:r>
          </w:p>
          <w:p>
            <w:pPr>
              <w:spacing w:line="500" w:lineRule="exact"/>
              <w:ind w:firstLine="402" w:firstLineChars="200"/>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表3-9  施工场地扬尘排放限值</w:t>
            </w:r>
          </w:p>
          <w:tbl>
            <w:tblPr>
              <w:tblStyle w:val="15"/>
              <w:tblW w:w="855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217"/>
              <w:gridCol w:w="2935"/>
              <w:gridCol w:w="2468"/>
              <w:gridCol w:w="127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3" w:hRule="atLeast"/>
                <w:tblHeader/>
                <w:jc w:val="center"/>
              </w:trPr>
              <w:tc>
                <w:tcPr>
                  <w:tcW w:w="663"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序号</w:t>
                  </w:r>
                </w:p>
              </w:tc>
              <w:tc>
                <w:tcPr>
                  <w:tcW w:w="1217"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污染物</w:t>
                  </w:r>
                </w:p>
              </w:tc>
              <w:tc>
                <w:tcPr>
                  <w:tcW w:w="2935"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施工阶段</w:t>
                  </w:r>
                </w:p>
              </w:tc>
              <w:tc>
                <w:tcPr>
                  <w:tcW w:w="2468"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监测点排放限值（mg/m</w:t>
                  </w:r>
                  <w:r>
                    <w:rPr>
                      <w:b/>
                      <w:bCs/>
                      <w:color w:val="000000" w:themeColor="text1"/>
                      <w:sz w:val="21"/>
                      <w:vertAlign w:val="superscript"/>
                      <w14:textFill>
                        <w14:solidFill>
                          <w14:schemeClr w14:val="tx1"/>
                        </w14:solidFill>
                      </w14:textFill>
                    </w:rPr>
                    <w:t>3</w:t>
                  </w:r>
                  <w:r>
                    <w:rPr>
                      <w:b/>
                      <w:bCs/>
                      <w:color w:val="000000" w:themeColor="text1"/>
                      <w:sz w:val="21"/>
                      <w14:textFill>
                        <w14:solidFill>
                          <w14:schemeClr w14:val="tx1"/>
                        </w14:solidFill>
                      </w14:textFill>
                    </w:rPr>
                    <w:t>）</w:t>
                  </w:r>
                </w:p>
              </w:tc>
              <w:tc>
                <w:tcPr>
                  <w:tcW w:w="1275"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监测时间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663" w:type="dxa"/>
                  <w:vMerge w:val="restart"/>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w:t>
                  </w:r>
                </w:p>
              </w:tc>
              <w:tc>
                <w:tcPr>
                  <w:tcW w:w="1217" w:type="dxa"/>
                  <w:vMerge w:val="restart"/>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总悬浮颗粒物（TSP）</w:t>
                  </w:r>
                </w:p>
              </w:tc>
              <w:tc>
                <w:tcPr>
                  <w:tcW w:w="2935"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拆除过程/土方开挖/土方回填</w:t>
                  </w:r>
                </w:p>
              </w:tc>
              <w:tc>
                <w:tcPr>
                  <w:tcW w:w="2468"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0.600</w:t>
                  </w:r>
                </w:p>
              </w:tc>
              <w:tc>
                <w:tcPr>
                  <w:tcW w:w="1275" w:type="dxa"/>
                  <w:vMerge w:val="restart"/>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自监测起持续15min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63" w:type="dxa"/>
                  <w:vMerge w:val="continue"/>
                  <w:tcBorders>
                    <w:tl2br w:val="nil"/>
                    <w:tr2bl w:val="nil"/>
                  </w:tcBorders>
                  <w:vAlign w:val="center"/>
                </w:tcPr>
                <w:p>
                  <w:pPr>
                    <w:jc w:val="center"/>
                    <w:rPr>
                      <w:color w:val="000000" w:themeColor="text1"/>
                      <w:sz w:val="21"/>
                      <w14:textFill>
                        <w14:solidFill>
                          <w14:schemeClr w14:val="tx1"/>
                        </w14:solidFill>
                      </w14:textFill>
                    </w:rPr>
                  </w:pPr>
                </w:p>
              </w:tc>
              <w:tc>
                <w:tcPr>
                  <w:tcW w:w="1217" w:type="dxa"/>
                  <w:vMerge w:val="continue"/>
                  <w:tcBorders>
                    <w:tl2br w:val="nil"/>
                    <w:tr2bl w:val="nil"/>
                  </w:tcBorders>
                  <w:vAlign w:val="center"/>
                </w:tcPr>
                <w:p>
                  <w:pPr>
                    <w:jc w:val="center"/>
                    <w:rPr>
                      <w:color w:val="000000" w:themeColor="text1"/>
                      <w:sz w:val="21"/>
                      <w14:textFill>
                        <w14:solidFill>
                          <w14:schemeClr w14:val="tx1"/>
                        </w14:solidFill>
                      </w14:textFill>
                    </w:rPr>
                  </w:pPr>
                </w:p>
              </w:tc>
              <w:tc>
                <w:tcPr>
                  <w:tcW w:w="2935"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其他过程阶段</w:t>
                  </w:r>
                </w:p>
              </w:tc>
              <w:tc>
                <w:tcPr>
                  <w:tcW w:w="2468"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0.250</w:t>
                  </w:r>
                </w:p>
              </w:tc>
              <w:tc>
                <w:tcPr>
                  <w:tcW w:w="1275" w:type="dxa"/>
                  <w:vMerge w:val="continue"/>
                  <w:tcBorders>
                    <w:tl2br w:val="nil"/>
                    <w:tr2bl w:val="nil"/>
                  </w:tcBorders>
                  <w:vAlign w:val="center"/>
                </w:tcPr>
                <w:p>
                  <w:pPr>
                    <w:jc w:val="center"/>
                    <w:rPr>
                      <w:color w:val="000000" w:themeColor="text1"/>
                      <w:sz w:val="21"/>
                      <w14:textFill>
                        <w14:solidFill>
                          <w14:schemeClr w14:val="tx1"/>
                        </w14:solidFill>
                      </w14:textFill>
                    </w:rPr>
                  </w:pPr>
                </w:p>
              </w:tc>
            </w:tr>
          </w:tbl>
          <w:p>
            <w:pPr>
              <w:spacing w:line="500" w:lineRule="exact"/>
              <w:ind w:firstLine="402" w:firstLineChars="200"/>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表3-10  运营期大气污染物排放限值</w:t>
            </w:r>
          </w:p>
          <w:tbl>
            <w:tblPr>
              <w:tblStyle w:val="15"/>
              <w:tblW w:w="853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2780"/>
              <w:gridCol w:w="408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69" w:type="dxa"/>
                  <w:vMerge w:val="restart"/>
                  <w:tcBorders>
                    <w:tl2br w:val="nil"/>
                    <w:tr2bl w:val="nil"/>
                  </w:tcBorders>
                  <w:shd w:val="clear" w:color="auto" w:fill="auto"/>
                  <w:vAlign w:val="center"/>
                </w:tcPr>
                <w:p>
                  <w:pPr>
                    <w:jc w:val="center"/>
                    <w:rPr>
                      <w:rFonts w:eastAsiaTheme="minorEastAsia"/>
                      <w:b/>
                      <w:bCs/>
                      <w:color w:val="000000" w:themeColor="text1"/>
                      <w:sz w:val="21"/>
                      <w14:textFill>
                        <w14:solidFill>
                          <w14:schemeClr w14:val="tx1"/>
                        </w14:solidFill>
                      </w14:textFill>
                    </w:rPr>
                  </w:pPr>
                  <w:r>
                    <w:rPr>
                      <w:rFonts w:eastAsiaTheme="minorEastAsia"/>
                      <w:b/>
                      <w:bCs/>
                      <w:color w:val="000000" w:themeColor="text1"/>
                      <w:sz w:val="21"/>
                      <w14:textFill>
                        <w14:solidFill>
                          <w14:schemeClr w14:val="tx1"/>
                        </w14:solidFill>
                      </w14:textFill>
                    </w:rPr>
                    <w:t>污染物名称</w:t>
                  </w:r>
                </w:p>
              </w:tc>
              <w:tc>
                <w:tcPr>
                  <w:tcW w:w="2780" w:type="dxa"/>
                  <w:vMerge w:val="restart"/>
                  <w:tcBorders>
                    <w:tl2br w:val="nil"/>
                    <w:tr2bl w:val="nil"/>
                  </w:tcBorders>
                  <w:shd w:val="clear" w:color="auto" w:fill="auto"/>
                  <w:vAlign w:val="center"/>
                </w:tcPr>
                <w:p>
                  <w:pPr>
                    <w:jc w:val="center"/>
                    <w:rPr>
                      <w:rFonts w:eastAsiaTheme="minorEastAsia"/>
                      <w:b/>
                      <w:bCs/>
                      <w:color w:val="000000" w:themeColor="text1"/>
                      <w:sz w:val="21"/>
                      <w14:textFill>
                        <w14:solidFill>
                          <w14:schemeClr w14:val="tx1"/>
                        </w14:solidFill>
                      </w14:textFill>
                    </w:rPr>
                  </w:pPr>
                  <w:r>
                    <w:rPr>
                      <w:rFonts w:eastAsiaTheme="minorEastAsia"/>
                      <w:b/>
                      <w:bCs/>
                      <w:color w:val="000000" w:themeColor="text1"/>
                      <w:sz w:val="21"/>
                      <w14:textFill>
                        <w14:solidFill>
                          <w14:schemeClr w14:val="tx1"/>
                        </w14:solidFill>
                      </w14:textFill>
                    </w:rPr>
                    <w:t>无组织排放浓度限值（mg/m</w:t>
                  </w:r>
                  <w:r>
                    <w:rPr>
                      <w:rFonts w:eastAsiaTheme="minorEastAsia"/>
                      <w:b/>
                      <w:bCs/>
                      <w:color w:val="000000" w:themeColor="text1"/>
                      <w:sz w:val="21"/>
                      <w:vertAlign w:val="superscript"/>
                      <w14:textFill>
                        <w14:solidFill>
                          <w14:schemeClr w14:val="tx1"/>
                        </w14:solidFill>
                      </w14:textFill>
                    </w:rPr>
                    <w:t>3</w:t>
                  </w:r>
                  <w:r>
                    <w:rPr>
                      <w:rFonts w:eastAsiaTheme="minorEastAsia"/>
                      <w:b/>
                      <w:bCs/>
                      <w:color w:val="000000" w:themeColor="text1"/>
                      <w:sz w:val="21"/>
                      <w14:textFill>
                        <w14:solidFill>
                          <w14:schemeClr w14:val="tx1"/>
                        </w14:solidFill>
                      </w14:textFill>
                    </w:rPr>
                    <w:t>）</w:t>
                  </w:r>
                </w:p>
              </w:tc>
              <w:tc>
                <w:tcPr>
                  <w:tcW w:w="4081" w:type="dxa"/>
                  <w:vMerge w:val="restart"/>
                  <w:tcBorders>
                    <w:tl2br w:val="nil"/>
                    <w:tr2bl w:val="nil"/>
                  </w:tcBorders>
                  <w:shd w:val="clear" w:color="auto" w:fill="auto"/>
                  <w:vAlign w:val="center"/>
                </w:tcPr>
                <w:p>
                  <w:pPr>
                    <w:jc w:val="center"/>
                    <w:rPr>
                      <w:rFonts w:eastAsiaTheme="minorEastAsia"/>
                      <w:b/>
                      <w:bCs/>
                      <w:color w:val="000000" w:themeColor="text1"/>
                      <w:sz w:val="21"/>
                      <w14:textFill>
                        <w14:solidFill>
                          <w14:schemeClr w14:val="tx1"/>
                        </w14:solidFill>
                      </w14:textFill>
                    </w:rPr>
                  </w:pPr>
                  <w:r>
                    <w:rPr>
                      <w:rFonts w:eastAsiaTheme="minorEastAsia"/>
                      <w:b/>
                      <w:bCs/>
                      <w:color w:val="000000" w:themeColor="text1"/>
                      <w:sz w:val="21"/>
                      <w14:textFill>
                        <w14:solidFill>
                          <w14:schemeClr w14:val="tx1"/>
                        </w14:solidFill>
                      </w14:textFill>
                    </w:rPr>
                    <w:t>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69" w:type="dxa"/>
                  <w:vMerge w:val="continue"/>
                  <w:tcBorders>
                    <w:tl2br w:val="nil"/>
                    <w:tr2bl w:val="nil"/>
                  </w:tcBorders>
                  <w:shd w:val="clear" w:color="auto" w:fill="auto"/>
                  <w:vAlign w:val="center"/>
                </w:tcPr>
                <w:p>
                  <w:pPr>
                    <w:jc w:val="center"/>
                    <w:rPr>
                      <w:rFonts w:eastAsiaTheme="minorEastAsia"/>
                      <w:color w:val="000000" w:themeColor="text1"/>
                      <w:sz w:val="21"/>
                      <w14:textFill>
                        <w14:solidFill>
                          <w14:schemeClr w14:val="tx1"/>
                        </w14:solidFill>
                      </w14:textFill>
                    </w:rPr>
                  </w:pPr>
                </w:p>
              </w:tc>
              <w:tc>
                <w:tcPr>
                  <w:tcW w:w="2780" w:type="dxa"/>
                  <w:vMerge w:val="continue"/>
                  <w:tcBorders>
                    <w:tl2br w:val="nil"/>
                    <w:tr2bl w:val="nil"/>
                  </w:tcBorders>
                  <w:shd w:val="clear" w:color="auto" w:fill="auto"/>
                  <w:vAlign w:val="center"/>
                </w:tcPr>
                <w:p>
                  <w:pPr>
                    <w:jc w:val="center"/>
                    <w:rPr>
                      <w:rFonts w:eastAsiaTheme="minorEastAsia"/>
                      <w:color w:val="000000" w:themeColor="text1"/>
                      <w:sz w:val="21"/>
                      <w14:textFill>
                        <w14:solidFill>
                          <w14:schemeClr w14:val="tx1"/>
                        </w14:solidFill>
                      </w14:textFill>
                    </w:rPr>
                  </w:pPr>
                </w:p>
              </w:tc>
              <w:tc>
                <w:tcPr>
                  <w:tcW w:w="4081" w:type="dxa"/>
                  <w:vMerge w:val="continue"/>
                  <w:tcBorders>
                    <w:tl2br w:val="nil"/>
                    <w:tr2bl w:val="nil"/>
                  </w:tcBorders>
                  <w:shd w:val="clear" w:color="auto" w:fill="auto"/>
                  <w:vAlign w:val="center"/>
                </w:tcPr>
                <w:p>
                  <w:pPr>
                    <w:jc w:val="center"/>
                    <w:rPr>
                      <w:rFonts w:eastAsiaTheme="minorEastAsia"/>
                      <w:color w:val="000000" w:themeColor="text1"/>
                      <w:sz w:val="21"/>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9" w:type="dxa"/>
                  <w:tcBorders>
                    <w:tl2br w:val="nil"/>
                    <w:tr2bl w:val="nil"/>
                  </w:tcBorders>
                  <w:shd w:val="clear" w:color="auto" w:fill="auto"/>
                  <w:vAlign w:val="center"/>
                </w:tcPr>
                <w:p>
                  <w:pPr>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颗粒物</w:t>
                  </w:r>
                </w:p>
              </w:tc>
              <w:tc>
                <w:tcPr>
                  <w:tcW w:w="2780" w:type="dxa"/>
                  <w:tcBorders>
                    <w:tl2br w:val="nil"/>
                    <w:tr2bl w:val="nil"/>
                  </w:tcBorders>
                  <w:shd w:val="clear" w:color="auto" w:fill="auto"/>
                  <w:vAlign w:val="center"/>
                </w:tcPr>
                <w:p>
                  <w:pPr>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1.0</w:t>
                  </w:r>
                </w:p>
              </w:tc>
              <w:tc>
                <w:tcPr>
                  <w:tcW w:w="4081" w:type="dxa"/>
                  <w:tcBorders>
                    <w:tl2br w:val="nil"/>
                    <w:tr2bl w:val="nil"/>
                  </w:tcBorders>
                  <w:shd w:val="clear" w:color="auto" w:fill="auto"/>
                  <w:vAlign w:val="center"/>
                </w:tcPr>
                <w:p>
                  <w:pPr>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《大气污染物综合排放标准》（GB16297-1996）表2中二级标准</w:t>
                  </w:r>
                </w:p>
              </w:tc>
            </w:tr>
          </w:tbl>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2、废水</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项目生产废水</w:t>
            </w:r>
            <w:r>
              <w:rPr>
                <w:bCs/>
                <w:color w:val="000000" w:themeColor="text1"/>
                <w14:textFill>
                  <w14:solidFill>
                    <w14:schemeClr w14:val="tx1"/>
                  </w14:solidFill>
                </w14:textFill>
              </w:rPr>
              <w:t>经废水处理系统（采用絮凝沉淀+压滤工艺）处理后全部回用，不外排；生活污水经</w:t>
            </w:r>
            <w:r>
              <w:rPr>
                <w:rFonts w:hint="eastAsia"/>
                <w:bCs/>
                <w:color w:val="000000" w:themeColor="text1"/>
                <w14:textFill>
                  <w14:solidFill>
                    <w14:schemeClr w14:val="tx1"/>
                  </w14:solidFill>
                </w14:textFill>
              </w:rPr>
              <w:t>厂区已建化粪池</w:t>
            </w:r>
            <w:r>
              <w:rPr>
                <w:bCs/>
                <w:color w:val="000000" w:themeColor="text1"/>
                <w14:textFill>
                  <w14:solidFill>
                    <w14:schemeClr w14:val="tx1"/>
                  </w14:solidFill>
                </w14:textFill>
              </w:rPr>
              <w:t>收集</w:t>
            </w:r>
            <w:r>
              <w:rPr>
                <w:rFonts w:hint="eastAsia"/>
                <w:bCs/>
                <w:color w:val="000000" w:themeColor="text1"/>
                <w14:textFill>
                  <w14:solidFill>
                    <w14:schemeClr w14:val="tx1"/>
                  </w14:solidFill>
                </w14:textFill>
              </w:rPr>
              <w:t>处理</w:t>
            </w:r>
            <w:r>
              <w:rPr>
                <w:bCs/>
                <w:color w:val="000000" w:themeColor="text1"/>
                <w14:textFill>
                  <w14:solidFill>
                    <w14:schemeClr w14:val="tx1"/>
                  </w14:solidFill>
                </w14:textFill>
              </w:rPr>
              <w:t>后用于农肥，不外排</w:t>
            </w:r>
            <w:r>
              <w:rPr>
                <w:bCs/>
                <w:color w:val="000000" w:themeColor="text1"/>
                <w:kern w:val="0"/>
                <w14:textFill>
                  <w14:solidFill>
                    <w14:schemeClr w14:val="tx1"/>
                  </w14:solidFill>
                </w14:textFill>
              </w:rPr>
              <w:t>。</w:t>
            </w:r>
          </w:p>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3、噪声</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施工期执行《建筑施工场界环境噪声排放标准》（GB12523-2011），运营期执行《工业企业厂界环境噪声排放标准》（GB12348-2008）2类标准。</w:t>
            </w:r>
          </w:p>
          <w:p>
            <w:pPr>
              <w:spacing w:line="500" w:lineRule="exact"/>
              <w:ind w:firstLine="402" w:firstLineChars="200"/>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表3-11  噪声排放标准限值</w:t>
            </w:r>
          </w:p>
          <w:tbl>
            <w:tblPr>
              <w:tblStyle w:val="15"/>
              <w:tblW w:w="859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74"/>
              <w:gridCol w:w="2762"/>
              <w:gridCol w:w="27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074" w:type="dxa"/>
                  <w:tcBorders>
                    <w:tl2br w:val="nil"/>
                    <w:tr2bl w:val="nil"/>
                  </w:tcBorders>
                  <w:shd w:val="clear" w:color="auto" w:fill="auto"/>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项目</w:t>
                  </w:r>
                </w:p>
              </w:tc>
              <w:tc>
                <w:tcPr>
                  <w:tcW w:w="2762" w:type="dxa"/>
                  <w:tcBorders>
                    <w:tl2br w:val="nil"/>
                    <w:tr2bl w:val="nil"/>
                  </w:tcBorders>
                  <w:shd w:val="clear" w:color="auto" w:fill="auto"/>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昼间</w:t>
                  </w:r>
                </w:p>
              </w:tc>
              <w:tc>
                <w:tcPr>
                  <w:tcW w:w="2763" w:type="dxa"/>
                  <w:tcBorders>
                    <w:tl2br w:val="nil"/>
                    <w:tr2bl w:val="nil"/>
                  </w:tcBorders>
                  <w:shd w:val="clear" w:color="auto" w:fill="auto"/>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074" w:type="dxa"/>
                  <w:tcBorders>
                    <w:tl2br w:val="nil"/>
                    <w:tr2bl w:val="nil"/>
                  </w:tcBorders>
                  <w:shd w:val="clear" w:color="auto" w:fill="auto"/>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施工期排放限值</w:t>
                  </w:r>
                  <w:r>
                    <w:rPr>
                      <w:rFonts w:eastAsia="仿宋"/>
                      <w:color w:val="000000" w:themeColor="text1"/>
                      <w:sz w:val="21"/>
                      <w14:textFill>
                        <w14:solidFill>
                          <w14:schemeClr w14:val="tx1"/>
                        </w14:solidFill>
                      </w14:textFill>
                    </w:rPr>
                    <w:t>[</w:t>
                  </w:r>
                  <w:r>
                    <w:rPr>
                      <w:color w:val="000000" w:themeColor="text1"/>
                      <w:sz w:val="21"/>
                      <w14:textFill>
                        <w14:solidFill>
                          <w14:schemeClr w14:val="tx1"/>
                        </w14:solidFill>
                      </w14:textFill>
                    </w:rPr>
                    <w:t>dB（A）</w:t>
                  </w:r>
                  <w:r>
                    <w:rPr>
                      <w:rFonts w:eastAsia="仿宋"/>
                      <w:color w:val="000000" w:themeColor="text1"/>
                      <w:sz w:val="21"/>
                      <w14:textFill>
                        <w14:solidFill>
                          <w14:schemeClr w14:val="tx1"/>
                        </w14:solidFill>
                      </w14:textFill>
                    </w:rPr>
                    <w:t>]</w:t>
                  </w:r>
                </w:p>
              </w:tc>
              <w:tc>
                <w:tcPr>
                  <w:tcW w:w="2762" w:type="dxa"/>
                  <w:tcBorders>
                    <w:tl2br w:val="nil"/>
                    <w:tr2bl w:val="nil"/>
                  </w:tcBorders>
                  <w:shd w:val="clear" w:color="auto" w:fill="auto"/>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70</w:t>
                  </w:r>
                </w:p>
              </w:tc>
              <w:tc>
                <w:tcPr>
                  <w:tcW w:w="2763" w:type="dxa"/>
                  <w:tcBorders>
                    <w:tl2br w:val="nil"/>
                    <w:tr2bl w:val="nil"/>
                  </w:tcBorders>
                  <w:shd w:val="clear" w:color="auto" w:fill="auto"/>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074" w:type="dxa"/>
                  <w:tcBorders>
                    <w:tl2br w:val="nil"/>
                    <w:tr2bl w:val="nil"/>
                  </w:tcBorders>
                  <w:shd w:val="clear" w:color="auto" w:fill="auto"/>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运营期排放限值</w:t>
                  </w:r>
                  <w:r>
                    <w:rPr>
                      <w:rFonts w:eastAsia="仿宋"/>
                      <w:color w:val="000000" w:themeColor="text1"/>
                      <w:sz w:val="21"/>
                      <w14:textFill>
                        <w14:solidFill>
                          <w14:schemeClr w14:val="tx1"/>
                        </w14:solidFill>
                      </w14:textFill>
                    </w:rPr>
                    <w:t>[</w:t>
                  </w:r>
                  <w:r>
                    <w:rPr>
                      <w:color w:val="000000" w:themeColor="text1"/>
                      <w:sz w:val="21"/>
                      <w14:textFill>
                        <w14:solidFill>
                          <w14:schemeClr w14:val="tx1"/>
                        </w14:solidFill>
                      </w14:textFill>
                    </w:rPr>
                    <w:t>dB（A）</w:t>
                  </w:r>
                  <w:r>
                    <w:rPr>
                      <w:rFonts w:eastAsia="仿宋"/>
                      <w:color w:val="000000" w:themeColor="text1"/>
                      <w:sz w:val="21"/>
                      <w14:textFill>
                        <w14:solidFill>
                          <w14:schemeClr w14:val="tx1"/>
                        </w14:solidFill>
                      </w14:textFill>
                    </w:rPr>
                    <w:t>]</w:t>
                  </w:r>
                </w:p>
              </w:tc>
              <w:tc>
                <w:tcPr>
                  <w:tcW w:w="2762" w:type="dxa"/>
                  <w:tcBorders>
                    <w:tl2br w:val="nil"/>
                    <w:tr2bl w:val="nil"/>
                  </w:tcBorders>
                  <w:shd w:val="clear" w:color="auto" w:fill="auto"/>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60</w:t>
                  </w:r>
                </w:p>
              </w:tc>
              <w:tc>
                <w:tcPr>
                  <w:tcW w:w="2763" w:type="dxa"/>
                  <w:tcBorders>
                    <w:tl2br w:val="nil"/>
                    <w:tr2bl w:val="nil"/>
                  </w:tcBorders>
                  <w:shd w:val="clear" w:color="auto" w:fill="auto"/>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50</w:t>
                  </w:r>
                </w:p>
              </w:tc>
            </w:tr>
          </w:tbl>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4、固体废物</w:t>
            </w:r>
          </w:p>
          <w:p>
            <w:pPr>
              <w:spacing w:line="360" w:lineRule="auto"/>
              <w:ind w:firstLine="480" w:firstLineChars="200"/>
              <w:rPr>
                <w:color w:val="000000" w:themeColor="text1"/>
                <w:szCs w:val="24"/>
                <w14:textFill>
                  <w14:solidFill>
                    <w14:schemeClr w14:val="tx1"/>
                  </w14:solidFill>
                </w14:textFill>
              </w:rPr>
            </w:pPr>
            <w:r>
              <w:rPr>
                <w:rFonts w:hint="eastAsia"/>
              </w:rPr>
              <w:t>危险废物</w:t>
            </w:r>
            <w:r>
              <w:t>执行</w:t>
            </w:r>
            <w:r>
              <w:rPr>
                <w:rFonts w:hint="eastAsia"/>
              </w:rPr>
              <w:t>《危险废物贮存污染控制标准》（GB18597-2023）相关</w:t>
            </w:r>
            <w:r>
              <w:t>要求。</w:t>
            </w:r>
            <w:r>
              <w:rPr>
                <w:rFonts w:hint="eastAsia"/>
              </w:rPr>
              <w:t>一般固体废物按照《中华人民共和国固体废物污染环境防治法》进行管理；按照《一般固废分类与代码》（GB/T39198-2020）进行分类；其贮存过程满足应相应防渗漏、防雨淋、防扬尘等环境保护要求。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0" w:hRule="atLeast"/>
          <w:jc w:val="center"/>
        </w:trPr>
        <w:tc>
          <w:tcPr>
            <w:tcW w:w="633" w:type="dxa"/>
            <w:vAlign w:val="center"/>
          </w:tcPr>
          <w:p>
            <w:pPr>
              <w:spacing w:line="360"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总量</w:t>
            </w:r>
          </w:p>
          <w:p>
            <w:pPr>
              <w:spacing w:line="360"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控制</w:t>
            </w:r>
          </w:p>
          <w:p>
            <w:pPr>
              <w:spacing w:line="360" w:lineRule="auto"/>
              <w:jc w:val="center"/>
              <w:rPr>
                <w:color w:val="000000" w:themeColor="text1"/>
                <w:szCs w:val="24"/>
                <w:highlight w:val="yellow"/>
                <w14:textFill>
                  <w14:solidFill>
                    <w14:schemeClr w14:val="tx1"/>
                  </w14:solidFill>
                </w14:textFill>
              </w:rPr>
            </w:pPr>
            <w:r>
              <w:rPr>
                <w:color w:val="000000" w:themeColor="text1"/>
                <w:szCs w:val="24"/>
                <w14:textFill>
                  <w14:solidFill>
                    <w14:schemeClr w14:val="tx1"/>
                  </w14:solidFill>
                </w14:textFill>
              </w:rPr>
              <w:t>指标</w:t>
            </w:r>
          </w:p>
        </w:tc>
        <w:tc>
          <w:tcPr>
            <w:tcW w:w="8759" w:type="dxa"/>
            <w:vAlign w:val="center"/>
          </w:tcPr>
          <w:p>
            <w:pPr>
              <w:spacing w:line="360" w:lineRule="auto"/>
              <w:rPr>
                <w:color w:val="000000" w:themeColor="text1"/>
                <w:szCs w:val="24"/>
                <w14:textFill>
                  <w14:solidFill>
                    <w14:schemeClr w14:val="tx1"/>
                  </w14:solidFill>
                </w14:textFill>
              </w:rPr>
            </w:pPr>
            <w:r>
              <w:rPr>
                <w:color w:val="000000" w:themeColor="text1"/>
                <w:szCs w:val="24"/>
                <w14:textFill>
                  <w14:solidFill>
                    <w14:schemeClr w14:val="tx1"/>
                  </w14:solidFill>
                </w14:textFill>
              </w:rPr>
              <w:t>本项目生产废水</w:t>
            </w:r>
            <w:r>
              <w:rPr>
                <w:bCs/>
                <w:color w:val="000000" w:themeColor="text1"/>
                <w14:textFill>
                  <w14:solidFill>
                    <w14:schemeClr w14:val="tx1"/>
                  </w14:solidFill>
                </w14:textFill>
              </w:rPr>
              <w:t>经废水处理系统（采用絮凝沉淀+压滤工艺）处理后全部回用于生产；</w:t>
            </w:r>
            <w:r>
              <w:rPr>
                <w:rFonts w:hint="eastAsia"/>
                <w:bCs/>
                <w:color w:val="000000" w:themeColor="text1"/>
                <w14:textFill>
                  <w14:solidFill>
                    <w14:schemeClr w14:val="tx1"/>
                  </w14:solidFill>
                </w14:textFill>
              </w:rPr>
              <w:t>生活污水经厂区已建化粪池收集处理后用于农肥，不外排</w:t>
            </w:r>
            <w:r>
              <w:rPr>
                <w:bCs/>
                <w:color w:val="000000" w:themeColor="text1"/>
                <w14:textFill>
                  <w14:solidFill>
                    <w14:schemeClr w14:val="tx1"/>
                  </w14:solidFill>
                </w14:textFill>
              </w:rPr>
              <w:t>。</w:t>
            </w:r>
            <w:r>
              <w:rPr>
                <w:color w:val="000000" w:themeColor="text1"/>
                <w:szCs w:val="24"/>
                <w14:textFill>
                  <w14:solidFill>
                    <w14:schemeClr w14:val="tx1"/>
                  </w14:solidFill>
                </w14:textFill>
              </w:rPr>
              <w:t>因此，项目生活污水和生产废水经处理后均不外排，无需设置总量控制指标。</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本项目粉尘均为无组织排放，无需设置总量控制指标。</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综上，本项目无需设置总量控制指标。</w:t>
            </w:r>
          </w:p>
          <w:p>
            <w:pPr>
              <w:spacing w:line="360" w:lineRule="auto"/>
              <w:ind w:firstLine="480" w:firstLineChars="200"/>
              <w:rPr>
                <w:color w:val="000000" w:themeColor="text1"/>
                <w:szCs w:val="24"/>
                <w14:textFill>
                  <w14:solidFill>
                    <w14:schemeClr w14:val="tx1"/>
                  </w14:solidFill>
                </w14:textFill>
              </w:rPr>
            </w:pPr>
          </w:p>
          <w:p>
            <w:pPr>
              <w:spacing w:line="360" w:lineRule="auto"/>
              <w:rPr>
                <w:color w:val="000000" w:themeColor="text1"/>
                <w:szCs w:val="24"/>
                <w:highlight w:val="yellow"/>
                <w14:textFill>
                  <w14:solidFill>
                    <w14:schemeClr w14:val="tx1"/>
                  </w14:solidFill>
                </w14:textFill>
              </w:rPr>
            </w:pPr>
          </w:p>
        </w:tc>
      </w:tr>
    </w:tbl>
    <w:p>
      <w:pPr>
        <w:pStyle w:val="2"/>
        <w:ind w:left="960" w:hanging="480"/>
        <w:rPr>
          <w:color w:val="000000" w:themeColor="text1"/>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pStyle w:val="18"/>
        <w:jc w:val="center"/>
        <w:rPr>
          <w:rFonts w:eastAsia="黑体"/>
          <w:b w:val="0"/>
          <w:color w:val="000000" w:themeColor="text1"/>
          <w:sz w:val="30"/>
          <w:szCs w:val="30"/>
          <w14:textFill>
            <w14:solidFill>
              <w14:schemeClr w14:val="tx1"/>
            </w14:solidFill>
          </w14:textFill>
        </w:rPr>
      </w:pPr>
      <w:r>
        <w:rPr>
          <w:rFonts w:eastAsia="黑体"/>
          <w:b w:val="0"/>
          <w:color w:val="000000" w:themeColor="text1"/>
          <w:sz w:val="30"/>
          <w:szCs w:val="30"/>
          <w14:textFill>
            <w14:solidFill>
              <w14:schemeClr w14:val="tx1"/>
            </w14:solidFill>
          </w14:textFill>
        </w:rPr>
        <w:t>四、主要环境影响和保护措施</w:t>
      </w:r>
    </w:p>
    <w:tbl>
      <w:tblPr>
        <w:tblStyle w:val="15"/>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81" w:type="dxa"/>
            <w:vAlign w:val="center"/>
          </w:tcPr>
          <w:p>
            <w:pPr>
              <w:spacing w:line="360"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施工</w:t>
            </w:r>
          </w:p>
          <w:p>
            <w:pPr>
              <w:spacing w:line="360"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期环</w:t>
            </w:r>
          </w:p>
          <w:p>
            <w:pPr>
              <w:spacing w:line="360"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境保</w:t>
            </w:r>
          </w:p>
          <w:p>
            <w:pPr>
              <w:spacing w:line="360"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护措</w:t>
            </w:r>
          </w:p>
          <w:p>
            <w:pPr>
              <w:spacing w:line="360"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施</w:t>
            </w:r>
          </w:p>
        </w:tc>
        <w:tc>
          <w:tcPr>
            <w:tcW w:w="8779" w:type="dxa"/>
            <w:vAlign w:val="center"/>
          </w:tcPr>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1、废气</w:t>
            </w:r>
          </w:p>
          <w:p>
            <w:pPr>
              <w:spacing w:line="360" w:lineRule="auto"/>
              <w:ind w:firstLine="361" w:firstLineChars="15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（1）施工扬尘</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在施工阶段，产生扬尘的作业主要有土地平整、开挖、回填、建材运输、装卸等过程，经类比分析，施工场地扬尘浓度一般约为3.5mg/m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会对周围环境产生一定影响。为减轻施工期扬尘对大气环境的影响施工单位必须严格按照《四川省建筑工程扬尘污染防治技术导则（试行）》（川建发〔2019〕16号）等有关要求进行施工，采取以下扬尘防治措施：</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①施工现场架设2.5~3m高围挡，</w:t>
            </w:r>
            <w:r>
              <w:rPr>
                <w:rFonts w:hint="eastAsia"/>
                <w:color w:val="000000" w:themeColor="text1"/>
                <w:szCs w:val="24"/>
                <w14:textFill>
                  <w14:solidFill>
                    <w14:schemeClr w14:val="tx1"/>
                  </w14:solidFill>
                </w14:textFill>
              </w:rPr>
              <w:t>围挡顶部设置水喷雾装置且</w:t>
            </w:r>
            <w:r>
              <w:rPr>
                <w:color w:val="000000" w:themeColor="text1"/>
                <w:szCs w:val="24"/>
                <w14:textFill>
                  <w14:solidFill>
                    <w14:schemeClr w14:val="tx1"/>
                  </w14:solidFill>
                </w14:textFill>
              </w:rPr>
              <w:t>封闭施工现场，施工现场主要道路及施工区域与社会通行道路交叉通道必须硬化；推行绿色施工和装配式建筑施工方式，在专业化工厂预制构件，在工地进行装配，减少现场浇筑。</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②施工车辆实施限速管理，施工现场主要运输道路定期洒水抑尘；施工场地安装扬尘在线视频监测设备，设置喷淋、冲洗等防尘降尘设施，对驶离车辆实施冲洗，配套设置地面排水沟、沉淀池。</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③运输车辆严禁超载行驶，必须采取密闭运输，装卸作业时必须采取有效防护措施，不得遗撒、泄漏、违规倾倒；运输时应选择对周围环境影响较小的运输路线，定时对运输路线进行清扫。</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④禁止在风天进行渣土堆放作业，建材堆放地点要相对集中，建筑垃圾应及时清运，并对堆场以防尘布覆盖，禁止露天堆放。</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⑤风速大于4m/s时应停止施工；尽量避免冬季、春季进行大规模土方作业，做到“慎开工，早完工”；遇重污染天气，建设单位和施工单位应按照《达州市重污染天气应急预案》通知落实重污染天气状况下的应急措施要求。</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同时，施工单位</w:t>
            </w:r>
            <w:r>
              <w:rPr>
                <w:rFonts w:hint="eastAsia"/>
                <w:color w:val="000000" w:themeColor="text1"/>
                <w:szCs w:val="24"/>
                <w14:textFill>
                  <w14:solidFill>
                    <w14:schemeClr w14:val="tx1"/>
                  </w14:solidFill>
                </w14:textFill>
              </w:rPr>
              <w:t>必须</w:t>
            </w:r>
            <w:r>
              <w:rPr>
                <w:color w:val="000000" w:themeColor="text1"/>
                <w:szCs w:val="24"/>
                <w14:textFill>
                  <w14:solidFill>
                    <w14:schemeClr w14:val="tx1"/>
                  </w14:solidFill>
                </w14:textFill>
              </w:rPr>
              <w:t>全面督查建筑工地现场管理“六必须”、“六不准”的执行情况，即：必须打围作业、必须硬化道路、必须设置冲洗设施、必须湿法作业、必须配齐保洁人员、必须定时清扫施工现场；不准车辆带泥出门，不准运渣车辆冒顶装载、不准高空</w:t>
            </w:r>
            <w:r>
              <w:rPr>
                <w:rFonts w:hint="eastAsia"/>
                <w:color w:val="000000" w:themeColor="text1"/>
                <w:szCs w:val="24"/>
                <w14:textFill>
                  <w14:solidFill>
                    <w14:schemeClr w14:val="tx1"/>
                  </w14:solidFill>
                </w14:textFill>
              </w:rPr>
              <w:t>抛洒</w:t>
            </w:r>
            <w:r>
              <w:rPr>
                <w:color w:val="000000" w:themeColor="text1"/>
                <w:szCs w:val="24"/>
                <w14:textFill>
                  <w14:solidFill>
                    <w14:schemeClr w14:val="tx1"/>
                  </w14:solidFill>
                </w14:textFill>
              </w:rPr>
              <w:t>建渣、不准现场搅拌混凝土、不准场地积水、不准现场焚烧废弃物。同时，施工单位必须严格按照《四川省建筑工程扬尘污染防治技术导则（试行）》（川建发〔2019〕16号）中要求，严格落实“六个百分百”要求，包括：工地周边围挡、物料堆放覆盖、出入车辆冲洗、施工现场道路及材料堆场硬化、工地湿法作业及渣土车辆密闭运输，确保施工场地扬尘达到《四川省施工场地扬尘排放标准》（DB51/2682-2020）中相关限值要求。</w:t>
            </w:r>
          </w:p>
          <w:p>
            <w:pPr>
              <w:spacing w:line="360" w:lineRule="auto"/>
              <w:ind w:firstLine="361" w:firstLineChars="15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（2）施工机械废气</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项目施工设备和建筑机械设备的运转，会排放一定量的CO、NO</w:t>
            </w:r>
            <w:r>
              <w:rPr>
                <w:color w:val="000000" w:themeColor="text1"/>
                <w:szCs w:val="24"/>
                <w:vertAlign w:val="subscript"/>
                <w14:textFill>
                  <w14:solidFill>
                    <w14:schemeClr w14:val="tx1"/>
                  </w14:solidFill>
                </w14:textFill>
              </w:rPr>
              <w:t>x</w:t>
            </w:r>
            <w:r>
              <w:rPr>
                <w:color w:val="000000" w:themeColor="text1"/>
                <w:szCs w:val="24"/>
                <w14:textFill>
                  <w14:solidFill>
                    <w14:schemeClr w14:val="tx1"/>
                  </w14:solidFill>
                </w14:textFill>
              </w:rPr>
              <w:t>以及未完全燃烧的THC等，由于其属间断性无组织排放，特点是排放量小，加之施工场地开阔，扩散条件良好，对其不加处理也可达到相应的排放标准。环评要求建设单位禁止使用高排放非道路移动机械，制定施工现场非道路移动机械管理制度，并加强施工设备的维护和用油管理。</w:t>
            </w:r>
          </w:p>
          <w:p>
            <w:pPr>
              <w:spacing w:line="360" w:lineRule="auto"/>
              <w:ind w:firstLine="482" w:firstLineChars="20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2、废水</w:t>
            </w:r>
          </w:p>
          <w:p>
            <w:pPr>
              <w:spacing w:line="360" w:lineRule="auto"/>
              <w:ind w:firstLine="361" w:firstLineChars="15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（1）生活污水</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施工高峰期施工人员预计约</w:t>
            </w:r>
            <w:r>
              <w:rPr>
                <w:rFonts w:hint="eastAsia"/>
                <w:color w:val="000000" w:themeColor="text1"/>
                <w:szCs w:val="24"/>
                <w14:textFill>
                  <w14:solidFill>
                    <w14:schemeClr w14:val="tx1"/>
                  </w14:solidFill>
                </w14:textFill>
              </w:rPr>
              <w:t>10</w:t>
            </w:r>
            <w:r>
              <w:rPr>
                <w:color w:val="000000" w:themeColor="text1"/>
                <w:szCs w:val="24"/>
                <w14:textFill>
                  <w14:solidFill>
                    <w14:schemeClr w14:val="tx1"/>
                  </w14:solidFill>
                </w14:textFill>
              </w:rPr>
              <w:t>人，施工人员生活用水量按0.1m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/d，生活污水产生系数取0.85，则生活污水产生量为</w:t>
            </w:r>
            <w:r>
              <w:rPr>
                <w:rFonts w:hint="eastAsia"/>
                <w:color w:val="000000" w:themeColor="text1"/>
                <w:szCs w:val="24"/>
                <w14:textFill>
                  <w14:solidFill>
                    <w14:schemeClr w14:val="tx1"/>
                  </w14:solidFill>
                </w14:textFill>
              </w:rPr>
              <w:t>0.85</w:t>
            </w:r>
            <w:r>
              <w:rPr>
                <w:color w:val="000000" w:themeColor="text1"/>
                <w:szCs w:val="24"/>
                <w14:textFill>
                  <w14:solidFill>
                    <w14:schemeClr w14:val="tx1"/>
                  </w14:solidFill>
                </w14:textFill>
              </w:rPr>
              <w:t>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/d，</w:t>
            </w:r>
            <w:r>
              <w:rPr>
                <w:spacing w:val="-1"/>
              </w:rPr>
              <w:t>施工生活污水经</w:t>
            </w:r>
            <w:r>
              <w:rPr>
                <w:rFonts w:hint="eastAsia"/>
                <w:spacing w:val="-1"/>
              </w:rPr>
              <w:t>厂区现有</w:t>
            </w:r>
            <w:r>
              <w:rPr>
                <w:spacing w:val="-1"/>
              </w:rPr>
              <w:t>的化粪池处理后用作农肥</w:t>
            </w:r>
            <w:r>
              <w:rPr>
                <w:rFonts w:hint="eastAsia"/>
                <w:spacing w:val="-1"/>
              </w:rPr>
              <w:t>，</w:t>
            </w:r>
            <w:r>
              <w:rPr>
                <w:spacing w:val="-1"/>
              </w:rPr>
              <w:t>不外排。</w:t>
            </w:r>
          </w:p>
          <w:p>
            <w:pPr>
              <w:spacing w:line="360" w:lineRule="auto"/>
              <w:ind w:firstLine="361" w:firstLineChars="15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（2）施工废水</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施工废水中的主要污染物为pH（一般大于7）、SS、COD、石油类，污水中COD浓度值最高约500m/L、BOD</w:t>
            </w:r>
            <w:r>
              <w:rPr>
                <w:color w:val="000000" w:themeColor="text1"/>
                <w:szCs w:val="24"/>
                <w:vertAlign w:val="subscript"/>
                <w14:textFill>
                  <w14:solidFill>
                    <w14:schemeClr w14:val="tx1"/>
                  </w14:solidFill>
                </w14:textFill>
              </w:rPr>
              <w:t>5</w:t>
            </w:r>
            <w:r>
              <w:rPr>
                <w:color w:val="000000" w:themeColor="text1"/>
                <w:szCs w:val="24"/>
                <w14:textFill>
                  <w14:solidFill>
                    <w14:schemeClr w14:val="tx1"/>
                  </w14:solidFill>
                </w14:textFill>
              </w:rPr>
              <w:t>约400mg/L、SS 约1000mg/L。经类比分析，项目施工期施工废水预计排放量为</w:t>
            </w:r>
            <w:r>
              <w:rPr>
                <w:rFonts w:hint="eastAsia"/>
                <w:color w:val="000000" w:themeColor="text1"/>
                <w:szCs w:val="24"/>
                <w14:textFill>
                  <w14:solidFill>
                    <w14:schemeClr w14:val="tx1"/>
                  </w14:solidFill>
                </w14:textFill>
              </w:rPr>
              <w:t>5</w:t>
            </w:r>
            <w:r>
              <w:rPr>
                <w:color w:val="000000" w:themeColor="text1"/>
                <w:szCs w:val="24"/>
                <w14:textFill>
                  <w14:solidFill>
                    <w14:schemeClr w14:val="tx1"/>
                  </w14:solidFill>
                </w14:textFill>
              </w:rPr>
              <w:t>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/d，为防止施工废水对区域地表水环境造成影响，本环评要求建设单位应采取以下污染防治措施：</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①施工场地应建设沉淀池，施工废水经沉淀后全部用于建筑工地洒水和车辆冲洗。</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②施工期机械和车辆冲洗废水含有少量油污，应修建</w:t>
            </w:r>
            <w:r>
              <w:rPr>
                <w:rFonts w:hint="eastAsia"/>
                <w:color w:val="000000" w:themeColor="text1"/>
                <w:szCs w:val="24"/>
                <w14:textFill>
                  <w14:solidFill>
                    <w14:schemeClr w14:val="tx1"/>
                  </w14:solidFill>
                </w14:textFill>
              </w:rPr>
              <w:t>沉淀</w:t>
            </w:r>
            <w:r>
              <w:rPr>
                <w:color w:val="000000" w:themeColor="text1"/>
                <w:szCs w:val="24"/>
                <w14:textFill>
                  <w14:solidFill>
                    <w14:schemeClr w14:val="tx1"/>
                  </w14:solidFill>
                </w14:textFill>
              </w:rPr>
              <w:t>池及配套排水沟，污水经</w:t>
            </w:r>
            <w:r>
              <w:rPr>
                <w:rFonts w:hint="eastAsia"/>
                <w:color w:val="000000" w:themeColor="text1"/>
                <w:szCs w:val="24"/>
                <w14:textFill>
                  <w14:solidFill>
                    <w14:schemeClr w14:val="tx1"/>
                  </w14:solidFill>
                </w14:textFill>
              </w:rPr>
              <w:t>沉淀</w:t>
            </w:r>
            <w:r>
              <w:rPr>
                <w:color w:val="000000" w:themeColor="text1"/>
                <w:szCs w:val="24"/>
                <w14:textFill>
                  <w14:solidFill>
                    <w14:schemeClr w14:val="tx1"/>
                  </w14:solidFill>
                </w14:textFill>
              </w:rPr>
              <w:t>处理后全部回用。</w:t>
            </w:r>
          </w:p>
          <w:p>
            <w:pPr>
              <w:spacing w:line="360" w:lineRule="auto"/>
              <w:ind w:firstLine="48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3、噪声</w:t>
            </w:r>
          </w:p>
          <w:p>
            <w:pPr>
              <w:spacing w:line="360" w:lineRule="auto"/>
              <w:ind w:firstLine="482" w:firstLineChars="20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（1）噪声源强及治理措施</w:t>
            </w:r>
          </w:p>
          <w:p>
            <w:pPr>
              <w:spacing w:line="360" w:lineRule="auto"/>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施工期噪声主要来源于施工现场的各类机械设备噪声，不同施工阶段和不同施工机械发出的噪声水平是不同的，各机械设备的动力噪声源声级一般在85dB（A）以上，其在多台机械设备同时作业时，各台设备产生的噪声会产生叠加。根据工程所在区域环境现状，为实现施工场界噪声达标排放，降低施工噪声对周围环境的影响，施工单位需严格按照相关要求文明施工，采取以下噪声防治措施：</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①选用符合国家标准的低噪声设备，定期加强对设备的维修保养，避免由于设备非正常工作而产生噪声污染。</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②合理安排施工时间，禁止夜间（22:00~6:00）施工，如夜间需进行施工工艺要求必须连续作业的强噪声施工，须事先征得周围居民同意，向当地管理部门申报。</w:t>
            </w:r>
          </w:p>
          <w:p>
            <w:pPr>
              <w:spacing w:line="360" w:lineRule="auto"/>
              <w:ind w:firstLine="480" w:firstLineChars="200"/>
              <w:rPr>
                <w:b/>
                <w:color w:val="000000" w:themeColor="text1"/>
                <w:szCs w:val="24"/>
                <w14:textFill>
                  <w14:solidFill>
                    <w14:schemeClr w14:val="tx1"/>
                  </w14:solidFill>
                </w14:textFill>
              </w:rPr>
            </w:pPr>
            <w:r>
              <w:rPr>
                <w:color w:val="000000" w:themeColor="text1"/>
                <w:szCs w:val="24"/>
                <w14:textFill>
                  <w14:solidFill>
                    <w14:schemeClr w14:val="tx1"/>
                  </w14:solidFill>
                </w14:textFill>
              </w:rPr>
              <w:t>③加强管理，文明施工。装卸、搬运木材、模具、钢材等严禁抛掷，材料运输车辆进场要专人指挥，厂内运输车辆实施限速、禁止鸣笛。施工监理单位应做好噪声控制措施，确保施工场界噪声达标排放。</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④施工运输车辆应按照有关部门同意的运输路线行进，运输时间应避开居民进出高峰期，同时严格限速、限载管理，禁止鸣笛。</w:t>
            </w:r>
          </w:p>
          <w:p>
            <w:pPr>
              <w:spacing w:line="360" w:lineRule="auto"/>
              <w:ind w:firstLine="480" w:firstLineChars="200"/>
              <w:rPr>
                <w:b/>
                <w:color w:val="000000" w:themeColor="text1"/>
                <w:szCs w:val="24"/>
                <w14:textFill>
                  <w14:solidFill>
                    <w14:schemeClr w14:val="tx1"/>
                  </w14:solidFill>
                </w14:textFill>
              </w:rPr>
            </w:pPr>
            <w:r>
              <w:rPr>
                <w:color w:val="000000" w:themeColor="text1"/>
                <w:szCs w:val="24"/>
                <w14:textFill>
                  <w14:solidFill>
                    <w14:schemeClr w14:val="tx1"/>
                  </w14:solidFill>
                </w14:textFill>
              </w:rPr>
              <w:t>⑤合理布置施工总平面。施工期高噪声尽量设备布置在场地中央，有效利用距离的衰减，确保</w:t>
            </w:r>
            <w:r>
              <w:rPr>
                <w:rFonts w:hint="eastAsia"/>
                <w:color w:val="000000" w:themeColor="text1"/>
                <w:szCs w:val="24"/>
                <w14:textFill>
                  <w14:solidFill>
                    <w14:schemeClr w14:val="tx1"/>
                  </w14:solidFill>
                </w14:textFill>
              </w:rPr>
              <w:t>厂界</w:t>
            </w:r>
            <w:r>
              <w:rPr>
                <w:color w:val="000000" w:themeColor="text1"/>
                <w:szCs w:val="24"/>
                <w14:textFill>
                  <w14:solidFill>
                    <w14:schemeClr w14:val="tx1"/>
                  </w14:solidFill>
                </w14:textFill>
              </w:rPr>
              <w:t>达标排放。</w:t>
            </w:r>
          </w:p>
          <w:p>
            <w:pPr>
              <w:spacing w:line="360" w:lineRule="auto"/>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⑥施工前应进行公示，施工单位应在现场张贴通告和投诉电话，建设单位在接到投诉电话后及时与当地环保部门联系，及时处理各种环境纠纷。</w:t>
            </w:r>
          </w:p>
          <w:p>
            <w:pPr>
              <w:spacing w:line="360" w:lineRule="auto"/>
              <w:ind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本项目施工期噪声污染源源强核算结果及相关参数见下表：</w:t>
            </w:r>
          </w:p>
          <w:p>
            <w:pPr>
              <w:spacing w:line="360" w:lineRule="auto"/>
              <w:jc w:val="center"/>
              <w:rPr>
                <w:b/>
                <w:bCs/>
                <w:color w:val="000000" w:themeColor="text1"/>
                <w:szCs w:val="24"/>
                <w14:textFill>
                  <w14:solidFill>
                    <w14:schemeClr w14:val="tx1"/>
                  </w14:solidFill>
                </w14:textFill>
              </w:rPr>
            </w:pPr>
            <w:r>
              <w:rPr>
                <w:rFonts w:hint="eastAsia" w:eastAsia="黑体"/>
                <w:b/>
                <w:bCs/>
                <w:color w:val="000000" w:themeColor="text1"/>
                <w:kern w:val="0"/>
                <w:sz w:val="20"/>
                <w:szCs w:val="20"/>
                <w14:textFill>
                  <w14:solidFill>
                    <w14:schemeClr w14:val="tx1"/>
                  </w14:solidFill>
                </w14:textFill>
              </w:rPr>
              <w:t>表4-1 工业企业噪声施工期源强调查清单（室外声源）</w:t>
            </w:r>
          </w:p>
          <w:tbl>
            <w:tblPr>
              <w:tblStyle w:val="15"/>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18"/>
              <w:gridCol w:w="915"/>
              <w:gridCol w:w="562"/>
              <w:gridCol w:w="615"/>
              <w:gridCol w:w="615"/>
              <w:gridCol w:w="616"/>
              <w:gridCol w:w="1484"/>
              <w:gridCol w:w="859"/>
              <w:gridCol w:w="1210"/>
              <w:gridCol w:w="14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8" w:type="pct"/>
                  <w:vMerge w:val="restart"/>
                  <w:tcBorders>
                    <w:tl2br w:val="nil"/>
                    <w:tr2bl w:val="nil"/>
                  </w:tcBorders>
                  <w:vAlign w:val="center"/>
                </w:tcPr>
                <w:p>
                  <w:pPr>
                    <w:spacing w:line="36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序号</w:t>
                  </w:r>
                </w:p>
              </w:tc>
              <w:tc>
                <w:tcPr>
                  <w:tcW w:w="521" w:type="pct"/>
                  <w:vMerge w:val="restart"/>
                  <w:tcBorders>
                    <w:tl2br w:val="nil"/>
                    <w:tr2bl w:val="nil"/>
                  </w:tcBorders>
                  <w:vAlign w:val="center"/>
                </w:tcPr>
                <w:p>
                  <w:pPr>
                    <w:spacing w:line="36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声源</w:t>
                  </w:r>
                  <w:r>
                    <w:rPr>
                      <w:rFonts w:hint="eastAsia"/>
                      <w:b/>
                      <w:bCs/>
                      <w:color w:val="000000" w:themeColor="text1"/>
                      <w:sz w:val="21"/>
                      <w14:textFill>
                        <w14:solidFill>
                          <w14:schemeClr w14:val="tx1"/>
                        </w14:solidFill>
                      </w14:textFill>
                    </w:rPr>
                    <w:t>名称</w:t>
                  </w:r>
                </w:p>
              </w:tc>
              <w:tc>
                <w:tcPr>
                  <w:tcW w:w="320" w:type="pct"/>
                  <w:vMerge w:val="restart"/>
                  <w:tcBorders>
                    <w:tl2br w:val="nil"/>
                    <w:tr2bl w:val="nil"/>
                  </w:tcBorders>
                  <w:vAlign w:val="center"/>
                </w:tcPr>
                <w:p>
                  <w:pPr>
                    <w:spacing w:line="36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型号</w:t>
                  </w:r>
                </w:p>
              </w:tc>
              <w:tc>
                <w:tcPr>
                  <w:tcW w:w="1051" w:type="pct"/>
                  <w:gridSpan w:val="3"/>
                  <w:tcBorders>
                    <w:tl2br w:val="nil"/>
                    <w:tr2bl w:val="nil"/>
                  </w:tcBorders>
                  <w:vAlign w:val="center"/>
                </w:tcPr>
                <w:p>
                  <w:pPr>
                    <w:spacing w:line="36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空间相对位置</w:t>
                  </w:r>
                </w:p>
              </w:tc>
              <w:tc>
                <w:tcPr>
                  <w:tcW w:w="1334" w:type="pct"/>
                  <w:gridSpan w:val="2"/>
                  <w:tcBorders>
                    <w:tl2br w:val="nil"/>
                    <w:tr2bl w:val="nil"/>
                  </w:tcBorders>
                  <w:vAlign w:val="center"/>
                </w:tcPr>
                <w:p>
                  <w:pPr>
                    <w:spacing w:line="36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噪声源强</w:t>
                  </w:r>
                  <w:r>
                    <w:rPr>
                      <w:rFonts w:hint="eastAsia"/>
                      <w:b/>
                      <w:bCs/>
                      <w:color w:val="000000" w:themeColor="text1"/>
                      <w:sz w:val="21"/>
                      <w14:textFill>
                        <w14:solidFill>
                          <w14:schemeClr w14:val="tx1"/>
                        </w14:solidFill>
                      </w14:textFill>
                    </w:rPr>
                    <w:t>（任选一种）</w:t>
                  </w:r>
                </w:p>
              </w:tc>
              <w:tc>
                <w:tcPr>
                  <w:tcW w:w="689" w:type="pct"/>
                  <w:vMerge w:val="restart"/>
                  <w:tcBorders>
                    <w:tl2br w:val="nil"/>
                    <w:tr2bl w:val="nil"/>
                  </w:tcBorders>
                  <w:vAlign w:val="center"/>
                </w:tcPr>
                <w:p>
                  <w:pPr>
                    <w:spacing w:line="36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声源控制措施</w:t>
                  </w:r>
                </w:p>
              </w:tc>
              <w:tc>
                <w:tcPr>
                  <w:tcW w:w="844" w:type="pct"/>
                  <w:vMerge w:val="restart"/>
                  <w:tcBorders>
                    <w:tl2br w:val="nil"/>
                    <w:tr2bl w:val="nil"/>
                  </w:tcBorders>
                  <w:vAlign w:val="center"/>
                </w:tcPr>
                <w:p>
                  <w:pPr>
                    <w:spacing w:line="36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38" w:type="pct"/>
                  <w:vMerge w:val="continue"/>
                  <w:tcBorders>
                    <w:tl2br w:val="nil"/>
                    <w:tr2bl w:val="nil"/>
                  </w:tcBorders>
                  <w:vAlign w:val="center"/>
                </w:tcPr>
                <w:p>
                  <w:pPr>
                    <w:spacing w:line="360" w:lineRule="auto"/>
                    <w:jc w:val="center"/>
                    <w:rPr>
                      <w:color w:val="000000" w:themeColor="text1"/>
                      <w:sz w:val="21"/>
                      <w14:textFill>
                        <w14:solidFill>
                          <w14:schemeClr w14:val="tx1"/>
                        </w14:solidFill>
                      </w14:textFill>
                    </w:rPr>
                  </w:pPr>
                </w:p>
              </w:tc>
              <w:tc>
                <w:tcPr>
                  <w:tcW w:w="521" w:type="pct"/>
                  <w:vMerge w:val="continue"/>
                  <w:tcBorders>
                    <w:tl2br w:val="nil"/>
                    <w:tr2bl w:val="nil"/>
                  </w:tcBorders>
                  <w:vAlign w:val="center"/>
                </w:tcPr>
                <w:p>
                  <w:pPr>
                    <w:spacing w:line="360" w:lineRule="auto"/>
                    <w:jc w:val="center"/>
                    <w:rPr>
                      <w:color w:val="000000" w:themeColor="text1"/>
                      <w:sz w:val="21"/>
                      <w14:textFill>
                        <w14:solidFill>
                          <w14:schemeClr w14:val="tx1"/>
                        </w14:solidFill>
                      </w14:textFill>
                    </w:rPr>
                  </w:pPr>
                </w:p>
              </w:tc>
              <w:tc>
                <w:tcPr>
                  <w:tcW w:w="320" w:type="pct"/>
                  <w:vMerge w:val="continue"/>
                  <w:tcBorders>
                    <w:tl2br w:val="nil"/>
                    <w:tr2bl w:val="nil"/>
                  </w:tcBorders>
                  <w:vAlign w:val="center"/>
                </w:tcPr>
                <w:p>
                  <w:pPr>
                    <w:spacing w:line="360" w:lineRule="auto"/>
                    <w:jc w:val="center"/>
                    <w:rPr>
                      <w:color w:val="000000" w:themeColor="text1"/>
                      <w:sz w:val="21"/>
                      <w14:textFill>
                        <w14:solidFill>
                          <w14:schemeClr w14:val="tx1"/>
                        </w14:solidFill>
                      </w14:textFill>
                    </w:rPr>
                  </w:pPr>
                </w:p>
              </w:tc>
              <w:tc>
                <w:tcPr>
                  <w:tcW w:w="350" w:type="pct"/>
                  <w:tcBorders>
                    <w:tl2br w:val="nil"/>
                    <w:tr2bl w:val="nil"/>
                  </w:tcBorders>
                  <w:vAlign w:val="center"/>
                </w:tcPr>
                <w:p>
                  <w:pPr>
                    <w:spacing w:line="36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X</w:t>
                  </w:r>
                </w:p>
              </w:tc>
              <w:tc>
                <w:tcPr>
                  <w:tcW w:w="350" w:type="pct"/>
                  <w:tcBorders>
                    <w:tl2br w:val="nil"/>
                    <w:tr2bl w:val="nil"/>
                  </w:tcBorders>
                  <w:vAlign w:val="center"/>
                </w:tcPr>
                <w:p>
                  <w:pPr>
                    <w:spacing w:line="36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Y</w:t>
                  </w:r>
                </w:p>
              </w:tc>
              <w:tc>
                <w:tcPr>
                  <w:tcW w:w="350" w:type="pct"/>
                  <w:tcBorders>
                    <w:tl2br w:val="nil"/>
                    <w:tr2bl w:val="nil"/>
                  </w:tcBorders>
                  <w:vAlign w:val="center"/>
                </w:tcPr>
                <w:p>
                  <w:pPr>
                    <w:spacing w:line="36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Z</w:t>
                  </w:r>
                </w:p>
              </w:tc>
              <w:tc>
                <w:tcPr>
                  <w:tcW w:w="845" w:type="pct"/>
                  <w:tcBorders>
                    <w:tl2br w:val="nil"/>
                    <w:tr2bl w:val="nil"/>
                  </w:tcBorders>
                  <w:vAlign w:val="center"/>
                </w:tcPr>
                <w:p>
                  <w:pPr>
                    <w:spacing w:line="360" w:lineRule="auto"/>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（声压级/距声源距离）/（dB（A）/m）</w:t>
                  </w:r>
                </w:p>
              </w:tc>
              <w:tc>
                <w:tcPr>
                  <w:tcW w:w="489" w:type="pct"/>
                  <w:tcBorders>
                    <w:tl2br w:val="nil"/>
                    <w:tr2bl w:val="nil"/>
                  </w:tcBorders>
                  <w:vAlign w:val="center"/>
                </w:tcPr>
                <w:p>
                  <w:pPr>
                    <w:spacing w:line="36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声功率级/</w:t>
                  </w:r>
                  <w:r>
                    <w:rPr>
                      <w:b/>
                      <w:bCs/>
                      <w:color w:val="000000" w:themeColor="text1"/>
                      <w:sz w:val="21"/>
                      <w14:textFill>
                        <w14:solidFill>
                          <w14:schemeClr w14:val="tx1"/>
                        </w14:solidFill>
                      </w14:textFill>
                    </w:rPr>
                    <w:t>dB（A）</w:t>
                  </w:r>
                </w:p>
              </w:tc>
              <w:tc>
                <w:tcPr>
                  <w:tcW w:w="689" w:type="pct"/>
                  <w:vMerge w:val="continue"/>
                  <w:tcBorders>
                    <w:tl2br w:val="nil"/>
                    <w:tr2bl w:val="nil"/>
                  </w:tcBorders>
                  <w:vAlign w:val="center"/>
                </w:tcPr>
                <w:p>
                  <w:pPr>
                    <w:spacing w:line="360" w:lineRule="auto"/>
                    <w:jc w:val="center"/>
                    <w:rPr>
                      <w:b/>
                      <w:bCs/>
                      <w:color w:val="000000" w:themeColor="text1"/>
                      <w:sz w:val="21"/>
                      <w14:textFill>
                        <w14:solidFill>
                          <w14:schemeClr w14:val="tx1"/>
                        </w14:solidFill>
                      </w14:textFill>
                    </w:rPr>
                  </w:pPr>
                </w:p>
              </w:tc>
              <w:tc>
                <w:tcPr>
                  <w:tcW w:w="844" w:type="pct"/>
                  <w:vMerge w:val="continue"/>
                  <w:tcBorders>
                    <w:tl2br w:val="nil"/>
                    <w:tr2bl w:val="nil"/>
                  </w:tcBorders>
                  <w:vAlign w:val="center"/>
                </w:tcPr>
                <w:p>
                  <w:pPr>
                    <w:spacing w:line="360" w:lineRule="auto"/>
                    <w:jc w:val="center"/>
                    <w:rPr>
                      <w:b/>
                      <w:bCs/>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tcBorders>
                    <w:tl2br w:val="nil"/>
                    <w:tr2bl w:val="nil"/>
                  </w:tcBorders>
                  <w:vAlign w:val="center"/>
                </w:tcPr>
                <w:p>
                  <w:pPr>
                    <w:spacing w:line="360" w:lineRule="auto"/>
                    <w:jc w:val="center"/>
                    <w:textAlignment w:val="baseline"/>
                    <w:rPr>
                      <w:color w:val="000000" w:themeColor="text1"/>
                      <w:sz w:val="21"/>
                      <w:lang w:bidi="ar"/>
                      <w14:textFill>
                        <w14:solidFill>
                          <w14:schemeClr w14:val="tx1"/>
                        </w14:solidFill>
                      </w14:textFill>
                    </w:rPr>
                  </w:pPr>
                  <w:r>
                    <w:rPr>
                      <w:rFonts w:hint="eastAsia"/>
                      <w:color w:val="000000" w:themeColor="text1"/>
                      <w:sz w:val="21"/>
                      <w14:textFill>
                        <w14:solidFill>
                          <w14:schemeClr w14:val="tx1"/>
                        </w14:solidFill>
                      </w14:textFill>
                    </w:rPr>
                    <w:t>1</w:t>
                  </w:r>
                </w:p>
              </w:tc>
              <w:tc>
                <w:tcPr>
                  <w:tcW w:w="521" w:type="pct"/>
                  <w:tcBorders>
                    <w:tl2br w:val="nil"/>
                    <w:tr2bl w:val="nil"/>
                  </w:tcBorders>
                  <w:vAlign w:val="center"/>
                </w:tcPr>
                <w:p>
                  <w:pPr>
                    <w:spacing w:line="360" w:lineRule="auto"/>
                    <w:jc w:val="center"/>
                    <w:textAlignment w:val="baseline"/>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电锯</w:t>
                  </w:r>
                </w:p>
              </w:tc>
              <w:tc>
                <w:tcPr>
                  <w:tcW w:w="320"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350"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30.83</w:t>
                  </w:r>
                </w:p>
              </w:tc>
              <w:tc>
                <w:tcPr>
                  <w:tcW w:w="350"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23.13</w:t>
                  </w:r>
                </w:p>
              </w:tc>
              <w:tc>
                <w:tcPr>
                  <w:tcW w:w="350"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845"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489"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90</w:t>
                  </w:r>
                </w:p>
              </w:tc>
              <w:tc>
                <w:tcPr>
                  <w:tcW w:w="689" w:type="pct"/>
                  <w:vMerge w:val="restar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选用低噪声设备，合理布置设备，加强管理</w:t>
                  </w:r>
                </w:p>
              </w:tc>
              <w:tc>
                <w:tcPr>
                  <w:tcW w:w="844"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tcBorders>
                    <w:tl2br w:val="nil"/>
                    <w:tr2bl w:val="nil"/>
                  </w:tcBorders>
                  <w:vAlign w:val="center"/>
                </w:tcPr>
                <w:p>
                  <w:pPr>
                    <w:spacing w:line="360" w:lineRule="auto"/>
                    <w:jc w:val="center"/>
                    <w:textAlignment w:val="baseline"/>
                    <w:rPr>
                      <w:color w:val="000000" w:themeColor="text1"/>
                      <w:sz w:val="21"/>
                      <w:lang w:bidi="ar"/>
                      <w14:textFill>
                        <w14:solidFill>
                          <w14:schemeClr w14:val="tx1"/>
                        </w14:solidFill>
                      </w14:textFill>
                    </w:rPr>
                  </w:pPr>
                  <w:r>
                    <w:rPr>
                      <w:rFonts w:hint="eastAsia"/>
                      <w:color w:val="000000" w:themeColor="text1"/>
                      <w:sz w:val="21"/>
                      <w14:textFill>
                        <w14:solidFill>
                          <w14:schemeClr w14:val="tx1"/>
                        </w14:solidFill>
                      </w14:textFill>
                    </w:rPr>
                    <w:t>2</w:t>
                  </w:r>
                </w:p>
              </w:tc>
              <w:tc>
                <w:tcPr>
                  <w:tcW w:w="521" w:type="pct"/>
                  <w:tcBorders>
                    <w:tl2br w:val="nil"/>
                    <w:tr2bl w:val="nil"/>
                  </w:tcBorders>
                  <w:vAlign w:val="center"/>
                </w:tcPr>
                <w:p>
                  <w:pPr>
                    <w:spacing w:line="360" w:lineRule="auto"/>
                    <w:jc w:val="center"/>
                    <w:textAlignment w:val="baseline"/>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挖土机</w:t>
                  </w:r>
                </w:p>
              </w:tc>
              <w:tc>
                <w:tcPr>
                  <w:tcW w:w="320"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350"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-20.4</w:t>
                  </w:r>
                </w:p>
              </w:tc>
              <w:tc>
                <w:tcPr>
                  <w:tcW w:w="350"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5.18</w:t>
                  </w:r>
                </w:p>
              </w:tc>
              <w:tc>
                <w:tcPr>
                  <w:tcW w:w="350"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845"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489"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80</w:t>
                  </w:r>
                </w:p>
              </w:tc>
              <w:tc>
                <w:tcPr>
                  <w:tcW w:w="689" w:type="pct"/>
                  <w:vMerge w:val="continue"/>
                  <w:tcBorders>
                    <w:tl2br w:val="nil"/>
                    <w:tr2bl w:val="nil"/>
                  </w:tcBorders>
                  <w:vAlign w:val="center"/>
                </w:tcPr>
                <w:p>
                  <w:pPr>
                    <w:spacing w:line="360" w:lineRule="auto"/>
                    <w:jc w:val="center"/>
                    <w:rPr>
                      <w:color w:val="000000" w:themeColor="text1"/>
                      <w:sz w:val="21"/>
                      <w14:textFill>
                        <w14:solidFill>
                          <w14:schemeClr w14:val="tx1"/>
                        </w14:solidFill>
                      </w14:textFill>
                    </w:rPr>
                  </w:pPr>
                </w:p>
              </w:tc>
              <w:tc>
                <w:tcPr>
                  <w:tcW w:w="844"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tcBorders>
                    <w:tl2br w:val="nil"/>
                    <w:tr2bl w:val="nil"/>
                  </w:tcBorders>
                  <w:vAlign w:val="center"/>
                </w:tcPr>
                <w:p>
                  <w:pPr>
                    <w:spacing w:line="360" w:lineRule="auto"/>
                    <w:jc w:val="center"/>
                    <w:textAlignment w:val="baseline"/>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521" w:type="pct"/>
                  <w:tcBorders>
                    <w:tl2br w:val="nil"/>
                    <w:tr2bl w:val="nil"/>
                  </w:tcBorders>
                  <w:vAlign w:val="center"/>
                </w:tcPr>
                <w:p>
                  <w:pPr>
                    <w:spacing w:line="360" w:lineRule="auto"/>
                    <w:jc w:val="center"/>
                    <w:textAlignment w:val="baseline"/>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打桩机</w:t>
                  </w:r>
                </w:p>
              </w:tc>
              <w:tc>
                <w:tcPr>
                  <w:tcW w:w="320"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350"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17.94</w:t>
                  </w:r>
                </w:p>
              </w:tc>
              <w:tc>
                <w:tcPr>
                  <w:tcW w:w="350"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5.99</w:t>
                  </w:r>
                </w:p>
              </w:tc>
              <w:tc>
                <w:tcPr>
                  <w:tcW w:w="350"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845"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489"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95</w:t>
                  </w:r>
                </w:p>
              </w:tc>
              <w:tc>
                <w:tcPr>
                  <w:tcW w:w="689" w:type="pct"/>
                  <w:vMerge w:val="continue"/>
                  <w:tcBorders>
                    <w:tl2br w:val="nil"/>
                    <w:tr2bl w:val="nil"/>
                  </w:tcBorders>
                  <w:vAlign w:val="center"/>
                </w:tcPr>
                <w:p>
                  <w:pPr>
                    <w:spacing w:line="360" w:lineRule="auto"/>
                    <w:jc w:val="center"/>
                    <w:rPr>
                      <w:color w:val="000000" w:themeColor="text1"/>
                      <w:sz w:val="21"/>
                      <w14:textFill>
                        <w14:solidFill>
                          <w14:schemeClr w14:val="tx1"/>
                        </w14:solidFill>
                      </w14:textFill>
                    </w:rPr>
                  </w:pPr>
                </w:p>
              </w:tc>
              <w:tc>
                <w:tcPr>
                  <w:tcW w:w="844"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tcBorders>
                    <w:tl2br w:val="nil"/>
                    <w:tr2bl w:val="nil"/>
                  </w:tcBorders>
                  <w:vAlign w:val="center"/>
                </w:tcPr>
                <w:p>
                  <w:pPr>
                    <w:spacing w:line="360" w:lineRule="auto"/>
                    <w:jc w:val="center"/>
                    <w:textAlignment w:val="baseline"/>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w:t>
                  </w:r>
                </w:p>
              </w:tc>
              <w:tc>
                <w:tcPr>
                  <w:tcW w:w="521" w:type="pct"/>
                  <w:tcBorders>
                    <w:tl2br w:val="nil"/>
                    <w:tr2bl w:val="nil"/>
                  </w:tcBorders>
                  <w:vAlign w:val="center"/>
                </w:tcPr>
                <w:p>
                  <w:pPr>
                    <w:spacing w:line="360" w:lineRule="auto"/>
                    <w:jc w:val="center"/>
                    <w:textAlignment w:val="baseline"/>
                    <w:rPr>
                      <w:rFonts w:eastAsiaTheme="minor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振捣器</w:t>
                  </w:r>
                </w:p>
              </w:tc>
              <w:tc>
                <w:tcPr>
                  <w:tcW w:w="320"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350"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54.27</w:t>
                  </w:r>
                </w:p>
              </w:tc>
              <w:tc>
                <w:tcPr>
                  <w:tcW w:w="350"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15.9</w:t>
                  </w:r>
                </w:p>
              </w:tc>
              <w:tc>
                <w:tcPr>
                  <w:tcW w:w="350"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845"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489"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95</w:t>
                  </w:r>
                </w:p>
              </w:tc>
              <w:tc>
                <w:tcPr>
                  <w:tcW w:w="689" w:type="pct"/>
                  <w:vMerge w:val="continue"/>
                  <w:tcBorders>
                    <w:tl2br w:val="nil"/>
                    <w:tr2bl w:val="nil"/>
                  </w:tcBorders>
                  <w:vAlign w:val="center"/>
                </w:tcPr>
                <w:p>
                  <w:pPr>
                    <w:spacing w:line="360" w:lineRule="auto"/>
                    <w:jc w:val="center"/>
                    <w:rPr>
                      <w:color w:val="000000" w:themeColor="text1"/>
                      <w:sz w:val="21"/>
                      <w14:textFill>
                        <w14:solidFill>
                          <w14:schemeClr w14:val="tx1"/>
                        </w14:solidFill>
                      </w14:textFill>
                    </w:rPr>
                  </w:pPr>
                </w:p>
              </w:tc>
              <w:tc>
                <w:tcPr>
                  <w:tcW w:w="844"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昼间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8" w:type="pct"/>
                  <w:tcBorders>
                    <w:tl2br w:val="nil"/>
                    <w:tr2bl w:val="nil"/>
                  </w:tcBorders>
                  <w:vAlign w:val="center"/>
                </w:tcPr>
                <w:p>
                  <w:pPr>
                    <w:spacing w:line="360" w:lineRule="auto"/>
                    <w:jc w:val="center"/>
                    <w:textAlignment w:val="baseline"/>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w:t>
                  </w:r>
                </w:p>
              </w:tc>
              <w:tc>
                <w:tcPr>
                  <w:tcW w:w="521" w:type="pct"/>
                  <w:tcBorders>
                    <w:tl2br w:val="nil"/>
                    <w:tr2bl w:val="nil"/>
                  </w:tcBorders>
                  <w:vAlign w:val="center"/>
                </w:tcPr>
                <w:p>
                  <w:pPr>
                    <w:spacing w:line="360" w:lineRule="auto"/>
                    <w:jc w:val="center"/>
                    <w:textAlignment w:val="baseline"/>
                    <w:rPr>
                      <w:rFonts w:eastAsiaTheme="minor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电钻、手工钻</w:t>
                  </w:r>
                </w:p>
              </w:tc>
              <w:tc>
                <w:tcPr>
                  <w:tcW w:w="320"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350"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45.69</w:t>
                  </w:r>
                </w:p>
              </w:tc>
              <w:tc>
                <w:tcPr>
                  <w:tcW w:w="350"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-1.06</w:t>
                  </w:r>
                </w:p>
              </w:tc>
              <w:tc>
                <w:tcPr>
                  <w:tcW w:w="350"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p>
              </w:tc>
              <w:tc>
                <w:tcPr>
                  <w:tcW w:w="845"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489"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90</w:t>
                  </w:r>
                </w:p>
              </w:tc>
              <w:tc>
                <w:tcPr>
                  <w:tcW w:w="689" w:type="pct"/>
                  <w:vMerge w:val="continue"/>
                  <w:tcBorders>
                    <w:tl2br w:val="nil"/>
                    <w:tr2bl w:val="nil"/>
                  </w:tcBorders>
                  <w:vAlign w:val="center"/>
                </w:tcPr>
                <w:p>
                  <w:pPr>
                    <w:spacing w:line="360" w:lineRule="auto"/>
                    <w:jc w:val="center"/>
                    <w:rPr>
                      <w:color w:val="000000" w:themeColor="text1"/>
                      <w:sz w:val="21"/>
                      <w14:textFill>
                        <w14:solidFill>
                          <w14:schemeClr w14:val="tx1"/>
                        </w14:solidFill>
                      </w14:textFill>
                    </w:rPr>
                  </w:pPr>
                </w:p>
              </w:tc>
              <w:tc>
                <w:tcPr>
                  <w:tcW w:w="844"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昼间</w:t>
                  </w:r>
                </w:p>
              </w:tc>
            </w:tr>
          </w:tbl>
          <w:p>
            <w:pPr>
              <w:spacing w:line="360" w:lineRule="auto"/>
              <w:ind w:firstLine="482" w:firstLineChars="20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w:t>
            </w:r>
            <w:r>
              <w:rPr>
                <w:b/>
                <w:color w:val="000000" w:themeColor="text1"/>
                <w:szCs w:val="24"/>
                <w14:textFill>
                  <w14:solidFill>
                    <w14:schemeClr w14:val="tx1"/>
                  </w14:solidFill>
                </w14:textFill>
              </w:rPr>
              <w:t>2</w:t>
            </w:r>
            <w:r>
              <w:rPr>
                <w:rFonts w:hint="eastAsia"/>
                <w:b/>
                <w:color w:val="000000" w:themeColor="text1"/>
                <w:szCs w:val="24"/>
                <w14:textFill>
                  <w14:solidFill>
                    <w14:schemeClr w14:val="tx1"/>
                  </w14:solidFill>
                </w14:textFill>
              </w:rPr>
              <w:t>）达标情况分析</w:t>
            </w:r>
          </w:p>
          <w:p>
            <w:pPr>
              <w:spacing w:line="360" w:lineRule="auto"/>
              <w:ind w:firstLine="482" w:firstLineChars="20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1）预测模式</w:t>
            </w:r>
          </w:p>
          <w:p>
            <w:pPr>
              <w:spacing w:line="360" w:lineRule="auto"/>
              <w:ind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本次评价采用《环境影响评价技术导则一声环境》（HJ2.4-2021）中推荐模式进行预测，用A声级计算。具体模式见运营期噪声达标情况分析。</w:t>
            </w:r>
          </w:p>
          <w:p>
            <w:pPr>
              <w:spacing w:line="360" w:lineRule="auto"/>
              <w:ind w:firstLine="482" w:firstLineChars="200"/>
              <w:rPr>
                <w:b/>
                <w:bCs/>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2）预测结果</w:t>
            </w:r>
          </w:p>
          <w:p>
            <w:pPr>
              <w:spacing w:line="500" w:lineRule="exact"/>
              <w:ind w:firstLine="402" w:firstLineChars="200"/>
              <w:jc w:val="center"/>
              <w:rPr>
                <w:rFonts w:eastAsia="黑体"/>
                <w:b/>
                <w:bCs/>
                <w:color w:val="000000" w:themeColor="text1"/>
                <w:kern w:val="0"/>
                <w:sz w:val="20"/>
                <w:szCs w:val="20"/>
                <w14:textFill>
                  <w14:solidFill>
                    <w14:schemeClr w14:val="tx1"/>
                  </w14:solidFill>
                </w14:textFill>
              </w:rPr>
            </w:pPr>
            <w:r>
              <w:rPr>
                <w:rFonts w:hint="eastAsia" w:eastAsia="黑体"/>
                <w:b/>
                <w:bCs/>
                <w:color w:val="000000" w:themeColor="text1"/>
                <w:kern w:val="0"/>
                <w:sz w:val="20"/>
                <w:szCs w:val="20"/>
                <w14:textFill>
                  <w14:solidFill>
                    <w14:schemeClr w14:val="tx1"/>
                  </w14:solidFill>
                </w14:textFill>
              </w:rPr>
              <w:t>表4-2  施工期昼间噪声预测结果</w:t>
            </w:r>
          </w:p>
          <w:tbl>
            <w:tblPr>
              <w:tblStyle w:val="1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686"/>
              <w:gridCol w:w="1336"/>
              <w:gridCol w:w="1336"/>
              <w:gridCol w:w="1338"/>
              <w:gridCol w:w="1625"/>
              <w:gridCol w:w="7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01" w:type="pct"/>
                  <w:vMerge w:val="restart"/>
                  <w:tcBorders>
                    <w:tl2br w:val="nil"/>
                    <w:tr2bl w:val="nil"/>
                  </w:tcBorders>
                  <w:shd w:val="clear" w:color="000000" w:themeColor="text1" w:fill="auto"/>
                  <w:vAlign w:val="center"/>
                </w:tcPr>
                <w:p>
                  <w:pPr>
                    <w:spacing w:line="36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编号</w:t>
                  </w:r>
                </w:p>
              </w:tc>
              <w:tc>
                <w:tcPr>
                  <w:tcW w:w="959" w:type="pct"/>
                  <w:vMerge w:val="restart"/>
                  <w:tcBorders>
                    <w:tl2br w:val="nil"/>
                    <w:tr2bl w:val="nil"/>
                  </w:tcBorders>
                  <w:shd w:val="clear" w:color="000000" w:themeColor="text1" w:fill="auto"/>
                  <w:vAlign w:val="center"/>
                </w:tcPr>
                <w:p>
                  <w:pPr>
                    <w:spacing w:line="36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预测点位置</w:t>
                  </w:r>
                </w:p>
              </w:tc>
              <w:tc>
                <w:tcPr>
                  <w:tcW w:w="760" w:type="pct"/>
                  <w:tcBorders>
                    <w:tl2br w:val="nil"/>
                    <w:tr2bl w:val="nil"/>
                  </w:tcBorders>
                  <w:shd w:val="clear" w:color="000000" w:themeColor="text1" w:fill="auto"/>
                  <w:vAlign w:val="center"/>
                </w:tcPr>
                <w:p>
                  <w:pPr>
                    <w:spacing w:line="36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贡献值</w:t>
                  </w:r>
                </w:p>
                <w:p>
                  <w:pPr>
                    <w:spacing w:line="36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[dB（A）]</w:t>
                  </w:r>
                </w:p>
              </w:tc>
              <w:tc>
                <w:tcPr>
                  <w:tcW w:w="760" w:type="pct"/>
                  <w:tcBorders>
                    <w:tl2br w:val="nil"/>
                    <w:tr2bl w:val="nil"/>
                  </w:tcBorders>
                  <w:shd w:val="clear" w:color="000000" w:themeColor="text1" w:fill="auto"/>
                  <w:vAlign w:val="center"/>
                </w:tcPr>
                <w:p>
                  <w:pPr>
                    <w:spacing w:line="36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背景值</w:t>
                  </w:r>
                </w:p>
                <w:p>
                  <w:pPr>
                    <w:spacing w:line="36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[dB（A）]</w:t>
                  </w:r>
                </w:p>
              </w:tc>
              <w:tc>
                <w:tcPr>
                  <w:tcW w:w="761" w:type="pct"/>
                  <w:tcBorders>
                    <w:tl2br w:val="nil"/>
                    <w:tr2bl w:val="nil"/>
                  </w:tcBorders>
                  <w:shd w:val="clear" w:color="000000" w:themeColor="text1" w:fill="auto"/>
                  <w:vAlign w:val="center"/>
                </w:tcPr>
                <w:p>
                  <w:pPr>
                    <w:spacing w:line="36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预测值</w:t>
                  </w:r>
                </w:p>
                <w:p>
                  <w:pPr>
                    <w:spacing w:line="36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[dB（A）]</w:t>
                  </w:r>
                </w:p>
              </w:tc>
              <w:tc>
                <w:tcPr>
                  <w:tcW w:w="924" w:type="pct"/>
                  <w:tcBorders>
                    <w:tl2br w:val="nil"/>
                    <w:tr2bl w:val="nil"/>
                  </w:tcBorders>
                  <w:shd w:val="clear" w:color="000000" w:themeColor="text1" w:fill="auto"/>
                  <w:vAlign w:val="center"/>
                </w:tcPr>
                <w:p>
                  <w:pPr>
                    <w:spacing w:line="36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标准值</w:t>
                  </w:r>
                </w:p>
                <w:p>
                  <w:pPr>
                    <w:spacing w:line="360" w:lineRule="auto"/>
                    <w:jc w:val="center"/>
                    <w:rPr>
                      <w:b/>
                      <w:bCs/>
                      <w:color w:val="000000" w:themeColor="text1"/>
                      <w:sz w:val="21"/>
                      <w14:textFill>
                        <w14:solidFill>
                          <w14:schemeClr w14:val="tx1"/>
                        </w14:solidFill>
                      </w14:textFill>
                    </w:rPr>
                  </w:pPr>
                  <w:r>
                    <w:rPr>
                      <w:rFonts w:hint="eastAsia" w:eastAsia="仿宋"/>
                      <w:b/>
                      <w:bCs/>
                      <w:color w:val="000000" w:themeColor="text1"/>
                      <w:sz w:val="21"/>
                      <w14:textFill>
                        <w14:solidFill>
                          <w14:schemeClr w14:val="tx1"/>
                        </w14:solidFill>
                      </w14:textFill>
                    </w:rPr>
                    <w:t>[</w:t>
                  </w:r>
                  <w:r>
                    <w:rPr>
                      <w:b/>
                      <w:bCs/>
                      <w:color w:val="000000" w:themeColor="text1"/>
                      <w:sz w:val="21"/>
                      <w14:textFill>
                        <w14:solidFill>
                          <w14:schemeClr w14:val="tx1"/>
                        </w14:solidFill>
                      </w14:textFill>
                    </w:rPr>
                    <w:t>dB（A）</w:t>
                  </w:r>
                  <w:r>
                    <w:rPr>
                      <w:rFonts w:hint="eastAsia" w:eastAsia="仿宋"/>
                      <w:b/>
                      <w:bCs/>
                      <w:color w:val="000000" w:themeColor="text1"/>
                      <w:sz w:val="21"/>
                      <w14:textFill>
                        <w14:solidFill>
                          <w14:schemeClr w14:val="tx1"/>
                        </w14:solidFill>
                      </w14:textFill>
                    </w:rPr>
                    <w:t>]</w:t>
                  </w:r>
                </w:p>
              </w:tc>
              <w:tc>
                <w:tcPr>
                  <w:tcW w:w="431" w:type="pct"/>
                  <w:vMerge w:val="restart"/>
                  <w:tcBorders>
                    <w:tl2br w:val="nil"/>
                    <w:tr2bl w:val="nil"/>
                  </w:tcBorders>
                  <w:shd w:val="clear" w:color="000000" w:themeColor="text1" w:fill="auto"/>
                  <w:vAlign w:val="center"/>
                </w:tcPr>
                <w:p>
                  <w:pPr>
                    <w:spacing w:line="360" w:lineRule="auto"/>
                    <w:jc w:val="center"/>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预测</w:t>
                  </w:r>
                  <w:r>
                    <w:rPr>
                      <w:b/>
                      <w:bCs/>
                      <w:color w:val="000000" w:themeColor="text1"/>
                      <w:sz w:val="21"/>
                      <w14:textFill>
                        <w14:solidFill>
                          <w14:schemeClr w14:val="tx1"/>
                        </w14:solidFill>
                      </w14:textFill>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vMerge w:val="continue"/>
                  <w:tcBorders>
                    <w:tl2br w:val="nil"/>
                    <w:tr2bl w:val="nil"/>
                  </w:tcBorders>
                  <w:vAlign w:val="center"/>
                </w:tcPr>
                <w:p>
                  <w:pPr>
                    <w:spacing w:line="360" w:lineRule="auto"/>
                    <w:jc w:val="center"/>
                    <w:rPr>
                      <w:color w:val="000000" w:themeColor="text1"/>
                      <w:sz w:val="21"/>
                      <w14:textFill>
                        <w14:solidFill>
                          <w14:schemeClr w14:val="tx1"/>
                        </w14:solidFill>
                      </w14:textFill>
                    </w:rPr>
                  </w:pPr>
                </w:p>
              </w:tc>
              <w:tc>
                <w:tcPr>
                  <w:tcW w:w="959" w:type="pct"/>
                  <w:vMerge w:val="continue"/>
                  <w:tcBorders>
                    <w:tl2br w:val="nil"/>
                    <w:tr2bl w:val="nil"/>
                  </w:tcBorders>
                  <w:vAlign w:val="center"/>
                </w:tcPr>
                <w:p>
                  <w:pPr>
                    <w:spacing w:line="360" w:lineRule="auto"/>
                    <w:jc w:val="center"/>
                    <w:rPr>
                      <w:color w:val="000000" w:themeColor="text1"/>
                      <w:sz w:val="21"/>
                      <w14:textFill>
                        <w14:solidFill>
                          <w14:schemeClr w14:val="tx1"/>
                        </w14:solidFill>
                      </w14:textFill>
                    </w:rPr>
                  </w:pPr>
                </w:p>
              </w:tc>
              <w:tc>
                <w:tcPr>
                  <w:tcW w:w="760" w:type="pct"/>
                  <w:tcBorders>
                    <w:tl2br w:val="nil"/>
                    <w:tr2bl w:val="nil"/>
                  </w:tcBorders>
                  <w:shd w:val="clear" w:color="000000" w:themeColor="text1" w:fill="auto"/>
                  <w:vAlign w:val="center"/>
                </w:tcPr>
                <w:p>
                  <w:pPr>
                    <w:pStyle w:val="27"/>
                    <w:snapToGrid w:val="0"/>
                    <w:spacing w:before="0" w:after="0" w:line="360" w:lineRule="auto"/>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昼间</w:t>
                  </w:r>
                </w:p>
              </w:tc>
              <w:tc>
                <w:tcPr>
                  <w:tcW w:w="760" w:type="pct"/>
                  <w:tcBorders>
                    <w:tl2br w:val="nil"/>
                    <w:tr2bl w:val="nil"/>
                  </w:tcBorders>
                  <w:shd w:val="clear" w:color="000000" w:themeColor="text1" w:fill="auto"/>
                  <w:vAlign w:val="center"/>
                </w:tcPr>
                <w:p>
                  <w:pPr>
                    <w:pStyle w:val="27"/>
                    <w:snapToGrid w:val="0"/>
                    <w:spacing w:before="0" w:after="0" w:line="360" w:lineRule="auto"/>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昼间</w:t>
                  </w:r>
                </w:p>
              </w:tc>
              <w:tc>
                <w:tcPr>
                  <w:tcW w:w="761" w:type="pct"/>
                  <w:tcBorders>
                    <w:tl2br w:val="nil"/>
                    <w:tr2bl w:val="nil"/>
                  </w:tcBorders>
                  <w:shd w:val="clear" w:color="000000" w:themeColor="text1" w:fill="auto"/>
                  <w:vAlign w:val="center"/>
                </w:tcPr>
                <w:p>
                  <w:pPr>
                    <w:pStyle w:val="27"/>
                    <w:snapToGrid w:val="0"/>
                    <w:spacing w:before="0" w:after="0" w:line="360" w:lineRule="auto"/>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昼间</w:t>
                  </w:r>
                </w:p>
              </w:tc>
              <w:tc>
                <w:tcPr>
                  <w:tcW w:w="924" w:type="pct"/>
                  <w:tcBorders>
                    <w:tl2br w:val="nil"/>
                    <w:tr2bl w:val="nil"/>
                  </w:tcBorders>
                  <w:shd w:val="clear" w:color="000000" w:themeColor="text1" w:fill="auto"/>
                  <w:vAlign w:val="center"/>
                </w:tcPr>
                <w:p>
                  <w:pPr>
                    <w:pStyle w:val="27"/>
                    <w:snapToGrid w:val="0"/>
                    <w:spacing w:before="0" w:after="0" w:line="360" w:lineRule="auto"/>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昼间</w:t>
                  </w:r>
                </w:p>
              </w:tc>
              <w:tc>
                <w:tcPr>
                  <w:tcW w:w="431" w:type="pct"/>
                  <w:vMerge w:val="continue"/>
                  <w:tcBorders>
                    <w:tl2br w:val="nil"/>
                    <w:tr2bl w:val="nil"/>
                  </w:tcBorders>
                  <w:vAlign w:val="center"/>
                </w:tcPr>
                <w:p>
                  <w:pPr>
                    <w:spacing w:line="360" w:lineRule="auto"/>
                    <w:jc w:val="center"/>
                    <w:rPr>
                      <w:color w:val="000000" w:themeColor="text1"/>
                      <w:sz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w:t>
                  </w:r>
                  <w:r>
                    <w:rPr>
                      <w:color w:val="000000" w:themeColor="text1"/>
                      <w:sz w:val="21"/>
                      <w14:textFill>
                        <w14:solidFill>
                          <w14:schemeClr w14:val="tx1"/>
                        </w14:solidFill>
                      </w14:textFill>
                    </w:rPr>
                    <w:t>#</w:t>
                  </w:r>
                </w:p>
              </w:tc>
              <w:tc>
                <w:tcPr>
                  <w:tcW w:w="959" w:type="pct"/>
                  <w:tcBorders>
                    <w:tl2br w:val="nil"/>
                    <w:tr2bl w:val="nil"/>
                  </w:tcBorders>
                  <w:vAlign w:val="center"/>
                </w:tcPr>
                <w:p>
                  <w:pPr>
                    <w:adjustRightInd w:val="0"/>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项目</w:t>
                  </w:r>
                  <w:r>
                    <w:rPr>
                      <w:rFonts w:hint="eastAsia"/>
                      <w:color w:val="000000" w:themeColor="text1"/>
                      <w:sz w:val="21"/>
                      <w14:textFill>
                        <w14:solidFill>
                          <w14:schemeClr w14:val="tx1"/>
                        </w14:solidFill>
                      </w14:textFill>
                    </w:rPr>
                    <w:t>北面</w:t>
                  </w:r>
                  <w:r>
                    <w:rPr>
                      <w:color w:val="000000" w:themeColor="text1"/>
                      <w:sz w:val="21"/>
                      <w14:textFill>
                        <w14:solidFill>
                          <w14:schemeClr w14:val="tx1"/>
                        </w14:solidFill>
                      </w14:textFill>
                    </w:rPr>
                    <w:t>厂界</w:t>
                  </w:r>
                  <w:r>
                    <w:rPr>
                      <w:rFonts w:hint="eastAsia"/>
                      <w:color w:val="000000" w:themeColor="text1"/>
                      <w:sz w:val="21"/>
                      <w14:textFill>
                        <w14:solidFill>
                          <w14:schemeClr w14:val="tx1"/>
                        </w14:solidFill>
                      </w14:textFill>
                    </w:rPr>
                    <w:t>外1m</w:t>
                  </w:r>
                </w:p>
              </w:tc>
              <w:tc>
                <w:tcPr>
                  <w:tcW w:w="760" w:type="pct"/>
                  <w:tcBorders>
                    <w:tl2br w:val="nil"/>
                    <w:tr2bl w:val="nil"/>
                  </w:tcBorders>
                  <w:vAlign w:val="center"/>
                </w:tcPr>
                <w:p>
                  <w:pPr>
                    <w:adjustRightInd w:val="0"/>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56.0</w:t>
                  </w:r>
                </w:p>
              </w:tc>
              <w:tc>
                <w:tcPr>
                  <w:tcW w:w="760" w:type="pct"/>
                  <w:tcBorders>
                    <w:tl2br w:val="nil"/>
                    <w:tr2bl w:val="nil"/>
                  </w:tcBorders>
                  <w:vAlign w:val="center"/>
                </w:tcPr>
                <w:p>
                  <w:pPr>
                    <w:pStyle w:val="27"/>
                    <w:snapToGrid w:val="0"/>
                    <w:spacing w:before="0" w:after="0" w:line="360" w:lineRule="auto"/>
                    <w:rPr>
                      <w:rFonts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w:t>
                  </w:r>
                </w:p>
              </w:tc>
              <w:tc>
                <w:tcPr>
                  <w:tcW w:w="1304" w:type="dxa"/>
                  <w:tcBorders>
                    <w:tl2br w:val="nil"/>
                    <w:tr2bl w:val="nil"/>
                  </w:tcBorders>
                  <w:vAlign w:val="center"/>
                </w:tcPr>
                <w:p>
                  <w:pPr>
                    <w:adjustRightInd w:val="0"/>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56.0</w:t>
                  </w:r>
                </w:p>
              </w:tc>
              <w:tc>
                <w:tcPr>
                  <w:tcW w:w="924"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70</w:t>
                  </w:r>
                </w:p>
              </w:tc>
              <w:tc>
                <w:tcPr>
                  <w:tcW w:w="431"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r>
                    <w:rPr>
                      <w:color w:val="000000" w:themeColor="text1"/>
                      <w:sz w:val="21"/>
                      <w14:textFill>
                        <w14:solidFill>
                          <w14:schemeClr w14:val="tx1"/>
                        </w14:solidFill>
                      </w14:textFill>
                    </w:rPr>
                    <w:t>#</w:t>
                  </w:r>
                </w:p>
              </w:tc>
              <w:tc>
                <w:tcPr>
                  <w:tcW w:w="959" w:type="pct"/>
                  <w:tcBorders>
                    <w:tl2br w:val="nil"/>
                    <w:tr2bl w:val="nil"/>
                  </w:tcBorders>
                  <w:vAlign w:val="center"/>
                </w:tcPr>
                <w:p>
                  <w:pPr>
                    <w:adjustRightInd w:val="0"/>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项目</w:t>
                  </w:r>
                  <w:r>
                    <w:rPr>
                      <w:rFonts w:hint="eastAsia"/>
                      <w:color w:val="000000" w:themeColor="text1"/>
                      <w:sz w:val="21"/>
                      <w14:textFill>
                        <w14:solidFill>
                          <w14:schemeClr w14:val="tx1"/>
                        </w14:solidFill>
                      </w14:textFill>
                    </w:rPr>
                    <w:t>东面</w:t>
                  </w:r>
                  <w:r>
                    <w:rPr>
                      <w:color w:val="000000" w:themeColor="text1"/>
                      <w:sz w:val="21"/>
                      <w14:textFill>
                        <w14:solidFill>
                          <w14:schemeClr w14:val="tx1"/>
                        </w14:solidFill>
                      </w14:textFill>
                    </w:rPr>
                    <w:t>厂界</w:t>
                  </w:r>
                  <w:r>
                    <w:rPr>
                      <w:rFonts w:hint="eastAsia"/>
                      <w:color w:val="000000" w:themeColor="text1"/>
                      <w:sz w:val="21"/>
                      <w14:textFill>
                        <w14:solidFill>
                          <w14:schemeClr w14:val="tx1"/>
                        </w14:solidFill>
                      </w14:textFill>
                    </w:rPr>
                    <w:t>外1m</w:t>
                  </w:r>
                </w:p>
              </w:tc>
              <w:tc>
                <w:tcPr>
                  <w:tcW w:w="760" w:type="pct"/>
                  <w:tcBorders>
                    <w:tl2br w:val="nil"/>
                    <w:tr2bl w:val="nil"/>
                  </w:tcBorders>
                  <w:vAlign w:val="center"/>
                </w:tcPr>
                <w:p>
                  <w:pPr>
                    <w:adjustRightInd w:val="0"/>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55.5</w:t>
                  </w:r>
                </w:p>
              </w:tc>
              <w:tc>
                <w:tcPr>
                  <w:tcW w:w="760" w:type="pct"/>
                  <w:tcBorders>
                    <w:tl2br w:val="nil"/>
                    <w:tr2bl w:val="nil"/>
                  </w:tcBorders>
                  <w:vAlign w:val="center"/>
                </w:tcPr>
                <w:p>
                  <w:pPr>
                    <w:snapToGrid w:val="0"/>
                    <w:spacing w:line="360" w:lineRule="auto"/>
                    <w:jc w:val="center"/>
                    <w:rPr>
                      <w:bCs/>
                      <w:color w:val="000000" w:themeColor="text1"/>
                      <w:sz w:val="21"/>
                      <w14:textFill>
                        <w14:solidFill>
                          <w14:schemeClr w14:val="tx1"/>
                        </w14:solidFill>
                      </w14:textFill>
                    </w:rPr>
                  </w:pPr>
                  <w:r>
                    <w:rPr>
                      <w:rFonts w:hint="eastAsia"/>
                      <w:bCs/>
                      <w:color w:val="000000" w:themeColor="text1"/>
                      <w:sz w:val="21"/>
                      <w14:textFill>
                        <w14:solidFill>
                          <w14:schemeClr w14:val="tx1"/>
                        </w14:solidFill>
                      </w14:textFill>
                    </w:rPr>
                    <w:t>/</w:t>
                  </w:r>
                </w:p>
              </w:tc>
              <w:tc>
                <w:tcPr>
                  <w:tcW w:w="1304" w:type="dxa"/>
                  <w:tcBorders>
                    <w:tl2br w:val="nil"/>
                    <w:tr2bl w:val="nil"/>
                  </w:tcBorders>
                  <w:vAlign w:val="center"/>
                </w:tcPr>
                <w:p>
                  <w:pPr>
                    <w:adjustRightInd w:val="0"/>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55.5</w:t>
                  </w:r>
                </w:p>
              </w:tc>
              <w:tc>
                <w:tcPr>
                  <w:tcW w:w="924"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70</w:t>
                  </w:r>
                </w:p>
              </w:tc>
              <w:tc>
                <w:tcPr>
                  <w:tcW w:w="431"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w:t>
                  </w:r>
                </w:p>
              </w:tc>
              <w:tc>
                <w:tcPr>
                  <w:tcW w:w="959" w:type="pct"/>
                  <w:tcBorders>
                    <w:tl2br w:val="nil"/>
                    <w:tr2bl w:val="nil"/>
                  </w:tcBorders>
                  <w:vAlign w:val="center"/>
                </w:tcPr>
                <w:p>
                  <w:pPr>
                    <w:adjustRightInd w:val="0"/>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项目</w:t>
                  </w:r>
                  <w:r>
                    <w:rPr>
                      <w:rFonts w:hint="eastAsia"/>
                      <w:color w:val="000000" w:themeColor="text1"/>
                      <w:sz w:val="21"/>
                      <w14:textFill>
                        <w14:solidFill>
                          <w14:schemeClr w14:val="tx1"/>
                        </w14:solidFill>
                      </w14:textFill>
                    </w:rPr>
                    <w:t>南面</w:t>
                  </w:r>
                  <w:r>
                    <w:rPr>
                      <w:color w:val="000000" w:themeColor="text1"/>
                      <w:sz w:val="21"/>
                      <w14:textFill>
                        <w14:solidFill>
                          <w14:schemeClr w14:val="tx1"/>
                        </w14:solidFill>
                      </w14:textFill>
                    </w:rPr>
                    <w:t>厂界</w:t>
                  </w:r>
                  <w:r>
                    <w:rPr>
                      <w:rFonts w:hint="eastAsia"/>
                      <w:color w:val="000000" w:themeColor="text1"/>
                      <w:sz w:val="21"/>
                      <w14:textFill>
                        <w14:solidFill>
                          <w14:schemeClr w14:val="tx1"/>
                        </w14:solidFill>
                      </w14:textFill>
                    </w:rPr>
                    <w:t>外1m</w:t>
                  </w:r>
                </w:p>
              </w:tc>
              <w:tc>
                <w:tcPr>
                  <w:tcW w:w="760" w:type="pct"/>
                  <w:tcBorders>
                    <w:tl2br w:val="nil"/>
                    <w:tr2bl w:val="nil"/>
                  </w:tcBorders>
                  <w:vAlign w:val="center"/>
                </w:tcPr>
                <w:p>
                  <w:pPr>
                    <w:adjustRightInd w:val="0"/>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55.7</w:t>
                  </w:r>
                </w:p>
              </w:tc>
              <w:tc>
                <w:tcPr>
                  <w:tcW w:w="760" w:type="pct"/>
                  <w:tcBorders>
                    <w:tl2br w:val="nil"/>
                    <w:tr2bl w:val="nil"/>
                  </w:tcBorders>
                  <w:vAlign w:val="center"/>
                </w:tcPr>
                <w:p>
                  <w:pPr>
                    <w:snapToGrid w:val="0"/>
                    <w:spacing w:line="360" w:lineRule="auto"/>
                    <w:jc w:val="center"/>
                    <w:rPr>
                      <w:bCs/>
                      <w:color w:val="000000" w:themeColor="text1"/>
                      <w:sz w:val="21"/>
                      <w14:textFill>
                        <w14:solidFill>
                          <w14:schemeClr w14:val="tx1"/>
                        </w14:solidFill>
                      </w14:textFill>
                    </w:rPr>
                  </w:pPr>
                  <w:r>
                    <w:rPr>
                      <w:rFonts w:hint="eastAsia"/>
                      <w:bCs/>
                      <w:color w:val="000000" w:themeColor="text1"/>
                      <w:sz w:val="21"/>
                      <w14:textFill>
                        <w14:solidFill>
                          <w14:schemeClr w14:val="tx1"/>
                        </w14:solidFill>
                      </w14:textFill>
                    </w:rPr>
                    <w:t>/</w:t>
                  </w:r>
                </w:p>
              </w:tc>
              <w:tc>
                <w:tcPr>
                  <w:tcW w:w="1304" w:type="dxa"/>
                  <w:tcBorders>
                    <w:tl2br w:val="nil"/>
                    <w:tr2bl w:val="nil"/>
                  </w:tcBorders>
                  <w:vAlign w:val="center"/>
                </w:tcPr>
                <w:p>
                  <w:pPr>
                    <w:adjustRightInd w:val="0"/>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55.7</w:t>
                  </w:r>
                </w:p>
              </w:tc>
              <w:tc>
                <w:tcPr>
                  <w:tcW w:w="924"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70</w:t>
                  </w:r>
                </w:p>
              </w:tc>
              <w:tc>
                <w:tcPr>
                  <w:tcW w:w="431"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w:t>
                  </w:r>
                  <w:r>
                    <w:rPr>
                      <w:color w:val="000000" w:themeColor="text1"/>
                      <w:sz w:val="21"/>
                      <w14:textFill>
                        <w14:solidFill>
                          <w14:schemeClr w14:val="tx1"/>
                        </w14:solidFill>
                      </w14:textFill>
                    </w:rPr>
                    <w:t>#</w:t>
                  </w:r>
                </w:p>
              </w:tc>
              <w:tc>
                <w:tcPr>
                  <w:tcW w:w="959" w:type="pct"/>
                  <w:tcBorders>
                    <w:tl2br w:val="nil"/>
                    <w:tr2bl w:val="nil"/>
                  </w:tcBorders>
                  <w:vAlign w:val="center"/>
                </w:tcPr>
                <w:p>
                  <w:pPr>
                    <w:adjustRightInd w:val="0"/>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项目</w:t>
                  </w:r>
                  <w:r>
                    <w:rPr>
                      <w:rFonts w:hint="eastAsia"/>
                      <w:color w:val="000000" w:themeColor="text1"/>
                      <w:sz w:val="21"/>
                      <w14:textFill>
                        <w14:solidFill>
                          <w14:schemeClr w14:val="tx1"/>
                        </w14:solidFill>
                      </w14:textFill>
                    </w:rPr>
                    <w:t>西面</w:t>
                  </w:r>
                  <w:r>
                    <w:rPr>
                      <w:color w:val="000000" w:themeColor="text1"/>
                      <w:sz w:val="21"/>
                      <w14:textFill>
                        <w14:solidFill>
                          <w14:schemeClr w14:val="tx1"/>
                        </w14:solidFill>
                      </w14:textFill>
                    </w:rPr>
                    <w:t>厂界</w:t>
                  </w:r>
                  <w:r>
                    <w:rPr>
                      <w:rFonts w:hint="eastAsia"/>
                      <w:color w:val="000000" w:themeColor="text1"/>
                      <w:sz w:val="21"/>
                      <w14:textFill>
                        <w14:solidFill>
                          <w14:schemeClr w14:val="tx1"/>
                        </w14:solidFill>
                      </w14:textFill>
                    </w:rPr>
                    <w:t>外1m</w:t>
                  </w:r>
                </w:p>
              </w:tc>
              <w:tc>
                <w:tcPr>
                  <w:tcW w:w="760" w:type="pct"/>
                  <w:tcBorders>
                    <w:tl2br w:val="nil"/>
                    <w:tr2bl w:val="nil"/>
                  </w:tcBorders>
                  <w:vAlign w:val="center"/>
                </w:tcPr>
                <w:p>
                  <w:pPr>
                    <w:adjustRightInd w:val="0"/>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48.7</w:t>
                  </w:r>
                </w:p>
              </w:tc>
              <w:tc>
                <w:tcPr>
                  <w:tcW w:w="760" w:type="pct"/>
                  <w:tcBorders>
                    <w:tl2br w:val="nil"/>
                    <w:tr2bl w:val="nil"/>
                  </w:tcBorders>
                  <w:vAlign w:val="center"/>
                </w:tcPr>
                <w:p>
                  <w:pPr>
                    <w:snapToGrid w:val="0"/>
                    <w:spacing w:line="360" w:lineRule="auto"/>
                    <w:jc w:val="center"/>
                    <w:rPr>
                      <w:bCs/>
                      <w:color w:val="000000" w:themeColor="text1"/>
                      <w:sz w:val="21"/>
                      <w14:textFill>
                        <w14:solidFill>
                          <w14:schemeClr w14:val="tx1"/>
                        </w14:solidFill>
                      </w14:textFill>
                    </w:rPr>
                  </w:pPr>
                  <w:r>
                    <w:rPr>
                      <w:rFonts w:hint="eastAsia"/>
                      <w:bCs/>
                      <w:color w:val="000000" w:themeColor="text1"/>
                      <w:sz w:val="21"/>
                      <w14:textFill>
                        <w14:solidFill>
                          <w14:schemeClr w14:val="tx1"/>
                        </w14:solidFill>
                      </w14:textFill>
                    </w:rPr>
                    <w:t>/</w:t>
                  </w:r>
                </w:p>
              </w:tc>
              <w:tc>
                <w:tcPr>
                  <w:tcW w:w="1304" w:type="dxa"/>
                  <w:tcBorders>
                    <w:tl2br w:val="nil"/>
                    <w:tr2bl w:val="nil"/>
                  </w:tcBorders>
                  <w:vAlign w:val="center"/>
                </w:tcPr>
                <w:p>
                  <w:pPr>
                    <w:adjustRightInd w:val="0"/>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48.7</w:t>
                  </w:r>
                </w:p>
              </w:tc>
              <w:tc>
                <w:tcPr>
                  <w:tcW w:w="924"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70</w:t>
                  </w:r>
                </w:p>
              </w:tc>
              <w:tc>
                <w:tcPr>
                  <w:tcW w:w="431" w:type="pct"/>
                  <w:tcBorders>
                    <w:tl2br w:val="nil"/>
                    <w:tr2bl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达标</w:t>
                  </w:r>
                </w:p>
              </w:tc>
            </w:tr>
          </w:tbl>
          <w:p>
            <w:pPr>
              <w:spacing w:line="360" w:lineRule="auto"/>
              <w:ind w:firstLine="480" w:firstLineChars="20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由预测结果可知，施工期昼间厂界四周预测点噪声排放值均满足</w:t>
            </w:r>
            <w:r>
              <w:rPr>
                <w:color w:val="000000" w:themeColor="text1"/>
                <w:szCs w:val="24"/>
                <w14:textFill>
                  <w14:solidFill>
                    <w14:schemeClr w14:val="tx1"/>
                  </w14:solidFill>
                </w14:textFill>
              </w:rPr>
              <w:t>《建筑施工场界环境噪声排放标准》（GB12523-2011）</w:t>
            </w:r>
            <w:r>
              <w:rPr>
                <w:rFonts w:hint="eastAsia"/>
                <w:color w:val="000000" w:themeColor="text1"/>
                <w:szCs w:val="24"/>
                <w14:textFill>
                  <w14:solidFill>
                    <w14:schemeClr w14:val="tx1"/>
                  </w14:solidFill>
                </w14:textFill>
              </w:rPr>
              <w:t>要求，可实现达标排放。因此，本项目噪声不会对区域声环境造成影响。</w:t>
            </w:r>
          </w:p>
          <w:p>
            <w:pPr>
              <w:spacing w:line="360" w:lineRule="auto"/>
              <w:ind w:firstLine="48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4、固体废物</w:t>
            </w:r>
          </w:p>
          <w:p>
            <w:pPr>
              <w:spacing w:line="360" w:lineRule="auto"/>
              <w:ind w:firstLine="361" w:firstLineChars="15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w:t>
            </w:r>
            <w:r>
              <w:rPr>
                <w:rFonts w:hint="eastAsia"/>
                <w:b/>
                <w:color w:val="000000" w:themeColor="text1"/>
                <w:szCs w:val="24"/>
                <w14:textFill>
                  <w14:solidFill>
                    <w14:schemeClr w14:val="tx1"/>
                  </w14:solidFill>
                </w14:textFill>
              </w:rPr>
              <w:t>1</w:t>
            </w:r>
            <w:r>
              <w:rPr>
                <w:b/>
                <w:color w:val="000000" w:themeColor="text1"/>
                <w:szCs w:val="24"/>
                <w14:textFill>
                  <w14:solidFill>
                    <w14:schemeClr w14:val="tx1"/>
                  </w14:solidFill>
                </w14:textFill>
              </w:rPr>
              <w:t>）建筑废物</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施工期建筑废物主要包括建筑垃圾，预计产生量约</w:t>
            </w:r>
            <w:r>
              <w:rPr>
                <w:rFonts w:hint="eastAsia"/>
                <w:color w:val="000000" w:themeColor="text1"/>
                <w:szCs w:val="24"/>
                <w14:textFill>
                  <w14:solidFill>
                    <w14:schemeClr w14:val="tx1"/>
                  </w14:solidFill>
                </w14:textFill>
              </w:rPr>
              <w:t>1</w:t>
            </w:r>
            <w:r>
              <w:rPr>
                <w:color w:val="000000" w:themeColor="text1"/>
                <w:szCs w:val="24"/>
                <w14:textFill>
                  <w14:solidFill>
                    <w14:schemeClr w14:val="tx1"/>
                  </w14:solidFill>
                </w14:textFill>
              </w:rPr>
              <w:t>t，环评要求：施工现场应设置建筑垃圾临时堆场并树立标示牌，采取进行防雨、防泄漏处理。对于施工期间产生的可回收利用的废料（如钢筋、钢板、木材等下角料）通过分类收集后交废物收购站处理；对不能回收的建筑废物不能随意倾倒，而应用编织袋包装后清运到建筑垃圾处置场。</w:t>
            </w:r>
          </w:p>
          <w:p>
            <w:pPr>
              <w:spacing w:line="360" w:lineRule="auto"/>
              <w:ind w:firstLine="361" w:firstLineChars="15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w:t>
            </w:r>
            <w:r>
              <w:rPr>
                <w:rFonts w:hint="eastAsia"/>
                <w:b/>
                <w:color w:val="000000" w:themeColor="text1"/>
                <w:szCs w:val="24"/>
                <w14:textFill>
                  <w14:solidFill>
                    <w14:schemeClr w14:val="tx1"/>
                  </w14:solidFill>
                </w14:textFill>
              </w:rPr>
              <w:t>2</w:t>
            </w:r>
            <w:r>
              <w:rPr>
                <w:b/>
                <w:color w:val="000000" w:themeColor="text1"/>
                <w:szCs w:val="24"/>
                <w14:textFill>
                  <w14:solidFill>
                    <w14:schemeClr w14:val="tx1"/>
                  </w14:solidFill>
                </w14:textFill>
              </w:rPr>
              <w:t>）生活垃圾</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项目施工人员约</w:t>
            </w:r>
            <w:r>
              <w:rPr>
                <w:rFonts w:hint="eastAsia"/>
                <w:color w:val="000000" w:themeColor="text1"/>
                <w:szCs w:val="24"/>
                <w14:textFill>
                  <w14:solidFill>
                    <w14:schemeClr w14:val="tx1"/>
                  </w14:solidFill>
                </w14:textFill>
              </w:rPr>
              <w:t>1</w:t>
            </w:r>
            <w:r>
              <w:rPr>
                <w:color w:val="000000" w:themeColor="text1"/>
                <w:szCs w:val="24"/>
                <w14:textFill>
                  <w14:solidFill>
                    <w14:schemeClr w14:val="tx1"/>
                  </w14:solidFill>
                </w14:textFill>
              </w:rPr>
              <w:t>0人，生活垃圾产生量按0.</w:t>
            </w:r>
            <w:r>
              <w:rPr>
                <w:rFonts w:hint="eastAsia"/>
                <w:color w:val="000000" w:themeColor="text1"/>
                <w:szCs w:val="24"/>
                <w14:textFill>
                  <w14:solidFill>
                    <w14:schemeClr w14:val="tx1"/>
                  </w14:solidFill>
                </w14:textFill>
              </w:rPr>
              <w:t>5</w:t>
            </w:r>
            <w:r>
              <w:rPr>
                <w:color w:val="000000" w:themeColor="text1"/>
                <w:szCs w:val="24"/>
                <w14:textFill>
                  <w14:solidFill>
                    <w14:schemeClr w14:val="tx1"/>
                  </w14:solidFill>
                </w14:textFill>
              </w:rPr>
              <w:t>kg/人·d计，预计产生量为</w:t>
            </w:r>
            <w:r>
              <w:rPr>
                <w:rFonts w:hint="eastAsia"/>
                <w:color w:val="000000" w:themeColor="text1"/>
                <w:szCs w:val="24"/>
                <w14:textFill>
                  <w14:solidFill>
                    <w14:schemeClr w14:val="tx1"/>
                  </w14:solidFill>
                </w14:textFill>
              </w:rPr>
              <w:t>5.0</w:t>
            </w:r>
            <w:r>
              <w:rPr>
                <w:color w:val="000000" w:themeColor="text1"/>
                <w:szCs w:val="24"/>
                <w14:textFill>
                  <w14:solidFill>
                    <w14:schemeClr w14:val="tx1"/>
                  </w14:solidFill>
                </w14:textFill>
              </w:rPr>
              <w:t>kg/d，生活垃圾经袋装收集后，由环卫部门统一</w:t>
            </w:r>
            <w:r>
              <w:rPr>
                <w:rFonts w:hint="eastAsia"/>
                <w:color w:val="000000" w:themeColor="text1"/>
                <w:szCs w:val="24"/>
                <w14:textFill>
                  <w14:solidFill>
                    <w14:schemeClr w14:val="tx1"/>
                  </w14:solidFill>
                </w14:textFill>
              </w:rPr>
              <w:t>清运</w:t>
            </w:r>
            <w:r>
              <w:rPr>
                <w:color w:val="000000" w:themeColor="text1"/>
                <w:szCs w:val="24"/>
                <w14:textFill>
                  <w14:solidFill>
                    <w14:schemeClr w14:val="tx1"/>
                  </w14:solidFill>
                </w14:textFill>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81" w:type="dxa"/>
            <w:vAlign w:val="center"/>
          </w:tcPr>
          <w:p>
            <w:pPr>
              <w:spacing w:line="360"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运营</w:t>
            </w:r>
          </w:p>
          <w:p>
            <w:pPr>
              <w:spacing w:line="360"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期环</w:t>
            </w:r>
          </w:p>
          <w:p>
            <w:pPr>
              <w:spacing w:line="360"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境影</w:t>
            </w:r>
          </w:p>
          <w:p>
            <w:pPr>
              <w:spacing w:line="360"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响和</w:t>
            </w:r>
          </w:p>
          <w:p>
            <w:pPr>
              <w:spacing w:line="360"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保护</w:t>
            </w:r>
          </w:p>
          <w:p>
            <w:pPr>
              <w:spacing w:line="360"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措施</w:t>
            </w:r>
          </w:p>
        </w:tc>
        <w:tc>
          <w:tcPr>
            <w:tcW w:w="8779" w:type="dxa"/>
            <w:vAlign w:val="center"/>
          </w:tcPr>
          <w:p>
            <w:pPr>
              <w:spacing w:line="360" w:lineRule="auto"/>
              <w:rPr>
                <w:b/>
                <w:color w:val="000000" w:themeColor="text1"/>
                <w:szCs w:val="24"/>
                <w14:textFill>
                  <w14:solidFill>
                    <w14:schemeClr w14:val="tx1"/>
                  </w14:solidFill>
                </w14:textFill>
              </w:rPr>
            </w:pPr>
            <w:r>
              <w:rPr>
                <w:b/>
                <w:color w:val="000000" w:themeColor="text1"/>
                <w:szCs w:val="24"/>
                <w14:textFill>
                  <w14:solidFill>
                    <w14:schemeClr w14:val="tx1"/>
                  </w14:solidFill>
                </w14:textFill>
              </w:rPr>
              <w:t>1、废气</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营运期废气主要为物料运输扬尘、堆场装卸扬尘、原料给料上料粉尘、破碎粉尘、成品堆场装车粉尘以及汽车运输扬尘。食堂会产生少量食堂油烟。</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项目多级振动筛分和制砂机环节为湿法作业，几乎不会产生粉尘，本报告仅对该环节的粉尘进行定性分析。</w:t>
            </w:r>
          </w:p>
          <w:p>
            <w:pPr>
              <w:spacing w:line="360" w:lineRule="auto"/>
              <w:ind w:firstLine="361" w:firstLineChars="15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1.1污染源及治理措施</w:t>
            </w:r>
          </w:p>
          <w:p>
            <w:pPr>
              <w:spacing w:line="360" w:lineRule="auto"/>
              <w:ind w:firstLine="361" w:firstLineChars="15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（1）原料装卸粉尘</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原料装卸粉尘主要是原料中的细颗粒物在自由下落过程，随风迁移飘散形成。参考《逸散性工业粉尘控制技术》（中国环境科学出版社），装卸粉尘产生系数一般取0.02kg/t-原料量。项目原料总量146740t/a ，则原料堆场卸料粉尘产生量为2.93t/a。</w:t>
            </w:r>
          </w:p>
          <w:p>
            <w:pPr>
              <w:spacing w:line="360" w:lineRule="auto"/>
              <w:ind w:firstLine="361" w:firstLineChars="15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治理措施：本项目现有原料堆场为露天堆场，未采取封闭式建设，同时也未设置喷雾降尘装置，不能满足环保要求。</w:t>
            </w:r>
          </w:p>
          <w:p>
            <w:pPr>
              <w:spacing w:line="360" w:lineRule="auto"/>
              <w:ind w:firstLine="361" w:firstLineChars="150"/>
              <w:rPr>
                <w:bCs/>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整改措施：</w:t>
            </w:r>
            <w:r>
              <w:rPr>
                <w:rFonts w:hint="eastAsia"/>
                <w:bCs/>
                <w:color w:val="000000" w:themeColor="text1"/>
                <w:szCs w:val="24"/>
                <w14:textFill>
                  <w14:solidFill>
                    <w14:schemeClr w14:val="tx1"/>
                  </w14:solidFill>
                </w14:textFill>
              </w:rPr>
              <w:t>将项目生产区建设为一个封闭式厂房，原料堆场布置在厂房内，同时在堆场上方设有高效喷雾降尘装置，能有效抑制粉尘的产生。 采取上述治理措施，项目原料堆场卸料粉尘抑尘率取80% ，则卸料粉尘排放量为0.59t/a ，排放方式为无组织排放。</w:t>
            </w:r>
          </w:p>
          <w:p>
            <w:pPr>
              <w:spacing w:line="360" w:lineRule="auto"/>
              <w:ind w:firstLine="361" w:firstLineChars="15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（2）给料机上料粉尘</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项目生产时通过装载机将原料从堆场转移至给料机上料。原料在跌落过程也会产生一定的粉尘。粉尘的产生与原料卸料过程相似，主要是原料中的细颗粒物在自由下落过程，随风迁移飘散形成。参考《逸散性工业粉尘控制技术》（中国环境科学出版社），装卸粉尘产生系数一般取0.02kg/t-原料量。项目原料总量146740t/a ，则给料机上料过程粉尘产生量为2.93t/a。</w:t>
            </w:r>
          </w:p>
          <w:p>
            <w:pPr>
              <w:spacing w:line="360" w:lineRule="auto"/>
              <w:ind w:firstLine="361" w:firstLineChars="15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治理措施：本项目现有给料机进料口未设置三面封闭，同时也未设置喷雾降尘装置，不能满足环保要求。</w:t>
            </w:r>
          </w:p>
          <w:p>
            <w:pPr>
              <w:spacing w:line="360" w:lineRule="auto"/>
              <w:ind w:firstLine="361" w:firstLineChars="150"/>
              <w:rPr>
                <w:bCs/>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整改措施：</w:t>
            </w:r>
            <w:r>
              <w:rPr>
                <w:rFonts w:hint="eastAsia"/>
                <w:bCs/>
                <w:color w:val="000000" w:themeColor="text1"/>
                <w:szCs w:val="24"/>
                <w14:textFill>
                  <w14:solidFill>
                    <w14:schemeClr w14:val="tx1"/>
                  </w14:solidFill>
                </w14:textFill>
              </w:rPr>
              <w:t>在给料机入料口采取二次封闭，设三面围挡并安装喷雾装置。同时给料机布置在封闭式生产厂房内，即使有少量粉尘外逸也会在封闭式厂房内沉降。采取上述治理措施，项目给料机上料粉尘抑尘率取80% ，则粉尘排放量为0.59t/a ，排放方式为无组织排放。</w:t>
            </w:r>
          </w:p>
          <w:p>
            <w:pPr>
              <w:spacing w:line="360" w:lineRule="auto"/>
              <w:ind w:firstLine="361" w:firstLineChars="15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（3）破碎粉尘</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根据工程分析，项目砂石料生产过程涉及两次破碎，一次破碎为颚式破碎，二次破碎为反击式破碎。破碎粉尘的产生主要是物料在机械内部相互撞击、翻滚的过程。参考《逸散性工业粉尘控制技术》（中国环境科学 出版社），砂石料一级破碎加工的粉尘产生系数为0.25kg/t-原料量，二级破碎加工的粉尘产生系数为0.75kg/t-原料量。项目原料总量146740t/a ，则物料两次破碎粉尘产生量为146.74t/a。</w:t>
            </w:r>
          </w:p>
          <w:p>
            <w:pPr>
              <w:spacing w:line="360" w:lineRule="auto"/>
              <w:ind w:firstLine="361" w:firstLineChars="15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治理措施：项目颚破机、反击破设备均为密闭型的破碎设备，设备出料口设置喷雾降尘。再对破碎设备采取了二次密闭，能够降低粉尘外逸。</w:t>
            </w:r>
          </w:p>
          <w:p>
            <w:pPr>
              <w:spacing w:line="360" w:lineRule="auto"/>
              <w:ind w:firstLine="361" w:firstLineChars="150"/>
              <w:rPr>
                <w:bCs/>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整改措施：</w:t>
            </w:r>
            <w:r>
              <w:rPr>
                <w:rFonts w:hint="eastAsia"/>
                <w:bCs/>
                <w:color w:val="000000" w:themeColor="text1"/>
                <w:szCs w:val="24"/>
                <w14:textFill>
                  <w14:solidFill>
                    <w14:schemeClr w14:val="tx1"/>
                  </w14:solidFill>
                </w14:textFill>
              </w:rPr>
              <w:t>建设一个封闭式生产厂房，将两级破碎机布置在封闭厂房内。少量破碎粉尘逸散至厂房内，可利用封闭车间和喷雾设施，最大限度降低粉尘的排放量。</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采取上述治理措施，项目两级破碎粉尘综合抑尘率取90% ，则破碎粉尘排放量约14.67t/a ，排放方式为无组织排放。</w:t>
            </w:r>
          </w:p>
          <w:p>
            <w:pPr>
              <w:spacing w:line="360" w:lineRule="auto"/>
              <w:ind w:firstLine="361" w:firstLineChars="15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（4）皮带输送粉尘</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项目生产时原料、产品均通过皮带输送。输送皮带运行本身不会产生 粉尘，主要是在皮带转运点，物料跌落过程会产生少量的粉尘。参考《逸散性工业粉尘控制技术》（中国环境科学出版社），物料跌落粉尘产生系数一般取0.01kg/t-原料量。经计算，项目皮带机输送时粉尘产生量1.47t/a。</w:t>
            </w:r>
          </w:p>
          <w:p>
            <w:pPr>
              <w:spacing w:line="360" w:lineRule="auto"/>
              <w:ind w:firstLine="361" w:firstLineChars="150"/>
              <w:rPr>
                <w:bCs/>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治理措施：</w:t>
            </w:r>
            <w:r>
              <w:rPr>
                <w:rFonts w:hint="eastAsia"/>
                <w:bCs/>
                <w:color w:val="000000" w:themeColor="text1"/>
                <w:szCs w:val="24"/>
                <w14:textFill>
                  <w14:solidFill>
                    <w14:schemeClr w14:val="tx1"/>
                  </w14:solidFill>
                </w14:textFill>
              </w:rPr>
              <w:t>本项目在建设时已对输送皮带配备减速机，使皮带能够平稳运行。对输送皮带已采取全封闭措施。同时结合项目拟采取的湿法生产工艺，砂石料成品均具有一定的含水率，从皮带落料至地面的过程几乎不会产生粉尘。因此，项目现有皮带输送粉尘控制措施能够满足环保要求。</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通过采取上述治理措施，皮带输送粉尘抑尘率取90%。经估算，皮带输送粉尘排放约0.15t/a。</w:t>
            </w:r>
          </w:p>
          <w:p>
            <w:pPr>
              <w:spacing w:line="360" w:lineRule="auto"/>
              <w:ind w:firstLine="361" w:firstLineChars="15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（5）多级振动筛分和制砂环节的粉尘</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根据工程分析，本项目将在多级振动筛分环节采取不间断冲水，起到清洗物料的作用，同时也是极好的抑尘措施。同时，项目目前已对多级振动筛分机采取了封闭措施。参考行业同类型项目，采取湿法作业工艺的砂石加工环节，几乎无粉尘产生。项目振动筛分出来的0.5~ 10mm的物料经皮带送入制砂机制砂，制砂机运行过程其内部破碎室也处于密闭状态，同时由于物料含水率较大。因此制砂过程也无粉尘产生。本次环评不对多级振动筛分和制砂环节的粉尘进行定量分析。</w:t>
            </w:r>
          </w:p>
          <w:p>
            <w:pPr>
              <w:spacing w:line="360" w:lineRule="auto"/>
              <w:ind w:firstLine="361" w:firstLineChars="15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（6）成品堆场扬尘</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根据现场踏勘，项目目前未设置封闭式成品堆场。结合工程分析，项目建成后将建设一个封闭式生产厂房，同时通过采取湿法生产工艺，离开生产线的砂石成品具有一定的含水率，正常堆放期间不会受到风力影响，不考虑风力扬尘产生尘。在成品装车外运时利用厂房内喷雾装置，以及成品自己含水的抑尘效果，几乎无扬尘产生。因此，本次环评不对成品堆场的粉尘情况进行分析。</w:t>
            </w:r>
          </w:p>
          <w:p>
            <w:pPr>
              <w:spacing w:line="360" w:lineRule="auto"/>
              <w:ind w:firstLine="361" w:firstLineChars="15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（7）运输道路的扬尘</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项目所用原料和生产的产品均利用汽车进行运输，主要依托附近村道公路。运输车辆车身及轮胎携带有少量粉尘，在行驶途中会产生少量的道路扬尘，会对道路沿线环境造成不利影响。</w:t>
            </w:r>
          </w:p>
          <w:p>
            <w:pPr>
              <w:spacing w:line="360" w:lineRule="auto"/>
              <w:ind w:firstLine="361" w:firstLineChars="15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治理措施：目前项目进出口设置有车辆冲洗设施。但厂区未对地面进行硬化处理，运输扬尘控制措施不能满足环保要求。</w:t>
            </w:r>
          </w:p>
          <w:p>
            <w:pPr>
              <w:spacing w:line="360" w:lineRule="auto"/>
              <w:ind w:firstLine="361" w:firstLineChars="150"/>
              <w:rPr>
                <w:bCs/>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整改措施：</w:t>
            </w:r>
            <w:r>
              <w:rPr>
                <w:rFonts w:hint="eastAsia"/>
                <w:bCs/>
                <w:color w:val="000000" w:themeColor="text1"/>
                <w:szCs w:val="24"/>
                <w14:textFill>
                  <w14:solidFill>
                    <w14:schemeClr w14:val="tx1"/>
                  </w14:solidFill>
                </w14:textFill>
              </w:rPr>
              <w:t>通过对厂区地面、运输道路采取硬化措施。厂区进出口建设车辆冲洗设施。安排专人负责进出车辆的冲洗。合理安排运输时间，避免大风天气运输；加强车辆运输管理，避免车速过快，加盖篷布，减小扬尘的产生。强化厂区内部卫生管理，安排专人适时对厂区地面进行洒水、清扫，保持清洁卫生。</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通过采取上述扬尘防治措施，能够有效降低道路扬尘的污染影响。</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（8）食堂油烟</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本项目新增员工3人，扩建后厂区总人数为10人，厂区设有员工食堂提供中午午餐， 仅部分员工在厂区就餐。厨房烹饪使用液化气做燃料，属于清洁燃料产生的大气污染物较少。烹饪过程将产生油烟。由于项目食堂规模极小，本次评价仅对食堂油烟定性分析。</w:t>
            </w:r>
          </w:p>
          <w:p>
            <w:pPr>
              <w:spacing w:line="360" w:lineRule="auto"/>
              <w:ind w:firstLine="361" w:firstLineChars="150"/>
              <w:rPr>
                <w:bCs/>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 xml:space="preserve">治理措施： </w:t>
            </w:r>
            <w:r>
              <w:rPr>
                <w:rFonts w:hint="eastAsia"/>
                <w:bCs/>
                <w:color w:val="000000" w:themeColor="text1"/>
                <w:szCs w:val="24"/>
                <w14:textFill>
                  <w14:solidFill>
                    <w14:schemeClr w14:val="tx1"/>
                  </w14:solidFill>
                </w14:textFill>
              </w:rPr>
              <w:t>目前项目区食堂已安装抽油烟机，对油烟进行收集净化处理后引至室外排放，能够降低对人体的损害和环境污染。</w:t>
            </w:r>
          </w:p>
          <w:p>
            <w:pPr>
              <w:spacing w:line="360" w:lineRule="auto"/>
              <w:ind w:firstLine="361" w:firstLineChars="15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1.2污染源排放情况</w:t>
            </w:r>
          </w:p>
          <w:p>
            <w:pPr>
              <w:spacing w:line="500" w:lineRule="exact"/>
              <w:ind w:firstLine="402" w:firstLineChars="200"/>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表4-3  废气产生环节、污染物种类、排放形式及污染防治设施表</w:t>
            </w:r>
          </w:p>
          <w:tbl>
            <w:tblPr>
              <w:tblStyle w:val="3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17"/>
              <w:gridCol w:w="1467"/>
              <w:gridCol w:w="961"/>
              <w:gridCol w:w="1074"/>
              <w:gridCol w:w="1014"/>
              <w:gridCol w:w="1885"/>
              <w:gridCol w:w="790"/>
              <w:gridCol w:w="9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54" w:type="pct"/>
                  <w:tcBorders>
                    <w:left w:val="nil"/>
                  </w:tcBorders>
                  <w:vAlign w:val="center"/>
                </w:tcPr>
                <w:p>
                  <w:pPr>
                    <w:spacing w:line="360" w:lineRule="auto"/>
                    <w:jc w:val="center"/>
                    <w:textAlignment w:val="baseline"/>
                    <w:rPr>
                      <w:color w:val="000000" w:themeColor="text1"/>
                      <w:sz w:val="21"/>
                      <w14:textFill>
                        <w14:solidFill>
                          <w14:schemeClr w14:val="tx1"/>
                        </w14:solidFill>
                      </w14:textFill>
                    </w:rPr>
                  </w:pPr>
                  <w:r>
                    <w:rPr>
                      <w:color w:val="000000" w:themeColor="text1"/>
                      <w:sz w:val="21"/>
                      <w14:textFill>
                        <w14:solidFill>
                          <w14:schemeClr w14:val="tx1"/>
                        </w14:solidFill>
                      </w14:textFill>
                    </w:rPr>
                    <w:t>序号</w:t>
                  </w:r>
                </w:p>
              </w:tc>
              <w:tc>
                <w:tcPr>
                  <w:tcW w:w="838" w:type="pct"/>
                  <w:vAlign w:val="center"/>
                </w:tcPr>
                <w:p>
                  <w:pPr>
                    <w:spacing w:line="360" w:lineRule="auto"/>
                    <w:jc w:val="center"/>
                    <w:textAlignment w:val="baseline"/>
                    <w:rPr>
                      <w:color w:val="000000" w:themeColor="text1"/>
                      <w:sz w:val="21"/>
                      <w14:textFill>
                        <w14:solidFill>
                          <w14:schemeClr w14:val="tx1"/>
                        </w14:solidFill>
                      </w14:textFill>
                    </w:rPr>
                  </w:pPr>
                  <w:r>
                    <w:rPr>
                      <w:color w:val="000000" w:themeColor="text1"/>
                      <w:sz w:val="21"/>
                      <w14:textFill>
                        <w14:solidFill>
                          <w14:schemeClr w14:val="tx1"/>
                        </w14:solidFill>
                      </w14:textFill>
                    </w:rPr>
                    <w:t>污染物产生设施</w:t>
                  </w:r>
                </w:p>
              </w:tc>
              <w:tc>
                <w:tcPr>
                  <w:tcW w:w="550" w:type="pct"/>
                  <w:vAlign w:val="center"/>
                </w:tcPr>
                <w:p>
                  <w:pPr>
                    <w:spacing w:line="360" w:lineRule="auto"/>
                    <w:jc w:val="center"/>
                    <w:textAlignment w:val="baseline"/>
                    <w:rPr>
                      <w:color w:val="000000" w:themeColor="text1"/>
                      <w:sz w:val="21"/>
                      <w14:textFill>
                        <w14:solidFill>
                          <w14:schemeClr w14:val="tx1"/>
                        </w14:solidFill>
                      </w14:textFill>
                    </w:rPr>
                  </w:pPr>
                  <w:r>
                    <w:rPr>
                      <w:color w:val="000000" w:themeColor="text1"/>
                      <w:sz w:val="21"/>
                      <w14:textFill>
                        <w14:solidFill>
                          <w14:schemeClr w14:val="tx1"/>
                        </w14:solidFill>
                      </w14:textFill>
                    </w:rPr>
                    <w:t>废气产污 环节</w:t>
                  </w:r>
                </w:p>
              </w:tc>
              <w:tc>
                <w:tcPr>
                  <w:tcW w:w="614" w:type="pct"/>
                  <w:vAlign w:val="center"/>
                </w:tcPr>
                <w:p>
                  <w:pPr>
                    <w:spacing w:line="360" w:lineRule="auto"/>
                    <w:jc w:val="center"/>
                    <w:textAlignment w:val="baseline"/>
                    <w:rPr>
                      <w:color w:val="000000" w:themeColor="text1"/>
                      <w:sz w:val="21"/>
                      <w14:textFill>
                        <w14:solidFill>
                          <w14:schemeClr w14:val="tx1"/>
                        </w14:solidFill>
                      </w14:textFill>
                    </w:rPr>
                  </w:pPr>
                  <w:r>
                    <w:rPr>
                      <w:color w:val="000000" w:themeColor="text1"/>
                      <w:sz w:val="21"/>
                      <w14:textFill>
                        <w14:solidFill>
                          <w14:schemeClr w14:val="tx1"/>
                        </w14:solidFill>
                      </w14:textFill>
                    </w:rPr>
                    <w:t>污染物种类</w:t>
                  </w:r>
                </w:p>
              </w:tc>
              <w:tc>
                <w:tcPr>
                  <w:tcW w:w="580" w:type="pct"/>
                  <w:vAlign w:val="center"/>
                </w:tcPr>
                <w:p>
                  <w:pPr>
                    <w:spacing w:line="360" w:lineRule="auto"/>
                    <w:jc w:val="center"/>
                    <w:textAlignment w:val="baseline"/>
                    <w:rPr>
                      <w:color w:val="000000" w:themeColor="text1"/>
                      <w:sz w:val="21"/>
                      <w14:textFill>
                        <w14:solidFill>
                          <w14:schemeClr w14:val="tx1"/>
                        </w14:solidFill>
                      </w14:textFill>
                    </w:rPr>
                  </w:pPr>
                  <w:r>
                    <w:rPr>
                      <w:color w:val="000000" w:themeColor="text1"/>
                      <w:sz w:val="21"/>
                      <w14:textFill>
                        <w14:solidFill>
                          <w14:schemeClr w14:val="tx1"/>
                        </w14:solidFill>
                      </w14:textFill>
                    </w:rPr>
                    <w:t>排放形式</w:t>
                  </w:r>
                </w:p>
              </w:tc>
              <w:tc>
                <w:tcPr>
                  <w:tcW w:w="1076" w:type="pct"/>
                  <w:vAlign w:val="center"/>
                </w:tcPr>
                <w:p>
                  <w:pPr>
                    <w:spacing w:line="360" w:lineRule="auto"/>
                    <w:jc w:val="center"/>
                    <w:textAlignment w:val="baseline"/>
                    <w:rPr>
                      <w:color w:val="000000" w:themeColor="text1"/>
                      <w:sz w:val="21"/>
                      <w14:textFill>
                        <w14:solidFill>
                          <w14:schemeClr w14:val="tx1"/>
                        </w14:solidFill>
                      </w14:textFill>
                    </w:rPr>
                  </w:pPr>
                  <w:r>
                    <w:rPr>
                      <w:color w:val="000000" w:themeColor="text1"/>
                      <w:sz w:val="21"/>
                      <w14:textFill>
                        <w14:solidFill>
                          <w14:schemeClr w14:val="tx1"/>
                        </w14:solidFill>
                      </w14:textFill>
                    </w:rPr>
                    <w:t>污染物治理设施名称</w:t>
                  </w:r>
                </w:p>
              </w:tc>
              <w:tc>
                <w:tcPr>
                  <w:tcW w:w="452" w:type="pct"/>
                  <w:vAlign w:val="center"/>
                </w:tcPr>
                <w:p>
                  <w:pPr>
                    <w:spacing w:line="360" w:lineRule="auto"/>
                    <w:jc w:val="center"/>
                    <w:textAlignment w:val="baseline"/>
                    <w:rPr>
                      <w:color w:val="000000" w:themeColor="text1"/>
                      <w:sz w:val="21"/>
                      <w14:textFill>
                        <w14:solidFill>
                          <w14:schemeClr w14:val="tx1"/>
                        </w14:solidFill>
                      </w14:textFill>
                    </w:rPr>
                  </w:pPr>
                  <w:r>
                    <w:rPr>
                      <w:color w:val="000000" w:themeColor="text1"/>
                      <w:sz w:val="21"/>
                      <w14:textFill>
                        <w14:solidFill>
                          <w14:schemeClr w14:val="tx1"/>
                        </w14:solidFill>
                      </w14:textFill>
                    </w:rPr>
                    <w:t>排放口</w:t>
                  </w:r>
                </w:p>
                <w:p>
                  <w:pPr>
                    <w:spacing w:line="360" w:lineRule="auto"/>
                    <w:jc w:val="center"/>
                    <w:textAlignment w:val="baseline"/>
                    <w:rPr>
                      <w:color w:val="000000" w:themeColor="text1"/>
                      <w:sz w:val="21"/>
                      <w14:textFill>
                        <w14:solidFill>
                          <w14:schemeClr w14:val="tx1"/>
                        </w14:solidFill>
                      </w14:textFill>
                    </w:rPr>
                  </w:pPr>
                  <w:r>
                    <w:rPr>
                      <w:color w:val="000000" w:themeColor="text1"/>
                      <w:sz w:val="21"/>
                      <w14:textFill>
                        <w14:solidFill>
                          <w14:schemeClr w14:val="tx1"/>
                        </w14:solidFill>
                      </w14:textFill>
                    </w:rPr>
                    <w:t>类型</w:t>
                  </w:r>
                </w:p>
              </w:tc>
              <w:tc>
                <w:tcPr>
                  <w:tcW w:w="537" w:type="pct"/>
                  <w:tcBorders>
                    <w:right w:val="nil"/>
                  </w:tcBorders>
                  <w:vAlign w:val="center"/>
                </w:tcPr>
                <w:p>
                  <w:pPr>
                    <w:spacing w:line="360" w:lineRule="auto"/>
                    <w:jc w:val="center"/>
                    <w:textAlignment w:val="baseline"/>
                    <w:rPr>
                      <w:color w:val="000000" w:themeColor="text1"/>
                      <w:sz w:val="21"/>
                      <w14:textFill>
                        <w14:solidFill>
                          <w14:schemeClr w14:val="tx1"/>
                        </w14:solidFill>
                      </w14:textFill>
                    </w:rPr>
                  </w:pPr>
                  <w:r>
                    <w:rPr>
                      <w:color w:val="000000" w:themeColor="text1"/>
                      <w:sz w:val="21"/>
                      <w14:textFill>
                        <w14:solidFill>
                          <w14:schemeClr w14:val="tx1"/>
                        </w14:solidFill>
                      </w14:textFill>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354" w:type="pct"/>
                  <w:tcBorders>
                    <w:left w:val="nil"/>
                  </w:tcBorders>
                  <w:vAlign w:val="center"/>
                </w:tcPr>
                <w:p>
                  <w:pPr>
                    <w:spacing w:line="360" w:lineRule="auto"/>
                    <w:jc w:val="center"/>
                    <w:textAlignment w:val="baseline"/>
                    <w:rPr>
                      <w:color w:val="000000" w:themeColor="text1"/>
                      <w:sz w:val="21"/>
                      <w14:textFill>
                        <w14:solidFill>
                          <w14:schemeClr w14:val="tx1"/>
                        </w14:solidFill>
                      </w14:textFill>
                    </w:rPr>
                  </w:pPr>
                  <w:r>
                    <w:rPr>
                      <w:color w:val="000000" w:themeColor="text1"/>
                      <w:sz w:val="21"/>
                      <w14:textFill>
                        <w14:solidFill>
                          <w14:schemeClr w14:val="tx1"/>
                        </w14:solidFill>
                      </w14:textFill>
                    </w:rPr>
                    <w:t>1</w:t>
                  </w:r>
                </w:p>
              </w:tc>
              <w:tc>
                <w:tcPr>
                  <w:tcW w:w="83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原料堆场</w:t>
                  </w:r>
                </w:p>
              </w:tc>
              <w:tc>
                <w:tcPr>
                  <w:tcW w:w="55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原料装卸</w:t>
                  </w:r>
                </w:p>
              </w:tc>
              <w:tc>
                <w:tcPr>
                  <w:tcW w:w="614"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粉尘</w:t>
                  </w:r>
                </w:p>
              </w:tc>
              <w:tc>
                <w:tcPr>
                  <w:tcW w:w="58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无组织</w:t>
                  </w:r>
                </w:p>
              </w:tc>
              <w:tc>
                <w:tcPr>
                  <w:tcW w:w="1076"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喷雾装置</w:t>
                  </w:r>
                </w:p>
              </w:tc>
              <w:tc>
                <w:tcPr>
                  <w:tcW w:w="452" w:type="pct"/>
                  <w:vAlign w:val="center"/>
                </w:tcPr>
                <w:p>
                  <w:pPr>
                    <w:spacing w:line="360" w:lineRule="auto"/>
                    <w:jc w:val="center"/>
                    <w:textAlignment w:val="baseline"/>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537" w:type="pct"/>
                  <w:vMerge w:val="restart"/>
                  <w:tcBorders>
                    <w:bottom w:val="nil"/>
                    <w:right w:val="nil"/>
                  </w:tcBorders>
                  <w:vAlign w:val="center"/>
                </w:tcPr>
                <w:p>
                  <w:pPr>
                    <w:spacing w:line="360" w:lineRule="auto"/>
                    <w:ind w:right="84"/>
                    <w:jc w:val="center"/>
                    <w:textAlignment w:val="baseline"/>
                    <w:rPr>
                      <w:color w:val="000000" w:themeColor="text1"/>
                      <w:sz w:val="21"/>
                      <w14:textFill>
                        <w14:solidFill>
                          <w14:schemeClr w14:val="tx1"/>
                        </w14:solidFill>
                      </w14:textFill>
                    </w:rPr>
                  </w:pPr>
                  <w:r>
                    <w:rPr>
                      <w:color w:val="000000" w:themeColor="text1"/>
                      <w:sz w:val="21"/>
                      <w14:textFill>
                        <w14:solidFill>
                          <w14:schemeClr w14:val="tx1"/>
                        </w14:solidFill>
                      </w14:textFill>
                    </w:rPr>
                    <w:t>GB16297- 1996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354" w:type="pct"/>
                  <w:tcBorders>
                    <w:left w:val="nil"/>
                  </w:tcBorders>
                  <w:vAlign w:val="center"/>
                </w:tcPr>
                <w:p>
                  <w:pPr>
                    <w:spacing w:line="360" w:lineRule="auto"/>
                    <w:jc w:val="center"/>
                    <w:textAlignment w:val="baseline"/>
                    <w:rPr>
                      <w:color w:val="000000" w:themeColor="text1"/>
                      <w:sz w:val="21"/>
                      <w14:textFill>
                        <w14:solidFill>
                          <w14:schemeClr w14:val="tx1"/>
                        </w14:solidFill>
                      </w14:textFill>
                    </w:rPr>
                  </w:pPr>
                  <w:r>
                    <w:rPr>
                      <w:color w:val="000000" w:themeColor="text1"/>
                      <w:sz w:val="21"/>
                      <w14:textFill>
                        <w14:solidFill>
                          <w14:schemeClr w14:val="tx1"/>
                        </w14:solidFill>
                      </w14:textFill>
                    </w:rPr>
                    <w:t>2</w:t>
                  </w:r>
                </w:p>
              </w:tc>
              <w:tc>
                <w:tcPr>
                  <w:tcW w:w="83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给料机</w:t>
                  </w:r>
                </w:p>
              </w:tc>
              <w:tc>
                <w:tcPr>
                  <w:tcW w:w="55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上料</w:t>
                  </w:r>
                </w:p>
              </w:tc>
              <w:tc>
                <w:tcPr>
                  <w:tcW w:w="614"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粉尘</w:t>
                  </w:r>
                </w:p>
              </w:tc>
              <w:tc>
                <w:tcPr>
                  <w:tcW w:w="58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无组织</w:t>
                  </w:r>
                </w:p>
              </w:tc>
              <w:tc>
                <w:tcPr>
                  <w:tcW w:w="1076"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封闭措施、喷雾装置</w:t>
                  </w:r>
                </w:p>
              </w:tc>
              <w:tc>
                <w:tcPr>
                  <w:tcW w:w="452" w:type="pct"/>
                  <w:vAlign w:val="center"/>
                </w:tcPr>
                <w:p>
                  <w:pPr>
                    <w:spacing w:line="360" w:lineRule="auto"/>
                    <w:jc w:val="center"/>
                    <w:textAlignment w:val="baseline"/>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537" w:type="pct"/>
                  <w:vMerge w:val="continue"/>
                  <w:tcBorders>
                    <w:top w:val="nil"/>
                    <w:bottom w:val="nil"/>
                    <w:right w:val="nil"/>
                  </w:tcBorders>
                  <w:vAlign w:val="center"/>
                </w:tcPr>
                <w:p>
                  <w:pPr>
                    <w:spacing w:line="360" w:lineRule="auto"/>
                    <w:jc w:val="center"/>
                    <w:textAlignment w:val="baseline"/>
                    <w:rPr>
                      <w:color w:val="000000" w:themeColor="text1"/>
                      <w:sz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354" w:type="pct"/>
                  <w:tcBorders>
                    <w:left w:val="nil"/>
                  </w:tcBorders>
                  <w:vAlign w:val="center"/>
                </w:tcPr>
                <w:p>
                  <w:pPr>
                    <w:spacing w:line="360" w:lineRule="auto"/>
                    <w:jc w:val="center"/>
                    <w:textAlignment w:val="baseline"/>
                    <w:rPr>
                      <w:color w:val="000000" w:themeColor="text1"/>
                      <w:sz w:val="21"/>
                      <w14:textFill>
                        <w14:solidFill>
                          <w14:schemeClr w14:val="tx1"/>
                        </w14:solidFill>
                      </w14:textFill>
                    </w:rPr>
                  </w:pPr>
                  <w:r>
                    <w:rPr>
                      <w:color w:val="000000" w:themeColor="text1"/>
                      <w:sz w:val="21"/>
                      <w14:textFill>
                        <w14:solidFill>
                          <w14:schemeClr w14:val="tx1"/>
                        </w14:solidFill>
                      </w14:textFill>
                    </w:rPr>
                    <w:t>3</w:t>
                  </w:r>
                </w:p>
              </w:tc>
              <w:tc>
                <w:tcPr>
                  <w:tcW w:w="83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颚破机、反击破</w:t>
                  </w:r>
                </w:p>
              </w:tc>
              <w:tc>
                <w:tcPr>
                  <w:tcW w:w="55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破碎</w:t>
                  </w:r>
                </w:p>
              </w:tc>
              <w:tc>
                <w:tcPr>
                  <w:tcW w:w="614"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粉尘</w:t>
                  </w:r>
                </w:p>
              </w:tc>
              <w:tc>
                <w:tcPr>
                  <w:tcW w:w="58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无组织</w:t>
                  </w:r>
                </w:p>
              </w:tc>
              <w:tc>
                <w:tcPr>
                  <w:tcW w:w="1076"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封闭措施、喷雾装置</w:t>
                  </w:r>
                </w:p>
              </w:tc>
              <w:tc>
                <w:tcPr>
                  <w:tcW w:w="452" w:type="pct"/>
                  <w:vAlign w:val="center"/>
                </w:tcPr>
                <w:p>
                  <w:pPr>
                    <w:spacing w:line="360" w:lineRule="auto"/>
                    <w:jc w:val="center"/>
                    <w:textAlignment w:val="baseline"/>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537" w:type="pct"/>
                  <w:vMerge w:val="continue"/>
                  <w:tcBorders>
                    <w:top w:val="nil"/>
                    <w:bottom w:val="nil"/>
                    <w:right w:val="nil"/>
                  </w:tcBorders>
                  <w:vAlign w:val="center"/>
                </w:tcPr>
                <w:p>
                  <w:pPr>
                    <w:spacing w:line="360" w:lineRule="auto"/>
                    <w:jc w:val="center"/>
                    <w:textAlignment w:val="baseline"/>
                    <w:rPr>
                      <w:color w:val="000000" w:themeColor="text1"/>
                      <w:sz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354" w:type="pct"/>
                  <w:tcBorders>
                    <w:left w:val="nil"/>
                  </w:tcBorders>
                  <w:vAlign w:val="center"/>
                </w:tcPr>
                <w:p>
                  <w:pPr>
                    <w:spacing w:line="360" w:lineRule="auto"/>
                    <w:jc w:val="center"/>
                    <w:textAlignment w:val="baseline"/>
                    <w:rPr>
                      <w:color w:val="000000" w:themeColor="text1"/>
                      <w:sz w:val="21"/>
                      <w14:textFill>
                        <w14:solidFill>
                          <w14:schemeClr w14:val="tx1"/>
                        </w14:solidFill>
                      </w14:textFill>
                    </w:rPr>
                  </w:pPr>
                  <w:r>
                    <w:rPr>
                      <w:color w:val="000000" w:themeColor="text1"/>
                      <w:sz w:val="21"/>
                      <w14:textFill>
                        <w14:solidFill>
                          <w14:schemeClr w14:val="tx1"/>
                        </w14:solidFill>
                      </w14:textFill>
                    </w:rPr>
                    <w:t>4</w:t>
                  </w:r>
                </w:p>
              </w:tc>
              <w:tc>
                <w:tcPr>
                  <w:tcW w:w="83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输送皮带</w:t>
                  </w:r>
                </w:p>
              </w:tc>
              <w:tc>
                <w:tcPr>
                  <w:tcW w:w="55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物料输送</w:t>
                  </w:r>
                </w:p>
              </w:tc>
              <w:tc>
                <w:tcPr>
                  <w:tcW w:w="614"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粉尘</w:t>
                  </w:r>
                </w:p>
              </w:tc>
              <w:tc>
                <w:tcPr>
                  <w:tcW w:w="58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无组织</w:t>
                  </w:r>
                </w:p>
              </w:tc>
              <w:tc>
                <w:tcPr>
                  <w:tcW w:w="1076"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封闭措施</w:t>
                  </w:r>
                </w:p>
              </w:tc>
              <w:tc>
                <w:tcPr>
                  <w:tcW w:w="4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537" w:type="pct"/>
                  <w:vMerge w:val="continue"/>
                  <w:tcBorders>
                    <w:top w:val="nil"/>
                    <w:bottom w:val="nil"/>
                    <w:right w:val="nil"/>
                  </w:tcBorders>
                  <w:vAlign w:val="center"/>
                </w:tcPr>
                <w:p>
                  <w:pPr>
                    <w:spacing w:line="360" w:lineRule="auto"/>
                    <w:jc w:val="center"/>
                    <w:textAlignment w:val="baseline"/>
                    <w:rPr>
                      <w:color w:val="000000" w:themeColor="text1"/>
                      <w:sz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354" w:type="pct"/>
                  <w:tcBorders>
                    <w:left w:val="nil"/>
                  </w:tcBorders>
                  <w:vAlign w:val="center"/>
                </w:tcPr>
                <w:p>
                  <w:pPr>
                    <w:spacing w:line="360" w:lineRule="auto"/>
                    <w:jc w:val="center"/>
                    <w:textAlignment w:val="baseline"/>
                    <w:rPr>
                      <w:color w:val="000000" w:themeColor="text1"/>
                      <w:sz w:val="21"/>
                      <w14:textFill>
                        <w14:solidFill>
                          <w14:schemeClr w14:val="tx1"/>
                        </w14:solidFill>
                      </w14:textFill>
                    </w:rPr>
                  </w:pPr>
                  <w:r>
                    <w:rPr>
                      <w:color w:val="000000" w:themeColor="text1"/>
                      <w:sz w:val="21"/>
                      <w14:textFill>
                        <w14:solidFill>
                          <w14:schemeClr w14:val="tx1"/>
                        </w14:solidFill>
                      </w14:textFill>
                    </w:rPr>
                    <w:t>5</w:t>
                  </w:r>
                </w:p>
              </w:tc>
              <w:tc>
                <w:tcPr>
                  <w:tcW w:w="83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多级振动筛分机</w:t>
                  </w:r>
                </w:p>
              </w:tc>
              <w:tc>
                <w:tcPr>
                  <w:tcW w:w="55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筛分</w:t>
                  </w:r>
                </w:p>
              </w:tc>
              <w:tc>
                <w:tcPr>
                  <w:tcW w:w="614"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粉尘</w:t>
                  </w:r>
                </w:p>
              </w:tc>
              <w:tc>
                <w:tcPr>
                  <w:tcW w:w="58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无组织</w:t>
                  </w:r>
                </w:p>
              </w:tc>
              <w:tc>
                <w:tcPr>
                  <w:tcW w:w="1076"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湿法作业、封闭措施</w:t>
                  </w:r>
                </w:p>
              </w:tc>
              <w:tc>
                <w:tcPr>
                  <w:tcW w:w="4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537" w:type="pct"/>
                  <w:vMerge w:val="continue"/>
                  <w:tcBorders>
                    <w:top w:val="nil"/>
                    <w:bottom w:val="nil"/>
                    <w:right w:val="nil"/>
                  </w:tcBorders>
                  <w:vAlign w:val="center"/>
                </w:tcPr>
                <w:p>
                  <w:pPr>
                    <w:spacing w:line="360" w:lineRule="auto"/>
                    <w:jc w:val="center"/>
                    <w:textAlignment w:val="baseline"/>
                    <w:rPr>
                      <w:color w:val="000000" w:themeColor="text1"/>
                      <w:sz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354" w:type="pct"/>
                  <w:tcBorders>
                    <w:left w:val="nil"/>
                  </w:tcBorders>
                  <w:vAlign w:val="center"/>
                </w:tcPr>
                <w:p>
                  <w:pPr>
                    <w:spacing w:line="360" w:lineRule="auto"/>
                    <w:jc w:val="center"/>
                    <w:textAlignment w:val="baseline"/>
                    <w:rPr>
                      <w:color w:val="000000" w:themeColor="text1"/>
                      <w:sz w:val="21"/>
                      <w14:textFill>
                        <w14:solidFill>
                          <w14:schemeClr w14:val="tx1"/>
                        </w14:solidFill>
                      </w14:textFill>
                    </w:rPr>
                  </w:pPr>
                  <w:r>
                    <w:rPr>
                      <w:color w:val="000000" w:themeColor="text1"/>
                      <w:sz w:val="21"/>
                      <w14:textFill>
                        <w14:solidFill>
                          <w14:schemeClr w14:val="tx1"/>
                        </w14:solidFill>
                      </w14:textFill>
                    </w:rPr>
                    <w:t>6</w:t>
                  </w:r>
                </w:p>
              </w:tc>
              <w:tc>
                <w:tcPr>
                  <w:tcW w:w="83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制砂机</w:t>
                  </w:r>
                </w:p>
              </w:tc>
              <w:tc>
                <w:tcPr>
                  <w:tcW w:w="55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制砂</w:t>
                  </w:r>
                </w:p>
              </w:tc>
              <w:tc>
                <w:tcPr>
                  <w:tcW w:w="614"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粉尘</w:t>
                  </w:r>
                </w:p>
              </w:tc>
              <w:tc>
                <w:tcPr>
                  <w:tcW w:w="58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无组织</w:t>
                  </w:r>
                </w:p>
              </w:tc>
              <w:tc>
                <w:tcPr>
                  <w:tcW w:w="1076"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湿法作业、封闭措施</w:t>
                  </w:r>
                </w:p>
              </w:tc>
              <w:tc>
                <w:tcPr>
                  <w:tcW w:w="452" w:type="pct"/>
                  <w:vAlign w:val="center"/>
                </w:tcPr>
                <w:p>
                  <w:pPr>
                    <w:spacing w:line="360" w:lineRule="auto"/>
                    <w:jc w:val="center"/>
                    <w:textAlignment w:val="baseline"/>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537" w:type="pct"/>
                  <w:vMerge w:val="continue"/>
                  <w:tcBorders>
                    <w:top w:val="nil"/>
                    <w:bottom w:val="nil"/>
                    <w:right w:val="nil"/>
                  </w:tcBorders>
                  <w:vAlign w:val="center"/>
                </w:tcPr>
                <w:p>
                  <w:pPr>
                    <w:spacing w:line="360" w:lineRule="auto"/>
                    <w:jc w:val="center"/>
                    <w:textAlignment w:val="baseline"/>
                    <w:rPr>
                      <w:color w:val="000000" w:themeColor="text1"/>
                      <w:sz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54" w:type="pct"/>
                  <w:tcBorders>
                    <w:left w:val="nil"/>
                  </w:tcBorders>
                  <w:vAlign w:val="center"/>
                </w:tcPr>
                <w:p>
                  <w:pPr>
                    <w:spacing w:line="360" w:lineRule="auto"/>
                    <w:jc w:val="center"/>
                    <w:textAlignment w:val="baseline"/>
                    <w:rPr>
                      <w:color w:val="000000" w:themeColor="text1"/>
                      <w:sz w:val="21"/>
                      <w14:textFill>
                        <w14:solidFill>
                          <w14:schemeClr w14:val="tx1"/>
                        </w14:solidFill>
                      </w14:textFill>
                    </w:rPr>
                  </w:pPr>
                  <w:r>
                    <w:rPr>
                      <w:color w:val="000000" w:themeColor="text1"/>
                      <w:sz w:val="21"/>
                      <w14:textFill>
                        <w14:solidFill>
                          <w14:schemeClr w14:val="tx1"/>
                        </w14:solidFill>
                      </w14:textFill>
                    </w:rPr>
                    <w:t>7</w:t>
                  </w:r>
                </w:p>
              </w:tc>
              <w:tc>
                <w:tcPr>
                  <w:tcW w:w="83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成品堆场</w:t>
                  </w:r>
                </w:p>
              </w:tc>
              <w:tc>
                <w:tcPr>
                  <w:tcW w:w="550" w:type="pct"/>
                  <w:vAlign w:val="center"/>
                </w:tcPr>
                <w:p>
                  <w:pPr>
                    <w:pStyle w:val="34"/>
                    <w:spacing w:line="360" w:lineRule="auto"/>
                    <w:ind w:right="82"/>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堆存、装 车</w:t>
                  </w:r>
                </w:p>
              </w:tc>
              <w:tc>
                <w:tcPr>
                  <w:tcW w:w="614"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粉尘</w:t>
                  </w:r>
                </w:p>
              </w:tc>
              <w:tc>
                <w:tcPr>
                  <w:tcW w:w="58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无组织</w:t>
                  </w:r>
                </w:p>
              </w:tc>
              <w:tc>
                <w:tcPr>
                  <w:tcW w:w="1076"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喷雾装置</w:t>
                  </w:r>
                </w:p>
              </w:tc>
              <w:tc>
                <w:tcPr>
                  <w:tcW w:w="4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537" w:type="pct"/>
                  <w:vMerge w:val="continue"/>
                  <w:tcBorders>
                    <w:top w:val="nil"/>
                    <w:bottom w:val="nil"/>
                    <w:right w:val="nil"/>
                  </w:tcBorders>
                  <w:vAlign w:val="center"/>
                </w:tcPr>
                <w:p>
                  <w:pPr>
                    <w:spacing w:line="360" w:lineRule="auto"/>
                    <w:jc w:val="center"/>
                    <w:textAlignment w:val="baseline"/>
                    <w:rPr>
                      <w:color w:val="000000" w:themeColor="text1"/>
                      <w:sz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354" w:type="pct"/>
                  <w:tcBorders>
                    <w:left w:val="nil"/>
                  </w:tcBorders>
                  <w:vAlign w:val="center"/>
                </w:tcPr>
                <w:p>
                  <w:pPr>
                    <w:spacing w:line="360" w:lineRule="auto"/>
                    <w:jc w:val="center"/>
                    <w:textAlignment w:val="baseline"/>
                    <w:rPr>
                      <w:color w:val="000000" w:themeColor="text1"/>
                      <w:sz w:val="21"/>
                      <w14:textFill>
                        <w14:solidFill>
                          <w14:schemeClr w14:val="tx1"/>
                        </w14:solidFill>
                      </w14:textFill>
                    </w:rPr>
                  </w:pPr>
                  <w:r>
                    <w:rPr>
                      <w:color w:val="000000" w:themeColor="text1"/>
                      <w:sz w:val="21"/>
                      <w14:textFill>
                        <w14:solidFill>
                          <w14:schemeClr w14:val="tx1"/>
                        </w14:solidFill>
                      </w14:textFill>
                    </w:rPr>
                    <w:t>8</w:t>
                  </w:r>
                </w:p>
              </w:tc>
              <w:tc>
                <w:tcPr>
                  <w:tcW w:w="83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物料运输</w:t>
                  </w:r>
                </w:p>
              </w:tc>
              <w:tc>
                <w:tcPr>
                  <w:tcW w:w="55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车辆行驶</w:t>
                  </w:r>
                </w:p>
              </w:tc>
              <w:tc>
                <w:tcPr>
                  <w:tcW w:w="614"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粉尘</w:t>
                  </w:r>
                </w:p>
              </w:tc>
              <w:tc>
                <w:tcPr>
                  <w:tcW w:w="58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无组织</w:t>
                  </w:r>
                </w:p>
              </w:tc>
              <w:tc>
                <w:tcPr>
                  <w:tcW w:w="1076"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冲洗平台、加盖篷布</w:t>
                  </w:r>
                </w:p>
              </w:tc>
              <w:tc>
                <w:tcPr>
                  <w:tcW w:w="4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537" w:type="pct"/>
                  <w:vMerge w:val="continue"/>
                  <w:tcBorders>
                    <w:top w:val="nil"/>
                    <w:right w:val="nil"/>
                  </w:tcBorders>
                  <w:vAlign w:val="center"/>
                </w:tcPr>
                <w:p>
                  <w:pPr>
                    <w:spacing w:line="360" w:lineRule="auto"/>
                    <w:jc w:val="center"/>
                    <w:textAlignment w:val="baseline"/>
                    <w:rPr>
                      <w:color w:val="000000" w:themeColor="text1"/>
                      <w:sz w:val="21"/>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354" w:type="pct"/>
                  <w:tcBorders>
                    <w:left w:val="nil"/>
                  </w:tcBorders>
                  <w:vAlign w:val="center"/>
                </w:tcPr>
                <w:p>
                  <w:pPr>
                    <w:spacing w:line="360" w:lineRule="auto"/>
                    <w:jc w:val="center"/>
                    <w:textAlignment w:val="baseline"/>
                    <w:rPr>
                      <w:color w:val="000000" w:themeColor="text1"/>
                      <w:sz w:val="21"/>
                      <w14:textFill>
                        <w14:solidFill>
                          <w14:schemeClr w14:val="tx1"/>
                        </w14:solidFill>
                      </w14:textFill>
                    </w:rPr>
                  </w:pPr>
                  <w:r>
                    <w:rPr>
                      <w:color w:val="000000" w:themeColor="text1"/>
                      <w:sz w:val="21"/>
                      <w14:textFill>
                        <w14:solidFill>
                          <w14:schemeClr w14:val="tx1"/>
                        </w14:solidFill>
                      </w14:textFill>
                    </w:rPr>
                    <w:t>9</w:t>
                  </w:r>
                </w:p>
              </w:tc>
              <w:tc>
                <w:tcPr>
                  <w:tcW w:w="83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食堂</w:t>
                  </w:r>
                </w:p>
              </w:tc>
              <w:tc>
                <w:tcPr>
                  <w:tcW w:w="55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烹饪</w:t>
                  </w:r>
                </w:p>
              </w:tc>
              <w:tc>
                <w:tcPr>
                  <w:tcW w:w="614"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油烟</w:t>
                  </w:r>
                </w:p>
              </w:tc>
              <w:tc>
                <w:tcPr>
                  <w:tcW w:w="58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无组织</w:t>
                  </w:r>
                </w:p>
              </w:tc>
              <w:tc>
                <w:tcPr>
                  <w:tcW w:w="1076"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抽油烟机</w:t>
                  </w:r>
                </w:p>
              </w:tc>
              <w:tc>
                <w:tcPr>
                  <w:tcW w:w="4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537" w:type="pct"/>
                  <w:tcBorders>
                    <w:right w:val="nil"/>
                  </w:tcBorders>
                  <w:vAlign w:val="center"/>
                </w:tcPr>
                <w:p>
                  <w:pPr>
                    <w:spacing w:line="360" w:lineRule="auto"/>
                    <w:ind w:right="72"/>
                    <w:jc w:val="center"/>
                    <w:textAlignment w:val="baseline"/>
                    <w:rPr>
                      <w:color w:val="000000" w:themeColor="text1"/>
                      <w:sz w:val="21"/>
                      <w14:textFill>
                        <w14:solidFill>
                          <w14:schemeClr w14:val="tx1"/>
                        </w14:solidFill>
                      </w14:textFill>
                    </w:rPr>
                  </w:pPr>
                  <w:r>
                    <w:rPr>
                      <w:color w:val="000000" w:themeColor="text1"/>
                      <w:sz w:val="21"/>
                      <w14:textFill>
                        <w14:solidFill>
                          <w14:schemeClr w14:val="tx1"/>
                        </w14:solidFill>
                      </w14:textFill>
                    </w:rPr>
                    <w:t>GB18483- 2001</w:t>
                  </w:r>
                </w:p>
              </w:tc>
            </w:tr>
          </w:tbl>
          <w:p>
            <w:pPr>
              <w:spacing w:line="360" w:lineRule="auto"/>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表 4-4  大气污染物排放表</w:t>
            </w:r>
          </w:p>
          <w:tbl>
            <w:tblPr>
              <w:tblStyle w:val="3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68"/>
              <w:gridCol w:w="932"/>
              <w:gridCol w:w="1030"/>
              <w:gridCol w:w="759"/>
              <w:gridCol w:w="648"/>
              <w:gridCol w:w="1673"/>
              <w:gridCol w:w="1520"/>
              <w:gridCol w:w="1023"/>
              <w:gridCol w:w="6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330" w:type="pct"/>
                  <w:vMerge w:val="restart"/>
                  <w:tcBorders>
                    <w:left w:val="nil"/>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序号</w:t>
                  </w:r>
                </w:p>
              </w:tc>
              <w:tc>
                <w:tcPr>
                  <w:tcW w:w="537" w:type="pct"/>
                  <w:vMerge w:val="restart"/>
                  <w:tcBorders>
                    <w:bottom w:val="nil"/>
                  </w:tcBorders>
                  <w:vAlign w:val="center"/>
                </w:tcPr>
                <w:p>
                  <w:pPr>
                    <w:pStyle w:val="34"/>
                    <w:spacing w:line="360" w:lineRule="auto"/>
                    <w:ind w:right="75"/>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生产设施 编号</w:t>
                  </w:r>
                </w:p>
              </w:tc>
              <w:tc>
                <w:tcPr>
                  <w:tcW w:w="593" w:type="pct"/>
                  <w:vMerge w:val="restart"/>
                  <w:tcBorders>
                    <w:bottom w:val="nil"/>
                  </w:tcBorders>
                  <w:vAlign w:val="center"/>
                </w:tcPr>
                <w:p>
                  <w:pPr>
                    <w:pStyle w:val="34"/>
                    <w:spacing w:line="360" w:lineRule="auto"/>
                    <w:ind w:right="117"/>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生产设施 名称</w:t>
                  </w:r>
                </w:p>
              </w:tc>
              <w:tc>
                <w:tcPr>
                  <w:tcW w:w="439" w:type="pct"/>
                  <w:vMerge w:val="restart"/>
                  <w:tcBorders>
                    <w:bottom w:val="nil"/>
                  </w:tcBorders>
                  <w:vAlign w:val="center"/>
                </w:tcPr>
                <w:p>
                  <w:pPr>
                    <w:pStyle w:val="34"/>
                    <w:spacing w:line="360" w:lineRule="auto"/>
                    <w:ind w:right="81"/>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污染物 种类</w:t>
                  </w:r>
                </w:p>
              </w:tc>
              <w:tc>
                <w:tcPr>
                  <w:tcW w:w="352" w:type="pct"/>
                  <w:vMerge w:val="restart"/>
                  <w:tcBorders>
                    <w:bottom w:val="nil"/>
                  </w:tcBorders>
                  <w:vAlign w:val="center"/>
                </w:tcPr>
                <w:p>
                  <w:pPr>
                    <w:pStyle w:val="34"/>
                    <w:spacing w:line="360" w:lineRule="auto"/>
                    <w:ind w:right="12"/>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排放量 （t/a）</w:t>
                  </w:r>
                </w:p>
              </w:tc>
              <w:tc>
                <w:tcPr>
                  <w:tcW w:w="959" w:type="pct"/>
                  <w:vMerge w:val="restart"/>
                  <w:tcBorders>
                    <w:bottom w:val="nil"/>
                  </w:tcBorders>
                  <w:vAlign w:val="center"/>
                </w:tcPr>
                <w:p>
                  <w:pPr>
                    <w:pStyle w:val="34"/>
                    <w:spacing w:line="360" w:lineRule="auto"/>
                    <w:ind w:right="228"/>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主要污染防治 措施</w:t>
                  </w:r>
                </w:p>
              </w:tc>
              <w:tc>
                <w:tcPr>
                  <w:tcW w:w="1424" w:type="pct"/>
                  <w:gridSpan w:val="2"/>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国家或地方污染物排放标准</w:t>
                  </w:r>
                </w:p>
              </w:tc>
              <w:tc>
                <w:tcPr>
                  <w:tcW w:w="365" w:type="pct"/>
                  <w:vMerge w:val="restart"/>
                  <w:tcBorders>
                    <w:bottom w:val="nil"/>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其他</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30" w:type="pct"/>
                  <w:vMerge w:val="continue"/>
                  <w:tcBorders>
                    <w:top w:val="nil"/>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537" w:type="pct"/>
                  <w:vMerge w:val="continue"/>
                  <w:tcBorders>
                    <w:top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593" w:type="pct"/>
                  <w:vMerge w:val="continue"/>
                  <w:tcBorders>
                    <w:top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439" w:type="pct"/>
                  <w:vMerge w:val="continue"/>
                  <w:tcBorders>
                    <w:top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352" w:type="pct"/>
                  <w:vMerge w:val="continue"/>
                  <w:tcBorders>
                    <w:top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959" w:type="pct"/>
                  <w:vMerge w:val="continue"/>
                  <w:tcBorders>
                    <w:top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87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名称</w:t>
                  </w:r>
                </w:p>
              </w:tc>
              <w:tc>
                <w:tcPr>
                  <w:tcW w:w="5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浓度限值 （mg/m3）</w:t>
                  </w:r>
                </w:p>
              </w:tc>
              <w:tc>
                <w:tcPr>
                  <w:tcW w:w="365" w:type="pct"/>
                  <w:vMerge w:val="continue"/>
                  <w:tcBorders>
                    <w:top w:val="nil"/>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30"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w:t>
                  </w:r>
                </w:p>
              </w:tc>
              <w:tc>
                <w:tcPr>
                  <w:tcW w:w="537"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MF0001</w:t>
                  </w:r>
                </w:p>
              </w:tc>
              <w:tc>
                <w:tcPr>
                  <w:tcW w:w="59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原料堆场</w:t>
                  </w:r>
                </w:p>
              </w:tc>
              <w:tc>
                <w:tcPr>
                  <w:tcW w:w="43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颗粒物</w:t>
                  </w:r>
                </w:p>
              </w:tc>
              <w:tc>
                <w:tcPr>
                  <w:tcW w:w="3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0.39</w:t>
                  </w:r>
                </w:p>
              </w:tc>
              <w:tc>
                <w:tcPr>
                  <w:tcW w:w="95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布置在封闭厂房 内，喷雾降尘</w:t>
                  </w:r>
                </w:p>
              </w:tc>
              <w:tc>
                <w:tcPr>
                  <w:tcW w:w="872" w:type="pct"/>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《大气污染物综</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合排放标准》</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（GB16297-</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1996）</w:t>
                  </w:r>
                </w:p>
              </w:tc>
              <w:tc>
                <w:tcPr>
                  <w:tcW w:w="552" w:type="pct"/>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颗粒物≤ 1.0</w:t>
                  </w:r>
                </w:p>
              </w:tc>
              <w:tc>
                <w:tcPr>
                  <w:tcW w:w="365"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330"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2</w:t>
                  </w:r>
                </w:p>
              </w:tc>
              <w:tc>
                <w:tcPr>
                  <w:tcW w:w="537"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MF0002</w:t>
                  </w:r>
                </w:p>
              </w:tc>
              <w:tc>
                <w:tcPr>
                  <w:tcW w:w="59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给料机</w:t>
                  </w:r>
                </w:p>
              </w:tc>
              <w:tc>
                <w:tcPr>
                  <w:tcW w:w="43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颗粒物</w:t>
                  </w:r>
                </w:p>
              </w:tc>
              <w:tc>
                <w:tcPr>
                  <w:tcW w:w="3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0.39</w:t>
                  </w:r>
                </w:p>
              </w:tc>
              <w:tc>
                <w:tcPr>
                  <w:tcW w:w="95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布置在封闭厂房</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内，采取二次封</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闭、喷雾降尘</w:t>
                  </w:r>
                </w:p>
              </w:tc>
              <w:tc>
                <w:tcPr>
                  <w:tcW w:w="872" w:type="pct"/>
                  <w:vMerge w:val="continue"/>
                  <w:tcBorders>
                    <w:top w:val="nil"/>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552" w:type="pct"/>
                  <w:vMerge w:val="continue"/>
                  <w:tcBorders>
                    <w:top w:val="nil"/>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365"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330"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3</w:t>
                  </w:r>
                </w:p>
              </w:tc>
              <w:tc>
                <w:tcPr>
                  <w:tcW w:w="537"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MF0003</w:t>
                  </w:r>
                </w:p>
              </w:tc>
              <w:tc>
                <w:tcPr>
                  <w:tcW w:w="59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颚破机、反 击破</w:t>
                  </w:r>
                </w:p>
              </w:tc>
              <w:tc>
                <w:tcPr>
                  <w:tcW w:w="43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颗粒物</w:t>
                  </w:r>
                </w:p>
              </w:tc>
              <w:tc>
                <w:tcPr>
                  <w:tcW w:w="3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9.78</w:t>
                  </w:r>
                </w:p>
              </w:tc>
              <w:tc>
                <w:tcPr>
                  <w:tcW w:w="95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布置在封闭厂房</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内，采取二次封</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闭、喷雾降尘</w:t>
                  </w:r>
                </w:p>
              </w:tc>
              <w:tc>
                <w:tcPr>
                  <w:tcW w:w="872" w:type="pct"/>
                  <w:vMerge w:val="continue"/>
                  <w:tcBorders>
                    <w:top w:val="nil"/>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552" w:type="pct"/>
                  <w:vMerge w:val="continue"/>
                  <w:tcBorders>
                    <w:top w:val="nil"/>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365"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330"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4</w:t>
                  </w:r>
                </w:p>
              </w:tc>
              <w:tc>
                <w:tcPr>
                  <w:tcW w:w="537"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MF0004</w:t>
                  </w:r>
                </w:p>
              </w:tc>
              <w:tc>
                <w:tcPr>
                  <w:tcW w:w="59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输送皮带</w:t>
                  </w:r>
                </w:p>
              </w:tc>
              <w:tc>
                <w:tcPr>
                  <w:tcW w:w="43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颗粒物</w:t>
                  </w:r>
                </w:p>
              </w:tc>
              <w:tc>
                <w:tcPr>
                  <w:tcW w:w="3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0.1</w:t>
                  </w:r>
                </w:p>
              </w:tc>
              <w:tc>
                <w:tcPr>
                  <w:tcW w:w="95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全封闭、平稳运行</w:t>
                  </w:r>
                </w:p>
              </w:tc>
              <w:tc>
                <w:tcPr>
                  <w:tcW w:w="872" w:type="pct"/>
                  <w:vMerge w:val="continue"/>
                  <w:tcBorders>
                    <w:top w:val="nil"/>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552" w:type="pct"/>
                  <w:vMerge w:val="continue"/>
                  <w:tcBorders>
                    <w:top w:val="nil"/>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365"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330"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5</w:t>
                  </w:r>
                </w:p>
              </w:tc>
              <w:tc>
                <w:tcPr>
                  <w:tcW w:w="537"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MF0005</w:t>
                  </w:r>
                </w:p>
              </w:tc>
              <w:tc>
                <w:tcPr>
                  <w:tcW w:w="59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多级振动筛 分机</w:t>
                  </w:r>
                </w:p>
              </w:tc>
              <w:tc>
                <w:tcPr>
                  <w:tcW w:w="43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颗粒物</w:t>
                  </w:r>
                </w:p>
              </w:tc>
              <w:tc>
                <w:tcPr>
                  <w:tcW w:w="3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95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布置在封闭厂房</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内，采取二次封</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闭，湿法作业</w:t>
                  </w:r>
                </w:p>
              </w:tc>
              <w:tc>
                <w:tcPr>
                  <w:tcW w:w="872" w:type="pct"/>
                  <w:vMerge w:val="continue"/>
                  <w:tcBorders>
                    <w:top w:val="nil"/>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552" w:type="pct"/>
                  <w:vMerge w:val="continue"/>
                  <w:tcBorders>
                    <w:top w:val="nil"/>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365"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30"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6</w:t>
                  </w:r>
                </w:p>
              </w:tc>
              <w:tc>
                <w:tcPr>
                  <w:tcW w:w="537"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MF0006</w:t>
                  </w:r>
                </w:p>
              </w:tc>
              <w:tc>
                <w:tcPr>
                  <w:tcW w:w="59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制砂机</w:t>
                  </w:r>
                </w:p>
              </w:tc>
              <w:tc>
                <w:tcPr>
                  <w:tcW w:w="43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颗粒物</w:t>
                  </w:r>
                </w:p>
              </w:tc>
              <w:tc>
                <w:tcPr>
                  <w:tcW w:w="3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95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布置在封闭厂房 内，湿法作业</w:t>
                  </w:r>
                </w:p>
              </w:tc>
              <w:tc>
                <w:tcPr>
                  <w:tcW w:w="872" w:type="pct"/>
                  <w:vMerge w:val="continue"/>
                  <w:tcBorders>
                    <w:top w:val="nil"/>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552" w:type="pct"/>
                  <w:vMerge w:val="continue"/>
                  <w:tcBorders>
                    <w:top w:val="nil"/>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365"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30"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7</w:t>
                  </w:r>
                </w:p>
              </w:tc>
              <w:tc>
                <w:tcPr>
                  <w:tcW w:w="537"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MF0007</w:t>
                  </w:r>
                </w:p>
              </w:tc>
              <w:tc>
                <w:tcPr>
                  <w:tcW w:w="59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成品堆场</w:t>
                  </w:r>
                </w:p>
              </w:tc>
              <w:tc>
                <w:tcPr>
                  <w:tcW w:w="43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颗粒物</w:t>
                  </w:r>
                </w:p>
              </w:tc>
              <w:tc>
                <w:tcPr>
                  <w:tcW w:w="3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95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布置在封闭厂房 内，喷雾降尘</w:t>
                  </w:r>
                </w:p>
              </w:tc>
              <w:tc>
                <w:tcPr>
                  <w:tcW w:w="872" w:type="pct"/>
                  <w:vMerge w:val="continue"/>
                  <w:tcBorders>
                    <w:top w:val="nil"/>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552" w:type="pct"/>
                  <w:vMerge w:val="continue"/>
                  <w:tcBorders>
                    <w:top w:val="nil"/>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365"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30"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8</w:t>
                  </w:r>
                </w:p>
              </w:tc>
              <w:tc>
                <w:tcPr>
                  <w:tcW w:w="537"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MF0008</w:t>
                  </w:r>
                </w:p>
              </w:tc>
              <w:tc>
                <w:tcPr>
                  <w:tcW w:w="59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运输车辆</w:t>
                  </w:r>
                </w:p>
              </w:tc>
              <w:tc>
                <w:tcPr>
                  <w:tcW w:w="43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颗粒物</w:t>
                  </w:r>
                </w:p>
              </w:tc>
              <w:tc>
                <w:tcPr>
                  <w:tcW w:w="3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95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车辆冲洗、加盖篷 布运输</w:t>
                  </w:r>
                </w:p>
              </w:tc>
              <w:tc>
                <w:tcPr>
                  <w:tcW w:w="872" w:type="pct"/>
                  <w:vMerge w:val="continue"/>
                  <w:tcBorders>
                    <w:top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552" w:type="pct"/>
                  <w:vMerge w:val="continue"/>
                  <w:tcBorders>
                    <w:top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365"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330"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9</w:t>
                  </w:r>
                </w:p>
              </w:tc>
              <w:tc>
                <w:tcPr>
                  <w:tcW w:w="537"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MF0009</w:t>
                  </w:r>
                </w:p>
              </w:tc>
              <w:tc>
                <w:tcPr>
                  <w:tcW w:w="59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食堂烹饪</w:t>
                  </w:r>
                </w:p>
              </w:tc>
              <w:tc>
                <w:tcPr>
                  <w:tcW w:w="43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油烟</w:t>
                  </w:r>
                </w:p>
              </w:tc>
              <w:tc>
                <w:tcPr>
                  <w:tcW w:w="3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95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设抽油烟机</w:t>
                  </w:r>
                </w:p>
              </w:tc>
              <w:tc>
                <w:tcPr>
                  <w:tcW w:w="87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《饮食业油烟排 放标准》</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（GB18483- 2001）</w:t>
                  </w:r>
                </w:p>
              </w:tc>
              <w:tc>
                <w:tcPr>
                  <w:tcW w:w="5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油烟≤2.0</w:t>
                  </w:r>
                </w:p>
              </w:tc>
              <w:tc>
                <w:tcPr>
                  <w:tcW w:w="365"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w:t>
                  </w:r>
                </w:p>
              </w:tc>
            </w:tr>
          </w:tbl>
          <w:p>
            <w:pPr>
              <w:spacing w:line="360" w:lineRule="auto"/>
              <w:ind w:firstLine="360" w:firstLineChars="150"/>
              <w:rPr>
                <w:bCs/>
                <w:color w:val="000000" w:themeColor="text1"/>
                <w:szCs w:val="24"/>
                <w14:textFill>
                  <w14:solidFill>
                    <w14:schemeClr w14:val="tx1"/>
                  </w14:solidFill>
                </w14:textFill>
              </w:rPr>
            </w:pPr>
          </w:p>
          <w:p>
            <w:pPr>
              <w:spacing w:line="360" w:lineRule="auto"/>
              <w:ind w:firstLine="361" w:firstLineChars="15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1.3废气治理措施可行性分析</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《排污许可证申请与核发技术规范 陶瓷砖瓦工业》（HJ954-2018）适用于陶瓷工业、砖瓦工业排污单位排放的大气污染物和水污染物的排污许可管理；也适用于防水建筑材料工业、隔热和隔音材料工业以及建筑用石加工工业等排污单位排放的大气污染物和水污染物的排污许可管理。参照HJ 954-2018 中“6.2. 1  可行技术 ”可知，其他制品类工业排污单位废气污染防治可行技术如下：</w:t>
            </w:r>
          </w:p>
          <w:p>
            <w:pPr>
              <w:spacing w:line="360" w:lineRule="auto"/>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表 4-5  其他制品类工业排污单位废气污染防治可行技术</w:t>
            </w:r>
          </w:p>
          <w:tbl>
            <w:tblPr>
              <w:tblStyle w:val="38"/>
              <w:tblW w:w="5000"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13"/>
              <w:gridCol w:w="3445"/>
              <w:gridCol w:w="1638"/>
              <w:gridCol w:w="2592"/>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63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排放口</w:t>
                  </w:r>
                </w:p>
              </w:tc>
              <w:tc>
                <w:tcPr>
                  <w:tcW w:w="196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主要污染物</w:t>
                  </w:r>
                </w:p>
              </w:tc>
              <w:tc>
                <w:tcPr>
                  <w:tcW w:w="93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主要污染物</w:t>
                  </w:r>
                </w:p>
              </w:tc>
              <w:tc>
                <w:tcPr>
                  <w:tcW w:w="1475"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可行技术</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31" w:hRule="atLeast"/>
              </w:trPr>
              <w:tc>
                <w:tcPr>
                  <w:tcW w:w="63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生产过程</w:t>
                  </w:r>
                </w:p>
              </w:tc>
              <w:tc>
                <w:tcPr>
                  <w:tcW w:w="196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生产过程中破碎机、搅拌机、成型机、其他废气收集装置等对应排放口</w:t>
                  </w:r>
                </w:p>
              </w:tc>
              <w:tc>
                <w:tcPr>
                  <w:tcW w:w="93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颗粒物</w:t>
                  </w:r>
                </w:p>
              </w:tc>
              <w:tc>
                <w:tcPr>
                  <w:tcW w:w="1475"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湿法作业或采用袋式除尘等技术</w:t>
                  </w:r>
                </w:p>
              </w:tc>
            </w:tr>
          </w:tbl>
          <w:p>
            <w:pPr>
              <w:spacing w:line="360" w:lineRule="auto"/>
              <w:rPr>
                <w:bCs/>
                <w:color w:val="000000" w:themeColor="text1"/>
                <w:szCs w:val="24"/>
                <w14:textFill>
                  <w14:solidFill>
                    <w14:schemeClr w14:val="tx1"/>
                  </w14:solidFill>
                </w14:textFill>
              </w:rPr>
            </w:pP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本项目通过对振动给料机、颚式破碎机、制砂机传送带进行封闭，破碎筛分工序均设置喷雾抑尘装置；原料堆存粉尘通过设置雾化喷淋设施喷雾降尘，均属于上述可行性技术中“湿法作业 ”的范畴，因此项目采取的废气治理措施属于可行性技术。</w:t>
            </w:r>
          </w:p>
          <w:p>
            <w:pPr>
              <w:spacing w:line="360" w:lineRule="auto"/>
              <w:ind w:firstLine="361" w:firstLineChars="15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1.4废气监测计划</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根据《排污单位自行监测技术规范 总则》（HJ 819-2017）并参照《排污许可证申请与核发技术规范 陶瓷砖瓦工业》（HJ 954-2018），项目营运期大气自行监测计划见下表所示：</w:t>
            </w:r>
          </w:p>
          <w:p>
            <w:pPr>
              <w:spacing w:line="360" w:lineRule="auto"/>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表 4-6   项目营运期大气自行监测方案一览表</w:t>
            </w:r>
          </w:p>
          <w:tbl>
            <w:tblPr>
              <w:tblStyle w:val="38"/>
              <w:tblW w:w="5000" w:type="pct"/>
              <w:tblInd w:w="0" w:type="dxa"/>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074"/>
              <w:gridCol w:w="2642"/>
              <w:gridCol w:w="1369"/>
              <w:gridCol w:w="1399"/>
              <w:gridCol w:w="2304"/>
            </w:tblGrid>
            <w:tr>
              <w:tblPrEx>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61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类别</w:t>
                  </w:r>
                </w:p>
              </w:tc>
              <w:tc>
                <w:tcPr>
                  <w:tcW w:w="150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监测点位</w:t>
                  </w:r>
                </w:p>
              </w:tc>
              <w:tc>
                <w:tcPr>
                  <w:tcW w:w="77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监测因子</w:t>
                  </w:r>
                </w:p>
              </w:tc>
              <w:tc>
                <w:tcPr>
                  <w:tcW w:w="796"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监测频次</w:t>
                  </w:r>
                </w:p>
              </w:tc>
              <w:tc>
                <w:tcPr>
                  <w:tcW w:w="131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执行标准</w:t>
                  </w:r>
                </w:p>
              </w:tc>
            </w:tr>
            <w:tr>
              <w:tblPrEx>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375" w:hRule="atLeast"/>
              </w:trPr>
              <w:tc>
                <w:tcPr>
                  <w:tcW w:w="61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无组织废气</w:t>
                  </w:r>
                </w:p>
              </w:tc>
              <w:tc>
                <w:tcPr>
                  <w:tcW w:w="150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厂界上风向监测点位 1</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处和厂界下风向 2~50m</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范围内 3 个监控点</w:t>
                  </w:r>
                </w:p>
              </w:tc>
              <w:tc>
                <w:tcPr>
                  <w:tcW w:w="77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颗粒物</w:t>
                  </w:r>
                </w:p>
              </w:tc>
              <w:tc>
                <w:tcPr>
                  <w:tcW w:w="796"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 次/年</w:t>
                  </w:r>
                </w:p>
              </w:tc>
              <w:tc>
                <w:tcPr>
                  <w:tcW w:w="131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《大气污染物综合 排放标准》</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（GB16297- 1996）</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中表 2 二级标准要求</w:t>
                  </w:r>
                </w:p>
              </w:tc>
            </w:tr>
          </w:tbl>
          <w:p>
            <w:pPr>
              <w:spacing w:line="360" w:lineRule="auto"/>
              <w:ind w:firstLine="361" w:firstLineChars="15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1.5环境影响</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本项目废气污染物主要为粉尘，通过设置封闭式厂房、主要产尘设备二次封闭以及喷雾降尘等措施，能够有效降低粉尘的排放量。采取的措施均属于可行的污染物治理技术，场界粉尘排放能够满足《大气污染物 综合排放标准》(GB16297- 1996)中无组织排放限值要求，对周围环境的污染影响较小，对所在区域大气环境影响程度为可以接受的影响程度。</w:t>
            </w:r>
          </w:p>
          <w:p>
            <w:pPr>
              <w:spacing w:line="360" w:lineRule="auto"/>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2</w:t>
            </w:r>
            <w:r>
              <w:rPr>
                <w:b/>
                <w:color w:val="000000" w:themeColor="text1"/>
                <w:szCs w:val="24"/>
                <w14:textFill>
                  <w14:solidFill>
                    <w14:schemeClr w14:val="tx1"/>
                  </w14:solidFill>
                </w14:textFill>
              </w:rPr>
              <w:t>、废</w:t>
            </w:r>
            <w:r>
              <w:rPr>
                <w:rFonts w:hint="eastAsia"/>
                <w:b/>
                <w:color w:val="000000" w:themeColor="text1"/>
                <w:szCs w:val="24"/>
                <w14:textFill>
                  <w14:solidFill>
                    <w14:schemeClr w14:val="tx1"/>
                  </w14:solidFill>
                </w14:textFill>
              </w:rPr>
              <w:t>水</w:t>
            </w:r>
          </w:p>
          <w:p>
            <w:pPr>
              <w:spacing w:line="360" w:lineRule="auto"/>
              <w:ind w:firstLine="361" w:firstLineChars="15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2.1产排污环节及源强</w:t>
            </w:r>
          </w:p>
          <w:p>
            <w:pPr>
              <w:spacing w:line="360" w:lineRule="auto"/>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本项目</w:t>
            </w:r>
            <w:r>
              <w:rPr>
                <w:rFonts w:hint="eastAsia"/>
                <w:color w:val="000000" w:themeColor="text1"/>
                <w:szCs w:val="24"/>
                <w14:textFill>
                  <w14:solidFill>
                    <w14:schemeClr w14:val="tx1"/>
                  </w14:solidFill>
                </w14:textFill>
              </w:rPr>
              <w:t>生产用水取自项目南侧丁家坝河；生活用水由天台村自来水系统供给</w:t>
            </w:r>
            <w:r>
              <w:rPr>
                <w:color w:val="000000" w:themeColor="text1"/>
                <w:szCs w:val="24"/>
                <w14:textFill>
                  <w14:solidFill>
                    <w14:schemeClr w14:val="tx1"/>
                  </w14:solidFill>
                </w14:textFill>
              </w:rPr>
              <w:t>。项目劳动人员均为周边居民，不设员工</w:t>
            </w:r>
            <w:r>
              <w:rPr>
                <w:rFonts w:hint="eastAsia"/>
                <w:color w:val="000000" w:themeColor="text1"/>
                <w:szCs w:val="24"/>
                <w14:textFill>
                  <w14:solidFill>
                    <w14:schemeClr w14:val="tx1"/>
                  </w14:solidFill>
                </w14:textFill>
              </w:rPr>
              <w:t>住宿</w:t>
            </w:r>
            <w:r>
              <w:rPr>
                <w:color w:val="000000" w:themeColor="text1"/>
                <w:szCs w:val="24"/>
                <w14:textFill>
                  <w14:solidFill>
                    <w14:schemeClr w14:val="tx1"/>
                  </w14:solidFill>
                </w14:textFill>
              </w:rPr>
              <w:t>。运营期用水主要</w:t>
            </w:r>
            <w:r>
              <w:rPr>
                <w:color w:val="000000" w:themeColor="text1"/>
                <w:szCs w:val="24"/>
                <w:lang w:val="zh-CN"/>
                <w14:textFill>
                  <w14:solidFill>
                    <w14:schemeClr w14:val="tx1"/>
                  </w14:solidFill>
                </w14:textFill>
              </w:rPr>
              <w:t>包括</w:t>
            </w:r>
            <w:r>
              <w:rPr>
                <w:rFonts w:hint="eastAsia"/>
                <w:color w:val="000000" w:themeColor="text1"/>
                <w:szCs w:val="24"/>
                <w:lang w:val="zh-CN"/>
                <w14:textFill>
                  <w14:solidFill>
                    <w14:schemeClr w14:val="tx1"/>
                  </w14:solidFill>
                </w14:textFill>
              </w:rPr>
              <w:t>生产用水</w:t>
            </w:r>
            <w:r>
              <w:rPr>
                <w:color w:val="000000" w:themeColor="text1"/>
                <w:szCs w:val="24"/>
                <w14:textFill>
                  <w14:solidFill>
                    <w14:schemeClr w14:val="tx1"/>
                  </w14:solidFill>
                </w14:textFill>
              </w:rPr>
              <w:t>和生活用水。</w:t>
            </w:r>
            <w:r>
              <w:rPr>
                <w:rFonts w:hint="eastAsia"/>
                <w:color w:val="000000" w:themeColor="text1"/>
                <w:szCs w:val="24"/>
                <w14:textFill>
                  <w14:solidFill>
                    <w14:schemeClr w14:val="tx1"/>
                  </w14:solidFill>
                </w14:textFill>
              </w:rPr>
              <w:t>本次环评要求生产用水应按相关规定完善取水手续。</w:t>
            </w:r>
          </w:p>
          <w:p>
            <w:pPr>
              <w:spacing w:line="360" w:lineRule="auto"/>
              <w:ind w:firstLine="482"/>
              <w:rPr>
                <w:color w:val="000000" w:themeColor="text1"/>
                <w:szCs w:val="24"/>
                <w14:textFill>
                  <w14:solidFill>
                    <w14:schemeClr w14:val="tx1"/>
                  </w14:solidFill>
                </w14:textFill>
              </w:rPr>
            </w:pPr>
            <w:r>
              <w:rPr>
                <w:b/>
                <w:bCs/>
                <w:color w:val="000000" w:themeColor="text1"/>
                <w:szCs w:val="24"/>
                <w14:textFill>
                  <w14:solidFill>
                    <w14:schemeClr w14:val="tx1"/>
                  </w14:solidFill>
                </w14:textFill>
              </w:rPr>
              <w:t>生活用水：</w:t>
            </w:r>
            <w:r>
              <w:rPr>
                <w:color w:val="000000" w:themeColor="text1"/>
                <w:szCs w:val="24"/>
                <w14:textFill>
                  <w14:solidFill>
                    <w14:schemeClr w14:val="tx1"/>
                  </w14:solidFill>
                </w14:textFill>
              </w:rPr>
              <w:t>项目</w:t>
            </w:r>
            <w:r>
              <w:rPr>
                <w:rFonts w:hint="eastAsia"/>
                <w:color w:val="000000" w:themeColor="text1"/>
                <w:szCs w:val="24"/>
                <w14:textFill>
                  <w14:solidFill>
                    <w14:schemeClr w14:val="tx1"/>
                  </w14:solidFill>
                </w14:textFill>
              </w:rPr>
              <w:t>新增</w:t>
            </w:r>
            <w:r>
              <w:rPr>
                <w:color w:val="000000" w:themeColor="text1"/>
                <w:szCs w:val="24"/>
                <w14:textFill>
                  <w14:solidFill>
                    <w14:schemeClr w14:val="tx1"/>
                  </w14:solidFill>
                </w14:textFill>
              </w:rPr>
              <w:t>劳动定员3人，根据《四川省用水定额》（川府函</w:t>
            </w:r>
            <w:r>
              <w:rPr>
                <w:rFonts w:hint="eastAsia"/>
                <w:color w:val="000000" w:themeColor="text1"/>
                <w:szCs w:val="24"/>
                <w:lang w:eastAsia="zh-CN"/>
                <w14:textFill>
                  <w14:solidFill>
                    <w14:schemeClr w14:val="tx1"/>
                  </w14:solidFill>
                </w14:textFill>
              </w:rPr>
              <w:t>〔2021〕</w:t>
            </w:r>
            <w:r>
              <w:rPr>
                <w:color w:val="000000" w:themeColor="text1"/>
                <w:szCs w:val="24"/>
                <w14:textFill>
                  <w14:solidFill>
                    <w14:schemeClr w14:val="tx1"/>
                  </w14:solidFill>
                </w14:textFill>
              </w:rPr>
              <w:t>8号）中表5农村居民生活用水定额表，同时考虑本项目不设</w:t>
            </w:r>
            <w:r>
              <w:rPr>
                <w:rFonts w:hint="eastAsia"/>
                <w:color w:val="000000" w:themeColor="text1"/>
                <w:szCs w:val="24"/>
                <w14:textFill>
                  <w14:solidFill>
                    <w14:schemeClr w14:val="tx1"/>
                  </w14:solidFill>
                </w14:textFill>
              </w:rPr>
              <w:t>住宿</w:t>
            </w:r>
            <w:r>
              <w:rPr>
                <w:color w:val="000000" w:themeColor="text1"/>
                <w:szCs w:val="24"/>
                <w14:textFill>
                  <w14:solidFill>
                    <w14:schemeClr w14:val="tx1"/>
                  </w14:solidFill>
                </w14:textFill>
              </w:rPr>
              <w:t>，用水量按60L/人·d计，则</w:t>
            </w:r>
            <w:r>
              <w:rPr>
                <w:rFonts w:hint="eastAsia"/>
                <w:color w:val="000000" w:themeColor="text1"/>
                <w:szCs w:val="24"/>
                <w14:textFill>
                  <w14:solidFill>
                    <w14:schemeClr w14:val="tx1"/>
                  </w14:solidFill>
                </w14:textFill>
              </w:rPr>
              <w:t>新增</w:t>
            </w:r>
            <w:r>
              <w:rPr>
                <w:color w:val="000000" w:themeColor="text1"/>
                <w:szCs w:val="24"/>
                <w14:textFill>
                  <w14:solidFill>
                    <w14:schemeClr w14:val="tx1"/>
                  </w14:solidFill>
                </w14:textFill>
              </w:rPr>
              <w:t>生活用水量为0.18m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/d，54m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/a。排放按8</w:t>
            </w:r>
            <w:r>
              <w:rPr>
                <w:rFonts w:hint="eastAsia"/>
                <w:color w:val="000000" w:themeColor="text1"/>
                <w:szCs w:val="24"/>
                <w14:textFill>
                  <w14:solidFill>
                    <w14:schemeClr w14:val="tx1"/>
                  </w14:solidFill>
                </w14:textFill>
              </w:rPr>
              <w:t>0</w:t>
            </w:r>
            <w:r>
              <w:rPr>
                <w:color w:val="000000" w:themeColor="text1"/>
                <w:szCs w:val="24"/>
                <w14:textFill>
                  <w14:solidFill>
                    <w14:schemeClr w14:val="tx1"/>
                  </w14:solidFill>
                </w14:textFill>
              </w:rPr>
              <w:t>%计算，则生活污水</w:t>
            </w:r>
            <w:r>
              <w:rPr>
                <w:rFonts w:hint="eastAsia"/>
                <w:color w:val="000000" w:themeColor="text1"/>
                <w:szCs w:val="24"/>
                <w14:textFill>
                  <w14:solidFill>
                    <w14:schemeClr w14:val="tx1"/>
                  </w14:solidFill>
                </w14:textFill>
              </w:rPr>
              <w:t>新增</w:t>
            </w:r>
            <w:r>
              <w:rPr>
                <w:color w:val="000000" w:themeColor="text1"/>
                <w:szCs w:val="24"/>
                <w14:textFill>
                  <w14:solidFill>
                    <w14:schemeClr w14:val="tx1"/>
                  </w14:solidFill>
                </w14:textFill>
              </w:rPr>
              <w:t>产生量为0.144m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/d，43.2m</w:t>
            </w:r>
            <w:r>
              <w:rPr>
                <w:color w:val="000000" w:themeColor="text1"/>
                <w:szCs w:val="24"/>
                <w:vertAlign w:val="superscript"/>
                <w14:textFill>
                  <w14:solidFill>
                    <w14:schemeClr w14:val="tx1"/>
                  </w14:solidFill>
                </w14:textFill>
              </w:rPr>
              <w:t>3</w:t>
            </w:r>
            <w:r>
              <w:rPr>
                <w:color w:val="000000" w:themeColor="text1"/>
                <w:szCs w:val="24"/>
                <w14:textFill>
                  <w14:solidFill>
                    <w14:schemeClr w14:val="tx1"/>
                  </w14:solidFill>
                </w14:textFill>
              </w:rPr>
              <w:t>/a，</w:t>
            </w:r>
            <w:r>
              <w:rPr>
                <w:rFonts w:hint="eastAsia"/>
                <w:color w:val="000000" w:themeColor="text1"/>
                <w:szCs w:val="24"/>
                <w14:textFill>
                  <w14:solidFill>
                    <w14:schemeClr w14:val="tx1"/>
                  </w14:solidFill>
                </w14:textFill>
              </w:rPr>
              <w:t>员工日常生活污水经厂区化粪池处理后用作农肥</w:t>
            </w:r>
            <w:r>
              <w:rPr>
                <w:color w:val="000000" w:themeColor="text1"/>
                <w:szCs w:val="24"/>
                <w14:textFill>
                  <w14:solidFill>
                    <w14:schemeClr w14:val="tx1"/>
                  </w14:solidFill>
                </w14:textFill>
              </w:rPr>
              <w:t>。</w:t>
            </w:r>
          </w:p>
          <w:p>
            <w:pPr>
              <w:spacing w:line="360" w:lineRule="auto"/>
              <w:ind w:firstLine="482"/>
              <w:rPr>
                <w:b/>
                <w:color w:val="000000" w:themeColor="text1"/>
                <w:szCs w:val="24"/>
                <w:lang w:val="zh-CN"/>
                <w14:textFill>
                  <w14:solidFill>
                    <w14:schemeClr w14:val="tx1"/>
                  </w14:solidFill>
                </w14:textFill>
              </w:rPr>
            </w:pPr>
            <w:r>
              <w:rPr>
                <w:b/>
                <w:color w:val="000000" w:themeColor="text1"/>
                <w:szCs w:val="24"/>
                <w:lang w:val="zh-CN"/>
                <w14:textFill>
                  <w14:solidFill>
                    <w14:schemeClr w14:val="tx1"/>
                  </w14:solidFill>
                </w14:textFill>
              </w:rPr>
              <w:t>生产用水：包括</w:t>
            </w:r>
            <w:r>
              <w:rPr>
                <w:rFonts w:hint="eastAsia"/>
                <w:b/>
                <w:color w:val="000000" w:themeColor="text1"/>
                <w:szCs w:val="24"/>
                <w:lang w:val="zh-CN"/>
                <w14:textFill>
                  <w14:solidFill>
                    <w14:schemeClr w14:val="tx1"/>
                  </w14:solidFill>
                </w14:textFill>
              </w:rPr>
              <w:t>生产线</w:t>
            </w:r>
            <w:r>
              <w:rPr>
                <w:b/>
                <w:color w:val="000000" w:themeColor="text1"/>
                <w:szCs w:val="24"/>
                <w14:textFill>
                  <w14:solidFill>
                    <w14:schemeClr w14:val="tx1"/>
                  </w14:solidFill>
                </w14:textFill>
              </w:rPr>
              <w:t>用水</w:t>
            </w:r>
            <w:r>
              <w:rPr>
                <w:b/>
                <w:color w:val="000000" w:themeColor="text1"/>
                <w:szCs w:val="24"/>
                <w:lang w:val="zh-CN"/>
                <w14:textFill>
                  <w14:solidFill>
                    <w14:schemeClr w14:val="tx1"/>
                  </w14:solidFill>
                </w14:textFill>
              </w:rPr>
              <w:t>、</w:t>
            </w:r>
            <w:r>
              <w:rPr>
                <w:rFonts w:hint="eastAsia"/>
                <w:b/>
                <w:color w:val="000000" w:themeColor="text1"/>
                <w:szCs w:val="24"/>
                <w:lang w:val="zh-CN"/>
                <w14:textFill>
                  <w14:solidFill>
                    <w14:schemeClr w14:val="tx1"/>
                  </w14:solidFill>
                </w14:textFill>
              </w:rPr>
              <w:t>喷雾防尘用水、产品渗沥水、</w:t>
            </w:r>
            <w:r>
              <w:rPr>
                <w:b/>
                <w:color w:val="000000" w:themeColor="text1"/>
                <w:szCs w:val="24"/>
                <w:lang w:val="zh-CN"/>
                <w14:textFill>
                  <w14:solidFill>
                    <w14:schemeClr w14:val="tx1"/>
                  </w14:solidFill>
                </w14:textFill>
              </w:rPr>
              <w:t>车辆冲洗用水、</w:t>
            </w:r>
            <w:r>
              <w:rPr>
                <w:rFonts w:hint="eastAsia"/>
                <w:b/>
                <w:color w:val="000000" w:themeColor="text1"/>
                <w:szCs w:val="24"/>
                <w:lang w:val="zh-CN"/>
                <w14:textFill>
                  <w14:solidFill>
                    <w14:schemeClr w14:val="tx1"/>
                  </w14:solidFill>
                </w14:textFill>
              </w:rPr>
              <w:t>泥浆压滤水</w:t>
            </w:r>
            <w:r>
              <w:rPr>
                <w:b/>
                <w:color w:val="000000" w:themeColor="text1"/>
                <w:szCs w:val="24"/>
                <w:lang w:val="zh-CN"/>
                <w14:textFill>
                  <w14:solidFill>
                    <w14:schemeClr w14:val="tx1"/>
                  </w14:solidFill>
                </w14:textFill>
              </w:rPr>
              <w:t>。</w:t>
            </w:r>
          </w:p>
          <w:p>
            <w:pPr>
              <w:spacing w:line="360" w:lineRule="auto"/>
              <w:ind w:firstLine="482" w:firstLineChars="200"/>
              <w:jc w:val="left"/>
              <w:rPr>
                <w:color w:val="000000" w:themeColor="text1"/>
                <w:kern w:val="24"/>
                <w:szCs w:val="24"/>
                <w14:textFill>
                  <w14:solidFill>
                    <w14:schemeClr w14:val="tx1"/>
                  </w14:solidFill>
                </w14:textFill>
              </w:rPr>
            </w:pPr>
            <w:r>
              <w:rPr>
                <w:rFonts w:hint="eastAsia"/>
                <w:b/>
                <w:bCs/>
                <w:color w:val="000000" w:themeColor="text1"/>
                <w:kern w:val="24"/>
                <w:szCs w:val="24"/>
                <w14:textFill>
                  <w14:solidFill>
                    <w14:schemeClr w14:val="tx1"/>
                  </w14:solidFill>
                </w14:textFill>
              </w:rPr>
              <w:t>喷雾防尘</w:t>
            </w:r>
            <w:r>
              <w:rPr>
                <w:b/>
                <w:bCs/>
                <w:color w:val="000000" w:themeColor="text1"/>
                <w:kern w:val="24"/>
                <w:szCs w:val="24"/>
                <w14:textFill>
                  <w14:solidFill>
                    <w14:schemeClr w14:val="tx1"/>
                  </w14:solidFill>
                </w14:textFill>
              </w:rPr>
              <w:t>用水：</w:t>
            </w:r>
            <w:r>
              <w:rPr>
                <w:rFonts w:hint="eastAsia"/>
                <w:color w:val="000000" w:themeColor="text1"/>
                <w:kern w:val="24"/>
                <w:szCs w:val="24"/>
                <w14:textFill>
                  <w14:solidFill>
                    <w14:schemeClr w14:val="tx1"/>
                  </w14:solidFill>
                </w14:textFill>
              </w:rPr>
              <w:t>本项目采用湿法生产工艺，在多级振动筛分处冲水能够抑制粉尘产生， 运营期产生粉尘的环节主要有原料卸料、破碎环节。项目原料为含水率较低，本次环评不考虑其含水情况。</w:t>
            </w:r>
          </w:p>
          <w:p>
            <w:pPr>
              <w:spacing w:line="360" w:lineRule="auto"/>
              <w:ind w:firstLine="480"/>
              <w:rPr>
                <w:b/>
                <w:color w:val="000000" w:themeColor="text1"/>
                <w:szCs w:val="24"/>
                <w14:textFill>
                  <w14:solidFill>
                    <w14:schemeClr w14:val="tx1"/>
                  </w14:solidFill>
                </w14:textFill>
              </w:rPr>
            </w:pPr>
            <w:r>
              <w:rPr>
                <w:rFonts w:hint="eastAsia"/>
                <w:color w:val="000000" w:themeColor="text1"/>
                <w:kern w:val="24"/>
                <w:szCs w:val="24"/>
                <w14:textFill>
                  <w14:solidFill>
                    <w14:schemeClr w14:val="tx1"/>
                  </w14:solidFill>
                </w14:textFill>
              </w:rPr>
              <w:t>项目设计在原料卸料、原料破碎、成品堆场等处采用高效喷雾装置防尘。根据建设单位介绍，本项目建成后拟在生产车间内共设置</w:t>
            </w:r>
            <w:r>
              <w:rPr>
                <w:color w:val="000000" w:themeColor="text1"/>
                <w:kern w:val="24"/>
                <w:szCs w:val="24"/>
                <w14:textFill>
                  <w14:solidFill>
                    <w14:schemeClr w14:val="tx1"/>
                  </w14:solidFill>
                </w14:textFill>
              </w:rPr>
              <w:t>6</w:t>
            </w:r>
            <w:r>
              <w:rPr>
                <w:rFonts w:hint="eastAsia"/>
                <w:color w:val="000000" w:themeColor="text1"/>
                <w:kern w:val="24"/>
                <w:szCs w:val="24"/>
                <w14:textFill>
                  <w14:solidFill>
                    <w14:schemeClr w14:val="tx1"/>
                  </w14:solidFill>
                </w14:textFill>
              </w:rPr>
              <w:t>0个防尘喷雾喷头（本次扩建新增4</w:t>
            </w:r>
            <w:r>
              <w:rPr>
                <w:color w:val="000000" w:themeColor="text1"/>
                <w:kern w:val="24"/>
                <w:szCs w:val="24"/>
                <w14:textFill>
                  <w14:solidFill>
                    <w14:schemeClr w14:val="tx1"/>
                  </w14:solidFill>
                </w14:textFill>
              </w:rPr>
              <w:t>0</w:t>
            </w:r>
            <w:r>
              <w:rPr>
                <w:rFonts w:hint="eastAsia"/>
                <w:color w:val="000000" w:themeColor="text1"/>
                <w:kern w:val="24"/>
                <w:szCs w:val="24"/>
                <w14:textFill>
                  <w14:solidFill>
                    <w14:schemeClr w14:val="tx1"/>
                  </w14:solidFill>
                </w14:textFill>
              </w:rPr>
              <w:t>个防尘喷雾喷头）。通过查询资料，通常情况下防尘雾化喷头的流量为5L/h至50L/h不等。根据建设单位介绍，本项目喷雾喷头用水量约20L/h•个， 日运行时间为8h ，经计算扩建后项目生产车间内防尘喷雾总用水量为</w:t>
            </w:r>
            <w:r>
              <w:rPr>
                <w:color w:val="000000" w:themeColor="text1"/>
                <w:kern w:val="24"/>
                <w:szCs w:val="24"/>
                <w14:textFill>
                  <w14:solidFill>
                    <w14:schemeClr w14:val="tx1"/>
                  </w14:solidFill>
                </w14:textFill>
              </w:rPr>
              <w:t>9.6</w:t>
            </w:r>
            <w:r>
              <w:rPr>
                <w:rFonts w:hint="eastAsia"/>
                <w:color w:val="000000" w:themeColor="text1"/>
                <w:szCs w:val="24"/>
                <w14:textFill>
                  <w14:solidFill>
                    <w14:schemeClr w14:val="tx1"/>
                  </w14:solidFill>
                </w14:textFill>
              </w:rPr>
              <w:t xml:space="preserve"> m³</w:t>
            </w:r>
            <w:r>
              <w:rPr>
                <w:rFonts w:hint="eastAsia"/>
                <w:color w:val="000000" w:themeColor="text1"/>
                <w:kern w:val="24"/>
                <w:szCs w:val="24"/>
                <w14:textFill>
                  <w14:solidFill>
                    <w14:schemeClr w14:val="tx1"/>
                  </w14:solidFill>
                </w14:textFill>
              </w:rPr>
              <w:t>/d（本次扩建新增防尘喷雾用水量为6</w:t>
            </w:r>
            <w:r>
              <w:rPr>
                <w:color w:val="000000" w:themeColor="text1"/>
                <w:kern w:val="24"/>
                <w:szCs w:val="24"/>
                <w14:textFill>
                  <w14:solidFill>
                    <w14:schemeClr w14:val="tx1"/>
                  </w14:solidFill>
                </w14:textFill>
              </w:rPr>
              <w:t>.4</w:t>
            </w:r>
            <w:r>
              <w:rPr>
                <w:rFonts w:hint="eastAsia"/>
                <w:color w:val="000000" w:themeColor="text1"/>
                <w:szCs w:val="24"/>
                <w14:textFill>
                  <w14:solidFill>
                    <w14:schemeClr w14:val="tx1"/>
                  </w14:solidFill>
                </w14:textFill>
              </w:rPr>
              <w:t xml:space="preserve"> m³</w:t>
            </w:r>
            <w:r>
              <w:rPr>
                <w:rFonts w:hint="eastAsia"/>
                <w:color w:val="000000" w:themeColor="text1"/>
                <w:kern w:val="24"/>
                <w:szCs w:val="24"/>
                <w14:textFill>
                  <w14:solidFill>
                    <w14:schemeClr w14:val="tx1"/>
                  </w14:solidFill>
                </w14:textFill>
              </w:rPr>
              <w:t>/d） 。喷雾降尘水全部蒸发损耗，不会形成径流废水。</w:t>
            </w:r>
          </w:p>
          <w:p>
            <w:pPr>
              <w:spacing w:line="360" w:lineRule="auto"/>
              <w:ind w:firstLine="480"/>
              <w:rPr>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生产线</w:t>
            </w:r>
            <w:r>
              <w:rPr>
                <w:b/>
                <w:color w:val="000000" w:themeColor="text1"/>
                <w:szCs w:val="24"/>
                <w14:textFill>
                  <w14:solidFill>
                    <w14:schemeClr w14:val="tx1"/>
                  </w14:solidFill>
                </w14:textFill>
              </w:rPr>
              <w:t>用水：</w:t>
            </w:r>
            <w:r>
              <w:rPr>
                <w:spacing w:val="-1"/>
              </w:rPr>
              <w:t>项目生产线用水主要是多级振动筛分环节冲水。项目原料来源于</w:t>
            </w:r>
            <w:r>
              <w:rPr>
                <w:rFonts w:hint="eastAsia"/>
                <w:spacing w:val="-1"/>
              </w:rPr>
              <w:t>河道砂</w:t>
            </w:r>
            <w:r>
              <w:rPr>
                <w:rFonts w:hint="eastAsia"/>
                <w:color w:val="000000" w:themeColor="text1"/>
                <w:szCs w:val="24"/>
                <w14:textFill>
                  <w14:solidFill>
                    <w14:schemeClr w14:val="tx1"/>
                  </w14:solidFill>
                </w14:textFill>
              </w:rPr>
              <w:t>石、建筑废料</w:t>
            </w:r>
            <w:r>
              <w:rPr>
                <w:color w:val="000000" w:themeColor="text1"/>
                <w:szCs w:val="24"/>
                <w14:textFill>
                  <w14:solidFill>
                    <w14:schemeClr w14:val="tx1"/>
                  </w14:solidFill>
                </w14:textFill>
              </w:rPr>
              <w:t>等，水洗加工的用水量与原料的含泥量、粒度以及洗砂机的种类等都有关。根据建设单位介绍以及参考行业经验数据，本项目原料含泥量较少，整个生产过程水洗用水量约1.0</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/t-</w:t>
            </w:r>
            <w:r>
              <w:rPr>
                <w:rFonts w:hint="eastAsia"/>
                <w:color w:val="000000" w:themeColor="text1"/>
                <w:szCs w:val="24"/>
                <w14:textFill>
                  <w14:solidFill>
                    <w14:schemeClr w14:val="tx1"/>
                  </w14:solidFill>
                </w14:textFill>
              </w:rPr>
              <w:t>产品</w:t>
            </w:r>
            <w:r>
              <w:rPr>
                <w:color w:val="000000" w:themeColor="text1"/>
                <w:szCs w:val="24"/>
                <w14:textFill>
                  <w14:solidFill>
                    <w14:schemeClr w14:val="tx1"/>
                  </w14:solidFill>
                </w14:textFill>
              </w:rPr>
              <w:t>。根据项目生产工艺，整个生产过程冲水环节包括振动筛和螺旋洗砂机两处；多级振动筛分环节冲水量较大，约为0.7</w:t>
            </w:r>
            <w:r>
              <w:rPr>
                <w:rFonts w:hint="eastAsia"/>
                <w:color w:val="000000" w:themeColor="text1"/>
                <w:szCs w:val="24"/>
                <w14:textFill>
                  <w14:solidFill>
                    <w14:schemeClr w14:val="tx1"/>
                  </w14:solidFill>
                </w14:textFill>
              </w:rPr>
              <w:t xml:space="preserve"> m³</w:t>
            </w:r>
            <w:r>
              <w:rPr>
                <w:color w:val="000000" w:themeColor="text1"/>
                <w:szCs w:val="24"/>
                <w14:textFill>
                  <w14:solidFill>
                    <w14:schemeClr w14:val="tx1"/>
                  </w14:solidFill>
                </w14:textFill>
              </w:rPr>
              <w:t>/t-原料；螺旋洗砂环节冲水量相对较小，约0.3</w:t>
            </w:r>
            <w:r>
              <w:rPr>
                <w:rFonts w:hint="eastAsia"/>
                <w:color w:val="000000" w:themeColor="text1"/>
                <w:szCs w:val="24"/>
                <w14:textFill>
                  <w14:solidFill>
                    <w14:schemeClr w14:val="tx1"/>
                  </w14:solidFill>
                </w14:textFill>
              </w:rPr>
              <w:t xml:space="preserve"> m³</w:t>
            </w:r>
            <w:r>
              <w:rPr>
                <w:color w:val="000000" w:themeColor="text1"/>
                <w:szCs w:val="24"/>
                <w14:textFill>
                  <w14:solidFill>
                    <w14:schemeClr w14:val="tx1"/>
                  </w14:solidFill>
                </w14:textFill>
              </w:rPr>
              <w:t>/t-原料。项目</w:t>
            </w:r>
            <w:r>
              <w:rPr>
                <w:rFonts w:hint="eastAsia"/>
                <w:color w:val="000000" w:themeColor="text1"/>
                <w:szCs w:val="24"/>
                <w14:textFill>
                  <w14:solidFill>
                    <w14:schemeClr w14:val="tx1"/>
                  </w14:solidFill>
                </w14:textFill>
              </w:rPr>
              <w:t>扩建后产品产量为</w:t>
            </w:r>
            <w:r>
              <w:rPr>
                <w:color w:val="000000" w:themeColor="text1"/>
                <w:szCs w:val="24"/>
                <w14:textFill>
                  <w14:solidFill>
                    <w14:schemeClr w14:val="tx1"/>
                  </w14:solidFill>
                </w14:textFill>
              </w:rPr>
              <w:t>135000t/a ，</w:t>
            </w:r>
            <w:r>
              <w:rPr>
                <w:rFonts w:hint="eastAsia"/>
                <w:color w:val="000000" w:themeColor="text1"/>
                <w:szCs w:val="24"/>
                <w14:textFill>
                  <w14:solidFill>
                    <w14:schemeClr w14:val="tx1"/>
                  </w14:solidFill>
                </w14:textFill>
              </w:rPr>
              <w:t>产品新增产量为8</w:t>
            </w:r>
            <w:r>
              <w:rPr>
                <w:color w:val="000000" w:themeColor="text1"/>
                <w:szCs w:val="24"/>
                <w14:textFill>
                  <w14:solidFill>
                    <w14:schemeClr w14:val="tx1"/>
                  </w14:solidFill>
                </w14:textFill>
              </w:rPr>
              <w:t>5000</w:t>
            </w:r>
            <w:r>
              <w:rPr>
                <w:rFonts w:hint="eastAsia"/>
                <w:color w:val="000000" w:themeColor="text1"/>
                <w:szCs w:val="24"/>
                <w14:textFill>
                  <w14:solidFill>
                    <w14:schemeClr w14:val="tx1"/>
                  </w14:solidFill>
                </w14:textFill>
              </w:rPr>
              <w:t>t/a。</w:t>
            </w:r>
            <w:r>
              <w:rPr>
                <w:color w:val="000000" w:themeColor="text1"/>
                <w:szCs w:val="24"/>
                <w14:textFill>
                  <w14:solidFill>
                    <w14:schemeClr w14:val="tx1"/>
                  </w14:solidFill>
                </w14:textFill>
              </w:rPr>
              <w:t>则</w:t>
            </w:r>
            <w:r>
              <w:rPr>
                <w:rFonts w:hint="eastAsia"/>
                <w:color w:val="000000" w:themeColor="text1"/>
                <w:szCs w:val="24"/>
                <w14:textFill>
                  <w14:solidFill>
                    <w14:schemeClr w14:val="tx1"/>
                  </w14:solidFill>
                </w14:textFill>
              </w:rPr>
              <w:t>扩建后</w:t>
            </w:r>
            <w:r>
              <w:rPr>
                <w:color w:val="000000" w:themeColor="text1"/>
                <w:szCs w:val="24"/>
                <w14:textFill>
                  <w14:solidFill>
                    <w14:schemeClr w14:val="tx1"/>
                  </w14:solidFill>
                </w14:textFill>
              </w:rPr>
              <w:t>生产线水洗总用水量135000</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/a（450</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其中振动筛分环节用水量315</w:t>
            </w:r>
            <w:r>
              <w:rPr>
                <w:rFonts w:hint="eastAsia"/>
                <w:color w:val="000000" w:themeColor="text1"/>
                <w:szCs w:val="24"/>
                <w14:textFill>
                  <w14:solidFill>
                    <w14:schemeClr w14:val="tx1"/>
                  </w14:solidFill>
                </w14:textFill>
              </w:rPr>
              <w:t xml:space="preserve"> m³</w:t>
            </w:r>
            <w:r>
              <w:rPr>
                <w:color w:val="000000" w:themeColor="text1"/>
                <w:szCs w:val="24"/>
                <w14:textFill>
                  <w14:solidFill>
                    <w14:schemeClr w14:val="tx1"/>
                  </w14:solidFill>
                </w14:textFill>
              </w:rPr>
              <w:t>/d ， 螺旋洗砂环节用水量135</w:t>
            </w:r>
            <w:r>
              <w:rPr>
                <w:rFonts w:hint="eastAsia"/>
                <w:color w:val="000000" w:themeColor="text1"/>
                <w:szCs w:val="24"/>
                <w14:textFill>
                  <w14:solidFill>
                    <w14:schemeClr w14:val="tx1"/>
                  </w14:solidFill>
                </w14:textFill>
              </w:rPr>
              <w:t xml:space="preserve"> 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扩建后</w:t>
            </w:r>
            <w:r>
              <w:rPr>
                <w:color w:val="000000" w:themeColor="text1"/>
                <w:szCs w:val="24"/>
                <w14:textFill>
                  <w14:solidFill>
                    <w14:schemeClr w14:val="tx1"/>
                  </w14:solidFill>
                </w14:textFill>
              </w:rPr>
              <w:t>生产线水洗</w:t>
            </w:r>
            <w:r>
              <w:rPr>
                <w:rFonts w:hint="eastAsia"/>
                <w:color w:val="000000" w:themeColor="text1"/>
                <w:szCs w:val="24"/>
                <w14:textFill>
                  <w14:solidFill>
                    <w14:schemeClr w14:val="tx1"/>
                  </w14:solidFill>
                </w14:textFill>
              </w:rPr>
              <w:t>新增</w:t>
            </w:r>
            <w:r>
              <w:rPr>
                <w:color w:val="000000" w:themeColor="text1"/>
                <w:szCs w:val="24"/>
                <w14:textFill>
                  <w14:solidFill>
                    <w14:schemeClr w14:val="tx1"/>
                  </w14:solidFill>
                </w14:textFill>
              </w:rPr>
              <w:t>用水量</w:t>
            </w:r>
            <w:r>
              <w:rPr>
                <w:rFonts w:hint="eastAsia"/>
                <w:color w:val="000000" w:themeColor="text1"/>
                <w:szCs w:val="24"/>
                <w14:textFill>
                  <w14:solidFill>
                    <w14:schemeClr w14:val="tx1"/>
                  </w14:solidFill>
                </w14:textFill>
              </w:rPr>
              <w:t>为</w:t>
            </w:r>
            <w:r>
              <w:rPr>
                <w:color w:val="000000" w:themeColor="text1"/>
                <w:szCs w:val="24"/>
                <w14:textFill>
                  <w14:solidFill>
                    <w14:schemeClr w14:val="tx1"/>
                  </w14:solidFill>
                </w14:textFill>
              </w:rPr>
              <w:t>85000</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/a（283.33</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其中振动筛分环节</w:t>
            </w:r>
            <w:r>
              <w:rPr>
                <w:rFonts w:hint="eastAsia"/>
                <w:color w:val="000000" w:themeColor="text1"/>
                <w:szCs w:val="24"/>
                <w14:textFill>
                  <w14:solidFill>
                    <w14:schemeClr w14:val="tx1"/>
                  </w14:solidFill>
                </w14:textFill>
              </w:rPr>
              <w:t>新增</w:t>
            </w:r>
            <w:r>
              <w:rPr>
                <w:color w:val="000000" w:themeColor="text1"/>
                <w:szCs w:val="24"/>
                <w14:textFill>
                  <w14:solidFill>
                    <w14:schemeClr w14:val="tx1"/>
                  </w14:solidFill>
                </w14:textFill>
              </w:rPr>
              <w:t>用水量198.33</w:t>
            </w:r>
            <w:r>
              <w:rPr>
                <w:rFonts w:hint="eastAsia"/>
                <w:color w:val="000000" w:themeColor="text1"/>
                <w:szCs w:val="24"/>
                <w14:textFill>
                  <w14:solidFill>
                    <w14:schemeClr w14:val="tx1"/>
                  </w14:solidFill>
                </w14:textFill>
              </w:rPr>
              <w:t xml:space="preserve"> m³</w:t>
            </w:r>
            <w:r>
              <w:rPr>
                <w:color w:val="000000" w:themeColor="text1"/>
                <w:szCs w:val="24"/>
                <w14:textFill>
                  <w14:solidFill>
                    <w14:schemeClr w14:val="tx1"/>
                  </w14:solidFill>
                </w14:textFill>
              </w:rPr>
              <w:t>/d ， 螺旋洗砂环节</w:t>
            </w:r>
            <w:r>
              <w:rPr>
                <w:rFonts w:hint="eastAsia"/>
                <w:color w:val="000000" w:themeColor="text1"/>
                <w:szCs w:val="24"/>
                <w14:textFill>
                  <w14:solidFill>
                    <w14:schemeClr w14:val="tx1"/>
                  </w14:solidFill>
                </w14:textFill>
              </w:rPr>
              <w:t>新增</w:t>
            </w:r>
            <w:r>
              <w:rPr>
                <w:color w:val="000000" w:themeColor="text1"/>
                <w:szCs w:val="24"/>
                <w14:textFill>
                  <w14:solidFill>
                    <w14:schemeClr w14:val="tx1"/>
                  </w14:solidFill>
                </w14:textFill>
              </w:rPr>
              <w:t>用水量85</w:t>
            </w:r>
            <w:r>
              <w:rPr>
                <w:rFonts w:hint="eastAsia"/>
                <w:color w:val="000000" w:themeColor="text1"/>
                <w:szCs w:val="24"/>
                <w14:textFill>
                  <w14:solidFill>
                    <w14:schemeClr w14:val="tx1"/>
                  </w14:solidFill>
                </w14:textFill>
              </w:rPr>
              <w:t xml:space="preserve"> m³</w:t>
            </w:r>
            <w:r>
              <w:rPr>
                <w:color w:val="000000" w:themeColor="text1"/>
                <w:szCs w:val="24"/>
                <w14:textFill>
                  <w14:solidFill>
                    <w14:schemeClr w14:val="tx1"/>
                  </w14:solidFill>
                </w14:textFill>
              </w:rPr>
              <w:t>/d。</w:t>
            </w:r>
          </w:p>
          <w:p>
            <w:pPr>
              <w:spacing w:line="360" w:lineRule="auto"/>
              <w:ind w:firstLine="482"/>
              <w:rPr>
                <w:color w:val="000000" w:themeColor="text1"/>
                <w:szCs w:val="24"/>
                <w14:textFill>
                  <w14:solidFill>
                    <w14:schemeClr w14:val="tx1"/>
                  </w14:solidFill>
                </w14:textFill>
              </w:rPr>
            </w:pPr>
            <w:r>
              <w:rPr>
                <w:color w:val="000000" w:themeColor="text1"/>
                <w:szCs w:val="24"/>
                <w14:textFill>
                  <w14:solidFill>
                    <w14:schemeClr w14:val="tx1"/>
                  </w14:solidFill>
                </w14:textFill>
              </w:rPr>
              <w:t>根据生产工艺，项目在多级振动筛分处冲水后，筛选出的碎石产品经皮带输送至成品堆场，碎石产品离开生产线时含水率取10% ，</w:t>
            </w:r>
            <w:r>
              <w:rPr>
                <w:rFonts w:hint="eastAsia"/>
                <w:color w:val="000000" w:themeColor="text1"/>
                <w:szCs w:val="24"/>
                <w14:textFill>
                  <w14:solidFill>
                    <w14:schemeClr w14:val="tx1"/>
                  </w14:solidFill>
                </w14:textFill>
              </w:rPr>
              <w:t>扩建后</w:t>
            </w:r>
            <w:r>
              <w:rPr>
                <w:color w:val="000000" w:themeColor="text1"/>
                <w:szCs w:val="24"/>
                <w14:textFill>
                  <w14:solidFill>
                    <w14:schemeClr w14:val="tx1"/>
                  </w14:solidFill>
                </w14:textFill>
              </w:rPr>
              <w:t>带走水分约31.5</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（扩建新增</w:t>
            </w:r>
            <w:r>
              <w:rPr>
                <w:color w:val="000000" w:themeColor="text1"/>
                <w:szCs w:val="24"/>
                <w14:textFill>
                  <w14:solidFill>
                    <w14:schemeClr w14:val="tx1"/>
                  </w14:solidFill>
                </w14:textFill>
              </w:rPr>
              <w:t>带走水分约19.83</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；振动筛分过程蒸发、损耗等约占生产线总用水量的1% ，约4.5</w:t>
            </w:r>
            <w:r>
              <w:rPr>
                <w:rFonts w:hint="eastAsia"/>
                <w:color w:val="000000" w:themeColor="text1"/>
                <w:szCs w:val="24"/>
                <w14:textFill>
                  <w14:solidFill>
                    <w14:schemeClr w14:val="tx1"/>
                  </w14:solidFill>
                </w14:textFill>
              </w:rPr>
              <w:t xml:space="preserve"> 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（扩建新增蒸发、损耗2</w:t>
            </w:r>
            <w:r>
              <w:rPr>
                <w:color w:val="000000" w:themeColor="text1"/>
                <w:szCs w:val="24"/>
                <w14:textFill>
                  <w14:solidFill>
                    <w14:schemeClr w14:val="tx1"/>
                  </w14:solidFill>
                </w14:textFill>
              </w:rPr>
              <w:t>.83</w:t>
            </w:r>
            <w:r>
              <w:rPr>
                <w:rFonts w:hint="eastAsia"/>
                <w:color w:val="000000" w:themeColor="text1"/>
                <w:szCs w:val="24"/>
                <w14:textFill>
                  <w14:solidFill>
                    <w14:schemeClr w14:val="tx1"/>
                  </w14:solidFill>
                </w14:textFill>
              </w:rPr>
              <w:t xml:space="preserve"> 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 xml:space="preserve"> 。经计算，</w:t>
            </w:r>
            <w:r>
              <w:rPr>
                <w:rFonts w:hint="eastAsia"/>
                <w:color w:val="000000" w:themeColor="text1"/>
                <w:szCs w:val="24"/>
                <w14:textFill>
                  <w14:solidFill>
                    <w14:schemeClr w14:val="tx1"/>
                  </w14:solidFill>
                </w14:textFill>
              </w:rPr>
              <w:t>扩建后</w:t>
            </w:r>
            <w:r>
              <w:rPr>
                <w:color w:val="000000" w:themeColor="text1"/>
                <w:szCs w:val="24"/>
                <w14:textFill>
                  <w14:solidFill>
                    <w14:schemeClr w14:val="tx1"/>
                  </w14:solidFill>
                </w14:textFill>
              </w:rPr>
              <w:t>进入洗砂池的砂水混合物的含水量</w:t>
            </w:r>
            <w:r>
              <w:rPr>
                <w:rFonts w:hint="eastAsia"/>
                <w:color w:val="000000" w:themeColor="text1"/>
                <w:szCs w:val="24"/>
                <w14:textFill>
                  <w14:solidFill>
                    <w14:schemeClr w14:val="tx1"/>
                  </w14:solidFill>
                </w14:textFill>
              </w:rPr>
              <w:t>总量</w:t>
            </w:r>
            <w:r>
              <w:rPr>
                <w:color w:val="000000" w:themeColor="text1"/>
                <w:szCs w:val="24"/>
                <w14:textFill>
                  <w14:solidFill>
                    <w14:schemeClr w14:val="tx1"/>
                  </w14:solidFill>
                </w14:textFill>
              </w:rPr>
              <w:t>为279</w:t>
            </w:r>
            <w:r>
              <w:rPr>
                <w:rFonts w:hint="eastAsia"/>
                <w:color w:val="000000" w:themeColor="text1"/>
                <w:szCs w:val="24"/>
                <w14:textFill>
                  <w14:solidFill>
                    <w14:schemeClr w14:val="tx1"/>
                  </w14:solidFill>
                </w14:textFill>
              </w:rPr>
              <w:t xml:space="preserve"> 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进入洗砂池的砂水混合物的含水量</w:t>
            </w:r>
            <w:r>
              <w:rPr>
                <w:rFonts w:hint="eastAsia"/>
                <w:color w:val="000000" w:themeColor="text1"/>
                <w:szCs w:val="24"/>
                <w14:textFill>
                  <w14:solidFill>
                    <w14:schemeClr w14:val="tx1"/>
                  </w14:solidFill>
                </w14:textFill>
              </w:rPr>
              <w:t>新增</w:t>
            </w:r>
            <w:r>
              <w:rPr>
                <w:color w:val="000000" w:themeColor="text1"/>
                <w:szCs w:val="24"/>
                <w14:textFill>
                  <w14:solidFill>
                    <w14:schemeClr w14:val="tx1"/>
                  </w14:solidFill>
                </w14:textFill>
              </w:rPr>
              <w:t>为175.67</w:t>
            </w:r>
            <w:r>
              <w:rPr>
                <w:rFonts w:hint="eastAsia"/>
                <w:color w:val="000000" w:themeColor="text1"/>
                <w:szCs w:val="24"/>
                <w14:textFill>
                  <w14:solidFill>
                    <w14:schemeClr w14:val="tx1"/>
                  </w14:solidFill>
                </w14:textFill>
              </w:rPr>
              <w:t xml:space="preserve"> 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w:t>
            </w:r>
          </w:p>
          <w:p>
            <w:pPr>
              <w:spacing w:line="360" w:lineRule="auto"/>
              <w:ind w:firstLine="482"/>
              <w:rPr>
                <w:color w:val="000000" w:themeColor="text1"/>
                <w:szCs w:val="24"/>
                <w14:textFill>
                  <w14:solidFill>
                    <w14:schemeClr w14:val="tx1"/>
                  </w14:solidFill>
                </w14:textFill>
              </w:rPr>
            </w:pPr>
            <w:r>
              <w:rPr>
                <w:color w:val="000000" w:themeColor="text1"/>
                <w:szCs w:val="24"/>
                <w14:textFill>
                  <w14:solidFill>
                    <w14:schemeClr w14:val="tx1"/>
                  </w14:solidFill>
                </w14:textFill>
              </w:rPr>
              <w:t>砂水混合物进入洗砂池，由螺旋洗砂机将机砂螺旋提升出来，然后在离开螺旋洗砂机之前再次用水进行冲洗，螺旋洗砂环节</w:t>
            </w:r>
            <w:r>
              <w:rPr>
                <w:rFonts w:hint="eastAsia"/>
                <w:color w:val="000000" w:themeColor="text1"/>
                <w:szCs w:val="24"/>
                <w14:textFill>
                  <w14:solidFill>
                    <w14:schemeClr w14:val="tx1"/>
                  </w14:solidFill>
                </w14:textFill>
              </w:rPr>
              <w:t>扩建后总</w:t>
            </w:r>
            <w:r>
              <w:rPr>
                <w:color w:val="000000" w:themeColor="text1"/>
                <w:szCs w:val="24"/>
                <w14:textFill>
                  <w14:solidFill>
                    <w14:schemeClr w14:val="tx1"/>
                  </w14:solidFill>
                </w14:textFill>
              </w:rPr>
              <w:t>用水量135</w:t>
            </w:r>
            <w:r>
              <w:rPr>
                <w:rFonts w:hint="eastAsia"/>
                <w:color w:val="000000" w:themeColor="text1"/>
                <w:szCs w:val="24"/>
                <w14:textFill>
                  <w14:solidFill>
                    <w14:schemeClr w14:val="tx1"/>
                  </w14:solidFill>
                </w14:textFill>
              </w:rPr>
              <w:t xml:space="preserve"> m³</w:t>
            </w:r>
            <w:r>
              <w:rPr>
                <w:color w:val="000000" w:themeColor="text1"/>
                <w:szCs w:val="24"/>
                <w14:textFill>
                  <w14:solidFill>
                    <w14:schemeClr w14:val="tx1"/>
                  </w14:solidFill>
                </w14:textFill>
              </w:rPr>
              <w:t xml:space="preserve">/d </w:t>
            </w:r>
            <w:r>
              <w:rPr>
                <w:rFonts w:hint="eastAsia"/>
                <w:color w:val="000000" w:themeColor="text1"/>
                <w:szCs w:val="24"/>
                <w14:textFill>
                  <w14:solidFill>
                    <w14:schemeClr w14:val="tx1"/>
                  </w14:solidFill>
                </w14:textFill>
              </w:rPr>
              <w:t>（扩建新增用水量为8</w:t>
            </w:r>
            <w:r>
              <w:rPr>
                <w:color w:val="000000" w:themeColor="text1"/>
                <w:szCs w:val="24"/>
                <w14:textFill>
                  <w14:solidFill>
                    <w14:schemeClr w14:val="tx1"/>
                  </w14:solidFill>
                </w14:textFill>
              </w:rPr>
              <w:t>5</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d）</w:t>
            </w:r>
            <w:r>
              <w:rPr>
                <w:color w:val="000000" w:themeColor="text1"/>
                <w:szCs w:val="24"/>
                <w14:textFill>
                  <w14:solidFill>
                    <w14:schemeClr w14:val="tx1"/>
                  </w14:solidFill>
                </w14:textFill>
              </w:rPr>
              <w:t>。冲洗水向下流入洗砂池内。洗砂生产线的机砂产品带走水分约占</w:t>
            </w:r>
            <w:r>
              <w:rPr>
                <w:rFonts w:hint="eastAsia"/>
                <w:color w:val="000000" w:themeColor="text1"/>
                <w:szCs w:val="24"/>
                <w14:textFill>
                  <w14:solidFill>
                    <w14:schemeClr w14:val="tx1"/>
                  </w14:solidFill>
                </w14:textFill>
              </w:rPr>
              <w:t>用水量</w:t>
            </w:r>
            <w:r>
              <w:rPr>
                <w:color w:val="000000" w:themeColor="text1"/>
                <w:szCs w:val="24"/>
                <w14:textFill>
                  <w14:solidFill>
                    <w14:schemeClr w14:val="tx1"/>
                  </w14:solidFill>
                </w14:textFill>
              </w:rPr>
              <w:t>的20%，</w:t>
            </w:r>
            <w:r>
              <w:rPr>
                <w:rFonts w:hint="eastAsia"/>
                <w:color w:val="000000" w:themeColor="text1"/>
                <w:szCs w:val="24"/>
                <w14:textFill>
                  <w14:solidFill>
                    <w14:schemeClr w14:val="tx1"/>
                  </w14:solidFill>
                </w14:textFill>
              </w:rPr>
              <w:t>总水量</w:t>
            </w:r>
            <w:r>
              <w:rPr>
                <w:color w:val="000000" w:themeColor="text1"/>
                <w:szCs w:val="24"/>
                <w14:textFill>
                  <w14:solidFill>
                    <w14:schemeClr w14:val="tx1"/>
                  </w14:solidFill>
                </w14:textFill>
              </w:rPr>
              <w:t>为27</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（新增水量为1</w:t>
            </w:r>
            <w:r>
              <w:rPr>
                <w:color w:val="000000" w:themeColor="text1"/>
                <w:szCs w:val="24"/>
                <w14:textFill>
                  <w14:solidFill>
                    <w14:schemeClr w14:val="tx1"/>
                  </w14:solidFill>
                </w14:textFill>
              </w:rPr>
              <w:t>7</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w:t>
            </w:r>
            <w:r>
              <w:rPr>
                <w:rFonts w:hint="eastAsia"/>
                <w:color w:val="000000" w:themeColor="text1"/>
                <w:szCs w:val="24"/>
                <w14:textFill>
                  <w14:solidFill>
                    <w14:schemeClr w14:val="tx1"/>
                  </w14:solidFill>
                </w14:textFill>
              </w:rPr>
              <w:t>d）</w:t>
            </w:r>
            <w:r>
              <w:rPr>
                <w:color w:val="000000" w:themeColor="text1"/>
                <w:szCs w:val="24"/>
                <w14:textFill>
                  <w14:solidFill>
                    <w14:schemeClr w14:val="tx1"/>
                  </w14:solidFill>
                </w14:textFill>
              </w:rPr>
              <w:t>；洗砂过程蒸发、损耗等约占</w:t>
            </w:r>
            <w:r>
              <w:rPr>
                <w:rFonts w:hint="eastAsia"/>
                <w:color w:val="000000" w:themeColor="text1"/>
                <w:szCs w:val="24"/>
                <w14:textFill>
                  <w14:solidFill>
                    <w14:schemeClr w14:val="tx1"/>
                  </w14:solidFill>
                </w14:textFill>
              </w:rPr>
              <w:t>螺旋洗砂环节用水</w:t>
            </w:r>
            <w:r>
              <w:rPr>
                <w:color w:val="000000" w:themeColor="text1"/>
                <w:szCs w:val="24"/>
                <w14:textFill>
                  <w14:solidFill>
                    <w14:schemeClr w14:val="tx1"/>
                  </w14:solidFill>
                </w14:textFill>
              </w:rPr>
              <w:t>量的3%，</w:t>
            </w:r>
            <w:r>
              <w:rPr>
                <w:rFonts w:hint="eastAsia"/>
                <w:color w:val="000000" w:themeColor="text1"/>
                <w:szCs w:val="24"/>
                <w14:textFill>
                  <w14:solidFill>
                    <w14:schemeClr w14:val="tx1"/>
                  </w14:solidFill>
                </w14:textFill>
              </w:rPr>
              <w:t>扩建后损耗总量</w:t>
            </w:r>
            <w:r>
              <w:rPr>
                <w:color w:val="000000" w:themeColor="text1"/>
                <w:szCs w:val="24"/>
                <w14:textFill>
                  <w14:solidFill>
                    <w14:schemeClr w14:val="tx1"/>
                  </w14:solidFill>
                </w14:textFill>
              </w:rPr>
              <w:t>约4.05</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（扩建新增损耗量为2</w:t>
            </w:r>
            <w:r>
              <w:rPr>
                <w:color w:val="000000" w:themeColor="text1"/>
                <w:szCs w:val="24"/>
                <w14:textFill>
                  <w14:solidFill>
                    <w14:schemeClr w14:val="tx1"/>
                  </w14:solidFill>
                </w14:textFill>
              </w:rPr>
              <w:t>.55</w:t>
            </w:r>
            <w:r>
              <w:rPr>
                <w:rFonts w:hint="eastAsia"/>
                <w:color w:val="000000" w:themeColor="text1"/>
                <w:szCs w:val="24"/>
                <w14:textFill>
                  <w14:solidFill>
                    <w14:schemeClr w14:val="tx1"/>
                  </w14:solidFill>
                </w14:textFill>
              </w:rPr>
              <w:t xml:space="preserve"> 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。经计算，此时</w:t>
            </w:r>
            <w:r>
              <w:rPr>
                <w:rFonts w:hint="eastAsia"/>
                <w:color w:val="000000" w:themeColor="text1"/>
                <w:szCs w:val="24"/>
                <w14:textFill>
                  <w14:solidFill>
                    <w14:schemeClr w14:val="tx1"/>
                  </w14:solidFill>
                </w14:textFill>
              </w:rPr>
              <w:t>扩建后生产线</w:t>
            </w:r>
            <w:r>
              <w:rPr>
                <w:color w:val="000000" w:themeColor="text1"/>
                <w:szCs w:val="24"/>
                <w14:textFill>
                  <w14:solidFill>
                    <w14:schemeClr w14:val="tx1"/>
                  </w14:solidFill>
                </w14:textFill>
              </w:rPr>
              <w:t>产生的</w:t>
            </w:r>
            <w:r>
              <w:rPr>
                <w:rFonts w:hint="eastAsia"/>
                <w:color w:val="000000" w:themeColor="text1"/>
                <w:szCs w:val="24"/>
                <w14:textFill>
                  <w14:solidFill>
                    <w14:schemeClr w14:val="tx1"/>
                  </w14:solidFill>
                </w14:textFill>
              </w:rPr>
              <w:t>总</w:t>
            </w:r>
            <w:r>
              <w:rPr>
                <w:color w:val="000000" w:themeColor="text1"/>
                <w:szCs w:val="24"/>
                <w14:textFill>
                  <w14:solidFill>
                    <w14:schemeClr w14:val="tx1"/>
                  </w14:solidFill>
                </w14:textFill>
              </w:rPr>
              <w:t>废水约382.95</w:t>
            </w:r>
            <w:r>
              <w:rPr>
                <w:rFonts w:hint="eastAsia"/>
                <w:color w:val="000000" w:themeColor="text1"/>
                <w:szCs w:val="24"/>
                <w14:textFill>
                  <w14:solidFill>
                    <w14:schemeClr w14:val="tx1"/>
                  </w14:solidFill>
                </w14:textFill>
              </w:rPr>
              <w:t>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（扩建后生产线新增废水量为2</w:t>
            </w:r>
            <w:r>
              <w:rPr>
                <w:color w:val="000000" w:themeColor="text1"/>
                <w:szCs w:val="24"/>
                <w14:textFill>
                  <w14:solidFill>
                    <w14:schemeClr w14:val="tx1"/>
                  </w14:solidFill>
                </w14:textFill>
              </w:rPr>
              <w:t>41.12</w:t>
            </w:r>
            <w:r>
              <w:rPr>
                <w:rFonts w:hint="eastAsia"/>
                <w:color w:val="000000" w:themeColor="text1"/>
                <w:szCs w:val="24"/>
                <w14:textFill>
                  <w14:solidFill>
                    <w14:schemeClr w14:val="tx1"/>
                  </w14:solidFill>
                </w14:textFill>
              </w:rPr>
              <w:t xml:space="preserve"> m³</w:t>
            </w:r>
            <w:r>
              <w:rPr>
                <w:color w:val="000000" w:themeColor="text1"/>
                <w:szCs w:val="24"/>
                <w14:textFill>
                  <w14:solidFill>
                    <w14:schemeClr w14:val="tx1"/>
                  </w14:solidFill>
                </w14:textFill>
              </w:rPr>
              <w:t>/d</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 xml:space="preserve"> ，进入废水处理系统处理后再回用。</w:t>
            </w:r>
          </w:p>
          <w:p>
            <w:pPr>
              <w:spacing w:line="360" w:lineRule="auto"/>
              <w:ind w:firstLine="482" w:firstLineChars="200"/>
              <w:jc w:val="left"/>
              <w:rPr>
                <w:spacing w:val="-1"/>
              </w:rPr>
            </w:pPr>
            <w:r>
              <w:rPr>
                <w:rFonts w:hint="eastAsia"/>
                <w:b/>
                <w:bCs/>
                <w:color w:val="000000" w:themeColor="text1"/>
                <w:kern w:val="24"/>
                <w:szCs w:val="24"/>
                <w14:textFill>
                  <w14:solidFill>
                    <w14:schemeClr w14:val="tx1"/>
                  </w14:solidFill>
                </w14:textFill>
              </w:rPr>
              <w:t>产品渗沥水</w:t>
            </w:r>
            <w:r>
              <w:rPr>
                <w:b/>
                <w:bCs/>
                <w:color w:val="000000" w:themeColor="text1"/>
                <w:kern w:val="24"/>
                <w:szCs w:val="24"/>
                <w14:textFill>
                  <w14:solidFill>
                    <w14:schemeClr w14:val="tx1"/>
                  </w14:solidFill>
                </w14:textFill>
              </w:rPr>
              <w:t>：</w:t>
            </w:r>
            <w:r>
              <w:rPr>
                <w:spacing w:val="-1"/>
              </w:rPr>
              <w:t>根据上述分析，碎石产品离开生产线时含水率约</w:t>
            </w:r>
            <w:r>
              <w:rPr>
                <w:rFonts w:eastAsia="Times New Roman"/>
                <w:spacing w:val="-1"/>
              </w:rPr>
              <w:t>10%</w:t>
            </w:r>
            <w:r>
              <w:rPr>
                <w:rFonts w:eastAsia="Times New Roman"/>
                <w:spacing w:val="-35"/>
              </w:rPr>
              <w:t xml:space="preserve"> </w:t>
            </w:r>
            <w:r>
              <w:rPr>
                <w:spacing w:val="-1"/>
              </w:rPr>
              <w:t>，机制</w:t>
            </w:r>
            <w:r>
              <w:rPr>
                <w:spacing w:val="-2"/>
              </w:rPr>
              <w:t>砂离开生产线时含水率约</w:t>
            </w:r>
            <w:r>
              <w:rPr>
                <w:rFonts w:eastAsia="Times New Roman"/>
                <w:spacing w:val="-2"/>
              </w:rPr>
              <w:t>20%</w:t>
            </w:r>
            <w:r>
              <w:rPr>
                <w:rFonts w:eastAsia="Times New Roman"/>
                <w:spacing w:val="-20"/>
              </w:rPr>
              <w:t xml:space="preserve"> </w:t>
            </w:r>
            <w:r>
              <w:rPr>
                <w:spacing w:val="-2"/>
              </w:rPr>
              <w:t>，</w:t>
            </w:r>
            <w:r>
              <w:rPr>
                <w:rFonts w:hint="eastAsia"/>
                <w:spacing w:val="-2"/>
              </w:rPr>
              <w:t>扩建后项目</w:t>
            </w:r>
            <w:r>
              <w:rPr>
                <w:spacing w:val="-2"/>
              </w:rPr>
              <w:t>总共带走水量为</w:t>
            </w:r>
            <w:r>
              <w:rPr>
                <w:rFonts w:eastAsia="Times New Roman"/>
                <w:spacing w:val="-2"/>
              </w:rPr>
              <w:t>58.5m</w:t>
            </w:r>
            <w:r>
              <w:rPr>
                <w:rFonts w:eastAsia="Times New Roman"/>
                <w:spacing w:val="-2"/>
                <w:position w:val="8"/>
                <w:sz w:val="15"/>
                <w:szCs w:val="15"/>
              </w:rPr>
              <w:t>3</w:t>
            </w:r>
            <w:r>
              <w:rPr>
                <w:rFonts w:eastAsia="Times New Roman"/>
                <w:spacing w:val="-2"/>
              </w:rPr>
              <w:t>/d</w:t>
            </w:r>
            <w:r>
              <w:rPr>
                <w:rFonts w:hint="eastAsia" w:ascii="宋体" w:hAnsi="宋体" w:cs="宋体"/>
                <w:spacing w:val="-2"/>
              </w:rPr>
              <w:t>（扩建后项目新增带走水量为</w:t>
            </w:r>
            <w:r>
              <w:rPr>
                <w:spacing w:val="-2"/>
              </w:rPr>
              <w:t>36.83</w:t>
            </w:r>
            <w:r>
              <w:rPr>
                <w:rFonts w:eastAsia="Times New Roman"/>
                <w:spacing w:val="-2"/>
              </w:rPr>
              <w:t xml:space="preserve"> m</w:t>
            </w:r>
            <w:r>
              <w:rPr>
                <w:rFonts w:eastAsia="Times New Roman"/>
                <w:spacing w:val="-2"/>
                <w:position w:val="8"/>
                <w:sz w:val="15"/>
                <w:szCs w:val="15"/>
              </w:rPr>
              <w:t>3</w:t>
            </w:r>
            <w:r>
              <w:rPr>
                <w:rFonts w:eastAsia="Times New Roman"/>
                <w:spacing w:val="-2"/>
              </w:rPr>
              <w:t>/d</w:t>
            </w:r>
            <w:r>
              <w:rPr>
                <w:rFonts w:hint="eastAsia" w:ascii="宋体" w:hAnsi="宋体" w:cs="宋体"/>
                <w:spacing w:val="-2"/>
              </w:rPr>
              <w:t>）</w:t>
            </w:r>
            <w:r>
              <w:rPr>
                <w:rFonts w:eastAsia="Times New Roman"/>
                <w:spacing w:val="-30"/>
              </w:rPr>
              <w:t xml:space="preserve"> </w:t>
            </w:r>
            <w:r>
              <w:rPr>
                <w:spacing w:val="-2"/>
              </w:rPr>
              <w:t>。项目外售的砂石料成品平均含水率取</w:t>
            </w:r>
            <w:r>
              <w:rPr>
                <w:rFonts w:eastAsia="Times New Roman"/>
                <w:spacing w:val="-2"/>
              </w:rPr>
              <w:t>2%</w:t>
            </w:r>
            <w:r>
              <w:rPr>
                <w:rFonts w:eastAsia="Times New Roman"/>
                <w:spacing w:val="-24"/>
              </w:rPr>
              <w:t xml:space="preserve"> </w:t>
            </w:r>
            <w:r>
              <w:rPr>
                <w:spacing w:val="-2"/>
              </w:rPr>
              <w:t>，则成品外售时带走水量约</w:t>
            </w:r>
            <w:r>
              <w:rPr>
                <w:rFonts w:eastAsia="Times New Roman"/>
                <w:spacing w:val="-2"/>
              </w:rPr>
              <w:t>9 m</w:t>
            </w:r>
            <w:r>
              <w:rPr>
                <w:rFonts w:eastAsia="Times New Roman"/>
                <w:spacing w:val="-2"/>
                <w:position w:val="8"/>
                <w:sz w:val="15"/>
                <w:szCs w:val="15"/>
              </w:rPr>
              <w:t>3</w:t>
            </w:r>
            <w:r>
              <w:rPr>
                <w:color w:val="000000" w:themeColor="text1"/>
                <w:kern w:val="24"/>
                <w:szCs w:val="24"/>
                <w14:textFill>
                  <w14:solidFill>
                    <w14:schemeClr w14:val="tx1"/>
                  </w14:solidFill>
                </w14:textFill>
              </w:rPr>
              <w:t xml:space="preserve">/d </w:t>
            </w:r>
            <w:r>
              <w:rPr>
                <w:rFonts w:hint="eastAsia"/>
                <w:color w:val="000000" w:themeColor="text1"/>
                <w:kern w:val="24"/>
                <w:szCs w:val="24"/>
                <w14:textFill>
                  <w14:solidFill>
                    <w14:schemeClr w14:val="tx1"/>
                  </w14:solidFill>
                </w14:textFill>
              </w:rPr>
              <w:t>（扩建项目新增水量5</w:t>
            </w:r>
            <w:r>
              <w:rPr>
                <w:color w:val="000000" w:themeColor="text1"/>
                <w:kern w:val="24"/>
                <w:szCs w:val="24"/>
                <w14:textFill>
                  <w14:solidFill>
                    <w14:schemeClr w14:val="tx1"/>
                  </w14:solidFill>
                </w14:textFill>
              </w:rPr>
              <w:t>.67</w:t>
            </w:r>
            <w:r>
              <w:rPr>
                <w:rFonts w:hint="eastAsia"/>
                <w:color w:val="000000" w:themeColor="text1"/>
                <w:kern w:val="24"/>
                <w:szCs w:val="24"/>
                <w14:textFill>
                  <w14:solidFill>
                    <w14:schemeClr w14:val="tx1"/>
                  </w14:solidFill>
                </w14:textFill>
              </w:rPr>
              <w:t>m³</w:t>
            </w:r>
            <w:r>
              <w:rPr>
                <w:color w:val="000000" w:themeColor="text1"/>
                <w:kern w:val="24"/>
                <w:szCs w:val="24"/>
                <w14:textFill>
                  <w14:solidFill>
                    <w14:schemeClr w14:val="tx1"/>
                  </w14:solidFill>
                </w14:textFill>
              </w:rPr>
              <w:t>/</w:t>
            </w:r>
            <w:r>
              <w:rPr>
                <w:rFonts w:hint="eastAsia"/>
                <w:color w:val="000000" w:themeColor="text1"/>
                <w:kern w:val="24"/>
                <w:szCs w:val="24"/>
                <w14:textFill>
                  <w14:solidFill>
                    <w14:schemeClr w14:val="tx1"/>
                  </w14:solidFill>
                </w14:textFill>
              </w:rPr>
              <w:t>d）</w:t>
            </w:r>
            <w:r>
              <w:rPr>
                <w:color w:val="000000" w:themeColor="text1"/>
                <w:kern w:val="24"/>
                <w:szCs w:val="24"/>
                <w14:textFill>
                  <w14:solidFill>
                    <w14:schemeClr w14:val="tx1"/>
                  </w14:solidFill>
                </w14:textFill>
              </w:rPr>
              <w:t>。</w:t>
            </w:r>
            <w:r>
              <w:rPr>
                <w:spacing w:val="-2"/>
              </w:rPr>
              <w:t>经计算，</w:t>
            </w:r>
            <w:r>
              <w:rPr>
                <w:rFonts w:hint="eastAsia"/>
                <w:spacing w:val="-2"/>
              </w:rPr>
              <w:t>扩建后</w:t>
            </w:r>
            <w:r>
              <w:rPr>
                <w:spacing w:val="-2"/>
              </w:rPr>
              <w:t>碎石产品渗沥水为</w:t>
            </w:r>
            <w:r>
              <w:rPr>
                <w:rFonts w:hint="eastAsia"/>
                <w:spacing w:val="-2"/>
              </w:rPr>
              <w:t>4</w:t>
            </w:r>
            <w:r>
              <w:rPr>
                <w:spacing w:val="-2"/>
              </w:rPr>
              <w:t>9.5</w:t>
            </w:r>
            <w:r>
              <w:rPr>
                <w:rFonts w:eastAsia="Times New Roman"/>
                <w:spacing w:val="-1"/>
              </w:rPr>
              <w:t>m</w:t>
            </w:r>
            <w:r>
              <w:rPr>
                <w:rFonts w:eastAsia="Times New Roman"/>
                <w:spacing w:val="-1"/>
                <w:position w:val="8"/>
                <w:sz w:val="15"/>
                <w:szCs w:val="15"/>
              </w:rPr>
              <w:t>3</w:t>
            </w:r>
            <w:r>
              <w:rPr>
                <w:rFonts w:eastAsia="Times New Roman"/>
                <w:spacing w:val="-1"/>
              </w:rPr>
              <w:t>/d</w:t>
            </w:r>
            <w:r>
              <w:rPr>
                <w:rFonts w:hint="eastAsia" w:ascii="宋体" w:hAnsi="宋体" w:cs="宋体"/>
                <w:spacing w:val="-1"/>
              </w:rPr>
              <w:t>（扩建新增产品渗沥水</w:t>
            </w:r>
            <w:r>
              <w:rPr>
                <w:spacing w:val="-1"/>
              </w:rPr>
              <w:t>为31.16</w:t>
            </w:r>
            <w:r>
              <w:rPr>
                <w:color w:val="000000" w:themeColor="text1"/>
                <w:kern w:val="24"/>
                <w:szCs w:val="24"/>
                <w14:textFill>
                  <w14:solidFill>
                    <w14:schemeClr w14:val="tx1"/>
                  </w14:solidFill>
                </w14:textFill>
              </w:rPr>
              <w:t xml:space="preserve"> </w:t>
            </w:r>
            <w:r>
              <w:rPr>
                <w:rFonts w:hint="eastAsia"/>
                <w:color w:val="000000" w:themeColor="text1"/>
                <w:kern w:val="24"/>
                <w:szCs w:val="24"/>
                <w14:textFill>
                  <w14:solidFill>
                    <w14:schemeClr w14:val="tx1"/>
                  </w14:solidFill>
                </w14:textFill>
              </w:rPr>
              <w:t>m³</w:t>
            </w:r>
            <w:r>
              <w:rPr>
                <w:color w:val="000000" w:themeColor="text1"/>
                <w:kern w:val="24"/>
                <w:szCs w:val="24"/>
                <w14:textFill>
                  <w14:solidFill>
                    <w14:schemeClr w14:val="tx1"/>
                  </w14:solidFill>
                </w14:textFill>
              </w:rPr>
              <w:t>/</w:t>
            </w:r>
            <w:r>
              <w:rPr>
                <w:rFonts w:hint="eastAsia"/>
                <w:color w:val="000000" w:themeColor="text1"/>
                <w:kern w:val="24"/>
                <w:szCs w:val="24"/>
                <w14:textFill>
                  <w14:solidFill>
                    <w14:schemeClr w14:val="tx1"/>
                  </w14:solidFill>
                </w14:textFill>
              </w:rPr>
              <w:t>d</w:t>
            </w:r>
            <w:r>
              <w:rPr>
                <w:rFonts w:hint="eastAsia" w:ascii="宋体" w:hAnsi="宋体" w:cs="宋体"/>
                <w:spacing w:val="-1"/>
              </w:rPr>
              <w:t>）</w:t>
            </w:r>
            <w:r>
              <w:rPr>
                <w:rFonts w:eastAsia="Times New Roman"/>
                <w:spacing w:val="-28"/>
              </w:rPr>
              <w:t xml:space="preserve"> </w:t>
            </w:r>
            <w:r>
              <w:rPr>
                <w:spacing w:val="-1"/>
              </w:rPr>
              <w:t>。成品堆场设渗沥水导水沟，排入洗砂废水处理设施处理会回用。</w:t>
            </w:r>
          </w:p>
          <w:p>
            <w:pPr>
              <w:spacing w:line="360" w:lineRule="auto"/>
              <w:ind w:firstLine="482" w:firstLineChars="200"/>
              <w:jc w:val="left"/>
              <w:rPr>
                <w:color w:val="000000" w:themeColor="text1"/>
                <w:kern w:val="24"/>
                <w:szCs w:val="24"/>
                <w14:textFill>
                  <w14:solidFill>
                    <w14:schemeClr w14:val="tx1"/>
                  </w14:solidFill>
                </w14:textFill>
              </w:rPr>
            </w:pPr>
            <w:r>
              <w:rPr>
                <w:rFonts w:hint="eastAsia"/>
                <w:b/>
                <w:color w:val="000000" w:themeColor="text1"/>
                <w:kern w:val="24"/>
                <w:szCs w:val="24"/>
                <w14:textFill>
                  <w14:solidFill>
                    <w14:schemeClr w14:val="tx1"/>
                  </w14:solidFill>
                </w14:textFill>
              </w:rPr>
              <w:t>泥浆压滤水：</w:t>
            </w:r>
            <w:r>
              <w:rPr>
                <w:rFonts w:hint="eastAsia"/>
                <w:color w:val="000000" w:themeColor="text1"/>
                <w:kern w:val="24"/>
                <w:szCs w:val="24"/>
                <w14:textFill>
                  <w14:solidFill>
                    <w14:schemeClr w14:val="tx1"/>
                  </w14:solidFill>
                </w14:textFill>
              </w:rPr>
              <w:t>洗砂废水会夹带砂、泥，进入废水处理池并在池底沉淀，每日对池底泥砂进行清理，经板框压滤机压滤后泥饼含水率约60%。根据建设单位介绍， 本项目原料平均含泥量约10% ，则扩建后原料含泥砂量约</w:t>
            </w:r>
            <w:r>
              <w:rPr>
                <w:color w:val="000000" w:themeColor="text1"/>
                <w:kern w:val="24"/>
                <w:szCs w:val="24"/>
                <w14:textFill>
                  <w14:solidFill>
                    <w14:schemeClr w14:val="tx1"/>
                  </w14:solidFill>
                </w14:textFill>
              </w:rPr>
              <w:t>14674</w:t>
            </w:r>
            <w:r>
              <w:rPr>
                <w:rFonts w:hint="eastAsia"/>
                <w:color w:val="000000" w:themeColor="text1"/>
                <w:kern w:val="24"/>
                <w:szCs w:val="24"/>
                <w14:textFill>
                  <w14:solidFill>
                    <w14:schemeClr w14:val="tx1"/>
                  </w14:solidFill>
                </w14:textFill>
              </w:rPr>
              <w:t>t/a（原料新增含泥砂量9</w:t>
            </w:r>
            <w:r>
              <w:rPr>
                <w:color w:val="000000" w:themeColor="text1"/>
                <w:kern w:val="24"/>
                <w:szCs w:val="24"/>
                <w14:textFill>
                  <w14:solidFill>
                    <w14:schemeClr w14:val="tx1"/>
                  </w14:solidFill>
                </w14:textFill>
              </w:rPr>
              <w:t>239</w:t>
            </w:r>
            <w:r>
              <w:rPr>
                <w:rFonts w:hint="eastAsia"/>
                <w:color w:val="000000" w:themeColor="text1"/>
                <w:kern w:val="24"/>
                <w:szCs w:val="24"/>
                <w14:textFill>
                  <w14:solidFill>
                    <w14:schemeClr w14:val="tx1"/>
                  </w14:solidFill>
                </w14:textFill>
              </w:rPr>
              <w:t xml:space="preserve"> t/a）。洗砂过程约洗去80%的泥砂，则扩建后废水中泥砂量约</w:t>
            </w:r>
            <w:r>
              <w:rPr>
                <w:color w:val="000000" w:themeColor="text1"/>
                <w:kern w:val="24"/>
                <w:szCs w:val="24"/>
                <w14:textFill>
                  <w14:solidFill>
                    <w14:schemeClr w14:val="tx1"/>
                  </w14:solidFill>
                </w14:textFill>
              </w:rPr>
              <w:t>11739.2</w:t>
            </w:r>
            <w:r>
              <w:rPr>
                <w:rFonts w:hint="eastAsia"/>
                <w:color w:val="000000" w:themeColor="text1"/>
                <w:kern w:val="24"/>
                <w:szCs w:val="24"/>
                <w14:textFill>
                  <w14:solidFill>
                    <w14:schemeClr w14:val="tx1"/>
                  </w14:solidFill>
                </w14:textFill>
              </w:rPr>
              <w:t>t/a（扩建项目废水中新增泥砂量约</w:t>
            </w:r>
            <w:r>
              <w:rPr>
                <w:color w:val="000000" w:themeColor="text1"/>
                <w:kern w:val="24"/>
                <w:szCs w:val="24"/>
                <w14:textFill>
                  <w14:solidFill>
                    <w14:schemeClr w14:val="tx1"/>
                  </w14:solidFill>
                </w14:textFill>
              </w:rPr>
              <w:t>7391.2</w:t>
            </w:r>
            <w:r>
              <w:rPr>
                <w:rFonts w:hint="eastAsia"/>
                <w:color w:val="000000" w:themeColor="text1"/>
                <w:kern w:val="24"/>
                <w:szCs w:val="24"/>
                <w14:textFill>
                  <w14:solidFill>
                    <w14:schemeClr w14:val="tx1"/>
                  </w14:solidFill>
                </w14:textFill>
              </w:rPr>
              <w:t>t/a）。板框压滤后含水60%的泥饼量约</w:t>
            </w:r>
            <w:r>
              <w:rPr>
                <w:color w:val="000000" w:themeColor="text1"/>
                <w:kern w:val="24"/>
                <w:szCs w:val="24"/>
                <w14:textFill>
                  <w14:solidFill>
                    <w14:schemeClr w14:val="tx1"/>
                  </w14:solidFill>
                </w14:textFill>
              </w:rPr>
              <w:t>29348</w:t>
            </w:r>
            <w:r>
              <w:rPr>
                <w:rFonts w:hint="eastAsia"/>
                <w:color w:val="000000" w:themeColor="text1"/>
                <w:kern w:val="24"/>
                <w:szCs w:val="24"/>
                <w14:textFill>
                  <w14:solidFill>
                    <w14:schemeClr w14:val="tx1"/>
                  </w14:solidFill>
                </w14:textFill>
              </w:rPr>
              <w:t>t/a，</w:t>
            </w:r>
            <w:r>
              <w:rPr>
                <w:color w:val="000000" w:themeColor="text1"/>
                <w:kern w:val="24"/>
                <w:szCs w:val="24"/>
                <w14:textFill>
                  <w14:solidFill>
                    <w14:schemeClr w14:val="tx1"/>
                  </w14:solidFill>
                </w14:textFill>
              </w:rPr>
              <w:t>97.83</w:t>
            </w:r>
            <w:r>
              <w:rPr>
                <w:rFonts w:hint="eastAsia"/>
                <w:color w:val="000000" w:themeColor="text1"/>
                <w:kern w:val="24"/>
                <w:szCs w:val="24"/>
                <w14:textFill>
                  <w14:solidFill>
                    <w14:schemeClr w14:val="tx1"/>
                  </w14:solidFill>
                </w14:textFill>
              </w:rPr>
              <w:t>t/d（扩建后新增含水60%的泥饼量约1</w:t>
            </w:r>
            <w:r>
              <w:rPr>
                <w:color w:val="000000" w:themeColor="text1"/>
                <w:kern w:val="24"/>
                <w:szCs w:val="24"/>
                <w14:textFill>
                  <w14:solidFill>
                    <w14:schemeClr w14:val="tx1"/>
                  </w14:solidFill>
                </w14:textFill>
              </w:rPr>
              <w:t>8478</w:t>
            </w:r>
            <w:r>
              <w:rPr>
                <w:rFonts w:hint="eastAsia"/>
                <w:color w:val="000000" w:themeColor="text1"/>
                <w:kern w:val="24"/>
                <w:szCs w:val="24"/>
                <w14:textFill>
                  <w14:solidFill>
                    <w14:schemeClr w14:val="tx1"/>
                  </w14:solidFill>
                </w14:textFill>
              </w:rPr>
              <w:t xml:space="preserve"> t/a，</w:t>
            </w:r>
            <w:r>
              <w:rPr>
                <w:color w:val="000000" w:themeColor="text1"/>
                <w:kern w:val="24"/>
                <w:szCs w:val="24"/>
                <w14:textFill>
                  <w14:solidFill>
                    <w14:schemeClr w14:val="tx1"/>
                  </w14:solidFill>
                </w14:textFill>
              </w:rPr>
              <w:t>61.59</w:t>
            </w:r>
            <w:r>
              <w:rPr>
                <w:rFonts w:hint="eastAsia"/>
                <w:color w:val="000000" w:themeColor="text1"/>
                <w:kern w:val="24"/>
                <w:szCs w:val="24"/>
                <w14:textFill>
                  <w14:solidFill>
                    <w14:schemeClr w14:val="tx1"/>
                  </w14:solidFill>
                </w14:textFill>
              </w:rPr>
              <w:t>t/d）。泥饼带走水分约</w:t>
            </w:r>
            <w:r>
              <w:rPr>
                <w:color w:val="000000" w:themeColor="text1"/>
                <w:kern w:val="24"/>
                <w:szCs w:val="24"/>
                <w14:textFill>
                  <w14:solidFill>
                    <w14:schemeClr w14:val="tx1"/>
                  </w14:solidFill>
                </w14:textFill>
              </w:rPr>
              <w:t>17608.8</w:t>
            </w:r>
            <w:r>
              <w:rPr>
                <w:rFonts w:hint="eastAsia"/>
                <w:color w:val="000000" w:themeColor="text1"/>
                <w:kern w:val="24"/>
                <w:szCs w:val="24"/>
                <w14:textFill>
                  <w14:solidFill>
                    <w14:schemeClr w14:val="tx1"/>
                  </w14:solidFill>
                </w14:textFill>
              </w:rPr>
              <w:t xml:space="preserve"> m³/a，</w:t>
            </w:r>
            <w:r>
              <w:rPr>
                <w:color w:val="000000" w:themeColor="text1"/>
                <w:kern w:val="24"/>
                <w:szCs w:val="24"/>
                <w14:textFill>
                  <w14:solidFill>
                    <w14:schemeClr w14:val="tx1"/>
                  </w14:solidFill>
                </w14:textFill>
              </w:rPr>
              <w:t>58.70</w:t>
            </w:r>
            <w:r>
              <w:rPr>
                <w:rFonts w:hint="eastAsia"/>
                <w:color w:val="000000" w:themeColor="text1"/>
                <w:kern w:val="24"/>
                <w:szCs w:val="24"/>
                <w14:textFill>
                  <w14:solidFill>
                    <w14:schemeClr w14:val="tx1"/>
                  </w14:solidFill>
                </w14:textFill>
              </w:rPr>
              <w:t xml:space="preserve"> m³/d（扩建后泥饼新增带走水分约1</w:t>
            </w:r>
            <w:r>
              <w:rPr>
                <w:color w:val="000000" w:themeColor="text1"/>
                <w:kern w:val="24"/>
                <w:szCs w:val="24"/>
                <w14:textFill>
                  <w14:solidFill>
                    <w14:schemeClr w14:val="tx1"/>
                  </w14:solidFill>
                </w14:textFill>
              </w:rPr>
              <w:t>1086.8</w:t>
            </w:r>
            <w:r>
              <w:rPr>
                <w:rFonts w:hint="eastAsia"/>
                <w:color w:val="000000" w:themeColor="text1"/>
                <w:kern w:val="24"/>
                <w:szCs w:val="24"/>
                <w14:textFill>
                  <w14:solidFill>
                    <w14:schemeClr w14:val="tx1"/>
                  </w14:solidFill>
                </w14:textFill>
              </w:rPr>
              <w:t xml:space="preserve"> m³/a，</w:t>
            </w:r>
            <w:r>
              <w:rPr>
                <w:color w:val="000000" w:themeColor="text1"/>
                <w:kern w:val="24"/>
                <w:szCs w:val="24"/>
                <w14:textFill>
                  <w14:solidFill>
                    <w14:schemeClr w14:val="tx1"/>
                  </w14:solidFill>
                </w14:textFill>
              </w:rPr>
              <w:t>36.96</w:t>
            </w:r>
            <w:r>
              <w:rPr>
                <w:rFonts w:hint="eastAsia"/>
                <w:color w:val="000000" w:themeColor="text1"/>
                <w:kern w:val="24"/>
                <w:szCs w:val="24"/>
                <w14:textFill>
                  <w14:solidFill>
                    <w14:schemeClr w14:val="tx1"/>
                  </w14:solidFill>
                </w14:textFill>
              </w:rPr>
              <w:t xml:space="preserve"> m³/d）。压滤水直接返回洗砂废水处理设施的清水池回用生产。</w:t>
            </w:r>
          </w:p>
          <w:p>
            <w:pPr>
              <w:spacing w:line="360" w:lineRule="auto"/>
              <w:ind w:firstLine="480" w:firstLineChars="200"/>
              <w:jc w:val="left"/>
              <w:rPr>
                <w:kern w:val="24"/>
                <w:szCs w:val="24"/>
              </w:rPr>
            </w:pPr>
            <w:r>
              <w:rPr>
                <w:kern w:val="24"/>
                <w:szCs w:val="24"/>
              </w:rPr>
              <w:t>综上分析，项目生产线进入洗砂废水处理设施的废水量包括洗砂废水和产品渗沥水，</w:t>
            </w:r>
            <w:r>
              <w:rPr>
                <w:rFonts w:hint="eastAsia"/>
                <w:kern w:val="24"/>
                <w:szCs w:val="24"/>
              </w:rPr>
              <w:t>扩建后</w:t>
            </w:r>
            <w:r>
              <w:rPr>
                <w:kern w:val="24"/>
                <w:szCs w:val="24"/>
              </w:rPr>
              <w:t>总水量约432.45</w:t>
            </w:r>
            <w:r>
              <w:rPr>
                <w:rFonts w:hint="eastAsia"/>
                <w:kern w:val="24"/>
                <w:szCs w:val="24"/>
              </w:rPr>
              <w:t xml:space="preserve"> m³</w:t>
            </w:r>
            <w:r>
              <w:rPr>
                <w:kern w:val="24"/>
                <w:szCs w:val="24"/>
              </w:rPr>
              <w:t xml:space="preserve">/d </w:t>
            </w:r>
            <w:r>
              <w:rPr>
                <w:rFonts w:hint="eastAsia"/>
                <w:kern w:val="24"/>
                <w:szCs w:val="24"/>
              </w:rPr>
              <w:t>（扩建新增水量为</w:t>
            </w:r>
            <w:r>
              <w:rPr>
                <w:szCs w:val="24"/>
              </w:rPr>
              <w:t>272.28</w:t>
            </w:r>
            <w:r>
              <w:rPr>
                <w:rFonts w:hint="eastAsia"/>
                <w:szCs w:val="24"/>
              </w:rPr>
              <w:t>m³</w:t>
            </w:r>
            <w:r>
              <w:rPr>
                <w:szCs w:val="24"/>
              </w:rPr>
              <w:t>/d</w:t>
            </w:r>
            <w:r>
              <w:rPr>
                <w:rFonts w:hint="eastAsia"/>
                <w:kern w:val="24"/>
                <w:szCs w:val="24"/>
              </w:rPr>
              <w:t>）</w:t>
            </w:r>
            <w:r>
              <w:rPr>
                <w:kern w:val="24"/>
                <w:szCs w:val="24"/>
              </w:rPr>
              <w:t>，处理后泥饼带走水量为58.70</w:t>
            </w:r>
            <w:r>
              <w:rPr>
                <w:rFonts w:hint="eastAsia"/>
                <w:kern w:val="24"/>
                <w:szCs w:val="24"/>
              </w:rPr>
              <w:t>m³</w:t>
            </w:r>
            <w:r>
              <w:rPr>
                <w:kern w:val="24"/>
                <w:szCs w:val="24"/>
              </w:rPr>
              <w:t>/d</w:t>
            </w:r>
            <w:r>
              <w:rPr>
                <w:rFonts w:hint="eastAsia"/>
                <w:kern w:val="24"/>
                <w:szCs w:val="24"/>
              </w:rPr>
              <w:t>（扩建后泥饼新增带走水分约</w:t>
            </w:r>
            <w:r>
              <w:rPr>
                <w:kern w:val="24"/>
                <w:szCs w:val="24"/>
              </w:rPr>
              <w:t>36.96</w:t>
            </w:r>
            <w:r>
              <w:rPr>
                <w:rFonts w:hint="eastAsia"/>
                <w:kern w:val="24"/>
                <w:szCs w:val="24"/>
              </w:rPr>
              <w:t xml:space="preserve"> m³/d）</w:t>
            </w:r>
            <w:r>
              <w:rPr>
                <w:kern w:val="24"/>
                <w:szCs w:val="24"/>
              </w:rPr>
              <w:t>，则</w:t>
            </w:r>
            <w:r>
              <w:rPr>
                <w:rFonts w:hint="eastAsia"/>
                <w:kern w:val="24"/>
                <w:szCs w:val="24"/>
              </w:rPr>
              <w:t>扩建后全厂</w:t>
            </w:r>
            <w:r>
              <w:rPr>
                <w:kern w:val="24"/>
                <w:szCs w:val="24"/>
              </w:rPr>
              <w:t>回用水量为373.75</w:t>
            </w:r>
            <w:r>
              <w:rPr>
                <w:rFonts w:hint="eastAsia"/>
                <w:kern w:val="24"/>
                <w:szCs w:val="24"/>
              </w:rPr>
              <w:t xml:space="preserve"> m³</w:t>
            </w:r>
            <w:r>
              <w:rPr>
                <w:kern w:val="24"/>
                <w:szCs w:val="24"/>
              </w:rPr>
              <w:t>/d</w:t>
            </w:r>
            <w:r>
              <w:rPr>
                <w:rFonts w:hint="eastAsia"/>
                <w:kern w:val="24"/>
                <w:szCs w:val="24"/>
              </w:rPr>
              <w:t>（扩建项目新增回用水量为2</w:t>
            </w:r>
            <w:r>
              <w:rPr>
                <w:kern w:val="24"/>
                <w:szCs w:val="24"/>
              </w:rPr>
              <w:t>35.32</w:t>
            </w:r>
            <w:r>
              <w:rPr>
                <w:rFonts w:hint="eastAsia"/>
                <w:kern w:val="24"/>
                <w:szCs w:val="24"/>
              </w:rPr>
              <w:t xml:space="preserve"> m³</w:t>
            </w:r>
            <w:r>
              <w:rPr>
                <w:kern w:val="24"/>
                <w:szCs w:val="24"/>
              </w:rPr>
              <w:t>/d</w:t>
            </w:r>
            <w:r>
              <w:rPr>
                <w:rFonts w:hint="eastAsia"/>
                <w:kern w:val="24"/>
                <w:szCs w:val="24"/>
              </w:rPr>
              <w:t>）</w:t>
            </w:r>
            <w:r>
              <w:rPr>
                <w:kern w:val="24"/>
                <w:szCs w:val="24"/>
              </w:rPr>
              <w:t>。</w:t>
            </w:r>
          </w:p>
          <w:p>
            <w:pPr>
              <w:spacing w:line="360" w:lineRule="auto"/>
              <w:ind w:firstLine="361" w:firstLineChars="150"/>
              <w:rPr>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车辆冲洗用水：</w:t>
            </w:r>
            <w:r>
              <w:rPr>
                <w:rFonts w:hint="eastAsia"/>
                <w:color w:val="000000" w:themeColor="text1"/>
                <w:szCs w:val="24"/>
                <w14:textFill>
                  <w14:solidFill>
                    <w14:schemeClr w14:val="tx1"/>
                  </w14:solidFill>
                </w14:textFill>
              </w:rPr>
              <w:t>根据建设单位介绍，本项目原料和产品均依靠汽车运输，单车运载能力取20t ，年生产300天，则运输作业平均每天约</w:t>
            </w:r>
            <w:r>
              <w:rPr>
                <w:color w:val="000000" w:themeColor="text1"/>
                <w:szCs w:val="24"/>
                <w14:textFill>
                  <w14:solidFill>
                    <w14:schemeClr w14:val="tx1"/>
                  </w14:solidFill>
                </w14:textFill>
              </w:rPr>
              <w:t>47</w:t>
            </w:r>
            <w:r>
              <w:rPr>
                <w:rFonts w:hint="eastAsia"/>
                <w:color w:val="000000" w:themeColor="text1"/>
                <w:szCs w:val="24"/>
                <w14:textFill>
                  <w14:solidFill>
                    <w14:schemeClr w14:val="tx1"/>
                  </w14:solidFill>
                </w14:textFill>
              </w:rPr>
              <w:t>次（本次扩建新增平均每天约3</w:t>
            </w:r>
            <w:r>
              <w:rPr>
                <w:color w:val="000000" w:themeColor="text1"/>
                <w:szCs w:val="24"/>
                <w14:textFill>
                  <w14:solidFill>
                    <w14:schemeClr w14:val="tx1"/>
                  </w14:solidFill>
                </w14:textFill>
              </w:rPr>
              <w:t>0</w:t>
            </w:r>
            <w:r>
              <w:rPr>
                <w:rFonts w:hint="eastAsia"/>
                <w:color w:val="000000" w:themeColor="text1"/>
                <w:szCs w:val="24"/>
                <w14:textFill>
                  <w14:solidFill>
                    <w14:schemeClr w14:val="tx1"/>
                  </w14:solidFill>
                </w14:textFill>
              </w:rPr>
              <w:t>次）。根据经验数据，车辆冲</w:t>
            </w:r>
            <w:r>
              <w:rPr>
                <w:rFonts w:hint="eastAsia"/>
                <w:bCs/>
                <w:color w:val="000000" w:themeColor="text1"/>
                <w14:textFill>
                  <w14:solidFill>
                    <w14:schemeClr w14:val="tx1"/>
                  </w14:solidFill>
                </w14:textFill>
              </w:rPr>
              <w:t>洗用水约80L/车·次，则扩建后车辆冲洗用水量为</w:t>
            </w:r>
            <w:r>
              <w:rPr>
                <w:bCs/>
                <w:color w:val="000000" w:themeColor="text1"/>
                <w14:textFill>
                  <w14:solidFill>
                    <w14:schemeClr w14:val="tx1"/>
                  </w14:solidFill>
                </w14:textFill>
              </w:rPr>
              <w:t>3.76</w:t>
            </w:r>
            <w:r>
              <w:rPr>
                <w:rFonts w:hint="eastAsia"/>
                <w:color w:val="000000" w:themeColor="text1"/>
                <w:kern w:val="24"/>
                <w:szCs w:val="24"/>
                <w14:textFill>
                  <w14:solidFill>
                    <w14:schemeClr w14:val="tx1"/>
                  </w14:solidFill>
                </w14:textFill>
              </w:rPr>
              <w:t xml:space="preserve"> m³</w:t>
            </w:r>
            <w:r>
              <w:rPr>
                <w:rFonts w:hint="eastAsia"/>
                <w:bCs/>
                <w:color w:val="000000" w:themeColor="text1"/>
                <w14:textFill>
                  <w14:solidFill>
                    <w14:schemeClr w14:val="tx1"/>
                  </w14:solidFill>
                </w14:textFill>
              </w:rPr>
              <w:t>/d（扩建新增车辆冲洗用水量2</w:t>
            </w:r>
            <w:r>
              <w:rPr>
                <w:bCs/>
                <w:color w:val="000000" w:themeColor="text1"/>
                <w14:textFill>
                  <w14:solidFill>
                    <w14:schemeClr w14:val="tx1"/>
                  </w14:solidFill>
                </w14:textFill>
              </w:rPr>
              <w:t>.4</w:t>
            </w:r>
            <w:r>
              <w:rPr>
                <w:rFonts w:hint="eastAsia"/>
                <w:color w:val="000000" w:themeColor="text1"/>
                <w:kern w:val="24"/>
                <w:szCs w:val="24"/>
                <w14:textFill>
                  <w14:solidFill>
                    <w14:schemeClr w14:val="tx1"/>
                  </w14:solidFill>
                </w14:textFill>
              </w:rPr>
              <w:t xml:space="preserve"> m³</w:t>
            </w:r>
            <w:r>
              <w:rPr>
                <w:rFonts w:hint="eastAsia"/>
                <w:bCs/>
                <w:color w:val="000000" w:themeColor="text1"/>
                <w14:textFill>
                  <w14:solidFill>
                    <w14:schemeClr w14:val="tx1"/>
                  </w14:solidFill>
                </w14:textFill>
              </w:rPr>
              <w:t>/d），冲洗废水产生系数按85%计，扩建后产生总量为</w:t>
            </w:r>
            <w:r>
              <w:rPr>
                <w:bCs/>
                <w:color w:val="000000" w:themeColor="text1"/>
                <w14:textFill>
                  <w14:solidFill>
                    <w14:schemeClr w14:val="tx1"/>
                  </w14:solidFill>
                </w14:textFill>
              </w:rPr>
              <w:t>3.20</w:t>
            </w:r>
            <w:r>
              <w:rPr>
                <w:rFonts w:hint="eastAsia"/>
                <w:color w:val="000000" w:themeColor="text1"/>
                <w:kern w:val="24"/>
                <w:szCs w:val="24"/>
                <w14:textFill>
                  <w14:solidFill>
                    <w14:schemeClr w14:val="tx1"/>
                  </w14:solidFill>
                </w14:textFill>
              </w:rPr>
              <w:t xml:space="preserve"> m³</w:t>
            </w:r>
            <w:r>
              <w:rPr>
                <w:rFonts w:hint="eastAsia"/>
                <w:bCs/>
                <w:color w:val="000000" w:themeColor="text1"/>
                <w14:textFill>
                  <w14:solidFill>
                    <w14:schemeClr w14:val="tx1"/>
                  </w14:solidFill>
                </w14:textFill>
              </w:rPr>
              <w:t>/d（扩建新增废水量为2</w:t>
            </w:r>
            <w:r>
              <w:rPr>
                <w:bCs/>
                <w:color w:val="000000" w:themeColor="text1"/>
                <w14:textFill>
                  <w14:solidFill>
                    <w14:schemeClr w14:val="tx1"/>
                  </w14:solidFill>
                </w14:textFill>
              </w:rPr>
              <w:t>.04</w:t>
            </w:r>
            <w:r>
              <w:rPr>
                <w:rFonts w:hint="eastAsia"/>
                <w:color w:val="000000" w:themeColor="text1"/>
                <w:kern w:val="24"/>
                <w:szCs w:val="24"/>
                <w14:textFill>
                  <w14:solidFill>
                    <w14:schemeClr w14:val="tx1"/>
                  </w14:solidFill>
                </w14:textFill>
              </w:rPr>
              <w:t xml:space="preserve"> m³</w:t>
            </w:r>
            <w:r>
              <w:rPr>
                <w:rFonts w:hint="eastAsia"/>
                <w:bCs/>
                <w:color w:val="000000" w:themeColor="text1"/>
                <w14:textFill>
                  <w14:solidFill>
                    <w14:schemeClr w14:val="tx1"/>
                  </w14:solidFill>
                </w14:textFill>
              </w:rPr>
              <w:t>/d）。车辆冲洗废水设沉淀池收集处理后循环回用不外排。扩建后车辆冲洗补充水为</w:t>
            </w:r>
            <w:r>
              <w:rPr>
                <w:bCs/>
                <w:color w:val="000000" w:themeColor="text1"/>
                <w14:textFill>
                  <w14:solidFill>
                    <w14:schemeClr w14:val="tx1"/>
                  </w14:solidFill>
                </w14:textFill>
              </w:rPr>
              <w:t>0.56</w:t>
            </w:r>
            <w:r>
              <w:rPr>
                <w:rFonts w:hint="eastAsia"/>
                <w:color w:val="000000" w:themeColor="text1"/>
                <w:kern w:val="24"/>
                <w:szCs w:val="24"/>
                <w14:textFill>
                  <w14:solidFill>
                    <w14:schemeClr w14:val="tx1"/>
                  </w14:solidFill>
                </w14:textFill>
              </w:rPr>
              <w:t xml:space="preserve"> m³</w:t>
            </w:r>
            <w:r>
              <w:rPr>
                <w:rFonts w:hint="eastAsia"/>
                <w:bCs/>
                <w:color w:val="000000" w:themeColor="text1"/>
                <w14:textFill>
                  <w14:solidFill>
                    <w14:schemeClr w14:val="tx1"/>
                  </w14:solidFill>
                </w14:textFill>
              </w:rPr>
              <w:t>/d（扩建新增车辆冲洗补充水为0</w:t>
            </w:r>
            <w:r>
              <w:rPr>
                <w:bCs/>
                <w:color w:val="000000" w:themeColor="text1"/>
                <w14:textFill>
                  <w14:solidFill>
                    <w14:schemeClr w14:val="tx1"/>
                  </w14:solidFill>
                </w14:textFill>
              </w:rPr>
              <w:t>.36</w:t>
            </w:r>
            <w:r>
              <w:rPr>
                <w:rFonts w:hint="eastAsia"/>
                <w:color w:val="000000" w:themeColor="text1"/>
                <w:kern w:val="24"/>
                <w:szCs w:val="24"/>
                <w14:textFill>
                  <w14:solidFill>
                    <w14:schemeClr w14:val="tx1"/>
                  </w14:solidFill>
                </w14:textFill>
              </w:rPr>
              <w:t xml:space="preserve"> m³</w:t>
            </w:r>
            <w:r>
              <w:rPr>
                <w:rFonts w:hint="eastAsia"/>
                <w:bCs/>
                <w:color w:val="000000" w:themeColor="text1"/>
                <w14:textFill>
                  <w14:solidFill>
                    <w14:schemeClr w14:val="tx1"/>
                  </w14:solidFill>
                </w14:textFill>
              </w:rPr>
              <w:t>/d）。</w:t>
            </w:r>
          </w:p>
          <w:p>
            <w:pPr>
              <w:spacing w:line="360" w:lineRule="auto"/>
              <w:ind w:firstLine="360" w:firstLineChars="15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项目初期雨水的产生量，采用《达州市中心城区暴雨强度公式》计算。初期雨水取15min时长，径流系数取0.9 ，汇入面积取0.23hm</w:t>
            </w:r>
            <w:r>
              <w:rPr>
                <w:rFonts w:hint="eastAsia"/>
                <w:bCs/>
                <w:color w:val="000000" w:themeColor="text1"/>
                <w:szCs w:val="24"/>
                <w:vertAlign w:val="superscript"/>
                <w14:textFill>
                  <w14:solidFill>
                    <w14:schemeClr w14:val="tx1"/>
                  </w14:solidFill>
                </w14:textFill>
              </w:rPr>
              <w:t>2</w:t>
            </w:r>
            <w:r>
              <w:rPr>
                <w:rFonts w:hint="eastAsia"/>
                <w:bCs/>
                <w:color w:val="000000" w:themeColor="text1"/>
                <w:szCs w:val="24"/>
                <w14:textFill>
                  <w14:solidFill>
                    <w14:schemeClr w14:val="tx1"/>
                  </w14:solidFill>
                </w14:textFill>
              </w:rPr>
              <w:t xml:space="preserve"> ，经计算 项目厂区初期雨水量约40m³/次。</w:t>
            </w:r>
          </w:p>
          <w:p>
            <w:pPr>
              <w:spacing w:line="360" w:lineRule="auto"/>
              <w:ind w:firstLine="361" w:firstLineChars="15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2.2</w:t>
            </w:r>
            <w:r>
              <w:rPr>
                <w14:textOutline w14:w="4356" w14:cap="sq" w14:cmpd="sng" w14:algn="ctr">
                  <w14:solidFill>
                    <w14:srgbClr w14:val="000000"/>
                  </w14:solidFill>
                  <w14:prstDash w14:val="solid"/>
                  <w14:bevel/>
                </w14:textOutline>
              </w:rPr>
              <w:t>废水治理措施及排放情况</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（1）洗砂废水及成品渗滤水处理措施</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洗砂废水及成品渗滤水主要污染物为悬浮物，但部分悬浮物颗粒较小不利于沉淀。因此，本项目设计采用“絮凝沉淀 ”工艺，对废水进行处理后全部作为生产用水，循环回用不外排。</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废水首先进入废水收集池，此时废水中悬浮物浓度较大，约3000mg/L；通过加药器加入絮凝剂PAM 、PAC ，能有效提升悬浮物的沉淀速度。PAM、PAC有良好的絮凝性、无毒害且不会引入其他杂质（如铝等）。悬浮物逐渐结合成团状，沉淀至池底成为淤泥。此时废水中悬浮物浓度较低，较处理前的悬浮物浓度降低了约90左右% ，浓度约300~500mg/L。废水依次进入第二级以及第三级沉淀后。悬浮物主要通过自然沉淀的方式得到去除，废水停留时间设计为4小时，能够去除部分悬浮物。第三级沉淀池的上清液，最后进入清水池，此时悬浮物的浓度约为200~300mg/L，能够满足回用需求。通过水泵抽取及时回用。淤泥主要存在于第一级和第二级沉淀池中，定期由污泥泵抽取至板框压滤机压滤处理后，暂存在压滤机下方的泥饼池，定期拉运至附近砖厂利用。</w:t>
            </w:r>
          </w:p>
          <w:p>
            <w:pPr>
              <w:spacing w:line="360" w:lineRule="auto"/>
              <w:ind w:firstLine="361" w:firstLineChars="150"/>
              <w:rPr>
                <w:b/>
                <w:color w:val="000000" w:themeColor="text1"/>
                <w14:textFill>
                  <w14:solidFill>
                    <w14:schemeClr w14:val="tx1"/>
                  </w14:solidFill>
                </w14:textFill>
              </w:rPr>
            </w:pPr>
            <w:r>
              <w:rPr>
                <w:rFonts w:hint="eastAsia"/>
                <w:b/>
                <w:color w:val="000000" w:themeColor="text1"/>
                <w14:textFill>
                  <w14:solidFill>
                    <w14:schemeClr w14:val="tx1"/>
                  </w14:solidFill>
                </w14:textFill>
              </w:rPr>
              <w:t>废水处理系统：</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废水处理系统由</w:t>
            </w:r>
            <w:r>
              <w:rPr>
                <w:rFonts w:hint="eastAsia"/>
                <w:color w:val="000000" w:themeColor="text1"/>
                <w14:textFill>
                  <w14:solidFill>
                    <w14:schemeClr w14:val="tx1"/>
                  </w14:solidFill>
                </w14:textFill>
              </w:rPr>
              <w:t>废水收集池、澄清水塔</w:t>
            </w:r>
            <w:r>
              <w:rPr>
                <w:color w:val="000000" w:themeColor="text1"/>
                <w14:textFill>
                  <w14:solidFill>
                    <w14:schemeClr w14:val="tx1"/>
                  </w14:solidFill>
                </w14:textFill>
              </w:rPr>
              <w:t>、压滤机、清水池</w:t>
            </w:r>
            <w:r>
              <w:rPr>
                <w:rFonts w:hint="eastAsia"/>
                <w:bCs/>
                <w:color w:val="000000" w:themeColor="text1"/>
                <w14:textFill>
                  <w14:solidFill>
                    <w14:schemeClr w14:val="tx1"/>
                  </w14:solidFill>
                </w14:textFill>
              </w:rPr>
              <w:t>等组成。总容积约720m³ ，设计废水停留时间为8小时，则8小时总停留废水720m³ ，处理规模为60m³/h 。本项目建设后全厂废水产生总量约46.72m³/h（含产品渗沥水），处理系统按废水水量上浮25%设计，留出一定的余量，主要设施要求见下表。</w:t>
            </w:r>
          </w:p>
          <w:p>
            <w:pPr>
              <w:spacing w:line="360" w:lineRule="auto"/>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表4-7    废水处理系统建设要求</w:t>
            </w:r>
          </w:p>
          <w:tbl>
            <w:tblPr>
              <w:tblStyle w:val="38"/>
              <w:tblW w:w="8783" w:type="dxa"/>
              <w:tblInd w:w="7" w:type="dxa"/>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011"/>
              <w:gridCol w:w="2010"/>
              <w:gridCol w:w="1392"/>
              <w:gridCol w:w="1236"/>
              <w:gridCol w:w="3134"/>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011"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序号</w:t>
                  </w:r>
                </w:p>
              </w:tc>
              <w:tc>
                <w:tcPr>
                  <w:tcW w:w="2010"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设施名称</w:t>
                  </w:r>
                </w:p>
              </w:tc>
              <w:tc>
                <w:tcPr>
                  <w:tcW w:w="1392"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总容积</w:t>
                  </w:r>
                </w:p>
              </w:tc>
              <w:tc>
                <w:tcPr>
                  <w:tcW w:w="1236"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数量</w:t>
                  </w:r>
                </w:p>
              </w:tc>
              <w:tc>
                <w:tcPr>
                  <w:tcW w:w="3134"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备注</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011"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w:t>
                  </w:r>
                </w:p>
              </w:tc>
              <w:tc>
                <w:tcPr>
                  <w:tcW w:w="2010"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废水收集池</w:t>
                  </w:r>
                </w:p>
              </w:tc>
              <w:tc>
                <w:tcPr>
                  <w:tcW w:w="1392"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400m³</w:t>
                  </w:r>
                </w:p>
              </w:tc>
              <w:tc>
                <w:tcPr>
                  <w:tcW w:w="1236"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 个</w:t>
                  </w:r>
                </w:p>
              </w:tc>
              <w:tc>
                <w:tcPr>
                  <w:tcW w:w="3134"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基地硬化处理、池体防渗</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011"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2</w:t>
                  </w:r>
                </w:p>
              </w:tc>
              <w:tc>
                <w:tcPr>
                  <w:tcW w:w="2010"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澄清水塔</w:t>
                  </w:r>
                </w:p>
              </w:tc>
              <w:tc>
                <w:tcPr>
                  <w:tcW w:w="1392"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6</w:t>
                  </w:r>
                  <w:r>
                    <w:rPr>
                      <w:rFonts w:ascii="Times New Roman" w:hAnsi="Times New Roman" w:cs="Times New Roman"/>
                      <w:snapToGrid/>
                      <w:color w:val="000000" w:themeColor="text1"/>
                      <w:kern w:val="2"/>
                      <w:sz w:val="21"/>
                      <w:szCs w:val="21"/>
                      <w:lang w:eastAsia="zh-CN"/>
                      <w14:textFill>
                        <w14:solidFill>
                          <w14:schemeClr w14:val="tx1"/>
                        </w14:solidFill>
                      </w14:textFill>
                    </w:rPr>
                    <w:t>0</w:t>
                  </w:r>
                  <w:r>
                    <w:rPr>
                      <w:rFonts w:hint="eastAsia" w:ascii="Times New Roman" w:hAnsi="Times New Roman" w:cs="Times New Roman"/>
                      <w:snapToGrid/>
                      <w:color w:val="000000" w:themeColor="text1"/>
                      <w:kern w:val="2"/>
                      <w:sz w:val="21"/>
                      <w:szCs w:val="21"/>
                      <w:lang w:eastAsia="zh-CN"/>
                      <w14:textFill>
                        <w14:solidFill>
                          <w14:schemeClr w14:val="tx1"/>
                        </w14:solidFill>
                      </w14:textFill>
                    </w:rPr>
                    <w:t xml:space="preserve"> m³</w:t>
                  </w:r>
                </w:p>
              </w:tc>
              <w:tc>
                <w:tcPr>
                  <w:tcW w:w="1236"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 个</w:t>
                  </w:r>
                </w:p>
              </w:tc>
              <w:tc>
                <w:tcPr>
                  <w:tcW w:w="3134"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池体防渗</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011"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3</w:t>
                  </w:r>
                </w:p>
              </w:tc>
              <w:tc>
                <w:tcPr>
                  <w:tcW w:w="2010"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澄清水塔</w:t>
                  </w:r>
                </w:p>
              </w:tc>
              <w:tc>
                <w:tcPr>
                  <w:tcW w:w="1392"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6</w:t>
                  </w:r>
                  <w:r>
                    <w:rPr>
                      <w:rFonts w:ascii="Times New Roman" w:hAnsi="Times New Roman" w:cs="Times New Roman"/>
                      <w:snapToGrid/>
                      <w:color w:val="000000" w:themeColor="text1"/>
                      <w:kern w:val="2"/>
                      <w:sz w:val="21"/>
                      <w:szCs w:val="21"/>
                      <w:lang w:eastAsia="zh-CN"/>
                      <w14:textFill>
                        <w14:solidFill>
                          <w14:schemeClr w14:val="tx1"/>
                        </w14:solidFill>
                      </w14:textFill>
                    </w:rPr>
                    <w:t>0</w:t>
                  </w:r>
                  <w:r>
                    <w:rPr>
                      <w:rFonts w:hint="eastAsia" w:ascii="Times New Roman" w:hAnsi="Times New Roman" w:cs="Times New Roman"/>
                      <w:snapToGrid/>
                      <w:color w:val="000000" w:themeColor="text1"/>
                      <w:kern w:val="2"/>
                      <w:sz w:val="21"/>
                      <w:szCs w:val="21"/>
                      <w:lang w:eastAsia="zh-CN"/>
                      <w14:textFill>
                        <w14:solidFill>
                          <w14:schemeClr w14:val="tx1"/>
                        </w14:solidFill>
                      </w14:textFill>
                    </w:rPr>
                    <w:t xml:space="preserve"> m³</w:t>
                  </w:r>
                </w:p>
              </w:tc>
              <w:tc>
                <w:tcPr>
                  <w:tcW w:w="1236"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 个</w:t>
                  </w:r>
                </w:p>
              </w:tc>
              <w:tc>
                <w:tcPr>
                  <w:tcW w:w="3134"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池体防渗</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011"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4</w:t>
                  </w:r>
                </w:p>
              </w:tc>
              <w:tc>
                <w:tcPr>
                  <w:tcW w:w="2010"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清水池</w:t>
                  </w:r>
                </w:p>
              </w:tc>
              <w:tc>
                <w:tcPr>
                  <w:tcW w:w="1392"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20</w:t>
                  </w:r>
                  <w:r>
                    <w:rPr>
                      <w:rFonts w:ascii="Times New Roman" w:hAnsi="Times New Roman" w:cs="Times New Roman"/>
                      <w:snapToGrid/>
                      <w:color w:val="000000" w:themeColor="text1"/>
                      <w:kern w:val="2"/>
                      <w:sz w:val="21"/>
                      <w:szCs w:val="21"/>
                      <w:lang w:eastAsia="zh-CN"/>
                      <w14:textFill>
                        <w14:solidFill>
                          <w14:schemeClr w14:val="tx1"/>
                        </w14:solidFill>
                      </w14:textFill>
                    </w:rPr>
                    <w:t>0</w:t>
                  </w:r>
                  <w:r>
                    <w:rPr>
                      <w:rFonts w:hint="eastAsia" w:ascii="Times New Roman" w:hAnsi="Times New Roman" w:cs="Times New Roman"/>
                      <w:snapToGrid/>
                      <w:color w:val="000000" w:themeColor="text1"/>
                      <w:kern w:val="2"/>
                      <w:sz w:val="21"/>
                      <w:szCs w:val="21"/>
                      <w:lang w:eastAsia="zh-CN"/>
                      <w14:textFill>
                        <w14:solidFill>
                          <w14:schemeClr w14:val="tx1"/>
                        </w14:solidFill>
                      </w14:textFill>
                    </w:rPr>
                    <w:t xml:space="preserve"> m³</w:t>
                  </w:r>
                </w:p>
              </w:tc>
              <w:tc>
                <w:tcPr>
                  <w:tcW w:w="1236"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 个</w:t>
                  </w:r>
                </w:p>
              </w:tc>
              <w:tc>
                <w:tcPr>
                  <w:tcW w:w="3134"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基地硬化处理、池体防渗</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011"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5</w:t>
                  </w:r>
                </w:p>
              </w:tc>
              <w:tc>
                <w:tcPr>
                  <w:tcW w:w="2010"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加药机</w:t>
                  </w:r>
                </w:p>
              </w:tc>
              <w:tc>
                <w:tcPr>
                  <w:tcW w:w="1392"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1236"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 台</w:t>
                  </w:r>
                </w:p>
              </w:tc>
              <w:tc>
                <w:tcPr>
                  <w:tcW w:w="3134"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药品 PAM 、PAC</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011"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6</w:t>
                  </w:r>
                </w:p>
              </w:tc>
              <w:tc>
                <w:tcPr>
                  <w:tcW w:w="2010"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水泵</w:t>
                  </w:r>
                </w:p>
              </w:tc>
              <w:tc>
                <w:tcPr>
                  <w:tcW w:w="1392"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1236"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3 台</w:t>
                  </w:r>
                </w:p>
              </w:tc>
              <w:tc>
                <w:tcPr>
                  <w:tcW w:w="3134"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2 用 1 备</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1011"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7</w:t>
                  </w:r>
                </w:p>
              </w:tc>
              <w:tc>
                <w:tcPr>
                  <w:tcW w:w="2010"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污泥泵</w:t>
                  </w:r>
                </w:p>
              </w:tc>
              <w:tc>
                <w:tcPr>
                  <w:tcW w:w="1392"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1236"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3 台</w:t>
                  </w:r>
                </w:p>
              </w:tc>
              <w:tc>
                <w:tcPr>
                  <w:tcW w:w="3134" w:type="dxa"/>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2 用 1 备</w:t>
                  </w:r>
                </w:p>
              </w:tc>
            </w:tr>
          </w:tbl>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（2）产品渗沥水处理措施</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产品渗沥水产生于成品堆场，产品离开生产线时带走了部分水分。在成品堆场经过一段时间的暂存后，水分会逐渐的渗沥出来，本项目建设新增产生量为31.16m³/d，建设后全厂产生量为49.50m³/d。</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根据设计，项目拟在成品堆场外围设置导水沟。导水沟将渗沥水全收集至洗砂废水沉淀池，处理后全部回用。</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（3）车辆冲洗废水处理措施</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项目车辆冲洗废水产生量为2.13m³/d 。冲洗平台布置在厂区大门口，厂区现配套建设1个容积4m³的沉淀池，将冲洗废水收集沉淀后作为车辆冲洗水回用不外排。</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（4）场地初期雨水处理措施</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项目在厂区四周设置雨水边沟，引至南侧丁家坝河自然排放，避免场界外雨水涌入场内。同时在厂区地势最低处设置一个雨水收集池，容积约50m³ 。厂区地面设置排水沟收集厂区内道路、地坪、房屋筹集雨区的初期雨水，确保厂区内的初期雨水均收集至雨水收集池，不溢流至厂区外。初期雨水经沉淀后回用于生产不外排，不会对厂区外地表水产生影响。</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（5）生活污水处理措施</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本项目新增生活污水产生量为0.144m³/d，扩建后全厂生活污水排放量为0.48 m³/d。 目前厂区办公用房下面设一个化粪池（容积约3m³），将生活污水收集处理后，定期清掏做农肥不外排。</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经现场踏勘，本项目位于农村地区，附近有农户居住，周围分布有农田、农地等，农作物主要为玉米、白菜、莴笋、柑橘等常见的各类蔬菜及果树，有农肥消纳需求。本项目生活污水产生量较小，少量生活污水经化粪池处理后定期清掏做农肥，能够实现农用消纳不外排，对周围环境影响较小。</w:t>
            </w:r>
          </w:p>
          <w:p>
            <w:pPr>
              <w:spacing w:line="360" w:lineRule="auto"/>
              <w:ind w:firstLine="361" w:firstLineChars="150"/>
              <w:rPr>
                <w:b/>
                <w:color w:val="000000" w:themeColor="text1"/>
                <w14:textFill>
                  <w14:solidFill>
                    <w14:schemeClr w14:val="tx1"/>
                  </w14:solidFill>
                </w14:textFill>
              </w:rPr>
            </w:pPr>
            <w:r>
              <w:rPr>
                <w:rFonts w:hint="eastAsia"/>
                <w:b/>
                <w:color w:val="000000" w:themeColor="text1"/>
                <w14:textFill>
                  <w14:solidFill>
                    <w14:schemeClr w14:val="tx1"/>
                  </w14:solidFill>
                </w14:textFill>
              </w:rPr>
              <w:t>2.3生产废水循环回用可行性论证</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（1）废水处理工艺论证</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由于生产废水中主要污染物为SS ，污染物种类少且处理；同时本项目生产用水主要为防尘、制砂冲洗用水等环节，对水质要求不高。因此，项目废水经沉淀后能够满足回用的要求，回用价值高。项目选用“ 絮凝沉淀”工艺处理生产废水，然后全部回用到生产过程中。</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废水经收集管道汇入废水收集池后悬浮物开始沉淀，同时向废水收集池内计量加入絮凝剂。收集池设有溢流口，废水可溢流进入澄清水塔继续处理；废水依次经过二级澄清水塔排入清水池内；清水池内配备循环水泵，生产期间不停地将清水池内的水抽至用水工序回用。由于项目废水中的主要污染物为泥砂，比重较大，沉淀速率较快，废水严格按照该工艺处理，按照同类项目的生产的实际经验，保守估计，废水处理系统对泥砂的去除率可达到90~95% ，该水质能够满足项目生产要求。</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（2）废水闭路循环的可靠性</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扩建后厂区每天新增用水量的用水量为290.27m³，扩建后全厂每天用水量为460.76m³，扩建后生产线每天新增废水量为235.32m³，扩建后全厂生产线每天废水总量为373.75m³。小于用水量，产生的废水可全部进入废水处理系统处理。根据地势高低，项目废水经收集后全部进入废水收集池处理，通过在清水池内安装有循环水泵，每天先抽用回用水，保证废水收集池有足够的容量处理、容纳每天产生的废水，以确保项目废水不外排，实现生产废水闭路循环。项目废水处理设施总容积720m³ ，废水在收集池内通过添加絮凝剂能够使废水中的泥砂快速沉淀，达到回用的要求；同时利用清水池储存处理后的废水，确保废水处理后不外排。生产过程中，废水在产生的同时也不断地被抽取回用，使废水处理系统的水量保持一个动态平衡。</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按照一天为一个生产周期计算，每天工作制度为8小时，扩建后全厂每天产生的废水量为373.75m³，夜间停止生产期间，最大需要373.75m³的蓄水池储存昼间的生产废水。项目废水处理设施总容积约720m³，设计废水处理过程的停留时间为8小时，则运行过程可接纳720m³的废水。项目在夜间不生产期间，厂区也有足够的容积储存昼间产生的所有废水。项目须配备循环水泵，生产期间不停地将清水池内的水抽至用水工序，以便为新产生的废水提供足够的停留时间，满足生产需求。沉淀池底部均配备1台泥浆泵，池底淤泥由 泥浆泵抽至板框压滤机内处理，压滤废水回流至清水池。建设单位必须保证泥浆泵正常运行，及时抽走产生的泥砂，保证沉淀系统正常运行，确保项目废水全部处理后回用，杜绝生产废水外排。</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因此，只要建设单位加强生产管理，将处理后的回用水切实回用于生产，从水质、水量等方面分析，废水实现闭路循环，达到零排放的要求是可行可靠的。</w:t>
            </w:r>
          </w:p>
          <w:p>
            <w:pPr>
              <w:spacing w:line="360" w:lineRule="auto"/>
              <w:ind w:firstLine="361" w:firstLineChars="150"/>
              <w:rPr>
                <w:b/>
                <w:color w:val="000000" w:themeColor="text1"/>
                <w14:textFill>
                  <w14:solidFill>
                    <w14:schemeClr w14:val="tx1"/>
                  </w14:solidFill>
                </w14:textFill>
              </w:rPr>
            </w:pPr>
            <w:r>
              <w:rPr>
                <w:rFonts w:hint="eastAsia"/>
                <w:b/>
                <w:color w:val="000000" w:themeColor="text1"/>
                <w14:textFill>
                  <w14:solidFill>
                    <w14:schemeClr w14:val="tx1"/>
                  </w14:solidFill>
                </w14:textFill>
              </w:rPr>
              <w:t>2.4污染物源强及治理设施信息</w:t>
            </w:r>
          </w:p>
          <w:p>
            <w:pPr>
              <w:spacing w:line="360" w:lineRule="auto"/>
              <w:ind w:firstLine="301" w:firstLineChars="150"/>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 xml:space="preserve">表 4-8   </w:t>
            </w:r>
            <w:r>
              <w:rPr>
                <w:rFonts w:hint="eastAsia" w:eastAsia="黑体"/>
                <w:b/>
                <w:bCs/>
                <w:color w:val="000000" w:themeColor="text1"/>
                <w:kern w:val="0"/>
                <w:sz w:val="20"/>
                <w:szCs w:val="20"/>
                <w14:textFill>
                  <w14:solidFill>
                    <w14:schemeClr w14:val="tx1"/>
                  </w14:solidFill>
                </w14:textFill>
              </w:rPr>
              <w:t>扩建后新增</w:t>
            </w:r>
            <w:r>
              <w:rPr>
                <w:rFonts w:eastAsia="黑体"/>
                <w:b/>
                <w:bCs/>
                <w:color w:val="000000" w:themeColor="text1"/>
                <w:kern w:val="0"/>
                <w:sz w:val="20"/>
                <w:szCs w:val="20"/>
                <w14:textFill>
                  <w14:solidFill>
                    <w14:schemeClr w14:val="tx1"/>
                  </w14:solidFill>
                </w14:textFill>
              </w:rPr>
              <w:t>废水污染源源强核算结果及相关参数一览表</w:t>
            </w:r>
          </w:p>
          <w:tbl>
            <w:tblPr>
              <w:tblStyle w:val="3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09"/>
              <w:gridCol w:w="467"/>
              <w:gridCol w:w="551"/>
              <w:gridCol w:w="643"/>
              <w:gridCol w:w="614"/>
              <w:gridCol w:w="917"/>
              <w:gridCol w:w="636"/>
              <w:gridCol w:w="609"/>
              <w:gridCol w:w="459"/>
              <w:gridCol w:w="456"/>
              <w:gridCol w:w="614"/>
              <w:gridCol w:w="786"/>
              <w:gridCol w:w="636"/>
              <w:gridCol w:w="6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06" w:type="pct"/>
                  <w:vMerge w:val="restart"/>
                  <w:tcBorders>
                    <w:left w:val="nil"/>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工序/生产线</w:t>
                  </w:r>
                </w:p>
              </w:tc>
              <w:tc>
                <w:tcPr>
                  <w:tcW w:w="268" w:type="pct"/>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污染</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源</w:t>
                  </w:r>
                </w:p>
              </w:tc>
              <w:tc>
                <w:tcPr>
                  <w:tcW w:w="316" w:type="pct"/>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污染</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物</w:t>
                  </w:r>
                </w:p>
              </w:tc>
              <w:tc>
                <w:tcPr>
                  <w:tcW w:w="1607" w:type="pct"/>
                  <w:gridSpan w:val="4"/>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污染物产生</w:t>
                  </w:r>
                </w:p>
              </w:tc>
              <w:tc>
                <w:tcPr>
                  <w:tcW w:w="612" w:type="pct"/>
                  <w:gridSpan w:val="2"/>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治理措施</w:t>
                  </w:r>
                </w:p>
              </w:tc>
              <w:tc>
                <w:tcPr>
                  <w:tcW w:w="1398" w:type="pct"/>
                  <w:gridSpan w:val="4"/>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污染物排放</w:t>
                  </w:r>
                </w:p>
              </w:tc>
              <w:tc>
                <w:tcPr>
                  <w:tcW w:w="392" w:type="pct"/>
                  <w:vMerge w:val="restart"/>
                  <w:tcBorders>
                    <w:bottom w:val="nil"/>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排放  时间  （d/a）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406" w:type="pct"/>
                  <w:vMerge w:val="continue"/>
                  <w:tcBorders>
                    <w:top w:val="nil"/>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268" w:type="pct"/>
                  <w:vMerge w:val="continue"/>
                  <w:tcBorders>
                    <w:top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316" w:type="pct"/>
                  <w:vMerge w:val="continue"/>
                  <w:tcBorders>
                    <w:top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36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核算</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方法</w:t>
                  </w:r>
                </w:p>
              </w:tc>
              <w:tc>
                <w:tcPr>
                  <w:tcW w:w="3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产生量 (</w:t>
                  </w:r>
                  <w:r>
                    <w:rPr>
                      <w:rFonts w:hint="eastAsia" w:ascii="Times New Roman" w:hAnsi="Times New Roman" w:cs="Times New Roman"/>
                      <w:snapToGrid/>
                      <w:color w:val="000000" w:themeColor="text1"/>
                      <w:kern w:val="2"/>
                      <w:sz w:val="21"/>
                      <w:szCs w:val="21"/>
                      <w:lang w:eastAsia="zh-CN"/>
                      <w14:textFill>
                        <w14:solidFill>
                          <w14:schemeClr w14:val="tx1"/>
                        </w14:solidFill>
                      </w14:textFill>
                    </w:rPr>
                    <w:t>m³</w:t>
                  </w:r>
                  <w:r>
                    <w:rPr>
                      <w:rFonts w:ascii="Times New Roman" w:hAnsi="Times New Roman" w:cs="Times New Roman"/>
                      <w:snapToGrid/>
                      <w:color w:val="000000" w:themeColor="text1"/>
                      <w:kern w:val="2"/>
                      <w:sz w:val="21"/>
                      <w:szCs w:val="21"/>
                      <w:lang w:eastAsia="zh-CN"/>
                      <w14:textFill>
                        <w14:solidFill>
                          <w14:schemeClr w14:val="tx1"/>
                        </w14:solidFill>
                      </w14:textFill>
                    </w:rPr>
                    <w:t>/a)</w:t>
                  </w:r>
                </w:p>
              </w:tc>
              <w:tc>
                <w:tcPr>
                  <w:tcW w:w="524"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产生浓度 （mg/L）</w:t>
                  </w:r>
                </w:p>
              </w:tc>
              <w:tc>
                <w:tcPr>
                  <w:tcW w:w="36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产生量 （t/a）</w:t>
                  </w:r>
                </w:p>
              </w:tc>
              <w:tc>
                <w:tcPr>
                  <w:tcW w:w="34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工艺</w:t>
                  </w:r>
                </w:p>
              </w:tc>
              <w:tc>
                <w:tcPr>
                  <w:tcW w:w="26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效率 /%</w:t>
                  </w:r>
                </w:p>
              </w:tc>
              <w:tc>
                <w:tcPr>
                  <w:tcW w:w="26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核算 方法</w:t>
                  </w:r>
                </w:p>
              </w:tc>
              <w:tc>
                <w:tcPr>
                  <w:tcW w:w="35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排放量 (m3/a)</w:t>
                  </w:r>
                </w:p>
              </w:tc>
              <w:tc>
                <w:tcPr>
                  <w:tcW w:w="43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排放浓度</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（mg/L )</w:t>
                  </w:r>
                </w:p>
              </w:tc>
              <w:tc>
                <w:tcPr>
                  <w:tcW w:w="34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排放量 （t/a）</w:t>
                  </w:r>
                </w:p>
              </w:tc>
              <w:tc>
                <w:tcPr>
                  <w:tcW w:w="392" w:type="pct"/>
                  <w:vMerge w:val="continue"/>
                  <w:tcBorders>
                    <w:top w:val="nil"/>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06"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洗砂</w:t>
                  </w:r>
                </w:p>
              </w:tc>
              <w:tc>
                <w:tcPr>
                  <w:tcW w:w="268" w:type="pct"/>
                  <w:vAlign w:val="center"/>
                </w:tcPr>
                <w:p>
                  <w:pPr>
                    <w:pStyle w:val="34"/>
                    <w:spacing w:line="360" w:lineRule="auto"/>
                    <w:ind w:right="4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洗砂 废水</w:t>
                  </w:r>
                </w:p>
              </w:tc>
              <w:tc>
                <w:tcPr>
                  <w:tcW w:w="316"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SS</w:t>
                  </w:r>
                </w:p>
              </w:tc>
              <w:tc>
                <w:tcPr>
                  <w:tcW w:w="368"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系数法</w:t>
                  </w:r>
                </w:p>
              </w:tc>
              <w:tc>
                <w:tcPr>
                  <w:tcW w:w="352" w:type="pct"/>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72336</w:t>
                  </w:r>
                </w:p>
              </w:tc>
              <w:tc>
                <w:tcPr>
                  <w:tcW w:w="524"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3000</w:t>
                  </w:r>
                </w:p>
              </w:tc>
              <w:tc>
                <w:tcPr>
                  <w:tcW w:w="363" w:type="pct"/>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217.01</w:t>
                  </w:r>
                </w:p>
              </w:tc>
              <w:tc>
                <w:tcPr>
                  <w:tcW w:w="349" w:type="pct"/>
                  <w:vAlign w:val="center"/>
                </w:tcPr>
                <w:p>
                  <w:pPr>
                    <w:pStyle w:val="34"/>
                    <w:spacing w:line="360" w:lineRule="auto"/>
                    <w:ind w:right="99"/>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絮凝 沉淀</w:t>
                  </w:r>
                </w:p>
              </w:tc>
              <w:tc>
                <w:tcPr>
                  <w:tcW w:w="263"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90%</w:t>
                  </w:r>
                </w:p>
              </w:tc>
              <w:tc>
                <w:tcPr>
                  <w:tcW w:w="261"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351"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438"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348"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392" w:type="pct"/>
                  <w:tcBorders>
                    <w:right w:val="nil"/>
                  </w:tcBorders>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06"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成品 堆场</w:t>
                  </w:r>
                </w:p>
              </w:tc>
              <w:tc>
                <w:tcPr>
                  <w:tcW w:w="26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渗沥</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水</w:t>
                  </w:r>
                </w:p>
              </w:tc>
              <w:tc>
                <w:tcPr>
                  <w:tcW w:w="316"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SS</w:t>
                  </w:r>
                </w:p>
              </w:tc>
              <w:tc>
                <w:tcPr>
                  <w:tcW w:w="368"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系数法</w:t>
                  </w:r>
                </w:p>
              </w:tc>
              <w:tc>
                <w:tcPr>
                  <w:tcW w:w="352" w:type="pct"/>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9348</w:t>
                  </w:r>
                </w:p>
              </w:tc>
              <w:tc>
                <w:tcPr>
                  <w:tcW w:w="524"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1000</w:t>
                  </w:r>
                </w:p>
              </w:tc>
              <w:tc>
                <w:tcPr>
                  <w:tcW w:w="363" w:type="pct"/>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9.35</w:t>
                  </w:r>
                </w:p>
              </w:tc>
              <w:tc>
                <w:tcPr>
                  <w:tcW w:w="34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絮凝 沉淀</w:t>
                  </w:r>
                </w:p>
              </w:tc>
              <w:tc>
                <w:tcPr>
                  <w:tcW w:w="263"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90%</w:t>
                  </w:r>
                </w:p>
              </w:tc>
              <w:tc>
                <w:tcPr>
                  <w:tcW w:w="261"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351"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438"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348"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392" w:type="pct"/>
                  <w:tcBorders>
                    <w:right w:val="nil"/>
                  </w:tcBorders>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06"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车辆 冲洗</w:t>
                  </w:r>
                </w:p>
              </w:tc>
              <w:tc>
                <w:tcPr>
                  <w:tcW w:w="26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冲洗 废水</w:t>
                  </w:r>
                </w:p>
              </w:tc>
              <w:tc>
                <w:tcPr>
                  <w:tcW w:w="316"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SS</w:t>
                  </w:r>
                </w:p>
              </w:tc>
              <w:tc>
                <w:tcPr>
                  <w:tcW w:w="368"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系数法</w:t>
                  </w:r>
                </w:p>
              </w:tc>
              <w:tc>
                <w:tcPr>
                  <w:tcW w:w="352" w:type="pct"/>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612</w:t>
                  </w:r>
                </w:p>
              </w:tc>
              <w:tc>
                <w:tcPr>
                  <w:tcW w:w="524"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300</w:t>
                  </w:r>
                </w:p>
              </w:tc>
              <w:tc>
                <w:tcPr>
                  <w:tcW w:w="363" w:type="pct"/>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0.18</w:t>
                  </w:r>
                </w:p>
              </w:tc>
              <w:tc>
                <w:tcPr>
                  <w:tcW w:w="34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沉淀</w:t>
                  </w:r>
                </w:p>
              </w:tc>
              <w:tc>
                <w:tcPr>
                  <w:tcW w:w="263"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90%</w:t>
                  </w:r>
                </w:p>
              </w:tc>
              <w:tc>
                <w:tcPr>
                  <w:tcW w:w="261"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351"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438"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348"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392" w:type="pct"/>
                  <w:tcBorders>
                    <w:right w:val="nil"/>
                  </w:tcBorders>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406" w:type="pct"/>
                  <w:vMerge w:val="restart"/>
                  <w:tcBorders>
                    <w:left w:val="nil"/>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办公 生活</w:t>
                  </w:r>
                </w:p>
              </w:tc>
              <w:tc>
                <w:tcPr>
                  <w:tcW w:w="268" w:type="pct"/>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生活 污水</w:t>
                  </w:r>
                </w:p>
              </w:tc>
              <w:tc>
                <w:tcPr>
                  <w:tcW w:w="316"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COD</w:t>
                  </w:r>
                </w:p>
              </w:tc>
              <w:tc>
                <w:tcPr>
                  <w:tcW w:w="368" w:type="pct"/>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系数法</w:t>
                  </w:r>
                </w:p>
              </w:tc>
              <w:tc>
                <w:tcPr>
                  <w:tcW w:w="352" w:type="pct"/>
                  <w:vMerge w:val="restart"/>
                  <w:tcBorders>
                    <w:bottom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43.2</w:t>
                  </w:r>
                </w:p>
              </w:tc>
              <w:tc>
                <w:tcPr>
                  <w:tcW w:w="524"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450</w:t>
                  </w:r>
                </w:p>
              </w:tc>
              <w:tc>
                <w:tcPr>
                  <w:tcW w:w="363" w:type="pct"/>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0.02</w:t>
                  </w:r>
                </w:p>
              </w:tc>
              <w:tc>
                <w:tcPr>
                  <w:tcW w:w="349" w:type="pct"/>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生化</w:t>
                  </w:r>
                </w:p>
              </w:tc>
              <w:tc>
                <w:tcPr>
                  <w:tcW w:w="263" w:type="pct"/>
                  <w:vMerge w:val="restart"/>
                  <w:tcBorders>
                    <w:bottom w:val="nil"/>
                  </w:tcBorders>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261" w:type="pct"/>
                  <w:vMerge w:val="restart"/>
                  <w:tcBorders>
                    <w:bottom w:val="nil"/>
                  </w:tcBorders>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351" w:type="pct"/>
                  <w:vMerge w:val="restart"/>
                  <w:tcBorders>
                    <w:bottom w:val="nil"/>
                  </w:tcBorders>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438" w:type="pct"/>
                  <w:vMerge w:val="restart"/>
                  <w:tcBorders>
                    <w:bottom w:val="nil"/>
                  </w:tcBorders>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348" w:type="pct"/>
                  <w:vMerge w:val="restart"/>
                  <w:tcBorders>
                    <w:bottom w:val="nil"/>
                  </w:tcBorders>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392" w:type="pct"/>
                  <w:vMerge w:val="restart"/>
                  <w:tcBorders>
                    <w:bottom w:val="nil"/>
                    <w:right w:val="nil"/>
                  </w:tcBorders>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06" w:type="pct"/>
                  <w:vMerge w:val="continue"/>
                  <w:tcBorders>
                    <w:top w:val="nil"/>
                    <w:left w:val="nil"/>
                    <w:bottom w:val="single" w:color="000000" w:sz="6" w:space="0"/>
                  </w:tcBorders>
                  <w:vAlign w:val="center"/>
                </w:tcPr>
                <w:p>
                  <w:pPr>
                    <w:ind w:left="960" w:hanging="480"/>
                  </w:pPr>
                </w:p>
              </w:tc>
              <w:tc>
                <w:tcPr>
                  <w:tcW w:w="268" w:type="pct"/>
                  <w:vMerge w:val="continue"/>
                  <w:tcBorders>
                    <w:top w:val="nil"/>
                    <w:bottom w:val="single" w:color="000000" w:sz="6" w:space="0"/>
                  </w:tcBorders>
                  <w:vAlign w:val="center"/>
                </w:tcPr>
                <w:p>
                  <w:pPr>
                    <w:ind w:left="960" w:hanging="480"/>
                  </w:pPr>
                </w:p>
              </w:tc>
              <w:tc>
                <w:tcPr>
                  <w:tcW w:w="316" w:type="pct"/>
                  <w:tcBorders>
                    <w:bottom w:val="single" w:color="000000" w:sz="6"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NH3-</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N</w:t>
                  </w:r>
                </w:p>
              </w:tc>
              <w:tc>
                <w:tcPr>
                  <w:tcW w:w="368" w:type="pct"/>
                  <w:vMerge w:val="continue"/>
                  <w:tcBorders>
                    <w:top w:val="nil"/>
                    <w:bottom w:val="single" w:color="000000" w:sz="6"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352" w:type="pct"/>
                  <w:vMerge w:val="continue"/>
                  <w:tcBorders>
                    <w:top w:val="nil"/>
                    <w:bottom w:val="single" w:color="000000" w:sz="6"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524" w:type="pct"/>
                  <w:tcBorders>
                    <w:bottom w:val="single" w:color="000000" w:sz="6"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35</w:t>
                  </w:r>
                </w:p>
              </w:tc>
              <w:tc>
                <w:tcPr>
                  <w:tcW w:w="363" w:type="pct"/>
                  <w:tcBorders>
                    <w:bottom w:val="single" w:color="000000" w:sz="6"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0.002</w:t>
                  </w:r>
                </w:p>
              </w:tc>
              <w:tc>
                <w:tcPr>
                  <w:tcW w:w="349" w:type="pct"/>
                  <w:vMerge w:val="continue"/>
                  <w:tcBorders>
                    <w:top w:val="nil"/>
                    <w:bottom w:val="single" w:color="000000" w:sz="6" w:space="0"/>
                  </w:tcBorders>
                  <w:vAlign w:val="center"/>
                </w:tcPr>
                <w:p>
                  <w:pPr>
                    <w:ind w:left="960" w:hanging="480"/>
                  </w:pPr>
                </w:p>
              </w:tc>
              <w:tc>
                <w:tcPr>
                  <w:tcW w:w="263" w:type="pct"/>
                  <w:vMerge w:val="continue"/>
                  <w:tcBorders>
                    <w:top w:val="nil"/>
                    <w:bottom w:val="single" w:color="000000" w:sz="6" w:space="0"/>
                  </w:tcBorders>
                  <w:vAlign w:val="center"/>
                </w:tcPr>
                <w:p>
                  <w:pPr>
                    <w:ind w:left="960" w:hanging="480"/>
                  </w:pPr>
                </w:p>
              </w:tc>
              <w:tc>
                <w:tcPr>
                  <w:tcW w:w="261" w:type="pct"/>
                  <w:vMerge w:val="continue"/>
                  <w:tcBorders>
                    <w:top w:val="nil"/>
                    <w:bottom w:val="single" w:color="000000" w:sz="6" w:space="0"/>
                  </w:tcBorders>
                  <w:vAlign w:val="center"/>
                </w:tcPr>
                <w:p>
                  <w:pPr>
                    <w:ind w:left="960" w:hanging="480"/>
                  </w:pPr>
                </w:p>
              </w:tc>
              <w:tc>
                <w:tcPr>
                  <w:tcW w:w="351" w:type="pct"/>
                  <w:vMerge w:val="continue"/>
                  <w:tcBorders>
                    <w:top w:val="nil"/>
                    <w:bottom w:val="single" w:color="000000" w:sz="6" w:space="0"/>
                  </w:tcBorders>
                  <w:vAlign w:val="center"/>
                </w:tcPr>
                <w:p>
                  <w:pPr>
                    <w:ind w:left="960" w:hanging="480"/>
                  </w:pPr>
                </w:p>
              </w:tc>
              <w:tc>
                <w:tcPr>
                  <w:tcW w:w="438" w:type="pct"/>
                  <w:vMerge w:val="continue"/>
                  <w:tcBorders>
                    <w:top w:val="nil"/>
                    <w:bottom w:val="single" w:color="000000" w:sz="6" w:space="0"/>
                  </w:tcBorders>
                  <w:vAlign w:val="center"/>
                </w:tcPr>
                <w:p>
                  <w:pPr>
                    <w:ind w:left="960" w:hanging="480"/>
                  </w:pPr>
                </w:p>
              </w:tc>
              <w:tc>
                <w:tcPr>
                  <w:tcW w:w="348" w:type="pct"/>
                  <w:vMerge w:val="continue"/>
                  <w:tcBorders>
                    <w:top w:val="nil"/>
                    <w:bottom w:val="single" w:color="000000" w:sz="6" w:space="0"/>
                  </w:tcBorders>
                  <w:vAlign w:val="center"/>
                </w:tcPr>
                <w:p>
                  <w:pPr>
                    <w:ind w:left="960" w:hanging="480"/>
                  </w:pPr>
                </w:p>
              </w:tc>
              <w:tc>
                <w:tcPr>
                  <w:tcW w:w="392" w:type="pct"/>
                  <w:vMerge w:val="continue"/>
                  <w:tcBorders>
                    <w:top w:val="nil"/>
                    <w:bottom w:val="single" w:color="000000" w:sz="6" w:space="0"/>
                    <w:right w:val="nil"/>
                  </w:tcBorders>
                  <w:vAlign w:val="center"/>
                </w:tcPr>
                <w:p>
                  <w:pPr>
                    <w:ind w:left="960" w:hanging="480"/>
                  </w:pPr>
                </w:p>
              </w:tc>
            </w:tr>
          </w:tbl>
          <w:p>
            <w:pPr>
              <w:spacing w:line="360" w:lineRule="auto"/>
              <w:ind w:firstLine="301" w:firstLineChars="150"/>
              <w:jc w:val="center"/>
              <w:rPr>
                <w:bCs/>
                <w:color w:val="000000" w:themeColor="text1"/>
                <w14:textFill>
                  <w14:solidFill>
                    <w14:schemeClr w14:val="tx1"/>
                  </w14:solidFill>
                </w14:textFill>
              </w:rPr>
            </w:pPr>
            <w:r>
              <w:rPr>
                <w:rFonts w:eastAsia="黑体"/>
                <w:b/>
                <w:bCs/>
                <w:color w:val="000000" w:themeColor="text1"/>
                <w:kern w:val="0"/>
                <w:sz w:val="20"/>
                <w:szCs w:val="20"/>
                <w14:textFill>
                  <w14:solidFill>
                    <w14:schemeClr w14:val="tx1"/>
                  </w14:solidFill>
                </w14:textFill>
              </w:rPr>
              <w:t>表 4-</w:t>
            </w:r>
            <w:r>
              <w:rPr>
                <w:rFonts w:hint="eastAsia" w:eastAsia="黑体"/>
                <w:b/>
                <w:bCs/>
                <w:color w:val="000000" w:themeColor="text1"/>
                <w:kern w:val="0"/>
                <w:sz w:val="20"/>
                <w:szCs w:val="20"/>
                <w14:textFill>
                  <w14:solidFill>
                    <w14:schemeClr w14:val="tx1"/>
                  </w14:solidFill>
                </w14:textFill>
              </w:rPr>
              <w:t>9</w:t>
            </w:r>
            <w:r>
              <w:rPr>
                <w:rFonts w:eastAsia="黑体"/>
                <w:b/>
                <w:bCs/>
                <w:color w:val="000000" w:themeColor="text1"/>
                <w:kern w:val="0"/>
                <w:sz w:val="20"/>
                <w:szCs w:val="20"/>
                <w14:textFill>
                  <w14:solidFill>
                    <w14:schemeClr w14:val="tx1"/>
                  </w14:solidFill>
                </w14:textFill>
              </w:rPr>
              <w:t xml:space="preserve">  </w:t>
            </w:r>
            <w:r>
              <w:rPr>
                <w:rFonts w:hint="eastAsia" w:eastAsia="黑体"/>
                <w:b/>
                <w:bCs/>
                <w:color w:val="000000" w:themeColor="text1"/>
                <w:kern w:val="0"/>
                <w:sz w:val="20"/>
                <w:szCs w:val="20"/>
                <w14:textFill>
                  <w14:solidFill>
                    <w14:schemeClr w14:val="tx1"/>
                  </w14:solidFill>
                </w14:textFill>
              </w:rPr>
              <w:t>扩建后全厂</w:t>
            </w:r>
            <w:r>
              <w:rPr>
                <w:rFonts w:eastAsia="黑体"/>
                <w:b/>
                <w:bCs/>
                <w:color w:val="000000" w:themeColor="text1"/>
                <w:kern w:val="0"/>
                <w:sz w:val="20"/>
                <w:szCs w:val="20"/>
                <w14:textFill>
                  <w14:solidFill>
                    <w14:schemeClr w14:val="tx1"/>
                  </w14:solidFill>
                </w14:textFill>
              </w:rPr>
              <w:t>废水污染源源强核算结果及相关参数一览表</w:t>
            </w:r>
          </w:p>
          <w:tbl>
            <w:tblPr>
              <w:tblStyle w:val="3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08"/>
              <w:gridCol w:w="466"/>
              <w:gridCol w:w="550"/>
              <w:gridCol w:w="642"/>
              <w:gridCol w:w="629"/>
              <w:gridCol w:w="916"/>
              <w:gridCol w:w="636"/>
              <w:gridCol w:w="605"/>
              <w:gridCol w:w="457"/>
              <w:gridCol w:w="454"/>
              <w:gridCol w:w="612"/>
              <w:gridCol w:w="786"/>
              <w:gridCol w:w="637"/>
              <w:gridCol w:w="6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406" w:type="pct"/>
                  <w:vMerge w:val="restart"/>
                  <w:tcBorders>
                    <w:left w:val="nil"/>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工序/生产线</w:t>
                  </w:r>
                </w:p>
              </w:tc>
              <w:tc>
                <w:tcPr>
                  <w:tcW w:w="268" w:type="pct"/>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污染</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源</w:t>
                  </w:r>
                </w:p>
              </w:tc>
              <w:tc>
                <w:tcPr>
                  <w:tcW w:w="316" w:type="pct"/>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污染</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物</w:t>
                  </w:r>
                </w:p>
              </w:tc>
              <w:tc>
                <w:tcPr>
                  <w:tcW w:w="1607" w:type="pct"/>
                  <w:gridSpan w:val="4"/>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污染物产生</w:t>
                  </w:r>
                </w:p>
              </w:tc>
              <w:tc>
                <w:tcPr>
                  <w:tcW w:w="612" w:type="pct"/>
                  <w:gridSpan w:val="2"/>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治理措施</w:t>
                  </w:r>
                </w:p>
              </w:tc>
              <w:tc>
                <w:tcPr>
                  <w:tcW w:w="1398" w:type="pct"/>
                  <w:gridSpan w:val="4"/>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污染物排放</w:t>
                  </w:r>
                </w:p>
              </w:tc>
              <w:tc>
                <w:tcPr>
                  <w:tcW w:w="392" w:type="pct"/>
                  <w:vMerge w:val="restart"/>
                  <w:tcBorders>
                    <w:bottom w:val="nil"/>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排放  时间  （d/a）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406" w:type="pct"/>
                  <w:vMerge w:val="continue"/>
                  <w:tcBorders>
                    <w:top w:val="nil"/>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268" w:type="pct"/>
                  <w:vMerge w:val="continue"/>
                  <w:tcBorders>
                    <w:top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316" w:type="pct"/>
                  <w:vMerge w:val="continue"/>
                  <w:tcBorders>
                    <w:top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36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核算</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方法</w:t>
                  </w:r>
                </w:p>
              </w:tc>
              <w:tc>
                <w:tcPr>
                  <w:tcW w:w="3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产生量 (</w:t>
                  </w:r>
                  <w:r>
                    <w:rPr>
                      <w:rFonts w:hint="eastAsia" w:ascii="Times New Roman" w:hAnsi="Times New Roman" w:cs="Times New Roman"/>
                      <w:snapToGrid/>
                      <w:color w:val="000000" w:themeColor="text1"/>
                      <w:kern w:val="2"/>
                      <w:sz w:val="21"/>
                      <w:szCs w:val="21"/>
                      <w:lang w:eastAsia="zh-CN"/>
                      <w14:textFill>
                        <w14:solidFill>
                          <w14:schemeClr w14:val="tx1"/>
                        </w14:solidFill>
                      </w14:textFill>
                    </w:rPr>
                    <w:t>m³</w:t>
                  </w:r>
                  <w:r>
                    <w:rPr>
                      <w:rFonts w:ascii="Times New Roman" w:hAnsi="Times New Roman" w:cs="Times New Roman"/>
                      <w:snapToGrid/>
                      <w:color w:val="000000" w:themeColor="text1"/>
                      <w:kern w:val="2"/>
                      <w:sz w:val="21"/>
                      <w:szCs w:val="21"/>
                      <w:lang w:eastAsia="zh-CN"/>
                      <w14:textFill>
                        <w14:solidFill>
                          <w14:schemeClr w14:val="tx1"/>
                        </w14:solidFill>
                      </w14:textFill>
                    </w:rPr>
                    <w:t>/a)</w:t>
                  </w:r>
                </w:p>
              </w:tc>
              <w:tc>
                <w:tcPr>
                  <w:tcW w:w="524"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产生浓度 （mg/L）</w:t>
                  </w:r>
                </w:p>
              </w:tc>
              <w:tc>
                <w:tcPr>
                  <w:tcW w:w="36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产生量 （t/a）</w:t>
                  </w:r>
                </w:p>
              </w:tc>
              <w:tc>
                <w:tcPr>
                  <w:tcW w:w="34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工艺</w:t>
                  </w:r>
                </w:p>
              </w:tc>
              <w:tc>
                <w:tcPr>
                  <w:tcW w:w="26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效率 /%</w:t>
                  </w:r>
                </w:p>
              </w:tc>
              <w:tc>
                <w:tcPr>
                  <w:tcW w:w="26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核算 方法</w:t>
                  </w:r>
                </w:p>
              </w:tc>
              <w:tc>
                <w:tcPr>
                  <w:tcW w:w="35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排放量 (m3/a)</w:t>
                  </w:r>
                </w:p>
              </w:tc>
              <w:tc>
                <w:tcPr>
                  <w:tcW w:w="43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排放浓度</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（mg/L )</w:t>
                  </w:r>
                </w:p>
              </w:tc>
              <w:tc>
                <w:tcPr>
                  <w:tcW w:w="34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排放量 （t/a）</w:t>
                  </w:r>
                </w:p>
              </w:tc>
              <w:tc>
                <w:tcPr>
                  <w:tcW w:w="392" w:type="pct"/>
                  <w:vMerge w:val="continue"/>
                  <w:tcBorders>
                    <w:top w:val="nil"/>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06"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洗砂</w:t>
                  </w:r>
                </w:p>
              </w:tc>
              <w:tc>
                <w:tcPr>
                  <w:tcW w:w="268" w:type="pct"/>
                  <w:vAlign w:val="center"/>
                </w:tcPr>
                <w:p>
                  <w:pPr>
                    <w:pStyle w:val="34"/>
                    <w:spacing w:line="360" w:lineRule="auto"/>
                    <w:ind w:right="4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洗砂 废水</w:t>
                  </w:r>
                </w:p>
              </w:tc>
              <w:tc>
                <w:tcPr>
                  <w:tcW w:w="316"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SS</w:t>
                  </w:r>
                </w:p>
              </w:tc>
              <w:tc>
                <w:tcPr>
                  <w:tcW w:w="368"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系数法</w:t>
                  </w:r>
                </w:p>
              </w:tc>
              <w:tc>
                <w:tcPr>
                  <w:tcW w:w="352" w:type="pct"/>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114885</w:t>
                  </w:r>
                </w:p>
              </w:tc>
              <w:tc>
                <w:tcPr>
                  <w:tcW w:w="524"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3000</w:t>
                  </w:r>
                </w:p>
              </w:tc>
              <w:tc>
                <w:tcPr>
                  <w:tcW w:w="363" w:type="pct"/>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344.66</w:t>
                  </w:r>
                </w:p>
              </w:tc>
              <w:tc>
                <w:tcPr>
                  <w:tcW w:w="349" w:type="pct"/>
                  <w:vAlign w:val="center"/>
                </w:tcPr>
                <w:p>
                  <w:pPr>
                    <w:pStyle w:val="34"/>
                    <w:spacing w:line="360" w:lineRule="auto"/>
                    <w:ind w:right="99"/>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絮凝 沉淀</w:t>
                  </w:r>
                </w:p>
              </w:tc>
              <w:tc>
                <w:tcPr>
                  <w:tcW w:w="263"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90%</w:t>
                  </w:r>
                </w:p>
              </w:tc>
              <w:tc>
                <w:tcPr>
                  <w:tcW w:w="261"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351"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438"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348"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392" w:type="pct"/>
                  <w:tcBorders>
                    <w:right w:val="nil"/>
                  </w:tcBorders>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06"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成品 堆场</w:t>
                  </w:r>
                </w:p>
              </w:tc>
              <w:tc>
                <w:tcPr>
                  <w:tcW w:w="26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渗沥</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水</w:t>
                  </w:r>
                </w:p>
              </w:tc>
              <w:tc>
                <w:tcPr>
                  <w:tcW w:w="316"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SS</w:t>
                  </w:r>
                </w:p>
              </w:tc>
              <w:tc>
                <w:tcPr>
                  <w:tcW w:w="368"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系数法</w:t>
                  </w:r>
                </w:p>
              </w:tc>
              <w:tc>
                <w:tcPr>
                  <w:tcW w:w="352" w:type="pct"/>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14850</w:t>
                  </w:r>
                </w:p>
              </w:tc>
              <w:tc>
                <w:tcPr>
                  <w:tcW w:w="524"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1000</w:t>
                  </w:r>
                </w:p>
              </w:tc>
              <w:tc>
                <w:tcPr>
                  <w:tcW w:w="363" w:type="pct"/>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14.85</w:t>
                  </w:r>
                </w:p>
              </w:tc>
              <w:tc>
                <w:tcPr>
                  <w:tcW w:w="34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絮凝 沉淀</w:t>
                  </w:r>
                </w:p>
              </w:tc>
              <w:tc>
                <w:tcPr>
                  <w:tcW w:w="263"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90%</w:t>
                  </w:r>
                </w:p>
              </w:tc>
              <w:tc>
                <w:tcPr>
                  <w:tcW w:w="261"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351"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438"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348"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392" w:type="pct"/>
                  <w:tcBorders>
                    <w:right w:val="nil"/>
                  </w:tcBorders>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406"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车辆 冲洗</w:t>
                  </w:r>
                </w:p>
              </w:tc>
              <w:tc>
                <w:tcPr>
                  <w:tcW w:w="26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冲洗 废水</w:t>
                  </w:r>
                </w:p>
              </w:tc>
              <w:tc>
                <w:tcPr>
                  <w:tcW w:w="316"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SS</w:t>
                  </w:r>
                </w:p>
              </w:tc>
              <w:tc>
                <w:tcPr>
                  <w:tcW w:w="368"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系数法</w:t>
                  </w:r>
                </w:p>
              </w:tc>
              <w:tc>
                <w:tcPr>
                  <w:tcW w:w="352" w:type="pct"/>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960</w:t>
                  </w:r>
                </w:p>
              </w:tc>
              <w:tc>
                <w:tcPr>
                  <w:tcW w:w="524"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300</w:t>
                  </w:r>
                </w:p>
              </w:tc>
              <w:tc>
                <w:tcPr>
                  <w:tcW w:w="363" w:type="pct"/>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0.29</w:t>
                  </w:r>
                </w:p>
              </w:tc>
              <w:tc>
                <w:tcPr>
                  <w:tcW w:w="34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沉淀</w:t>
                  </w:r>
                </w:p>
              </w:tc>
              <w:tc>
                <w:tcPr>
                  <w:tcW w:w="263"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90%</w:t>
                  </w:r>
                </w:p>
              </w:tc>
              <w:tc>
                <w:tcPr>
                  <w:tcW w:w="261"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351"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438"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348"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392" w:type="pct"/>
                  <w:tcBorders>
                    <w:right w:val="nil"/>
                  </w:tcBorders>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406" w:type="pct"/>
                  <w:vMerge w:val="restart"/>
                  <w:tcBorders>
                    <w:left w:val="nil"/>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办公 生活</w:t>
                  </w:r>
                </w:p>
              </w:tc>
              <w:tc>
                <w:tcPr>
                  <w:tcW w:w="268" w:type="pct"/>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生活 污水</w:t>
                  </w:r>
                </w:p>
              </w:tc>
              <w:tc>
                <w:tcPr>
                  <w:tcW w:w="316"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COD</w:t>
                  </w:r>
                </w:p>
              </w:tc>
              <w:tc>
                <w:tcPr>
                  <w:tcW w:w="368" w:type="pct"/>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系数法</w:t>
                  </w:r>
                </w:p>
              </w:tc>
              <w:tc>
                <w:tcPr>
                  <w:tcW w:w="352" w:type="pct"/>
                  <w:vMerge w:val="restart"/>
                  <w:tcBorders>
                    <w:bottom w:val="nil"/>
                  </w:tcBorders>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144</w:t>
                  </w:r>
                </w:p>
              </w:tc>
              <w:tc>
                <w:tcPr>
                  <w:tcW w:w="524"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450</w:t>
                  </w:r>
                </w:p>
              </w:tc>
              <w:tc>
                <w:tcPr>
                  <w:tcW w:w="363" w:type="pct"/>
                  <w:vAlign w:val="center"/>
                </w:tcPr>
                <w:p>
                  <w:pPr>
                    <w:spacing w:line="360" w:lineRule="auto"/>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0.06</w:t>
                  </w:r>
                </w:p>
              </w:tc>
              <w:tc>
                <w:tcPr>
                  <w:tcW w:w="349" w:type="pct"/>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生化</w:t>
                  </w:r>
                </w:p>
              </w:tc>
              <w:tc>
                <w:tcPr>
                  <w:tcW w:w="263" w:type="pct"/>
                  <w:vMerge w:val="restart"/>
                  <w:tcBorders>
                    <w:bottom w:val="nil"/>
                  </w:tcBorders>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261" w:type="pct"/>
                  <w:vMerge w:val="restart"/>
                  <w:tcBorders>
                    <w:bottom w:val="nil"/>
                  </w:tcBorders>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351" w:type="pct"/>
                  <w:vMerge w:val="restart"/>
                  <w:tcBorders>
                    <w:bottom w:val="nil"/>
                  </w:tcBorders>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438" w:type="pct"/>
                  <w:vMerge w:val="restart"/>
                  <w:tcBorders>
                    <w:bottom w:val="nil"/>
                  </w:tcBorders>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348" w:type="pct"/>
                  <w:vMerge w:val="restart"/>
                  <w:tcBorders>
                    <w:bottom w:val="nil"/>
                  </w:tcBorders>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392" w:type="pct"/>
                  <w:vMerge w:val="restart"/>
                  <w:tcBorders>
                    <w:bottom w:val="nil"/>
                    <w:right w:val="nil"/>
                  </w:tcBorders>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406" w:type="pct"/>
                  <w:vMerge w:val="continue"/>
                  <w:tcBorders>
                    <w:top w:val="nil"/>
                    <w:left w:val="nil"/>
                    <w:bottom w:val="single" w:color="000000" w:sz="6" w:space="0"/>
                  </w:tcBorders>
                  <w:vAlign w:val="center"/>
                </w:tcPr>
                <w:p>
                  <w:pPr>
                    <w:ind w:left="960" w:hanging="480"/>
                  </w:pPr>
                </w:p>
              </w:tc>
              <w:tc>
                <w:tcPr>
                  <w:tcW w:w="268" w:type="pct"/>
                  <w:vMerge w:val="continue"/>
                  <w:tcBorders>
                    <w:top w:val="nil"/>
                    <w:bottom w:val="single" w:color="000000" w:sz="6" w:space="0"/>
                  </w:tcBorders>
                  <w:vAlign w:val="center"/>
                </w:tcPr>
                <w:p>
                  <w:pPr>
                    <w:ind w:left="960" w:hanging="480"/>
                  </w:pPr>
                </w:p>
              </w:tc>
              <w:tc>
                <w:tcPr>
                  <w:tcW w:w="316" w:type="pct"/>
                  <w:tcBorders>
                    <w:bottom w:val="single" w:color="000000" w:sz="6"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NH3-</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N</w:t>
                  </w:r>
                </w:p>
              </w:tc>
              <w:tc>
                <w:tcPr>
                  <w:tcW w:w="368" w:type="pct"/>
                  <w:vMerge w:val="continue"/>
                  <w:tcBorders>
                    <w:top w:val="nil"/>
                    <w:bottom w:val="single" w:color="000000" w:sz="6"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352" w:type="pct"/>
                  <w:vMerge w:val="continue"/>
                  <w:tcBorders>
                    <w:top w:val="nil"/>
                    <w:bottom w:val="single" w:color="000000" w:sz="6"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524" w:type="pct"/>
                  <w:tcBorders>
                    <w:bottom w:val="single" w:color="000000" w:sz="6"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35</w:t>
                  </w:r>
                </w:p>
              </w:tc>
              <w:tc>
                <w:tcPr>
                  <w:tcW w:w="363" w:type="pct"/>
                  <w:tcBorders>
                    <w:bottom w:val="single" w:color="000000" w:sz="6"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0.005</w:t>
                  </w:r>
                </w:p>
              </w:tc>
              <w:tc>
                <w:tcPr>
                  <w:tcW w:w="349" w:type="pct"/>
                  <w:vMerge w:val="continue"/>
                  <w:tcBorders>
                    <w:top w:val="nil"/>
                    <w:bottom w:val="single" w:color="000000" w:sz="6" w:space="0"/>
                  </w:tcBorders>
                  <w:vAlign w:val="center"/>
                </w:tcPr>
                <w:p>
                  <w:pPr>
                    <w:ind w:left="960" w:hanging="480"/>
                  </w:pPr>
                </w:p>
              </w:tc>
              <w:tc>
                <w:tcPr>
                  <w:tcW w:w="263" w:type="pct"/>
                  <w:vMerge w:val="continue"/>
                  <w:tcBorders>
                    <w:top w:val="nil"/>
                    <w:bottom w:val="single" w:color="000000" w:sz="6" w:space="0"/>
                  </w:tcBorders>
                  <w:vAlign w:val="center"/>
                </w:tcPr>
                <w:p>
                  <w:pPr>
                    <w:ind w:left="960" w:hanging="480"/>
                  </w:pPr>
                </w:p>
              </w:tc>
              <w:tc>
                <w:tcPr>
                  <w:tcW w:w="261" w:type="pct"/>
                  <w:vMerge w:val="continue"/>
                  <w:tcBorders>
                    <w:top w:val="nil"/>
                    <w:bottom w:val="single" w:color="000000" w:sz="6" w:space="0"/>
                  </w:tcBorders>
                  <w:vAlign w:val="center"/>
                </w:tcPr>
                <w:p>
                  <w:pPr>
                    <w:ind w:left="960" w:hanging="480"/>
                  </w:pPr>
                </w:p>
              </w:tc>
              <w:tc>
                <w:tcPr>
                  <w:tcW w:w="351" w:type="pct"/>
                  <w:vMerge w:val="continue"/>
                  <w:tcBorders>
                    <w:top w:val="nil"/>
                    <w:bottom w:val="single" w:color="000000" w:sz="6" w:space="0"/>
                  </w:tcBorders>
                  <w:vAlign w:val="center"/>
                </w:tcPr>
                <w:p>
                  <w:pPr>
                    <w:ind w:left="960" w:hanging="480"/>
                  </w:pPr>
                </w:p>
              </w:tc>
              <w:tc>
                <w:tcPr>
                  <w:tcW w:w="438" w:type="pct"/>
                  <w:vMerge w:val="continue"/>
                  <w:tcBorders>
                    <w:top w:val="nil"/>
                    <w:bottom w:val="single" w:color="000000" w:sz="6" w:space="0"/>
                  </w:tcBorders>
                  <w:vAlign w:val="center"/>
                </w:tcPr>
                <w:p>
                  <w:pPr>
                    <w:ind w:left="960" w:hanging="480"/>
                  </w:pPr>
                </w:p>
              </w:tc>
              <w:tc>
                <w:tcPr>
                  <w:tcW w:w="348" w:type="pct"/>
                  <w:vMerge w:val="continue"/>
                  <w:tcBorders>
                    <w:top w:val="nil"/>
                    <w:bottom w:val="single" w:color="000000" w:sz="6" w:space="0"/>
                  </w:tcBorders>
                  <w:vAlign w:val="center"/>
                </w:tcPr>
                <w:p>
                  <w:pPr>
                    <w:ind w:left="960" w:hanging="480"/>
                  </w:pPr>
                </w:p>
              </w:tc>
              <w:tc>
                <w:tcPr>
                  <w:tcW w:w="392" w:type="pct"/>
                  <w:vMerge w:val="continue"/>
                  <w:tcBorders>
                    <w:top w:val="nil"/>
                    <w:bottom w:val="single" w:color="000000" w:sz="6" w:space="0"/>
                    <w:right w:val="nil"/>
                  </w:tcBorders>
                  <w:vAlign w:val="center"/>
                </w:tcPr>
                <w:p>
                  <w:pPr>
                    <w:ind w:left="960" w:hanging="480"/>
                  </w:pPr>
                </w:p>
              </w:tc>
            </w:tr>
          </w:tbl>
          <w:p>
            <w:pPr>
              <w:spacing w:line="360" w:lineRule="auto"/>
              <w:ind w:firstLine="301" w:firstLineChars="150"/>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表 4-</w:t>
            </w:r>
            <w:r>
              <w:rPr>
                <w:rFonts w:hint="eastAsia" w:eastAsia="黑体"/>
                <w:b/>
                <w:bCs/>
                <w:color w:val="000000" w:themeColor="text1"/>
                <w:kern w:val="0"/>
                <w:sz w:val="20"/>
                <w:szCs w:val="20"/>
                <w14:textFill>
                  <w14:solidFill>
                    <w14:schemeClr w14:val="tx1"/>
                  </w14:solidFill>
                </w14:textFill>
              </w:rPr>
              <w:t>10</w:t>
            </w:r>
            <w:r>
              <w:rPr>
                <w:rFonts w:eastAsia="黑体"/>
                <w:b/>
                <w:bCs/>
                <w:color w:val="000000" w:themeColor="text1"/>
                <w:kern w:val="0"/>
                <w:sz w:val="20"/>
                <w:szCs w:val="20"/>
                <w14:textFill>
                  <w14:solidFill>
                    <w14:schemeClr w14:val="tx1"/>
                  </w14:solidFill>
                </w14:textFill>
              </w:rPr>
              <w:t xml:space="preserve">   废水类别、污染物及污染治理设施信息表</w:t>
            </w:r>
          </w:p>
          <w:tbl>
            <w:tblPr>
              <w:tblStyle w:val="38"/>
              <w:tblW w:w="878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49"/>
              <w:gridCol w:w="927"/>
              <w:gridCol w:w="927"/>
              <w:gridCol w:w="463"/>
              <w:gridCol w:w="618"/>
              <w:gridCol w:w="773"/>
              <w:gridCol w:w="618"/>
              <w:gridCol w:w="618"/>
              <w:gridCol w:w="928"/>
              <w:gridCol w:w="619"/>
              <w:gridCol w:w="1082"/>
              <w:gridCol w:w="6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503" w:type="dxa"/>
                  <w:vMerge w:val="restart"/>
                  <w:tcBorders>
                    <w:left w:val="nil"/>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序号</w:t>
                  </w:r>
                </w:p>
              </w:tc>
              <w:tc>
                <w:tcPr>
                  <w:tcW w:w="849" w:type="dxa"/>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废水类别</w:t>
                  </w:r>
                </w:p>
              </w:tc>
              <w:tc>
                <w:tcPr>
                  <w:tcW w:w="849" w:type="dxa"/>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污染物 种类</w:t>
                  </w:r>
                </w:p>
              </w:tc>
              <w:tc>
                <w:tcPr>
                  <w:tcW w:w="424" w:type="dxa"/>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排放 去向</w:t>
                  </w:r>
                </w:p>
              </w:tc>
              <w:tc>
                <w:tcPr>
                  <w:tcW w:w="566" w:type="dxa"/>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排放 规律</w:t>
                  </w:r>
                </w:p>
              </w:tc>
              <w:tc>
                <w:tcPr>
                  <w:tcW w:w="2690" w:type="dxa"/>
                  <w:gridSpan w:val="4"/>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污染治理设施</w:t>
                  </w:r>
                </w:p>
              </w:tc>
              <w:tc>
                <w:tcPr>
                  <w:tcW w:w="566" w:type="dxa"/>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排放口 编号</w:t>
                  </w:r>
                </w:p>
              </w:tc>
              <w:tc>
                <w:tcPr>
                  <w:tcW w:w="990" w:type="dxa"/>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排放口设置</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是否符合要</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求</w:t>
                  </w:r>
                </w:p>
              </w:tc>
              <w:tc>
                <w:tcPr>
                  <w:tcW w:w="604" w:type="dxa"/>
                  <w:vMerge w:val="restart"/>
                  <w:tcBorders>
                    <w:bottom w:val="nil"/>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排放</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口类型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503" w:type="dxa"/>
                  <w:vMerge w:val="continue"/>
                  <w:tcBorders>
                    <w:top w:val="nil"/>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849" w:type="dxa"/>
                  <w:vMerge w:val="continue"/>
                  <w:tcBorders>
                    <w:top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849" w:type="dxa"/>
                  <w:vMerge w:val="continue"/>
                  <w:tcBorders>
                    <w:top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424" w:type="dxa"/>
                  <w:vMerge w:val="continue"/>
                  <w:tcBorders>
                    <w:top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566" w:type="dxa"/>
                  <w:vMerge w:val="continue"/>
                  <w:tcBorders>
                    <w:top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708"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编号</w:t>
                  </w:r>
                </w:p>
              </w:tc>
              <w:tc>
                <w:tcPr>
                  <w:tcW w:w="566"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名称</w:t>
                  </w:r>
                </w:p>
              </w:tc>
              <w:tc>
                <w:tcPr>
                  <w:tcW w:w="566"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工艺</w:t>
                  </w:r>
                </w:p>
              </w:tc>
              <w:tc>
                <w:tcPr>
                  <w:tcW w:w="850"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是否为可</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行技术</w:t>
                  </w:r>
                </w:p>
              </w:tc>
              <w:tc>
                <w:tcPr>
                  <w:tcW w:w="566" w:type="dxa"/>
                  <w:vMerge w:val="continue"/>
                  <w:tcBorders>
                    <w:top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990" w:type="dxa"/>
                  <w:vMerge w:val="continue"/>
                  <w:tcBorders>
                    <w:top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604" w:type="dxa"/>
                  <w:vMerge w:val="continue"/>
                  <w:tcBorders>
                    <w:top w:val="nil"/>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503" w:type="dxa"/>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w:t>
                  </w:r>
                </w:p>
              </w:tc>
              <w:tc>
                <w:tcPr>
                  <w:tcW w:w="849"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生产废水</w:t>
                  </w:r>
                </w:p>
              </w:tc>
              <w:tc>
                <w:tcPr>
                  <w:tcW w:w="849"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悬浮物</w:t>
                  </w:r>
                </w:p>
              </w:tc>
              <w:tc>
                <w:tcPr>
                  <w:tcW w:w="424"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566"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708"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TW001</w:t>
                  </w:r>
                </w:p>
              </w:tc>
              <w:tc>
                <w:tcPr>
                  <w:tcW w:w="566"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沉淀池</w:t>
                  </w:r>
                </w:p>
              </w:tc>
              <w:tc>
                <w:tcPr>
                  <w:tcW w:w="566"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絮凝沉淀</w:t>
                  </w:r>
                </w:p>
              </w:tc>
              <w:tc>
                <w:tcPr>
                  <w:tcW w:w="850"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是</w:t>
                  </w:r>
                </w:p>
              </w:tc>
              <w:tc>
                <w:tcPr>
                  <w:tcW w:w="566"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990"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604" w:type="dxa"/>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503" w:type="dxa"/>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2</w:t>
                  </w:r>
                </w:p>
              </w:tc>
              <w:tc>
                <w:tcPr>
                  <w:tcW w:w="849"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车辆冲洗 废水</w:t>
                  </w:r>
                </w:p>
              </w:tc>
              <w:tc>
                <w:tcPr>
                  <w:tcW w:w="849"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悬浮物</w:t>
                  </w:r>
                </w:p>
              </w:tc>
              <w:tc>
                <w:tcPr>
                  <w:tcW w:w="424"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566"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708"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TW002</w:t>
                  </w:r>
                </w:p>
              </w:tc>
              <w:tc>
                <w:tcPr>
                  <w:tcW w:w="566"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沉淀池</w:t>
                  </w:r>
                </w:p>
              </w:tc>
              <w:tc>
                <w:tcPr>
                  <w:tcW w:w="566"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自然沉淀</w:t>
                  </w:r>
                </w:p>
              </w:tc>
              <w:tc>
                <w:tcPr>
                  <w:tcW w:w="850"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是</w:t>
                  </w:r>
                </w:p>
              </w:tc>
              <w:tc>
                <w:tcPr>
                  <w:tcW w:w="566"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990"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604" w:type="dxa"/>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503" w:type="dxa"/>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3</w:t>
                  </w:r>
                </w:p>
              </w:tc>
              <w:tc>
                <w:tcPr>
                  <w:tcW w:w="849"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生活污水</w:t>
                  </w:r>
                </w:p>
              </w:tc>
              <w:tc>
                <w:tcPr>
                  <w:tcW w:w="849"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COD、</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NH3-N</w:t>
                  </w:r>
                </w:p>
              </w:tc>
              <w:tc>
                <w:tcPr>
                  <w:tcW w:w="424"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566"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708"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TW003</w:t>
                  </w:r>
                </w:p>
              </w:tc>
              <w:tc>
                <w:tcPr>
                  <w:tcW w:w="566"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化粪池</w:t>
                  </w:r>
                </w:p>
              </w:tc>
              <w:tc>
                <w:tcPr>
                  <w:tcW w:w="566"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生化</w:t>
                  </w:r>
                </w:p>
              </w:tc>
              <w:tc>
                <w:tcPr>
                  <w:tcW w:w="850"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是</w:t>
                  </w:r>
                </w:p>
              </w:tc>
              <w:tc>
                <w:tcPr>
                  <w:tcW w:w="566"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990" w:type="dxa"/>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604" w:type="dxa"/>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r>
          </w:tbl>
          <w:p>
            <w:pPr>
              <w:spacing w:line="360" w:lineRule="auto"/>
              <w:ind w:firstLine="361" w:firstLineChars="150"/>
              <w:rPr>
                <w:b/>
                <w:color w:val="000000" w:themeColor="text1"/>
                <w14:textFill>
                  <w14:solidFill>
                    <w14:schemeClr w14:val="tx1"/>
                  </w14:solidFill>
                </w14:textFill>
              </w:rPr>
            </w:pPr>
            <w:r>
              <w:rPr>
                <w:rFonts w:hint="eastAsia"/>
                <w:b/>
                <w:color w:val="000000" w:themeColor="text1"/>
                <w14:textFill>
                  <w14:solidFill>
                    <w14:schemeClr w14:val="tx1"/>
                  </w14:solidFill>
                </w14:textFill>
              </w:rPr>
              <w:t>2.5地表水影响分析</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营运期废水主要为洗砂废水、产品渗沥水、车辆冲洗废水。通过设置废水处理系统，采用“絮凝沉淀”工艺处理后，洗砂废水和产品渗沥水能够实现循环回用不外排，不会对区域地表水体造成污染影响。车辆冲洗废水沉淀处理后回用不外排。生活污水设化粪池处理后农用。</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本项目营运期不涉及废水外排，对区域地表水体影响较小。</w:t>
            </w:r>
          </w:p>
          <w:p>
            <w:pPr>
              <w:spacing w:line="360" w:lineRule="auto"/>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3</w:t>
            </w:r>
            <w:r>
              <w:rPr>
                <w:b/>
                <w:color w:val="000000" w:themeColor="text1"/>
                <w:szCs w:val="24"/>
                <w14:textFill>
                  <w14:solidFill>
                    <w14:schemeClr w14:val="tx1"/>
                  </w14:solidFill>
                </w14:textFill>
              </w:rPr>
              <w:t>、</w:t>
            </w:r>
            <w:r>
              <w:rPr>
                <w:rFonts w:hint="eastAsia"/>
                <w:b/>
                <w:color w:val="000000" w:themeColor="text1"/>
                <w:szCs w:val="24"/>
                <w14:textFill>
                  <w14:solidFill>
                    <w14:schemeClr w14:val="tx1"/>
                  </w14:solidFill>
                </w14:textFill>
              </w:rPr>
              <w:t>噪声</w:t>
            </w:r>
          </w:p>
          <w:p>
            <w:pPr>
              <w:spacing w:line="360" w:lineRule="auto"/>
              <w:ind w:firstLine="361" w:firstLineChars="150"/>
              <w:rPr>
                <w:b/>
                <w:color w:val="000000" w:themeColor="text1"/>
                <w14:textFill>
                  <w14:solidFill>
                    <w14:schemeClr w14:val="tx1"/>
                  </w14:solidFill>
                </w14:textFill>
              </w:rPr>
            </w:pPr>
            <w:r>
              <w:rPr>
                <w:rFonts w:hint="eastAsia"/>
                <w:b/>
                <w:color w:val="000000" w:themeColor="text1"/>
                <w14:textFill>
                  <w14:solidFill>
                    <w14:schemeClr w14:val="tx1"/>
                  </w14:solidFill>
                </w14:textFill>
              </w:rPr>
              <w:t>3.1噪声源强</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营运期噪声主要来源于给料机、颚破机、反击破、多级振动筛分机、螺旋洗砂机、板框压滤机、尾砂回收机、装载机、水泵等的设备运行的噪声，噪声源强为70～95dB(A) 。另外，物料运输车辆会产生一定的交通噪声，噪声声压级约为75～85dB(A)。</w:t>
            </w:r>
          </w:p>
          <w:p>
            <w:pPr>
              <w:spacing w:line="360" w:lineRule="auto"/>
              <w:ind w:firstLine="301" w:firstLineChars="150"/>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表 4-1</w:t>
            </w:r>
            <w:r>
              <w:rPr>
                <w:rFonts w:hint="eastAsia" w:eastAsia="黑体"/>
                <w:b/>
                <w:bCs/>
                <w:color w:val="000000" w:themeColor="text1"/>
                <w:kern w:val="0"/>
                <w:sz w:val="20"/>
                <w:szCs w:val="20"/>
                <w14:textFill>
                  <w14:solidFill>
                    <w14:schemeClr w14:val="tx1"/>
                  </w14:solidFill>
                </w14:textFill>
              </w:rPr>
              <w:t>1</w:t>
            </w:r>
            <w:r>
              <w:rPr>
                <w:rFonts w:eastAsia="黑体"/>
                <w:b/>
                <w:bCs/>
                <w:color w:val="000000" w:themeColor="text1"/>
                <w:kern w:val="0"/>
                <w:sz w:val="20"/>
                <w:szCs w:val="20"/>
                <w14:textFill>
                  <w14:solidFill>
                    <w14:schemeClr w14:val="tx1"/>
                  </w14:solidFill>
                </w14:textFill>
              </w:rPr>
              <w:t xml:space="preserve">   项目主要噪声源及降噪措施一览表</w:t>
            </w:r>
          </w:p>
          <w:tbl>
            <w:tblPr>
              <w:tblStyle w:val="3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56"/>
              <w:gridCol w:w="771"/>
              <w:gridCol w:w="618"/>
              <w:gridCol w:w="618"/>
              <w:gridCol w:w="618"/>
              <w:gridCol w:w="1880"/>
              <w:gridCol w:w="792"/>
              <w:gridCol w:w="634"/>
              <w:gridCol w:w="634"/>
              <w:gridCol w:w="635"/>
              <w:gridCol w:w="7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87" w:type="pct"/>
                  <w:vMerge w:val="restart"/>
                  <w:tcBorders>
                    <w:left w:val="nil"/>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工序/生 产线</w:t>
                  </w:r>
                </w:p>
              </w:tc>
              <w:tc>
                <w:tcPr>
                  <w:tcW w:w="439" w:type="pct"/>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噪声源</w:t>
                  </w:r>
                </w:p>
              </w:tc>
              <w:tc>
                <w:tcPr>
                  <w:tcW w:w="352" w:type="pct"/>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声源 类型</w:t>
                  </w:r>
                </w:p>
              </w:tc>
              <w:tc>
                <w:tcPr>
                  <w:tcW w:w="704" w:type="pct"/>
                  <w:gridSpan w:val="2"/>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噪声源强</w:t>
                  </w:r>
                </w:p>
              </w:tc>
              <w:tc>
                <w:tcPr>
                  <w:tcW w:w="107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空间相对位置</w:t>
                  </w:r>
                </w:p>
              </w:tc>
              <w:tc>
                <w:tcPr>
                  <w:tcW w:w="812" w:type="pct"/>
                  <w:gridSpan w:val="2"/>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降噪措施</w:t>
                  </w:r>
                </w:p>
              </w:tc>
              <w:tc>
                <w:tcPr>
                  <w:tcW w:w="722" w:type="pct"/>
                  <w:gridSpan w:val="2"/>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噪声排放值</w:t>
                  </w:r>
                </w:p>
              </w:tc>
              <w:tc>
                <w:tcPr>
                  <w:tcW w:w="413" w:type="pct"/>
                  <w:vMerge w:val="restart"/>
                  <w:tcBorders>
                    <w:bottom w:val="nil"/>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持续  时间/h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487" w:type="pct"/>
                  <w:vMerge w:val="continue"/>
                  <w:tcBorders>
                    <w:top w:val="nil"/>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439" w:type="pct"/>
                  <w:vMerge w:val="continue"/>
                  <w:tcBorders>
                    <w:top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352" w:type="pct"/>
                  <w:vMerge w:val="continue"/>
                  <w:tcBorders>
                    <w:top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3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核算 方法</w:t>
                  </w:r>
                </w:p>
              </w:tc>
              <w:tc>
                <w:tcPr>
                  <w:tcW w:w="3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噪声值</w:t>
                  </w:r>
                </w:p>
              </w:tc>
              <w:tc>
                <w:tcPr>
                  <w:tcW w:w="107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X，Y，Z</w:t>
                  </w:r>
                </w:p>
              </w:tc>
              <w:tc>
                <w:tcPr>
                  <w:tcW w:w="45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工艺</w:t>
                  </w:r>
                </w:p>
              </w:tc>
              <w:tc>
                <w:tcPr>
                  <w:tcW w:w="36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降噪 效果</w:t>
                  </w:r>
                </w:p>
              </w:tc>
              <w:tc>
                <w:tcPr>
                  <w:tcW w:w="36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核算 方法</w:t>
                  </w:r>
                </w:p>
              </w:tc>
              <w:tc>
                <w:tcPr>
                  <w:tcW w:w="36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噪声值</w:t>
                  </w:r>
                </w:p>
              </w:tc>
              <w:tc>
                <w:tcPr>
                  <w:tcW w:w="413" w:type="pct"/>
                  <w:vMerge w:val="continue"/>
                  <w:tcBorders>
                    <w:top w:val="nil"/>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87"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进料</w:t>
                  </w:r>
                </w:p>
              </w:tc>
              <w:tc>
                <w:tcPr>
                  <w:tcW w:w="43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给料机</w:t>
                  </w:r>
                </w:p>
              </w:tc>
              <w:tc>
                <w:tcPr>
                  <w:tcW w:w="3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频发</w:t>
                  </w:r>
                </w:p>
              </w:tc>
              <w:tc>
                <w:tcPr>
                  <w:tcW w:w="352" w:type="pct"/>
                  <w:vMerge w:val="restar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类比法</w:t>
                  </w:r>
                </w:p>
              </w:tc>
              <w:tc>
                <w:tcPr>
                  <w:tcW w:w="352"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85</w:t>
                  </w:r>
                </w:p>
              </w:tc>
              <w:tc>
                <w:tcPr>
                  <w:tcW w:w="1070"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-28.91 、-41.39 、504</w:t>
                  </w:r>
                </w:p>
              </w:tc>
              <w:tc>
                <w:tcPr>
                  <w:tcW w:w="451" w:type="pct"/>
                  <w:vMerge w:val="restar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优选设备、基础减振、建</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筑隔声、加强管理。合理安排运输时间、控 制车速</w:t>
                  </w:r>
                </w:p>
              </w:tc>
              <w:tc>
                <w:tcPr>
                  <w:tcW w:w="36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15</w:t>
                  </w:r>
                </w:p>
              </w:tc>
              <w:tc>
                <w:tcPr>
                  <w:tcW w:w="361" w:type="pct"/>
                  <w:vMerge w:val="restar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类比法</w:t>
                  </w:r>
                </w:p>
              </w:tc>
              <w:tc>
                <w:tcPr>
                  <w:tcW w:w="361"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70</w:t>
                  </w:r>
                </w:p>
              </w:tc>
              <w:tc>
                <w:tcPr>
                  <w:tcW w:w="413"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2400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87" w:type="pct"/>
                  <w:vMerge w:val="restart"/>
                  <w:tcBorders>
                    <w:left w:val="nil"/>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破碎</w:t>
                  </w:r>
                </w:p>
              </w:tc>
              <w:tc>
                <w:tcPr>
                  <w:tcW w:w="43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颚破机</w:t>
                  </w:r>
                </w:p>
              </w:tc>
              <w:tc>
                <w:tcPr>
                  <w:tcW w:w="3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频发</w:t>
                  </w:r>
                </w:p>
              </w:tc>
              <w:tc>
                <w:tcPr>
                  <w:tcW w:w="352" w:type="pct"/>
                  <w:vMerge w:val="continue"/>
                  <w:vAlign w:val="center"/>
                </w:tcPr>
                <w:p>
                  <w:pPr>
                    <w:spacing w:line="360" w:lineRule="auto"/>
                    <w:jc w:val="center"/>
                    <w:rPr>
                      <w:color w:val="000000" w:themeColor="text1"/>
                      <w:sz w:val="21"/>
                      <w14:textFill>
                        <w14:solidFill>
                          <w14:schemeClr w14:val="tx1"/>
                        </w14:solidFill>
                      </w14:textFill>
                    </w:rPr>
                  </w:pPr>
                </w:p>
              </w:tc>
              <w:tc>
                <w:tcPr>
                  <w:tcW w:w="352"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95</w:t>
                  </w:r>
                </w:p>
              </w:tc>
              <w:tc>
                <w:tcPr>
                  <w:tcW w:w="1070"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-29.51 、-35.97 、504</w:t>
                  </w:r>
                </w:p>
              </w:tc>
              <w:tc>
                <w:tcPr>
                  <w:tcW w:w="451" w:type="pct"/>
                  <w:vMerge w:val="continue"/>
                  <w:vAlign w:val="center"/>
                </w:tcPr>
                <w:p>
                  <w:pPr>
                    <w:spacing w:line="360" w:lineRule="auto"/>
                    <w:jc w:val="center"/>
                    <w:rPr>
                      <w:color w:val="000000" w:themeColor="text1"/>
                      <w:sz w:val="21"/>
                      <w14:textFill>
                        <w14:solidFill>
                          <w14:schemeClr w14:val="tx1"/>
                        </w14:solidFill>
                      </w14:textFill>
                    </w:rPr>
                  </w:pPr>
                </w:p>
              </w:tc>
              <w:tc>
                <w:tcPr>
                  <w:tcW w:w="36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15</w:t>
                  </w:r>
                </w:p>
              </w:tc>
              <w:tc>
                <w:tcPr>
                  <w:tcW w:w="361" w:type="pct"/>
                  <w:vMerge w:val="continue"/>
                  <w:vAlign w:val="center"/>
                </w:tcPr>
                <w:p>
                  <w:pPr>
                    <w:spacing w:line="360" w:lineRule="auto"/>
                    <w:jc w:val="center"/>
                    <w:rPr>
                      <w:color w:val="000000" w:themeColor="text1"/>
                      <w:sz w:val="21"/>
                      <w14:textFill>
                        <w14:solidFill>
                          <w14:schemeClr w14:val="tx1"/>
                        </w14:solidFill>
                      </w14:textFill>
                    </w:rPr>
                  </w:pPr>
                </w:p>
              </w:tc>
              <w:tc>
                <w:tcPr>
                  <w:tcW w:w="361"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75</w:t>
                  </w:r>
                </w:p>
              </w:tc>
              <w:tc>
                <w:tcPr>
                  <w:tcW w:w="413"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2400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87" w:type="pct"/>
                  <w:vMerge w:val="continue"/>
                  <w:tcBorders>
                    <w:top w:val="nil"/>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43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反击破</w:t>
                  </w:r>
                </w:p>
              </w:tc>
              <w:tc>
                <w:tcPr>
                  <w:tcW w:w="3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频发</w:t>
                  </w:r>
                </w:p>
              </w:tc>
              <w:tc>
                <w:tcPr>
                  <w:tcW w:w="352" w:type="pct"/>
                  <w:vMerge w:val="continue"/>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3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90</w:t>
                  </w:r>
                </w:p>
              </w:tc>
              <w:tc>
                <w:tcPr>
                  <w:tcW w:w="107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-29.31 、-29.75 、504</w:t>
                  </w:r>
                </w:p>
              </w:tc>
              <w:tc>
                <w:tcPr>
                  <w:tcW w:w="451" w:type="pct"/>
                  <w:vMerge w:val="continue"/>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36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15</w:t>
                  </w:r>
                </w:p>
              </w:tc>
              <w:tc>
                <w:tcPr>
                  <w:tcW w:w="361" w:type="pct"/>
                  <w:vMerge w:val="continue"/>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36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70</w:t>
                  </w:r>
                </w:p>
              </w:tc>
              <w:tc>
                <w:tcPr>
                  <w:tcW w:w="413"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2400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87"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筛分</w:t>
                  </w:r>
                </w:p>
              </w:tc>
              <w:tc>
                <w:tcPr>
                  <w:tcW w:w="43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筛分机</w:t>
                  </w:r>
                </w:p>
              </w:tc>
              <w:tc>
                <w:tcPr>
                  <w:tcW w:w="3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频发</w:t>
                  </w:r>
                </w:p>
              </w:tc>
              <w:tc>
                <w:tcPr>
                  <w:tcW w:w="352" w:type="pct"/>
                  <w:vMerge w:val="continue"/>
                  <w:vAlign w:val="center"/>
                </w:tcPr>
                <w:p>
                  <w:pPr>
                    <w:spacing w:line="360" w:lineRule="auto"/>
                    <w:jc w:val="center"/>
                    <w:rPr>
                      <w:color w:val="000000" w:themeColor="text1"/>
                      <w:sz w:val="21"/>
                      <w14:textFill>
                        <w14:solidFill>
                          <w14:schemeClr w14:val="tx1"/>
                        </w14:solidFill>
                      </w14:textFill>
                    </w:rPr>
                  </w:pPr>
                </w:p>
              </w:tc>
              <w:tc>
                <w:tcPr>
                  <w:tcW w:w="352"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90</w:t>
                  </w:r>
                </w:p>
              </w:tc>
              <w:tc>
                <w:tcPr>
                  <w:tcW w:w="1070"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-27.5 、-21.72 、503.8</w:t>
                  </w:r>
                </w:p>
              </w:tc>
              <w:tc>
                <w:tcPr>
                  <w:tcW w:w="451" w:type="pct"/>
                  <w:vMerge w:val="continue"/>
                  <w:vAlign w:val="center"/>
                </w:tcPr>
                <w:p>
                  <w:pPr>
                    <w:spacing w:line="360" w:lineRule="auto"/>
                    <w:jc w:val="center"/>
                    <w:rPr>
                      <w:color w:val="000000" w:themeColor="text1"/>
                      <w:sz w:val="21"/>
                      <w14:textFill>
                        <w14:solidFill>
                          <w14:schemeClr w14:val="tx1"/>
                        </w14:solidFill>
                      </w14:textFill>
                    </w:rPr>
                  </w:pPr>
                </w:p>
              </w:tc>
              <w:tc>
                <w:tcPr>
                  <w:tcW w:w="36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15</w:t>
                  </w:r>
                </w:p>
              </w:tc>
              <w:tc>
                <w:tcPr>
                  <w:tcW w:w="361" w:type="pct"/>
                  <w:vMerge w:val="continue"/>
                  <w:vAlign w:val="center"/>
                </w:tcPr>
                <w:p>
                  <w:pPr>
                    <w:spacing w:line="360" w:lineRule="auto"/>
                    <w:jc w:val="center"/>
                    <w:rPr>
                      <w:color w:val="000000" w:themeColor="text1"/>
                      <w:sz w:val="21"/>
                      <w14:textFill>
                        <w14:solidFill>
                          <w14:schemeClr w14:val="tx1"/>
                        </w14:solidFill>
                      </w14:textFill>
                    </w:rPr>
                  </w:pPr>
                </w:p>
              </w:tc>
              <w:tc>
                <w:tcPr>
                  <w:tcW w:w="361"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75</w:t>
                  </w:r>
                </w:p>
              </w:tc>
              <w:tc>
                <w:tcPr>
                  <w:tcW w:w="413"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2400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487"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洗砂</w:t>
                  </w:r>
                </w:p>
              </w:tc>
              <w:tc>
                <w:tcPr>
                  <w:tcW w:w="43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洗砂机</w:t>
                  </w:r>
                </w:p>
              </w:tc>
              <w:tc>
                <w:tcPr>
                  <w:tcW w:w="3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频发</w:t>
                  </w:r>
                </w:p>
              </w:tc>
              <w:tc>
                <w:tcPr>
                  <w:tcW w:w="352" w:type="pct"/>
                  <w:vMerge w:val="continue"/>
                  <w:vAlign w:val="center"/>
                </w:tcPr>
                <w:p>
                  <w:pPr>
                    <w:spacing w:line="360" w:lineRule="auto"/>
                    <w:jc w:val="center"/>
                    <w:rPr>
                      <w:color w:val="000000" w:themeColor="text1"/>
                      <w:sz w:val="21"/>
                      <w14:textFill>
                        <w14:solidFill>
                          <w14:schemeClr w14:val="tx1"/>
                        </w14:solidFill>
                      </w14:textFill>
                    </w:rPr>
                  </w:pPr>
                </w:p>
              </w:tc>
              <w:tc>
                <w:tcPr>
                  <w:tcW w:w="352"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85</w:t>
                  </w:r>
                </w:p>
              </w:tc>
              <w:tc>
                <w:tcPr>
                  <w:tcW w:w="1070"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-27.5 、- 15. 1 、503.5</w:t>
                  </w:r>
                </w:p>
              </w:tc>
              <w:tc>
                <w:tcPr>
                  <w:tcW w:w="451" w:type="pct"/>
                  <w:vMerge w:val="continue"/>
                  <w:vAlign w:val="center"/>
                </w:tcPr>
                <w:p>
                  <w:pPr>
                    <w:spacing w:line="360" w:lineRule="auto"/>
                    <w:jc w:val="center"/>
                    <w:rPr>
                      <w:color w:val="000000" w:themeColor="text1"/>
                      <w:sz w:val="21"/>
                      <w14:textFill>
                        <w14:solidFill>
                          <w14:schemeClr w14:val="tx1"/>
                        </w14:solidFill>
                      </w14:textFill>
                    </w:rPr>
                  </w:pPr>
                </w:p>
              </w:tc>
              <w:tc>
                <w:tcPr>
                  <w:tcW w:w="36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15</w:t>
                  </w:r>
                </w:p>
              </w:tc>
              <w:tc>
                <w:tcPr>
                  <w:tcW w:w="361" w:type="pct"/>
                  <w:vMerge w:val="continue"/>
                  <w:vAlign w:val="center"/>
                </w:tcPr>
                <w:p>
                  <w:pPr>
                    <w:spacing w:line="360" w:lineRule="auto"/>
                    <w:jc w:val="center"/>
                    <w:rPr>
                      <w:color w:val="000000" w:themeColor="text1"/>
                      <w:sz w:val="21"/>
                      <w14:textFill>
                        <w14:solidFill>
                          <w14:schemeClr w14:val="tx1"/>
                        </w14:solidFill>
                      </w14:textFill>
                    </w:rPr>
                  </w:pPr>
                </w:p>
              </w:tc>
              <w:tc>
                <w:tcPr>
                  <w:tcW w:w="361"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70</w:t>
                  </w:r>
                </w:p>
              </w:tc>
              <w:tc>
                <w:tcPr>
                  <w:tcW w:w="413"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2400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87"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泥砂处理</w:t>
                  </w:r>
                </w:p>
              </w:tc>
              <w:tc>
                <w:tcPr>
                  <w:tcW w:w="43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压滤机</w:t>
                  </w:r>
                </w:p>
              </w:tc>
              <w:tc>
                <w:tcPr>
                  <w:tcW w:w="3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频发</w:t>
                  </w:r>
                </w:p>
              </w:tc>
              <w:tc>
                <w:tcPr>
                  <w:tcW w:w="352" w:type="pct"/>
                  <w:vMerge w:val="continue"/>
                  <w:vAlign w:val="center"/>
                </w:tcPr>
                <w:p>
                  <w:pPr>
                    <w:spacing w:line="360" w:lineRule="auto"/>
                    <w:jc w:val="center"/>
                    <w:rPr>
                      <w:color w:val="000000" w:themeColor="text1"/>
                      <w:sz w:val="21"/>
                      <w14:textFill>
                        <w14:solidFill>
                          <w14:schemeClr w14:val="tx1"/>
                        </w14:solidFill>
                      </w14:textFill>
                    </w:rPr>
                  </w:pPr>
                </w:p>
              </w:tc>
              <w:tc>
                <w:tcPr>
                  <w:tcW w:w="352"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80</w:t>
                  </w:r>
                </w:p>
              </w:tc>
              <w:tc>
                <w:tcPr>
                  <w:tcW w:w="1070"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-24.9 、-7.47 、503</w:t>
                  </w:r>
                </w:p>
              </w:tc>
              <w:tc>
                <w:tcPr>
                  <w:tcW w:w="451" w:type="pct"/>
                  <w:vMerge w:val="continue"/>
                  <w:vAlign w:val="center"/>
                </w:tcPr>
                <w:p>
                  <w:pPr>
                    <w:spacing w:line="360" w:lineRule="auto"/>
                    <w:jc w:val="center"/>
                    <w:rPr>
                      <w:color w:val="000000" w:themeColor="text1"/>
                      <w:sz w:val="21"/>
                      <w14:textFill>
                        <w14:solidFill>
                          <w14:schemeClr w14:val="tx1"/>
                        </w14:solidFill>
                      </w14:textFill>
                    </w:rPr>
                  </w:pPr>
                </w:p>
              </w:tc>
              <w:tc>
                <w:tcPr>
                  <w:tcW w:w="36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15</w:t>
                  </w:r>
                </w:p>
              </w:tc>
              <w:tc>
                <w:tcPr>
                  <w:tcW w:w="361" w:type="pct"/>
                  <w:vMerge w:val="continue"/>
                  <w:vAlign w:val="center"/>
                </w:tcPr>
                <w:p>
                  <w:pPr>
                    <w:spacing w:line="360" w:lineRule="auto"/>
                    <w:jc w:val="center"/>
                    <w:rPr>
                      <w:color w:val="000000" w:themeColor="text1"/>
                      <w:sz w:val="21"/>
                      <w14:textFill>
                        <w14:solidFill>
                          <w14:schemeClr w14:val="tx1"/>
                        </w14:solidFill>
                      </w14:textFill>
                    </w:rPr>
                  </w:pPr>
                </w:p>
              </w:tc>
              <w:tc>
                <w:tcPr>
                  <w:tcW w:w="361"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65</w:t>
                  </w:r>
                </w:p>
              </w:tc>
              <w:tc>
                <w:tcPr>
                  <w:tcW w:w="413"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2400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487"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输送</w:t>
                  </w:r>
                </w:p>
              </w:tc>
              <w:tc>
                <w:tcPr>
                  <w:tcW w:w="43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输送机</w:t>
                  </w:r>
                </w:p>
              </w:tc>
              <w:tc>
                <w:tcPr>
                  <w:tcW w:w="3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频发</w:t>
                  </w:r>
                </w:p>
              </w:tc>
              <w:tc>
                <w:tcPr>
                  <w:tcW w:w="352" w:type="pct"/>
                  <w:vMerge w:val="continue"/>
                  <w:vAlign w:val="center"/>
                </w:tcPr>
                <w:p>
                  <w:pPr>
                    <w:spacing w:line="360" w:lineRule="auto"/>
                    <w:jc w:val="center"/>
                    <w:rPr>
                      <w:color w:val="000000" w:themeColor="text1"/>
                      <w:sz w:val="21"/>
                      <w14:textFill>
                        <w14:solidFill>
                          <w14:schemeClr w14:val="tx1"/>
                        </w14:solidFill>
                      </w14:textFill>
                    </w:rPr>
                  </w:pPr>
                </w:p>
              </w:tc>
              <w:tc>
                <w:tcPr>
                  <w:tcW w:w="352"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75</w:t>
                  </w:r>
                </w:p>
              </w:tc>
              <w:tc>
                <w:tcPr>
                  <w:tcW w:w="1070"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-31.52 、-27.74、</w:t>
                  </w:r>
                </w:p>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503.7</w:t>
                  </w:r>
                </w:p>
              </w:tc>
              <w:tc>
                <w:tcPr>
                  <w:tcW w:w="451" w:type="pct"/>
                  <w:vMerge w:val="continue"/>
                  <w:vAlign w:val="center"/>
                </w:tcPr>
                <w:p>
                  <w:pPr>
                    <w:spacing w:line="360" w:lineRule="auto"/>
                    <w:jc w:val="center"/>
                    <w:rPr>
                      <w:color w:val="000000" w:themeColor="text1"/>
                      <w:sz w:val="21"/>
                      <w14:textFill>
                        <w14:solidFill>
                          <w14:schemeClr w14:val="tx1"/>
                        </w14:solidFill>
                      </w14:textFill>
                    </w:rPr>
                  </w:pPr>
                </w:p>
              </w:tc>
              <w:tc>
                <w:tcPr>
                  <w:tcW w:w="36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15</w:t>
                  </w:r>
                </w:p>
              </w:tc>
              <w:tc>
                <w:tcPr>
                  <w:tcW w:w="361" w:type="pct"/>
                  <w:vMerge w:val="continue"/>
                  <w:vAlign w:val="center"/>
                </w:tcPr>
                <w:p>
                  <w:pPr>
                    <w:spacing w:line="360" w:lineRule="auto"/>
                    <w:jc w:val="center"/>
                    <w:rPr>
                      <w:color w:val="000000" w:themeColor="text1"/>
                      <w:sz w:val="21"/>
                      <w14:textFill>
                        <w14:solidFill>
                          <w14:schemeClr w14:val="tx1"/>
                        </w14:solidFill>
                      </w14:textFill>
                    </w:rPr>
                  </w:pPr>
                </w:p>
              </w:tc>
              <w:tc>
                <w:tcPr>
                  <w:tcW w:w="361"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60</w:t>
                  </w:r>
                </w:p>
              </w:tc>
              <w:tc>
                <w:tcPr>
                  <w:tcW w:w="413"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2400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487"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铲装</w:t>
                  </w:r>
                </w:p>
              </w:tc>
              <w:tc>
                <w:tcPr>
                  <w:tcW w:w="43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铲车</w:t>
                  </w:r>
                </w:p>
              </w:tc>
              <w:tc>
                <w:tcPr>
                  <w:tcW w:w="3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偶发</w:t>
                  </w:r>
                </w:p>
              </w:tc>
              <w:tc>
                <w:tcPr>
                  <w:tcW w:w="352" w:type="pct"/>
                  <w:vMerge w:val="continue"/>
                  <w:vAlign w:val="center"/>
                </w:tcPr>
                <w:p>
                  <w:pPr>
                    <w:spacing w:line="360" w:lineRule="auto"/>
                    <w:jc w:val="center"/>
                    <w:rPr>
                      <w:color w:val="000000" w:themeColor="text1"/>
                      <w:sz w:val="21"/>
                      <w14:textFill>
                        <w14:solidFill>
                          <w14:schemeClr w14:val="tx1"/>
                        </w14:solidFill>
                      </w14:textFill>
                    </w:rPr>
                  </w:pPr>
                </w:p>
              </w:tc>
              <w:tc>
                <w:tcPr>
                  <w:tcW w:w="352"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85</w:t>
                  </w:r>
                </w:p>
              </w:tc>
              <w:tc>
                <w:tcPr>
                  <w:tcW w:w="1070"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-31. 12 、-52.23 、504</w:t>
                  </w:r>
                </w:p>
              </w:tc>
              <w:tc>
                <w:tcPr>
                  <w:tcW w:w="451" w:type="pct"/>
                  <w:vMerge w:val="continue"/>
                  <w:vAlign w:val="center"/>
                </w:tcPr>
                <w:p>
                  <w:pPr>
                    <w:spacing w:line="360" w:lineRule="auto"/>
                    <w:jc w:val="center"/>
                    <w:rPr>
                      <w:color w:val="000000" w:themeColor="text1"/>
                      <w:sz w:val="21"/>
                      <w14:textFill>
                        <w14:solidFill>
                          <w14:schemeClr w14:val="tx1"/>
                        </w14:solidFill>
                      </w14:textFill>
                    </w:rPr>
                  </w:pPr>
                </w:p>
              </w:tc>
              <w:tc>
                <w:tcPr>
                  <w:tcW w:w="36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15</w:t>
                  </w:r>
                </w:p>
              </w:tc>
              <w:tc>
                <w:tcPr>
                  <w:tcW w:w="361" w:type="pct"/>
                  <w:vMerge w:val="continue"/>
                  <w:vAlign w:val="center"/>
                </w:tcPr>
                <w:p>
                  <w:pPr>
                    <w:spacing w:line="360" w:lineRule="auto"/>
                    <w:jc w:val="center"/>
                    <w:rPr>
                      <w:color w:val="000000" w:themeColor="text1"/>
                      <w:sz w:val="21"/>
                      <w14:textFill>
                        <w14:solidFill>
                          <w14:schemeClr w14:val="tx1"/>
                        </w14:solidFill>
                      </w14:textFill>
                    </w:rPr>
                  </w:pPr>
                </w:p>
              </w:tc>
              <w:tc>
                <w:tcPr>
                  <w:tcW w:w="361"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75</w:t>
                  </w:r>
                </w:p>
              </w:tc>
              <w:tc>
                <w:tcPr>
                  <w:tcW w:w="413"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487"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废水处理</w:t>
                  </w:r>
                </w:p>
              </w:tc>
              <w:tc>
                <w:tcPr>
                  <w:tcW w:w="43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水泵</w:t>
                  </w:r>
                </w:p>
              </w:tc>
              <w:tc>
                <w:tcPr>
                  <w:tcW w:w="35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频发</w:t>
                  </w:r>
                </w:p>
              </w:tc>
              <w:tc>
                <w:tcPr>
                  <w:tcW w:w="352" w:type="pct"/>
                  <w:vMerge w:val="continue"/>
                  <w:vAlign w:val="center"/>
                </w:tcPr>
                <w:p>
                  <w:pPr>
                    <w:spacing w:line="360" w:lineRule="auto"/>
                    <w:jc w:val="center"/>
                    <w:rPr>
                      <w:color w:val="000000" w:themeColor="text1"/>
                      <w:sz w:val="21"/>
                      <w14:textFill>
                        <w14:solidFill>
                          <w14:schemeClr w14:val="tx1"/>
                        </w14:solidFill>
                      </w14:textFill>
                    </w:rPr>
                  </w:pPr>
                </w:p>
              </w:tc>
              <w:tc>
                <w:tcPr>
                  <w:tcW w:w="352"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70</w:t>
                  </w:r>
                </w:p>
              </w:tc>
              <w:tc>
                <w:tcPr>
                  <w:tcW w:w="1070"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-26.3 、-9.88 、503.3</w:t>
                  </w:r>
                </w:p>
              </w:tc>
              <w:tc>
                <w:tcPr>
                  <w:tcW w:w="451" w:type="pct"/>
                  <w:vMerge w:val="continue"/>
                  <w:vAlign w:val="center"/>
                </w:tcPr>
                <w:p>
                  <w:pPr>
                    <w:spacing w:line="360" w:lineRule="auto"/>
                    <w:jc w:val="center"/>
                    <w:rPr>
                      <w:color w:val="000000" w:themeColor="text1"/>
                      <w:sz w:val="21"/>
                      <w14:textFill>
                        <w14:solidFill>
                          <w14:schemeClr w14:val="tx1"/>
                        </w14:solidFill>
                      </w14:textFill>
                    </w:rPr>
                  </w:pPr>
                </w:p>
              </w:tc>
              <w:tc>
                <w:tcPr>
                  <w:tcW w:w="36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20</w:t>
                  </w:r>
                </w:p>
              </w:tc>
              <w:tc>
                <w:tcPr>
                  <w:tcW w:w="361" w:type="pct"/>
                  <w:vMerge w:val="continue"/>
                  <w:vAlign w:val="center"/>
                </w:tcPr>
                <w:p>
                  <w:pPr>
                    <w:spacing w:line="360" w:lineRule="auto"/>
                    <w:jc w:val="center"/>
                    <w:rPr>
                      <w:color w:val="000000" w:themeColor="text1"/>
                      <w:sz w:val="21"/>
                      <w14:textFill>
                        <w14:solidFill>
                          <w14:schemeClr w14:val="tx1"/>
                        </w14:solidFill>
                      </w14:textFill>
                    </w:rPr>
                  </w:pPr>
                </w:p>
              </w:tc>
              <w:tc>
                <w:tcPr>
                  <w:tcW w:w="361" w:type="pct"/>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50</w:t>
                  </w:r>
                </w:p>
              </w:tc>
              <w:tc>
                <w:tcPr>
                  <w:tcW w:w="413"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2400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487" w:type="pct"/>
                  <w:tcBorders>
                    <w:left w:val="nil"/>
                    <w:bottom w:val="single" w:color="000000" w:sz="6"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运输作业</w:t>
                  </w:r>
                </w:p>
              </w:tc>
              <w:tc>
                <w:tcPr>
                  <w:tcW w:w="439" w:type="pct"/>
                  <w:tcBorders>
                    <w:bottom w:val="single" w:color="000000" w:sz="6"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车辆</w:t>
                  </w:r>
                </w:p>
              </w:tc>
              <w:tc>
                <w:tcPr>
                  <w:tcW w:w="352" w:type="pct"/>
                  <w:tcBorders>
                    <w:bottom w:val="single" w:color="000000" w:sz="6"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偶发</w:t>
                  </w:r>
                </w:p>
              </w:tc>
              <w:tc>
                <w:tcPr>
                  <w:tcW w:w="352" w:type="pct"/>
                  <w:vMerge w:val="continue"/>
                  <w:tcBorders>
                    <w:bottom w:val="single" w:color="000000" w:sz="6" w:space="0"/>
                  </w:tcBorders>
                  <w:vAlign w:val="center"/>
                </w:tcPr>
                <w:p>
                  <w:pPr>
                    <w:spacing w:line="360" w:lineRule="auto"/>
                    <w:jc w:val="center"/>
                    <w:rPr>
                      <w:color w:val="000000" w:themeColor="text1"/>
                      <w:sz w:val="21"/>
                      <w14:textFill>
                        <w14:solidFill>
                          <w14:schemeClr w14:val="tx1"/>
                        </w14:solidFill>
                      </w14:textFill>
                    </w:rPr>
                  </w:pPr>
                </w:p>
              </w:tc>
              <w:tc>
                <w:tcPr>
                  <w:tcW w:w="352" w:type="pct"/>
                  <w:tcBorders>
                    <w:bottom w:val="single" w:color="000000" w:sz="6" w:space="0"/>
                  </w:tcBorders>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85</w:t>
                  </w:r>
                </w:p>
              </w:tc>
              <w:tc>
                <w:tcPr>
                  <w:tcW w:w="1070" w:type="pct"/>
                  <w:tcBorders>
                    <w:bottom w:val="single" w:color="000000" w:sz="6" w:space="0"/>
                  </w:tcBorders>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w:t>
                  </w:r>
                </w:p>
              </w:tc>
              <w:tc>
                <w:tcPr>
                  <w:tcW w:w="451" w:type="pct"/>
                  <w:vMerge w:val="continue"/>
                  <w:tcBorders>
                    <w:bottom w:val="single" w:color="000000" w:sz="6" w:space="0"/>
                  </w:tcBorders>
                  <w:vAlign w:val="center"/>
                </w:tcPr>
                <w:p>
                  <w:pPr>
                    <w:spacing w:line="360" w:lineRule="auto"/>
                    <w:jc w:val="center"/>
                    <w:rPr>
                      <w:color w:val="000000" w:themeColor="text1"/>
                      <w:sz w:val="21"/>
                      <w14:textFill>
                        <w14:solidFill>
                          <w14:schemeClr w14:val="tx1"/>
                        </w14:solidFill>
                      </w14:textFill>
                    </w:rPr>
                  </w:pPr>
                </w:p>
              </w:tc>
              <w:tc>
                <w:tcPr>
                  <w:tcW w:w="361" w:type="pct"/>
                  <w:tcBorders>
                    <w:bottom w:val="single" w:color="000000" w:sz="6"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361" w:type="pct"/>
                  <w:vMerge w:val="continue"/>
                  <w:tcBorders>
                    <w:bottom w:val="single" w:color="000000" w:sz="6" w:space="0"/>
                  </w:tcBorders>
                  <w:vAlign w:val="center"/>
                </w:tcPr>
                <w:p>
                  <w:pPr>
                    <w:spacing w:line="360" w:lineRule="auto"/>
                    <w:jc w:val="center"/>
                    <w:rPr>
                      <w:color w:val="000000" w:themeColor="text1"/>
                      <w:sz w:val="21"/>
                      <w14:textFill>
                        <w14:solidFill>
                          <w14:schemeClr w14:val="tx1"/>
                        </w14:solidFill>
                      </w14:textFill>
                    </w:rPr>
                  </w:pPr>
                </w:p>
              </w:tc>
              <w:tc>
                <w:tcPr>
                  <w:tcW w:w="361" w:type="pct"/>
                  <w:tcBorders>
                    <w:bottom w:val="single" w:color="000000" w:sz="6" w:space="0"/>
                  </w:tcBorders>
                  <w:vAlign w:val="center"/>
                </w:tcPr>
                <w:p>
                  <w:pPr>
                    <w:spacing w:line="360" w:lineRule="auto"/>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85</w:t>
                  </w:r>
                </w:p>
              </w:tc>
              <w:tc>
                <w:tcPr>
                  <w:tcW w:w="413" w:type="pct"/>
                  <w:tcBorders>
                    <w:bottom w:val="single" w:color="000000" w:sz="6" w:space="0"/>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r>
          </w:tbl>
          <w:p>
            <w:pPr>
              <w:spacing w:line="360" w:lineRule="auto"/>
              <w:ind w:firstLine="361" w:firstLineChars="150"/>
              <w:rPr>
                <w:b/>
                <w:color w:val="000000" w:themeColor="text1"/>
                <w14:textFill>
                  <w14:solidFill>
                    <w14:schemeClr w14:val="tx1"/>
                  </w14:solidFill>
                </w14:textFill>
              </w:rPr>
            </w:pPr>
            <w:r>
              <w:rPr>
                <w:rFonts w:hint="eastAsia"/>
                <w:b/>
                <w:color w:val="000000" w:themeColor="text1"/>
                <w14:textFill>
                  <w14:solidFill>
                    <w14:schemeClr w14:val="tx1"/>
                  </w14:solidFill>
                </w14:textFill>
              </w:rPr>
              <w:t>治理措施：</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①优选设备。尽量选择低噪声且符合国家噪声标准的设备。</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②减振消声。产噪设备设安装减振垫，尤其是颚破机、破碎机等振动较大的设备采用单独基础；机械设备加强维护保养，定期检查、维修，及时更换老化和性能降低的旧设备。</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③优化布局。生产车间封闭，利用建筑隔声；设备尽量远离厂界且布置再车间内，利用建筑隔声。</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④建筑隔声措施。所有生产设备均安装在密闭的生产车间内，通过适当增加车间墙壁厚度来增加噪声阻隔量，使传到房外的噪声降到最低。</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⑤合理安排企业生产时间，运输安排在昼间进行。</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⑥加强管理，加强设备维护保养，及时更换性能较低的零配件及设备。</w:t>
            </w:r>
          </w:p>
          <w:p>
            <w:pPr>
              <w:spacing w:line="360" w:lineRule="auto"/>
              <w:ind w:firstLine="361" w:firstLineChars="150"/>
              <w:rPr>
                <w:b/>
                <w:color w:val="000000" w:themeColor="text1"/>
                <w14:textFill>
                  <w14:solidFill>
                    <w14:schemeClr w14:val="tx1"/>
                  </w14:solidFill>
                </w14:textFill>
              </w:rPr>
            </w:pPr>
            <w:r>
              <w:rPr>
                <w:rFonts w:hint="eastAsia"/>
                <w:b/>
                <w:color w:val="000000" w:themeColor="text1"/>
                <w14:textFill>
                  <w14:solidFill>
                    <w14:schemeClr w14:val="tx1"/>
                  </w14:solidFill>
                </w14:textFill>
              </w:rPr>
              <w:t>3.2环境影响及达标分析</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（1）预测模式</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本次评价采用《环境影响评价技术导则一声环境》（HJ2.4-2021）中推荐模式进行预测，用A声级计算，模式如下：</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①室外声源</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在预测点的声压级计算：</w:t>
            </w:r>
          </w:p>
          <w:p>
            <w:pPr>
              <w:spacing w:line="360" w:lineRule="auto"/>
              <w:ind w:firstLine="480"/>
              <w:jc w:val="center"/>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L</w:t>
            </w:r>
            <w:r>
              <w:rPr>
                <w:rFonts w:hint="eastAsia"/>
                <w:bCs/>
                <w:color w:val="000000" w:themeColor="text1"/>
                <w:szCs w:val="24"/>
                <w:vertAlign w:val="subscript"/>
                <w14:textFill>
                  <w14:solidFill>
                    <w14:schemeClr w14:val="tx1"/>
                  </w14:solidFill>
                </w14:textFill>
              </w:rPr>
              <w:t>p</w:t>
            </w:r>
            <w:r>
              <w:rPr>
                <w:rFonts w:hint="eastAsia"/>
                <w:bCs/>
                <w:color w:val="000000" w:themeColor="text1"/>
                <w:szCs w:val="24"/>
                <w14:textFill>
                  <w14:solidFill>
                    <w14:schemeClr w14:val="tx1"/>
                  </w14:solidFill>
                </w14:textFill>
              </w:rPr>
              <w:t>(r)＝L</w:t>
            </w:r>
            <w:r>
              <w:rPr>
                <w:rFonts w:hint="eastAsia"/>
                <w:bCs/>
                <w:color w:val="000000" w:themeColor="text1"/>
                <w:szCs w:val="24"/>
                <w:vertAlign w:val="subscript"/>
                <w14:textFill>
                  <w14:solidFill>
                    <w14:schemeClr w14:val="tx1"/>
                  </w14:solidFill>
                </w14:textFill>
              </w:rPr>
              <w:t>w</w:t>
            </w:r>
            <w:r>
              <w:rPr>
                <w:rFonts w:hint="eastAsia"/>
                <w:bCs/>
                <w:color w:val="000000" w:themeColor="text1"/>
                <w:szCs w:val="24"/>
                <w14:textFill>
                  <w14:solidFill>
                    <w14:schemeClr w14:val="tx1"/>
                  </w14:solidFill>
                </w14:textFill>
              </w:rPr>
              <w:t>+D</w:t>
            </w:r>
            <w:r>
              <w:rPr>
                <w:rFonts w:hint="eastAsia"/>
                <w:bCs/>
                <w:color w:val="000000" w:themeColor="text1"/>
                <w:szCs w:val="24"/>
                <w:vertAlign w:val="subscript"/>
                <w14:textFill>
                  <w14:solidFill>
                    <w14:schemeClr w14:val="tx1"/>
                  </w14:solidFill>
                </w14:textFill>
              </w:rPr>
              <w:t>C</w:t>
            </w:r>
            <w:r>
              <w:rPr>
                <w:rFonts w:hint="eastAsia"/>
                <w:bCs/>
                <w:color w:val="000000" w:themeColor="text1"/>
                <w:szCs w:val="24"/>
                <w14:textFill>
                  <w14:solidFill>
                    <w14:schemeClr w14:val="tx1"/>
                  </w14:solidFill>
                </w14:textFill>
              </w:rPr>
              <w:t>－(A</w:t>
            </w:r>
            <w:r>
              <w:rPr>
                <w:rFonts w:hint="eastAsia"/>
                <w:bCs/>
                <w:color w:val="000000" w:themeColor="text1"/>
                <w:szCs w:val="24"/>
                <w:vertAlign w:val="subscript"/>
                <w14:textFill>
                  <w14:solidFill>
                    <w14:schemeClr w14:val="tx1"/>
                  </w14:solidFill>
                </w14:textFill>
              </w:rPr>
              <w:t>div</w:t>
            </w:r>
            <w:r>
              <w:rPr>
                <w:rFonts w:hint="eastAsia"/>
                <w:bCs/>
                <w:color w:val="000000" w:themeColor="text1"/>
                <w:szCs w:val="24"/>
                <w14:textFill>
                  <w14:solidFill>
                    <w14:schemeClr w14:val="tx1"/>
                  </w14:solidFill>
                </w14:textFill>
              </w:rPr>
              <w:t>＋A</w:t>
            </w:r>
            <w:r>
              <w:rPr>
                <w:rFonts w:hint="eastAsia"/>
                <w:bCs/>
                <w:color w:val="000000" w:themeColor="text1"/>
                <w:szCs w:val="24"/>
                <w:vertAlign w:val="subscript"/>
                <w14:textFill>
                  <w14:solidFill>
                    <w14:schemeClr w14:val="tx1"/>
                  </w14:solidFill>
                </w14:textFill>
              </w:rPr>
              <w:t>atm</w:t>
            </w:r>
            <w:r>
              <w:rPr>
                <w:rFonts w:hint="eastAsia"/>
                <w:bCs/>
                <w:color w:val="000000" w:themeColor="text1"/>
                <w:szCs w:val="24"/>
                <w14:textFill>
                  <w14:solidFill>
                    <w14:schemeClr w14:val="tx1"/>
                  </w14:solidFill>
                </w14:textFill>
              </w:rPr>
              <w:t>＋A</w:t>
            </w:r>
            <w:r>
              <w:rPr>
                <w:rFonts w:hint="eastAsia"/>
                <w:bCs/>
                <w:color w:val="000000" w:themeColor="text1"/>
                <w:szCs w:val="24"/>
                <w:vertAlign w:val="subscript"/>
                <w14:textFill>
                  <w14:solidFill>
                    <w14:schemeClr w14:val="tx1"/>
                  </w14:solidFill>
                </w14:textFill>
              </w:rPr>
              <w:t>gr</w:t>
            </w:r>
            <w:r>
              <w:rPr>
                <w:rFonts w:hint="eastAsia"/>
                <w:bCs/>
                <w:color w:val="000000" w:themeColor="text1"/>
                <w:szCs w:val="24"/>
                <w14:textFill>
                  <w14:solidFill>
                    <w14:schemeClr w14:val="tx1"/>
                  </w14:solidFill>
                </w14:textFill>
              </w:rPr>
              <w:t>＋A</w:t>
            </w:r>
            <w:r>
              <w:rPr>
                <w:rFonts w:hint="eastAsia"/>
                <w:bCs/>
                <w:color w:val="000000" w:themeColor="text1"/>
                <w:szCs w:val="24"/>
                <w:vertAlign w:val="subscript"/>
                <w14:textFill>
                  <w14:solidFill>
                    <w14:schemeClr w14:val="tx1"/>
                  </w14:solidFill>
                </w14:textFill>
              </w:rPr>
              <w:t>bar</w:t>
            </w:r>
            <w:r>
              <w:rPr>
                <w:rFonts w:hint="eastAsia"/>
                <w:bCs/>
                <w:color w:val="000000" w:themeColor="text1"/>
                <w:szCs w:val="24"/>
                <w14:textFill>
                  <w14:solidFill>
                    <w14:schemeClr w14:val="tx1"/>
                  </w14:solidFill>
                </w14:textFill>
              </w:rPr>
              <w:t>＋A</w:t>
            </w:r>
            <w:r>
              <w:rPr>
                <w:rFonts w:hint="eastAsia"/>
                <w:bCs/>
                <w:color w:val="000000" w:themeColor="text1"/>
                <w:szCs w:val="24"/>
                <w:vertAlign w:val="subscript"/>
                <w14:textFill>
                  <w14:solidFill>
                    <w14:schemeClr w14:val="tx1"/>
                  </w14:solidFill>
                </w14:textFill>
              </w:rPr>
              <w:t>misc</w:t>
            </w:r>
            <w:r>
              <w:rPr>
                <w:rFonts w:hint="eastAsia"/>
                <w:bCs/>
                <w:color w:val="000000" w:themeColor="text1"/>
                <w:szCs w:val="24"/>
                <w14:textFill>
                  <w14:solidFill>
                    <w14:schemeClr w14:val="tx1"/>
                  </w14:solidFill>
                </w14:textFill>
              </w:rPr>
              <w:t>)</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式中：L</w:t>
            </w:r>
            <w:r>
              <w:rPr>
                <w:rFonts w:hint="eastAsia"/>
                <w:bCs/>
                <w:color w:val="000000" w:themeColor="text1"/>
                <w:szCs w:val="24"/>
                <w:vertAlign w:val="subscript"/>
                <w14:textFill>
                  <w14:solidFill>
                    <w14:schemeClr w14:val="tx1"/>
                  </w14:solidFill>
                </w14:textFill>
              </w:rPr>
              <w:t>p</w:t>
            </w:r>
            <w:r>
              <w:rPr>
                <w:rFonts w:hint="eastAsia"/>
                <w:bCs/>
                <w:color w:val="000000" w:themeColor="text1"/>
                <w:szCs w:val="24"/>
                <w14:textFill>
                  <w14:solidFill>
                    <w14:schemeClr w14:val="tx1"/>
                  </w14:solidFill>
                </w14:textFill>
              </w:rPr>
              <w:t>(r)——预测点处声压级，dB；</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L</w:t>
            </w:r>
            <w:r>
              <w:rPr>
                <w:rFonts w:hint="eastAsia"/>
                <w:bCs/>
                <w:color w:val="000000" w:themeColor="text1"/>
                <w:szCs w:val="24"/>
                <w:vertAlign w:val="subscript"/>
                <w14:textFill>
                  <w14:solidFill>
                    <w14:schemeClr w14:val="tx1"/>
                  </w14:solidFill>
                </w14:textFill>
              </w:rPr>
              <w:t>w</w:t>
            </w:r>
            <w:r>
              <w:rPr>
                <w:rFonts w:hint="eastAsia"/>
                <w:bCs/>
                <w:color w:val="000000" w:themeColor="text1"/>
                <w:szCs w:val="24"/>
                <w14:textFill>
                  <w14:solidFill>
                    <w14:schemeClr w14:val="tx1"/>
                  </w14:solidFill>
                </w14:textFill>
              </w:rPr>
              <w:t>——由点声源产生的声功率级（A计权或倍频带），dB；</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D</w:t>
            </w:r>
            <w:r>
              <w:rPr>
                <w:rFonts w:hint="eastAsia"/>
                <w:bCs/>
                <w:color w:val="000000" w:themeColor="text1"/>
                <w:szCs w:val="24"/>
                <w:vertAlign w:val="subscript"/>
                <w14:textFill>
                  <w14:solidFill>
                    <w14:schemeClr w14:val="tx1"/>
                  </w14:solidFill>
                </w14:textFill>
              </w:rPr>
              <w:t>C</w:t>
            </w:r>
            <w:r>
              <w:rPr>
                <w:rFonts w:hint="eastAsia"/>
                <w:bCs/>
                <w:color w:val="000000" w:themeColor="text1"/>
                <w:szCs w:val="24"/>
                <w14:textFill>
                  <w14:solidFill>
                    <w14:schemeClr w14:val="tx1"/>
                  </w14:solidFill>
                </w14:textFill>
              </w:rPr>
              <w:t>——指向性校正，它描述点声源的等效连续声压级与产生声功率级Lw的全向点声源在规定方向的声级的偏差程度，dB；</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A</w:t>
            </w:r>
            <w:r>
              <w:rPr>
                <w:rFonts w:hint="eastAsia"/>
                <w:bCs/>
                <w:color w:val="000000" w:themeColor="text1"/>
                <w:szCs w:val="24"/>
                <w:vertAlign w:val="subscript"/>
                <w14:textFill>
                  <w14:solidFill>
                    <w14:schemeClr w14:val="tx1"/>
                  </w14:solidFill>
                </w14:textFill>
              </w:rPr>
              <w:t>div</w:t>
            </w:r>
            <w:r>
              <w:rPr>
                <w:rFonts w:hint="eastAsia"/>
                <w:bCs/>
                <w:color w:val="000000" w:themeColor="text1"/>
                <w:szCs w:val="24"/>
                <w14:textFill>
                  <w14:solidFill>
                    <w14:schemeClr w14:val="tx1"/>
                  </w14:solidFill>
                </w14:textFill>
              </w:rPr>
              <w:t>——几何发散引起的衰减，dB；</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A</w:t>
            </w:r>
            <w:r>
              <w:rPr>
                <w:rFonts w:hint="eastAsia"/>
                <w:bCs/>
                <w:color w:val="000000" w:themeColor="text1"/>
                <w:szCs w:val="24"/>
                <w:vertAlign w:val="subscript"/>
                <w14:textFill>
                  <w14:solidFill>
                    <w14:schemeClr w14:val="tx1"/>
                  </w14:solidFill>
                </w14:textFill>
              </w:rPr>
              <w:t>atm</w:t>
            </w:r>
            <w:r>
              <w:rPr>
                <w:rFonts w:hint="eastAsia"/>
                <w:bCs/>
                <w:color w:val="000000" w:themeColor="text1"/>
                <w:szCs w:val="24"/>
                <w14:textFill>
                  <w14:solidFill>
                    <w14:schemeClr w14:val="tx1"/>
                  </w14:solidFill>
                </w14:textFill>
              </w:rPr>
              <w:t>——大气吸收引起的衰减，dB；</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A</w:t>
            </w:r>
            <w:r>
              <w:rPr>
                <w:rFonts w:hint="eastAsia"/>
                <w:bCs/>
                <w:color w:val="000000" w:themeColor="text1"/>
                <w:szCs w:val="24"/>
                <w:vertAlign w:val="subscript"/>
                <w14:textFill>
                  <w14:solidFill>
                    <w14:schemeClr w14:val="tx1"/>
                  </w14:solidFill>
                </w14:textFill>
              </w:rPr>
              <w:t>gr</w:t>
            </w:r>
            <w:r>
              <w:rPr>
                <w:rFonts w:hint="eastAsia"/>
                <w:bCs/>
                <w:color w:val="000000" w:themeColor="text1"/>
                <w:szCs w:val="24"/>
                <w14:textFill>
                  <w14:solidFill>
                    <w14:schemeClr w14:val="tx1"/>
                  </w14:solidFill>
                </w14:textFill>
              </w:rPr>
              <w:t>——地面效应引起的衰减，dB；</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A</w:t>
            </w:r>
            <w:r>
              <w:rPr>
                <w:rFonts w:hint="eastAsia"/>
                <w:bCs/>
                <w:color w:val="000000" w:themeColor="text1"/>
                <w:szCs w:val="24"/>
                <w:vertAlign w:val="subscript"/>
                <w14:textFill>
                  <w14:solidFill>
                    <w14:schemeClr w14:val="tx1"/>
                  </w14:solidFill>
                </w14:textFill>
              </w:rPr>
              <w:t>bar</w:t>
            </w:r>
            <w:r>
              <w:rPr>
                <w:rFonts w:hint="eastAsia"/>
                <w:bCs/>
                <w:color w:val="000000" w:themeColor="text1"/>
                <w:szCs w:val="24"/>
                <w14:textFill>
                  <w14:solidFill>
                    <w14:schemeClr w14:val="tx1"/>
                  </w14:solidFill>
                </w14:textFill>
              </w:rPr>
              <w:t>——障碍物屏蔽引起的衰减，dB；</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A</w:t>
            </w:r>
            <w:r>
              <w:rPr>
                <w:rFonts w:hint="eastAsia"/>
                <w:bCs/>
                <w:color w:val="000000" w:themeColor="text1"/>
                <w:szCs w:val="24"/>
                <w:vertAlign w:val="subscript"/>
                <w14:textFill>
                  <w14:solidFill>
                    <w14:schemeClr w14:val="tx1"/>
                  </w14:solidFill>
                </w14:textFill>
              </w:rPr>
              <w:t>misc</w:t>
            </w:r>
            <w:r>
              <w:rPr>
                <w:rFonts w:hint="eastAsia"/>
                <w:bCs/>
                <w:color w:val="000000" w:themeColor="text1"/>
                <w:szCs w:val="24"/>
                <w14:textFill>
                  <w14:solidFill>
                    <w14:schemeClr w14:val="tx1"/>
                  </w14:solidFill>
                </w14:textFill>
              </w:rPr>
              <w:t>——其他多方面效应引起的衰减，dB。</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②室内声源在预测点的声压级计算：</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（一）首先计算某个室内声源在靠近围护结构处的声压级：</w:t>
            </w:r>
          </w:p>
          <w:p>
            <w:pPr>
              <w:spacing w:line="360" w:lineRule="auto"/>
              <w:ind w:firstLine="480"/>
              <w:jc w:val="center"/>
              <w:rPr>
                <w:bCs/>
                <w:color w:val="000000" w:themeColor="text1"/>
                <w:szCs w:val="24"/>
                <w14:textFill>
                  <w14:solidFill>
                    <w14:schemeClr w14:val="tx1"/>
                  </w14:solidFill>
                </w14:textFill>
              </w:rPr>
            </w:pPr>
            <w:r>
              <w:rPr>
                <w:bCs/>
                <w:color w:val="000000" w:themeColor="text1"/>
                <w:szCs w:val="24"/>
                <w14:textFill>
                  <w14:solidFill>
                    <w14:schemeClr w14:val="tx1"/>
                  </w14:solidFill>
                </w14:textFill>
              </w:rPr>
              <w:drawing>
                <wp:inline distT="0" distB="0" distL="114300" distR="114300">
                  <wp:extent cx="3068955" cy="721360"/>
                  <wp:effectExtent l="0" t="0" r="17145" b="2540"/>
                  <wp:docPr id="2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0"/>
                          <pic:cNvPicPr>
                            <a:picLocks noChangeAspect="1"/>
                          </pic:cNvPicPr>
                        </pic:nvPicPr>
                        <pic:blipFill>
                          <a:blip r:embed="rId19"/>
                          <a:stretch>
                            <a:fillRect/>
                          </a:stretch>
                        </pic:blipFill>
                        <pic:spPr>
                          <a:xfrm>
                            <a:off x="0" y="0"/>
                            <a:ext cx="3068955" cy="721360"/>
                          </a:xfrm>
                          <a:prstGeom prst="rect">
                            <a:avLst/>
                          </a:prstGeom>
                          <a:noFill/>
                          <a:ln>
                            <a:noFill/>
                          </a:ln>
                        </pic:spPr>
                      </pic:pic>
                    </a:graphicData>
                  </a:graphic>
                </wp:inline>
              </w:drawing>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式中：L</w:t>
            </w:r>
            <w:r>
              <w:rPr>
                <w:rFonts w:hint="eastAsia"/>
                <w:bCs/>
                <w:color w:val="000000" w:themeColor="text1"/>
                <w:szCs w:val="24"/>
                <w:vertAlign w:val="subscript"/>
                <w14:textFill>
                  <w14:solidFill>
                    <w14:schemeClr w14:val="tx1"/>
                  </w14:solidFill>
                </w14:textFill>
              </w:rPr>
              <w:t>p1</w:t>
            </w:r>
            <w:r>
              <w:rPr>
                <w:rFonts w:hint="eastAsia"/>
                <w:bCs/>
                <w:color w:val="000000" w:themeColor="text1"/>
                <w:szCs w:val="24"/>
                <w14:textFill>
                  <w14:solidFill>
                    <w14:schemeClr w14:val="tx1"/>
                  </w14:solidFill>
                </w14:textFill>
              </w:rPr>
              <w:t>——靠近开口处（或窗户）室内某倍频带的声压级或A声级，dB；</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L</w:t>
            </w:r>
            <w:r>
              <w:rPr>
                <w:rFonts w:hint="eastAsia"/>
                <w:bCs/>
                <w:color w:val="000000" w:themeColor="text1"/>
                <w:szCs w:val="24"/>
                <w:vertAlign w:val="subscript"/>
                <w14:textFill>
                  <w14:solidFill>
                    <w14:schemeClr w14:val="tx1"/>
                  </w14:solidFill>
                </w14:textFill>
              </w:rPr>
              <w:t>w</w:t>
            </w:r>
            <w:r>
              <w:rPr>
                <w:rFonts w:hint="eastAsia"/>
                <w:bCs/>
                <w:color w:val="000000" w:themeColor="text1"/>
                <w:szCs w:val="24"/>
                <w14:textFill>
                  <w14:solidFill>
                    <w14:schemeClr w14:val="tx1"/>
                  </w14:solidFill>
                </w14:textFill>
              </w:rPr>
              <w:t>——点声源声功率级（A计权或倍频带），dB；</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Q——指向性因数；通常对无指向性声源，当声源放在房间中心时，Q=1；当放在一面墙的中心时，Q=2；当放在两面墙夹角处时，Q=4；当放在三面墙夹角处时，Q=8；</w:t>
            </w:r>
          </w:p>
          <w:p>
            <w:pPr>
              <w:spacing w:line="360" w:lineRule="auto"/>
              <w:ind w:firstLine="480"/>
              <w:rPr>
                <w:bCs/>
                <w:color w:val="000000" w:themeColor="text1"/>
                <w:szCs w:val="24"/>
                <w14:textFill>
                  <w14:solidFill>
                    <w14:schemeClr w14:val="tx1"/>
                  </w14:solidFill>
                </w14:textFill>
              </w:rPr>
            </w:pPr>
            <w:r>
              <w:rPr>
                <w:bCs/>
                <w:color w:val="000000" w:themeColor="text1"/>
                <w:szCs w:val="24"/>
                <w14:textFill>
                  <w14:solidFill>
                    <w14:schemeClr w14:val="tx1"/>
                  </w14:solidFill>
                </w14:textFill>
              </w:rPr>
              <w:t>R——房间常数；R=Sα/（1-α），S为房间内表面面积，m</w:t>
            </w:r>
            <w:r>
              <w:rPr>
                <w:bCs/>
                <w:color w:val="000000" w:themeColor="text1"/>
                <w:szCs w:val="24"/>
                <w:vertAlign w:val="superscript"/>
                <w14:textFill>
                  <w14:solidFill>
                    <w14:schemeClr w14:val="tx1"/>
                  </w14:solidFill>
                </w14:textFill>
              </w:rPr>
              <w:t>2</w:t>
            </w:r>
            <w:r>
              <w:rPr>
                <w:bCs/>
                <w:color w:val="000000" w:themeColor="text1"/>
                <w:szCs w:val="24"/>
                <w14:textFill>
                  <w14:solidFill>
                    <w14:schemeClr w14:val="tx1"/>
                  </w14:solidFill>
                </w14:textFill>
              </w:rPr>
              <w:t>；α为平均吸声系数；</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r——声源到靠近围护结构某点处的距离，m。</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（二）然后计算出所有室内声源在围护结构处产生的i倍频带叠加声压级：</w:t>
            </w:r>
          </w:p>
          <w:p>
            <w:pPr>
              <w:spacing w:line="360" w:lineRule="auto"/>
              <w:ind w:firstLine="480"/>
              <w:jc w:val="center"/>
              <w:rPr>
                <w:bCs/>
                <w:color w:val="000000" w:themeColor="text1"/>
                <w:szCs w:val="24"/>
                <w14:textFill>
                  <w14:solidFill>
                    <w14:schemeClr w14:val="tx1"/>
                  </w14:solidFill>
                </w14:textFill>
              </w:rPr>
            </w:pPr>
            <w:r>
              <w:rPr>
                <w:bCs/>
                <w:color w:val="000000" w:themeColor="text1"/>
                <w:szCs w:val="24"/>
                <w14:textFill>
                  <w14:solidFill>
                    <w14:schemeClr w14:val="tx1"/>
                  </w14:solidFill>
                </w14:textFill>
              </w:rPr>
              <w:drawing>
                <wp:inline distT="0" distB="0" distL="114300" distR="114300">
                  <wp:extent cx="2703830" cy="701675"/>
                  <wp:effectExtent l="0" t="0" r="1270" b="3175"/>
                  <wp:docPr id="3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1"/>
                          <pic:cNvPicPr>
                            <a:picLocks noChangeAspect="1"/>
                          </pic:cNvPicPr>
                        </pic:nvPicPr>
                        <pic:blipFill>
                          <a:blip r:embed="rId20"/>
                          <a:stretch>
                            <a:fillRect/>
                          </a:stretch>
                        </pic:blipFill>
                        <pic:spPr>
                          <a:xfrm>
                            <a:off x="0" y="0"/>
                            <a:ext cx="2703830" cy="701675"/>
                          </a:xfrm>
                          <a:prstGeom prst="rect">
                            <a:avLst/>
                          </a:prstGeom>
                          <a:noFill/>
                          <a:ln>
                            <a:noFill/>
                          </a:ln>
                        </pic:spPr>
                      </pic:pic>
                    </a:graphicData>
                  </a:graphic>
                </wp:inline>
              </w:drawing>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式中：</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L</w:t>
            </w:r>
            <w:r>
              <w:rPr>
                <w:rFonts w:hint="eastAsia"/>
                <w:bCs/>
                <w:color w:val="000000" w:themeColor="text1"/>
                <w:szCs w:val="24"/>
                <w:vertAlign w:val="subscript"/>
                <w14:textFill>
                  <w14:solidFill>
                    <w14:schemeClr w14:val="tx1"/>
                  </w14:solidFill>
                </w14:textFill>
              </w:rPr>
              <w:t>pli</w:t>
            </w:r>
            <w:r>
              <w:rPr>
                <w:rFonts w:hint="eastAsia"/>
                <w:bCs/>
                <w:color w:val="000000" w:themeColor="text1"/>
                <w:szCs w:val="24"/>
                <w14:textFill>
                  <w14:solidFill>
                    <w14:schemeClr w14:val="tx1"/>
                  </w14:solidFill>
                </w14:textFill>
              </w:rPr>
              <w:t>（T）——靠近围护结构处室内N个声源i倍频带的叠加声压级，dB；</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L</w:t>
            </w:r>
            <w:r>
              <w:rPr>
                <w:rFonts w:hint="eastAsia"/>
                <w:bCs/>
                <w:color w:val="000000" w:themeColor="text1"/>
                <w:szCs w:val="24"/>
                <w:vertAlign w:val="subscript"/>
                <w14:textFill>
                  <w14:solidFill>
                    <w14:schemeClr w14:val="tx1"/>
                  </w14:solidFill>
                </w14:textFill>
              </w:rPr>
              <w:t>pli</w:t>
            </w:r>
            <w:r>
              <w:rPr>
                <w:rFonts w:hint="eastAsia"/>
                <w:bCs/>
                <w:color w:val="000000" w:themeColor="text1"/>
                <w:szCs w:val="24"/>
                <w14:textFill>
                  <w14:solidFill>
                    <w14:schemeClr w14:val="tx1"/>
                  </w14:solidFill>
                </w14:textFill>
              </w:rPr>
              <w:t>——室内j声源i倍频带的声压级，dB；</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N——室内声源总数。</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（三）计算出室外靠近围护结构处的声压级：</w:t>
            </w:r>
          </w:p>
          <w:p>
            <w:pPr>
              <w:spacing w:line="360" w:lineRule="auto"/>
              <w:ind w:firstLine="480"/>
              <w:jc w:val="center"/>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L</w:t>
            </w:r>
            <w:r>
              <w:rPr>
                <w:rFonts w:hint="eastAsia"/>
                <w:bCs/>
                <w:color w:val="000000" w:themeColor="text1"/>
                <w:szCs w:val="24"/>
                <w:vertAlign w:val="subscript"/>
                <w14:textFill>
                  <w14:solidFill>
                    <w14:schemeClr w14:val="tx1"/>
                  </w14:solidFill>
                </w14:textFill>
              </w:rPr>
              <w:t>p2i</w:t>
            </w:r>
            <w:r>
              <w:rPr>
                <w:rFonts w:hint="eastAsia"/>
                <w:bCs/>
                <w:color w:val="000000" w:themeColor="text1"/>
                <w:szCs w:val="24"/>
                <w14:textFill>
                  <w14:solidFill>
                    <w14:schemeClr w14:val="tx1"/>
                  </w14:solidFill>
                </w14:textFill>
              </w:rPr>
              <w:t>（T）=L</w:t>
            </w:r>
            <w:r>
              <w:rPr>
                <w:rFonts w:hint="eastAsia"/>
                <w:bCs/>
                <w:color w:val="000000" w:themeColor="text1"/>
                <w:szCs w:val="24"/>
                <w:vertAlign w:val="subscript"/>
                <w14:textFill>
                  <w14:solidFill>
                    <w14:schemeClr w14:val="tx1"/>
                  </w14:solidFill>
                </w14:textFill>
              </w:rPr>
              <w:t>pli</w:t>
            </w:r>
            <w:r>
              <w:rPr>
                <w:rFonts w:hint="eastAsia"/>
                <w:bCs/>
                <w:color w:val="000000" w:themeColor="text1"/>
                <w:szCs w:val="24"/>
                <w14:textFill>
                  <w14:solidFill>
                    <w14:schemeClr w14:val="tx1"/>
                  </w14:solidFill>
                </w14:textFill>
              </w:rPr>
              <w:t>（T）-（TL</w:t>
            </w:r>
            <w:r>
              <w:rPr>
                <w:rFonts w:hint="eastAsia"/>
                <w:bCs/>
                <w:color w:val="000000" w:themeColor="text1"/>
                <w:szCs w:val="24"/>
                <w:vertAlign w:val="subscript"/>
                <w14:textFill>
                  <w14:solidFill>
                    <w14:schemeClr w14:val="tx1"/>
                  </w14:solidFill>
                </w14:textFill>
              </w:rPr>
              <w:t>i</w:t>
            </w:r>
            <w:r>
              <w:rPr>
                <w:rFonts w:hint="eastAsia"/>
                <w:bCs/>
                <w:color w:val="000000" w:themeColor="text1"/>
                <w:szCs w:val="24"/>
                <w14:textFill>
                  <w14:solidFill>
                    <w14:schemeClr w14:val="tx1"/>
                  </w14:solidFill>
                </w14:textFill>
              </w:rPr>
              <w:t>+6）</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式中：</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L</w:t>
            </w:r>
            <w:r>
              <w:rPr>
                <w:rFonts w:hint="eastAsia"/>
                <w:bCs/>
                <w:color w:val="000000" w:themeColor="text1"/>
                <w:szCs w:val="24"/>
                <w:vertAlign w:val="subscript"/>
                <w14:textFill>
                  <w14:solidFill>
                    <w14:schemeClr w14:val="tx1"/>
                  </w14:solidFill>
                </w14:textFill>
              </w:rPr>
              <w:t>p2i</w:t>
            </w:r>
            <w:r>
              <w:rPr>
                <w:rFonts w:hint="eastAsia"/>
                <w:bCs/>
                <w:color w:val="000000" w:themeColor="text1"/>
                <w:szCs w:val="24"/>
                <w14:textFill>
                  <w14:solidFill>
                    <w14:schemeClr w14:val="tx1"/>
                  </w14:solidFill>
                </w14:textFill>
              </w:rPr>
              <w:t>（T）——靠近围护结构处室外N个声源i倍频带的叠加声压级，dB；</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L</w:t>
            </w:r>
            <w:r>
              <w:rPr>
                <w:rFonts w:hint="eastAsia"/>
                <w:bCs/>
                <w:color w:val="000000" w:themeColor="text1"/>
                <w:szCs w:val="24"/>
                <w:vertAlign w:val="subscript"/>
                <w14:textFill>
                  <w14:solidFill>
                    <w14:schemeClr w14:val="tx1"/>
                  </w14:solidFill>
                </w14:textFill>
              </w:rPr>
              <w:t>pli</w:t>
            </w:r>
            <w:r>
              <w:rPr>
                <w:rFonts w:hint="eastAsia"/>
                <w:bCs/>
                <w:color w:val="000000" w:themeColor="text1"/>
                <w:szCs w:val="24"/>
                <w14:textFill>
                  <w14:solidFill>
                    <w14:schemeClr w14:val="tx1"/>
                  </w14:solidFill>
                </w14:textFill>
              </w:rPr>
              <w:t>（T）——靠近围护结构处室内N个声源i倍频带的叠加声压级，dB；</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TL</w:t>
            </w:r>
            <w:r>
              <w:rPr>
                <w:rFonts w:hint="eastAsia"/>
                <w:bCs/>
                <w:color w:val="000000" w:themeColor="text1"/>
                <w:szCs w:val="24"/>
                <w:vertAlign w:val="subscript"/>
                <w14:textFill>
                  <w14:solidFill>
                    <w14:schemeClr w14:val="tx1"/>
                  </w14:solidFill>
                </w14:textFill>
              </w:rPr>
              <w:t>i</w:t>
            </w:r>
            <w:r>
              <w:rPr>
                <w:rFonts w:hint="eastAsia"/>
                <w:bCs/>
                <w:color w:val="000000" w:themeColor="text1"/>
                <w:szCs w:val="24"/>
                <w14:textFill>
                  <w14:solidFill>
                    <w14:schemeClr w14:val="tx1"/>
                  </w14:solidFill>
                </w14:textFill>
              </w:rPr>
              <w:t>——围护结构i倍频带的隔声量，dB。</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（四）将室外声级和透声面积换算成等效的室外声源，计算出等效声源第i个倍频带的声功率级：</w:t>
            </w:r>
          </w:p>
          <w:p>
            <w:pPr>
              <w:spacing w:line="360" w:lineRule="auto"/>
              <w:ind w:firstLine="480"/>
              <w:jc w:val="center"/>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L</w:t>
            </w:r>
            <w:r>
              <w:rPr>
                <w:rFonts w:hint="eastAsia"/>
                <w:bCs/>
                <w:color w:val="000000" w:themeColor="text1"/>
                <w:szCs w:val="24"/>
                <w:vertAlign w:val="subscript"/>
                <w14:textFill>
                  <w14:solidFill>
                    <w14:schemeClr w14:val="tx1"/>
                  </w14:solidFill>
                </w14:textFill>
              </w:rPr>
              <w:t>w</w:t>
            </w:r>
            <w:r>
              <w:rPr>
                <w:rFonts w:hint="eastAsia"/>
                <w:bCs/>
                <w:color w:val="000000" w:themeColor="text1"/>
                <w:szCs w:val="24"/>
                <w14:textFill>
                  <w14:solidFill>
                    <w14:schemeClr w14:val="tx1"/>
                  </w14:solidFill>
                </w14:textFill>
              </w:rPr>
              <w:t>=L</w:t>
            </w:r>
            <w:r>
              <w:rPr>
                <w:rFonts w:hint="eastAsia"/>
                <w:bCs/>
                <w:color w:val="000000" w:themeColor="text1"/>
                <w:szCs w:val="24"/>
                <w:vertAlign w:val="subscript"/>
                <w14:textFill>
                  <w14:solidFill>
                    <w14:schemeClr w14:val="tx1"/>
                  </w14:solidFill>
                </w14:textFill>
              </w:rPr>
              <w:t>p2</w:t>
            </w:r>
            <w:r>
              <w:rPr>
                <w:rFonts w:hint="eastAsia"/>
                <w:bCs/>
                <w:color w:val="000000" w:themeColor="text1"/>
                <w:szCs w:val="24"/>
                <w14:textFill>
                  <w14:solidFill>
                    <w14:schemeClr w14:val="tx1"/>
                  </w14:solidFill>
                </w14:textFill>
              </w:rPr>
              <w:t>（T）+10lgS</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式中：</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L</w:t>
            </w:r>
            <w:r>
              <w:rPr>
                <w:rFonts w:hint="eastAsia"/>
                <w:bCs/>
                <w:color w:val="000000" w:themeColor="text1"/>
                <w:szCs w:val="24"/>
                <w:vertAlign w:val="subscript"/>
                <w14:textFill>
                  <w14:solidFill>
                    <w14:schemeClr w14:val="tx1"/>
                  </w14:solidFill>
                </w14:textFill>
              </w:rPr>
              <w:t>w</w:t>
            </w:r>
            <w:r>
              <w:rPr>
                <w:rFonts w:hint="eastAsia"/>
                <w:bCs/>
                <w:color w:val="000000" w:themeColor="text1"/>
                <w:szCs w:val="24"/>
                <w14:textFill>
                  <w14:solidFill>
                    <w14:schemeClr w14:val="tx1"/>
                  </w14:solidFill>
                </w14:textFill>
              </w:rPr>
              <w:t>——中心位置位于透声面积（S）处的等效声源的倍频带声功率级，dB；</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L</w:t>
            </w:r>
            <w:r>
              <w:rPr>
                <w:rFonts w:hint="eastAsia"/>
                <w:bCs/>
                <w:color w:val="000000" w:themeColor="text1"/>
                <w:szCs w:val="24"/>
                <w:vertAlign w:val="subscript"/>
                <w14:textFill>
                  <w14:solidFill>
                    <w14:schemeClr w14:val="tx1"/>
                  </w14:solidFill>
                </w14:textFill>
              </w:rPr>
              <w:t>p2</w:t>
            </w:r>
            <w:r>
              <w:rPr>
                <w:rFonts w:hint="eastAsia"/>
                <w:bCs/>
                <w:color w:val="000000" w:themeColor="text1"/>
                <w:szCs w:val="24"/>
                <w14:textFill>
                  <w14:solidFill>
                    <w14:schemeClr w14:val="tx1"/>
                  </w14:solidFill>
                </w14:textFill>
              </w:rPr>
              <w:t>（T）——靠近围护结构处室外声源的声压级，dB；</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S——透声面积，m</w:t>
            </w:r>
            <w:r>
              <w:rPr>
                <w:rFonts w:hint="eastAsia"/>
                <w:bCs/>
                <w:color w:val="000000" w:themeColor="text1"/>
                <w:szCs w:val="24"/>
                <w:vertAlign w:val="superscript"/>
                <w14:textFill>
                  <w14:solidFill>
                    <w14:schemeClr w14:val="tx1"/>
                  </w14:solidFill>
                </w14:textFill>
              </w:rPr>
              <w:t>2</w:t>
            </w:r>
            <w:r>
              <w:rPr>
                <w:rFonts w:hint="eastAsia"/>
                <w:bCs/>
                <w:color w:val="000000" w:themeColor="text1"/>
                <w:szCs w:val="24"/>
                <w14:textFill>
                  <w14:solidFill>
                    <w14:schemeClr w14:val="tx1"/>
                  </w14:solidFill>
                </w14:textFill>
              </w:rPr>
              <w:t>。</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等效室外声源的位置为围护结构的位置，其声功率级为L</w:t>
            </w:r>
            <w:r>
              <w:rPr>
                <w:rFonts w:hint="eastAsia"/>
                <w:bCs/>
                <w:color w:val="000000" w:themeColor="text1"/>
                <w:szCs w:val="24"/>
                <w:vertAlign w:val="subscript"/>
                <w14:textFill>
                  <w14:solidFill>
                    <w14:schemeClr w14:val="tx1"/>
                  </w14:solidFill>
                </w14:textFill>
              </w:rPr>
              <w:t>w</w:t>
            </w:r>
            <w:r>
              <w:rPr>
                <w:rFonts w:hint="eastAsia"/>
                <w:bCs/>
                <w:color w:val="000000" w:themeColor="text1"/>
                <w:szCs w:val="24"/>
                <w14:textFill>
                  <w14:solidFill>
                    <w14:schemeClr w14:val="tx1"/>
                  </w14:solidFill>
                </w14:textFill>
              </w:rPr>
              <w:t>，由此计算等效声源在预测点产生的声级。</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③总声级的计算</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设第i个室外声源在预测点产生的A声级为L</w:t>
            </w:r>
            <w:r>
              <w:rPr>
                <w:rFonts w:hint="eastAsia"/>
                <w:bCs/>
                <w:color w:val="000000" w:themeColor="text1"/>
                <w:szCs w:val="24"/>
                <w:vertAlign w:val="subscript"/>
                <w14:textFill>
                  <w14:solidFill>
                    <w14:schemeClr w14:val="tx1"/>
                  </w14:solidFill>
                </w14:textFill>
              </w:rPr>
              <w:t>Ai</w:t>
            </w:r>
            <w:r>
              <w:rPr>
                <w:rFonts w:hint="eastAsia"/>
                <w:bCs/>
                <w:color w:val="000000" w:themeColor="text1"/>
                <w:szCs w:val="24"/>
                <w14:textFill>
                  <w14:solidFill>
                    <w14:schemeClr w14:val="tx1"/>
                  </w14:solidFill>
                </w14:textFill>
              </w:rPr>
              <w:t>，在T时间内该声源工作时间为t</w:t>
            </w:r>
            <w:r>
              <w:rPr>
                <w:rFonts w:hint="eastAsia"/>
                <w:bCs/>
                <w:color w:val="000000" w:themeColor="text1"/>
                <w:szCs w:val="24"/>
                <w:vertAlign w:val="subscript"/>
                <w14:textFill>
                  <w14:solidFill>
                    <w14:schemeClr w14:val="tx1"/>
                  </w14:solidFill>
                </w14:textFill>
              </w:rPr>
              <w:t>i</w:t>
            </w:r>
            <w:r>
              <w:rPr>
                <w:rFonts w:hint="eastAsia"/>
                <w:bCs/>
                <w:color w:val="000000" w:themeColor="text1"/>
                <w:szCs w:val="24"/>
                <w14:textFill>
                  <w14:solidFill>
                    <w14:schemeClr w14:val="tx1"/>
                  </w14:solidFill>
                </w14:textFill>
              </w:rPr>
              <w:t>；第j个等效室外声源在预测点产生的A声级为L</w:t>
            </w:r>
            <w:r>
              <w:rPr>
                <w:rFonts w:hint="eastAsia"/>
                <w:bCs/>
                <w:color w:val="000000" w:themeColor="text1"/>
                <w:szCs w:val="24"/>
                <w:vertAlign w:val="subscript"/>
                <w14:textFill>
                  <w14:solidFill>
                    <w14:schemeClr w14:val="tx1"/>
                  </w14:solidFill>
                </w14:textFill>
              </w:rPr>
              <w:t>Aj</w:t>
            </w:r>
            <w:r>
              <w:rPr>
                <w:rFonts w:hint="eastAsia"/>
                <w:bCs/>
                <w:color w:val="000000" w:themeColor="text1"/>
                <w:szCs w:val="24"/>
                <w14:textFill>
                  <w14:solidFill>
                    <w14:schemeClr w14:val="tx1"/>
                  </w14:solidFill>
                </w14:textFill>
              </w:rPr>
              <w:t>，在T时间内该声源工作时间为t</w:t>
            </w:r>
            <w:r>
              <w:rPr>
                <w:rFonts w:hint="eastAsia"/>
                <w:bCs/>
                <w:color w:val="000000" w:themeColor="text1"/>
                <w:szCs w:val="24"/>
                <w:vertAlign w:val="subscript"/>
                <w14:textFill>
                  <w14:solidFill>
                    <w14:schemeClr w14:val="tx1"/>
                  </w14:solidFill>
                </w14:textFill>
              </w:rPr>
              <w:t>j</w:t>
            </w:r>
            <w:r>
              <w:rPr>
                <w:rFonts w:hint="eastAsia"/>
                <w:bCs/>
                <w:color w:val="000000" w:themeColor="text1"/>
                <w:szCs w:val="24"/>
                <w14:textFill>
                  <w14:solidFill>
                    <w14:schemeClr w14:val="tx1"/>
                  </w14:solidFill>
                </w14:textFill>
              </w:rPr>
              <w:t>，则拟建工程声源对预测点产生的贡献值（L</w:t>
            </w:r>
            <w:r>
              <w:rPr>
                <w:rFonts w:hint="eastAsia"/>
                <w:bCs/>
                <w:color w:val="000000" w:themeColor="text1"/>
                <w:szCs w:val="24"/>
                <w:vertAlign w:val="subscript"/>
                <w14:textFill>
                  <w14:solidFill>
                    <w14:schemeClr w14:val="tx1"/>
                  </w14:solidFill>
                </w14:textFill>
              </w:rPr>
              <w:t>eqg</w:t>
            </w:r>
            <w:r>
              <w:rPr>
                <w:rFonts w:hint="eastAsia"/>
                <w:bCs/>
                <w:color w:val="000000" w:themeColor="text1"/>
                <w:szCs w:val="24"/>
                <w14:textFill>
                  <w14:solidFill>
                    <w14:schemeClr w14:val="tx1"/>
                  </w14:solidFill>
                </w14:textFill>
              </w:rPr>
              <w:t>）为：</w:t>
            </w:r>
          </w:p>
          <w:p>
            <w:pPr>
              <w:spacing w:line="360" w:lineRule="auto"/>
              <w:ind w:firstLine="480"/>
              <w:jc w:val="center"/>
              <w:rPr>
                <w:bCs/>
                <w:color w:val="000000" w:themeColor="text1"/>
                <w:szCs w:val="24"/>
                <w14:textFill>
                  <w14:solidFill>
                    <w14:schemeClr w14:val="tx1"/>
                  </w14:solidFill>
                </w14:textFill>
              </w:rPr>
            </w:pPr>
            <w:r>
              <w:rPr>
                <w:bCs/>
                <w:color w:val="000000" w:themeColor="text1"/>
                <w:szCs w:val="24"/>
                <w14:textFill>
                  <w14:solidFill>
                    <w14:schemeClr w14:val="tx1"/>
                  </w14:solidFill>
                </w14:textFill>
              </w:rPr>
              <w:drawing>
                <wp:inline distT="0" distB="0" distL="114300" distR="114300">
                  <wp:extent cx="3295650" cy="686435"/>
                  <wp:effectExtent l="0" t="0" r="0" b="1841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1"/>
                          <a:stretch>
                            <a:fillRect/>
                          </a:stretch>
                        </pic:blipFill>
                        <pic:spPr>
                          <a:xfrm>
                            <a:off x="0" y="0"/>
                            <a:ext cx="3295650" cy="686435"/>
                          </a:xfrm>
                          <a:prstGeom prst="rect">
                            <a:avLst/>
                          </a:prstGeom>
                          <a:noFill/>
                          <a:ln>
                            <a:noFill/>
                          </a:ln>
                        </pic:spPr>
                      </pic:pic>
                    </a:graphicData>
                  </a:graphic>
                </wp:inline>
              </w:drawing>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式中：L</w:t>
            </w:r>
            <w:r>
              <w:rPr>
                <w:rFonts w:hint="eastAsia"/>
                <w:bCs/>
                <w:color w:val="000000" w:themeColor="text1"/>
                <w:szCs w:val="24"/>
                <w:vertAlign w:val="subscript"/>
                <w14:textFill>
                  <w14:solidFill>
                    <w14:schemeClr w14:val="tx1"/>
                  </w14:solidFill>
                </w14:textFill>
              </w:rPr>
              <w:t>eqg</w:t>
            </w:r>
            <w:r>
              <w:rPr>
                <w:rFonts w:hint="eastAsia"/>
                <w:bCs/>
                <w:color w:val="000000" w:themeColor="text1"/>
                <w:szCs w:val="24"/>
                <w14:textFill>
                  <w14:solidFill>
                    <w14:schemeClr w14:val="tx1"/>
                  </w14:solidFill>
                </w14:textFill>
              </w:rPr>
              <w:t>——建设项目声源在预测点产生的噪声贡献值，dB；</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T——用于计算等效声级的时间，s；</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N——室外声源个数；</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t</w:t>
            </w:r>
            <w:r>
              <w:rPr>
                <w:rFonts w:hint="eastAsia"/>
                <w:bCs/>
                <w:color w:val="000000" w:themeColor="text1"/>
                <w:szCs w:val="24"/>
                <w:vertAlign w:val="subscript"/>
                <w14:textFill>
                  <w14:solidFill>
                    <w14:schemeClr w14:val="tx1"/>
                  </w14:solidFill>
                </w14:textFill>
              </w:rPr>
              <w:t>i</w:t>
            </w:r>
            <w:r>
              <w:rPr>
                <w:rFonts w:hint="eastAsia"/>
                <w:bCs/>
                <w:color w:val="000000" w:themeColor="text1"/>
                <w:szCs w:val="24"/>
                <w14:textFill>
                  <w14:solidFill>
                    <w14:schemeClr w14:val="tx1"/>
                  </w14:solidFill>
                </w14:textFill>
              </w:rPr>
              <w:t>——在T时间内i声源工作时间，s；</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M——等效室外声源个数；</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t</w:t>
            </w:r>
            <w:r>
              <w:rPr>
                <w:rFonts w:hint="eastAsia"/>
                <w:bCs/>
                <w:color w:val="000000" w:themeColor="text1"/>
                <w:szCs w:val="24"/>
                <w:vertAlign w:val="subscript"/>
                <w14:textFill>
                  <w14:solidFill>
                    <w14:schemeClr w14:val="tx1"/>
                  </w14:solidFill>
                </w14:textFill>
              </w:rPr>
              <w:t>j</w:t>
            </w:r>
            <w:r>
              <w:rPr>
                <w:rFonts w:hint="eastAsia"/>
                <w:bCs/>
                <w:color w:val="000000" w:themeColor="text1"/>
                <w:szCs w:val="24"/>
                <w14:textFill>
                  <w14:solidFill>
                    <w14:schemeClr w14:val="tx1"/>
                  </w14:solidFill>
                </w14:textFill>
              </w:rPr>
              <w:t>——在T时间内j声源工作时间，s。</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2）参数确定</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①声波几何发散引起的A声级衰减量：</w:t>
            </w:r>
          </w:p>
          <w:p>
            <w:pPr>
              <w:spacing w:line="360" w:lineRule="auto"/>
              <w:ind w:firstLine="480"/>
              <w:jc w:val="center"/>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点声源A</w:t>
            </w:r>
            <w:r>
              <w:rPr>
                <w:rFonts w:hint="eastAsia"/>
                <w:bCs/>
                <w:color w:val="000000" w:themeColor="text1"/>
                <w:szCs w:val="24"/>
                <w:vertAlign w:val="subscript"/>
                <w14:textFill>
                  <w14:solidFill>
                    <w14:schemeClr w14:val="tx1"/>
                  </w14:solidFill>
                </w14:textFill>
              </w:rPr>
              <w:t>div</w:t>
            </w:r>
            <w:r>
              <w:rPr>
                <w:rFonts w:hint="eastAsia"/>
                <w:bCs/>
                <w:color w:val="000000" w:themeColor="text1"/>
                <w:szCs w:val="24"/>
                <w14:textFill>
                  <w14:solidFill>
                    <w14:schemeClr w14:val="tx1"/>
                  </w14:solidFill>
                </w14:textFill>
              </w:rPr>
              <w:t>= 201g(r/r0)</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②空气吸收衰减量A</w:t>
            </w:r>
            <w:r>
              <w:rPr>
                <w:rFonts w:hint="eastAsia"/>
                <w:bCs/>
                <w:color w:val="000000" w:themeColor="text1"/>
                <w:szCs w:val="24"/>
                <w:vertAlign w:val="subscript"/>
                <w14:textFill>
                  <w14:solidFill>
                    <w14:schemeClr w14:val="tx1"/>
                  </w14:solidFill>
                </w14:textFill>
              </w:rPr>
              <w:t>atm</w:t>
            </w:r>
            <w:r>
              <w:rPr>
                <w:rFonts w:hint="eastAsia"/>
                <w:bCs/>
                <w:color w:val="000000" w:themeColor="text1"/>
                <w:szCs w:val="24"/>
                <w14:textFill>
                  <w14:solidFill>
                    <w14:schemeClr w14:val="tx1"/>
                  </w14:solidFill>
                </w14:textFill>
              </w:rPr>
              <w:t>：</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拟建项目噪声以中低频为主，空气吸收性衰减很少，预测时可忽略不计。</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③遮挡物引起的衰减量A</w:t>
            </w:r>
            <w:r>
              <w:rPr>
                <w:rFonts w:hint="eastAsia"/>
                <w:bCs/>
                <w:color w:val="000000" w:themeColor="text1"/>
                <w:szCs w:val="24"/>
                <w:vertAlign w:val="subscript"/>
                <w14:textFill>
                  <w14:solidFill>
                    <w14:schemeClr w14:val="tx1"/>
                  </w14:solidFill>
                </w14:textFill>
              </w:rPr>
              <w:t>bar</w:t>
            </w:r>
            <w:r>
              <w:rPr>
                <w:rFonts w:hint="eastAsia"/>
                <w:bCs/>
                <w:color w:val="000000" w:themeColor="text1"/>
                <w:szCs w:val="24"/>
                <w14:textFill>
                  <w14:solidFill>
                    <w14:schemeClr w14:val="tx1"/>
                  </w14:solidFill>
                </w14:textFill>
              </w:rPr>
              <w:t>：</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噪声在向外传播过程中将受到厂房或其他车间的阻挡影响，从而引起声能量的衰减，具体衰减根据不同声级的传播途径而定，一般取0~30dB（A），本次环评取15。</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④地面效应引起的声级衰减量A</w:t>
            </w:r>
            <w:r>
              <w:rPr>
                <w:rFonts w:hint="eastAsia"/>
                <w:bCs/>
                <w:color w:val="000000" w:themeColor="text1"/>
                <w:szCs w:val="24"/>
                <w:vertAlign w:val="subscript"/>
                <w14:textFill>
                  <w14:solidFill>
                    <w14:schemeClr w14:val="tx1"/>
                  </w14:solidFill>
                </w14:textFill>
              </w:rPr>
              <w:t>gr</w:t>
            </w:r>
            <w:r>
              <w:rPr>
                <w:rFonts w:hint="eastAsia"/>
                <w:bCs/>
                <w:color w:val="000000" w:themeColor="text1"/>
                <w:szCs w:val="24"/>
                <w14:textFill>
                  <w14:solidFill>
                    <w14:schemeClr w14:val="tx1"/>
                  </w14:solidFill>
                </w14:textFill>
              </w:rPr>
              <w:t>：</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根据项目总平面布置和噪声源强及外环境状况，可以忽略本项附加衰减量。</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⑤其他多方面效应引起的声级衰减量A</w:t>
            </w:r>
            <w:r>
              <w:rPr>
                <w:rFonts w:hint="eastAsia"/>
                <w:bCs/>
                <w:color w:val="000000" w:themeColor="text1"/>
                <w:szCs w:val="24"/>
                <w:vertAlign w:val="subscript"/>
                <w14:textFill>
                  <w14:solidFill>
                    <w14:schemeClr w14:val="tx1"/>
                  </w14:solidFill>
                </w14:textFill>
              </w:rPr>
              <w:t>misc</w:t>
            </w:r>
            <w:r>
              <w:rPr>
                <w:rFonts w:hint="eastAsia"/>
                <w:bCs/>
                <w:color w:val="000000" w:themeColor="text1"/>
                <w:szCs w:val="24"/>
                <w14:textFill>
                  <w14:solidFill>
                    <w14:schemeClr w14:val="tx1"/>
                  </w14:solidFill>
                </w14:textFill>
              </w:rPr>
              <w:t>：</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其他衰减包括通过工业场所的衰减，通过房屋群的衰减等。一般情况下，不考虑自然条件（如风、温度梯度、雾）变化引起的附加修正。</w:t>
            </w:r>
          </w:p>
          <w:p>
            <w:pPr>
              <w:spacing w:line="360" w:lineRule="auto"/>
              <w:ind w:firstLine="480"/>
              <w:rPr>
                <w:bCs/>
                <w:color w:val="000000" w:themeColor="text1"/>
                <w:szCs w:val="24"/>
                <w14:textFill>
                  <w14:solidFill>
                    <w14:schemeClr w14:val="tx1"/>
                  </w14:solidFill>
                </w14:textFill>
              </w:rPr>
            </w:pPr>
            <w:r>
              <w:rPr>
                <w:rFonts w:hint="eastAsia"/>
                <w:bCs/>
                <w:color w:val="000000" w:themeColor="text1"/>
                <w:szCs w:val="24"/>
                <w14:textFill>
                  <w14:solidFill>
                    <w14:schemeClr w14:val="tx1"/>
                  </w14:solidFill>
                </w14:textFill>
              </w:rPr>
              <w:t>（2）预测结果</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szCs w:val="24"/>
                <w14:textFill>
                  <w14:solidFill>
                    <w14:schemeClr w14:val="tx1"/>
                  </w14:solidFill>
                </w14:textFill>
              </w:rPr>
              <w:t>根据噪声衰减公式，计算出各设备声源在无噪声治理措施的情况下对四周厂界处的贡献。然后再将各贡献值叠加得到各厂界处的叠加贡献值，然后再扣除采取噪声治理措施后的隔声量，以此判断项目各厂界噪声达标情况。</w:t>
            </w:r>
          </w:p>
          <w:p>
            <w:pPr>
              <w:spacing w:line="360" w:lineRule="auto"/>
              <w:ind w:firstLine="301" w:firstLineChars="150"/>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表 4- 1</w:t>
            </w:r>
            <w:r>
              <w:rPr>
                <w:rFonts w:hint="eastAsia" w:eastAsia="黑体"/>
                <w:b/>
                <w:bCs/>
                <w:color w:val="000000" w:themeColor="text1"/>
                <w:kern w:val="0"/>
                <w:sz w:val="20"/>
                <w:szCs w:val="20"/>
                <w14:textFill>
                  <w14:solidFill>
                    <w14:schemeClr w14:val="tx1"/>
                  </w14:solidFill>
                </w14:textFill>
              </w:rPr>
              <w:t>2</w:t>
            </w:r>
            <w:r>
              <w:rPr>
                <w:rFonts w:eastAsia="黑体"/>
                <w:b/>
                <w:bCs/>
                <w:color w:val="000000" w:themeColor="text1"/>
                <w:kern w:val="0"/>
                <w:sz w:val="20"/>
                <w:szCs w:val="20"/>
                <w14:textFill>
                  <w14:solidFill>
                    <w14:schemeClr w14:val="tx1"/>
                  </w14:solidFill>
                </w14:textFill>
              </w:rPr>
              <w:t xml:space="preserve">   主要噪声源到各厂界的贡献值    单位：dB(A)</w:t>
            </w:r>
          </w:p>
          <w:tbl>
            <w:tblPr>
              <w:tblStyle w:val="3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002"/>
              <w:gridCol w:w="1244"/>
              <w:gridCol w:w="1333"/>
              <w:gridCol w:w="1330"/>
              <w:gridCol w:w="1553"/>
              <w:gridCol w:w="13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140"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噪声源</w:t>
                  </w:r>
                </w:p>
              </w:tc>
              <w:tc>
                <w:tcPr>
                  <w:tcW w:w="70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源强值</w:t>
                  </w:r>
                </w:p>
              </w:tc>
              <w:tc>
                <w:tcPr>
                  <w:tcW w:w="75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东面</w:t>
                  </w:r>
                </w:p>
              </w:tc>
              <w:tc>
                <w:tcPr>
                  <w:tcW w:w="757"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南面</w:t>
                  </w:r>
                </w:p>
              </w:tc>
              <w:tc>
                <w:tcPr>
                  <w:tcW w:w="884"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西面</w:t>
                  </w:r>
                </w:p>
              </w:tc>
              <w:tc>
                <w:tcPr>
                  <w:tcW w:w="753"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北面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140"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给料机</w:t>
                  </w:r>
                </w:p>
              </w:tc>
              <w:tc>
                <w:tcPr>
                  <w:tcW w:w="70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85</w:t>
                  </w:r>
                </w:p>
              </w:tc>
              <w:tc>
                <w:tcPr>
                  <w:tcW w:w="75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57</w:t>
                  </w:r>
                </w:p>
              </w:tc>
              <w:tc>
                <w:tcPr>
                  <w:tcW w:w="757"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61.5</w:t>
                  </w:r>
                </w:p>
              </w:tc>
              <w:tc>
                <w:tcPr>
                  <w:tcW w:w="884"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44</w:t>
                  </w:r>
                </w:p>
              </w:tc>
              <w:tc>
                <w:tcPr>
                  <w:tcW w:w="753"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47.5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140"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颚破机</w:t>
                  </w:r>
                </w:p>
              </w:tc>
              <w:tc>
                <w:tcPr>
                  <w:tcW w:w="70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95</w:t>
                  </w:r>
                </w:p>
              </w:tc>
              <w:tc>
                <w:tcPr>
                  <w:tcW w:w="75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63</w:t>
                  </w:r>
                </w:p>
              </w:tc>
              <w:tc>
                <w:tcPr>
                  <w:tcW w:w="757"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72</w:t>
                  </w:r>
                </w:p>
              </w:tc>
              <w:tc>
                <w:tcPr>
                  <w:tcW w:w="884"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55.4</w:t>
                  </w:r>
                </w:p>
              </w:tc>
              <w:tc>
                <w:tcPr>
                  <w:tcW w:w="753"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59.4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140" w:type="pct"/>
                  <w:tcBorders>
                    <w:left w:val="nil"/>
                    <w:bottom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反击破</w:t>
                  </w:r>
                </w:p>
              </w:tc>
              <w:tc>
                <w:tcPr>
                  <w:tcW w:w="708" w:type="pct"/>
                  <w:tcBorders>
                    <w:bottom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90</w:t>
                  </w:r>
                </w:p>
              </w:tc>
              <w:tc>
                <w:tcPr>
                  <w:tcW w:w="759" w:type="pct"/>
                  <w:tcBorders>
                    <w:bottom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58</w:t>
                  </w:r>
                </w:p>
              </w:tc>
              <w:tc>
                <w:tcPr>
                  <w:tcW w:w="757" w:type="pct"/>
                  <w:tcBorders>
                    <w:bottom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67.7</w:t>
                  </w:r>
                </w:p>
              </w:tc>
              <w:tc>
                <w:tcPr>
                  <w:tcW w:w="884" w:type="pct"/>
                  <w:tcBorders>
                    <w:bottom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50.4</w:t>
                  </w:r>
                </w:p>
              </w:tc>
              <w:tc>
                <w:tcPr>
                  <w:tcW w:w="753" w:type="pct"/>
                  <w:tcBorders>
                    <w:bottom w:val="single" w:color="000000" w:sz="4" w:space="0"/>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54.4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1140" w:type="pct"/>
                  <w:tcBorders>
                    <w:top w:val="single" w:color="000000" w:sz="4" w:space="0"/>
                    <w:left w:val="nil"/>
                    <w:bottom w:val="single" w:color="000000" w:sz="4" w:space="0"/>
                    <w:right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筛分机</w:t>
                  </w:r>
                </w:p>
              </w:tc>
              <w:tc>
                <w:tcPr>
                  <w:tcW w:w="708" w:type="pct"/>
                  <w:tcBorders>
                    <w:top w:val="single" w:color="000000" w:sz="4" w:space="0"/>
                    <w:left w:val="single" w:color="000000" w:sz="4" w:space="0"/>
                    <w:bottom w:val="single" w:color="000000" w:sz="4" w:space="0"/>
                    <w:right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90</w:t>
                  </w:r>
                </w:p>
              </w:tc>
              <w:tc>
                <w:tcPr>
                  <w:tcW w:w="759" w:type="pct"/>
                  <w:tcBorders>
                    <w:top w:val="single" w:color="000000" w:sz="4" w:space="0"/>
                    <w:left w:val="single" w:color="000000" w:sz="4" w:space="0"/>
                    <w:bottom w:val="single" w:color="000000" w:sz="4" w:space="0"/>
                    <w:right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56.6</w:t>
                  </w:r>
                </w:p>
              </w:tc>
              <w:tc>
                <w:tcPr>
                  <w:tcW w:w="757" w:type="pct"/>
                  <w:tcBorders>
                    <w:top w:val="single" w:color="000000" w:sz="4" w:space="0"/>
                    <w:left w:val="single" w:color="000000" w:sz="4" w:space="0"/>
                    <w:bottom w:val="single" w:color="000000" w:sz="4" w:space="0"/>
                    <w:right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56.9</w:t>
                  </w:r>
                </w:p>
              </w:tc>
              <w:tc>
                <w:tcPr>
                  <w:tcW w:w="884" w:type="pct"/>
                  <w:tcBorders>
                    <w:top w:val="single" w:color="000000" w:sz="4" w:space="0"/>
                    <w:left w:val="single" w:color="000000" w:sz="4" w:space="0"/>
                    <w:bottom w:val="single" w:color="000000" w:sz="4" w:space="0"/>
                    <w:right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50.9</w:t>
                  </w:r>
                </w:p>
              </w:tc>
              <w:tc>
                <w:tcPr>
                  <w:tcW w:w="753" w:type="pct"/>
                  <w:tcBorders>
                    <w:top w:val="single" w:color="000000" w:sz="4" w:space="0"/>
                    <w:left w:val="single" w:color="000000" w:sz="4" w:space="0"/>
                    <w:bottom w:val="single" w:color="000000" w:sz="4" w:space="0"/>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3" w:hRule="atLeast"/>
              </w:trPr>
              <w:tc>
                <w:tcPr>
                  <w:tcW w:w="1140" w:type="pct"/>
                  <w:tcBorders>
                    <w:top w:val="single" w:color="000000" w:sz="4" w:space="0"/>
                    <w:bottom w:val="single" w:color="000000" w:sz="4" w:space="0"/>
                    <w:right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制砂机</w:t>
                  </w:r>
                </w:p>
              </w:tc>
              <w:tc>
                <w:tcPr>
                  <w:tcW w:w="708" w:type="pct"/>
                  <w:tcBorders>
                    <w:top w:val="single" w:color="000000" w:sz="4" w:space="0"/>
                    <w:left w:val="single" w:color="000000" w:sz="4" w:space="0"/>
                    <w:bottom w:val="single" w:color="000000" w:sz="4" w:space="0"/>
                    <w:right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85</w:t>
                  </w:r>
                </w:p>
              </w:tc>
              <w:tc>
                <w:tcPr>
                  <w:tcW w:w="759" w:type="pct"/>
                  <w:tcBorders>
                    <w:top w:val="single" w:color="000000" w:sz="4" w:space="0"/>
                    <w:left w:val="single" w:color="000000" w:sz="4" w:space="0"/>
                    <w:bottom w:val="single" w:color="000000" w:sz="4" w:space="0"/>
                    <w:right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51.0</w:t>
                  </w:r>
                </w:p>
              </w:tc>
              <w:tc>
                <w:tcPr>
                  <w:tcW w:w="757" w:type="pct"/>
                  <w:tcBorders>
                    <w:top w:val="single" w:color="000000" w:sz="4" w:space="0"/>
                    <w:left w:val="single" w:color="000000" w:sz="4" w:space="0"/>
                    <w:bottom w:val="single" w:color="000000" w:sz="4" w:space="0"/>
                    <w:right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54.9</w:t>
                  </w:r>
                </w:p>
              </w:tc>
              <w:tc>
                <w:tcPr>
                  <w:tcW w:w="884" w:type="pct"/>
                  <w:tcBorders>
                    <w:top w:val="single" w:color="000000" w:sz="4" w:space="0"/>
                    <w:left w:val="single" w:color="000000" w:sz="4" w:space="0"/>
                    <w:bottom w:val="single" w:color="000000" w:sz="4" w:space="0"/>
                    <w:right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46.3</w:t>
                  </w:r>
                </w:p>
              </w:tc>
              <w:tc>
                <w:tcPr>
                  <w:tcW w:w="753" w:type="pct"/>
                  <w:tcBorders>
                    <w:top w:val="single" w:color="000000" w:sz="4" w:space="0"/>
                    <w:left w:val="single" w:color="000000" w:sz="4" w:space="0"/>
                    <w:bottom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2" w:hRule="atLeast"/>
              </w:trPr>
              <w:tc>
                <w:tcPr>
                  <w:tcW w:w="1140" w:type="pct"/>
                  <w:tcBorders>
                    <w:top w:val="single" w:color="000000" w:sz="4" w:space="0"/>
                    <w:bottom w:val="single" w:color="000000" w:sz="4" w:space="0"/>
                    <w:right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洗砂机</w:t>
                  </w:r>
                </w:p>
              </w:tc>
              <w:tc>
                <w:tcPr>
                  <w:tcW w:w="708" w:type="pct"/>
                  <w:tcBorders>
                    <w:top w:val="single" w:color="000000" w:sz="4" w:space="0"/>
                    <w:left w:val="single" w:color="000000" w:sz="4" w:space="0"/>
                    <w:bottom w:val="single" w:color="000000" w:sz="4" w:space="0"/>
                    <w:right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85</w:t>
                  </w:r>
                </w:p>
              </w:tc>
              <w:tc>
                <w:tcPr>
                  <w:tcW w:w="759" w:type="pct"/>
                  <w:tcBorders>
                    <w:top w:val="single" w:color="000000" w:sz="4" w:space="0"/>
                    <w:left w:val="single" w:color="000000" w:sz="4" w:space="0"/>
                    <w:bottom w:val="single" w:color="000000" w:sz="4" w:space="0"/>
                    <w:right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51.0</w:t>
                  </w:r>
                </w:p>
              </w:tc>
              <w:tc>
                <w:tcPr>
                  <w:tcW w:w="757" w:type="pct"/>
                  <w:tcBorders>
                    <w:top w:val="single" w:color="000000" w:sz="4" w:space="0"/>
                    <w:left w:val="single" w:color="000000" w:sz="4" w:space="0"/>
                    <w:bottom w:val="single" w:color="000000" w:sz="4" w:space="0"/>
                    <w:right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54.9</w:t>
                  </w:r>
                </w:p>
              </w:tc>
              <w:tc>
                <w:tcPr>
                  <w:tcW w:w="884" w:type="pct"/>
                  <w:tcBorders>
                    <w:top w:val="single" w:color="000000" w:sz="4" w:space="0"/>
                    <w:left w:val="single" w:color="000000" w:sz="4" w:space="0"/>
                    <w:bottom w:val="single" w:color="000000" w:sz="4" w:space="0"/>
                    <w:right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46.3</w:t>
                  </w:r>
                </w:p>
              </w:tc>
              <w:tc>
                <w:tcPr>
                  <w:tcW w:w="753" w:type="pct"/>
                  <w:tcBorders>
                    <w:top w:val="single" w:color="000000" w:sz="4" w:space="0"/>
                    <w:left w:val="single" w:color="000000" w:sz="4" w:space="0"/>
                    <w:bottom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trPr>
              <w:tc>
                <w:tcPr>
                  <w:tcW w:w="1140" w:type="pct"/>
                  <w:tcBorders>
                    <w:top w:val="single" w:color="000000" w:sz="4" w:space="0"/>
                    <w:bottom w:val="single" w:color="000000" w:sz="4" w:space="0"/>
                    <w:right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压滤机</w:t>
                  </w:r>
                </w:p>
              </w:tc>
              <w:tc>
                <w:tcPr>
                  <w:tcW w:w="708" w:type="pct"/>
                  <w:tcBorders>
                    <w:top w:val="single" w:color="000000" w:sz="4" w:space="0"/>
                    <w:left w:val="single" w:color="000000" w:sz="4" w:space="0"/>
                    <w:bottom w:val="single" w:color="000000" w:sz="4" w:space="0"/>
                    <w:right w:val="single" w:color="000000" w:sz="4" w:space="0"/>
                  </w:tcBorders>
                  <w:vAlign w:val="center"/>
                </w:tcPr>
                <w:p>
                  <w:pPr>
                    <w:pStyle w:val="34"/>
                    <w:spacing w:before="33"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80</w:t>
                  </w:r>
                </w:p>
              </w:tc>
              <w:tc>
                <w:tcPr>
                  <w:tcW w:w="759" w:type="pct"/>
                  <w:tcBorders>
                    <w:top w:val="single" w:color="000000" w:sz="4" w:space="0"/>
                    <w:left w:val="single" w:color="000000" w:sz="4" w:space="0"/>
                    <w:bottom w:val="single" w:color="000000" w:sz="4" w:space="0"/>
                    <w:right w:val="single" w:color="000000" w:sz="4" w:space="0"/>
                  </w:tcBorders>
                  <w:vAlign w:val="center"/>
                </w:tcPr>
                <w:p>
                  <w:pPr>
                    <w:pStyle w:val="34"/>
                    <w:spacing w:before="32"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49.1</w:t>
                  </w:r>
                </w:p>
              </w:tc>
              <w:tc>
                <w:tcPr>
                  <w:tcW w:w="757" w:type="pct"/>
                  <w:tcBorders>
                    <w:top w:val="single" w:color="000000" w:sz="4" w:space="0"/>
                    <w:left w:val="single" w:color="000000" w:sz="4" w:space="0"/>
                    <w:bottom w:val="single" w:color="000000" w:sz="4" w:space="0"/>
                    <w:right w:val="single" w:color="000000" w:sz="4" w:space="0"/>
                  </w:tcBorders>
                  <w:vAlign w:val="center"/>
                </w:tcPr>
                <w:p>
                  <w:pPr>
                    <w:pStyle w:val="34"/>
                    <w:spacing w:before="33"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46.4</w:t>
                  </w:r>
                </w:p>
              </w:tc>
              <w:tc>
                <w:tcPr>
                  <w:tcW w:w="884" w:type="pct"/>
                  <w:tcBorders>
                    <w:top w:val="single" w:color="000000" w:sz="4" w:space="0"/>
                    <w:left w:val="single" w:color="000000" w:sz="4" w:space="0"/>
                    <w:bottom w:val="single" w:color="000000" w:sz="4" w:space="0"/>
                    <w:right w:val="single" w:color="000000" w:sz="4" w:space="0"/>
                  </w:tcBorders>
                  <w:vAlign w:val="center"/>
                </w:tcPr>
                <w:p>
                  <w:pPr>
                    <w:pStyle w:val="34"/>
                    <w:spacing w:before="33"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39.6</w:t>
                  </w:r>
                </w:p>
              </w:tc>
              <w:tc>
                <w:tcPr>
                  <w:tcW w:w="753" w:type="pct"/>
                  <w:tcBorders>
                    <w:top w:val="single" w:color="000000" w:sz="4" w:space="0"/>
                    <w:left w:val="single" w:color="000000" w:sz="4" w:space="0"/>
                    <w:bottom w:val="single" w:color="000000" w:sz="4" w:space="0"/>
                  </w:tcBorders>
                  <w:vAlign w:val="center"/>
                </w:tcPr>
                <w:p>
                  <w:pPr>
                    <w:pStyle w:val="34"/>
                    <w:spacing w:before="33"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3" w:hRule="atLeast"/>
              </w:trPr>
              <w:tc>
                <w:tcPr>
                  <w:tcW w:w="1140" w:type="pct"/>
                  <w:tcBorders>
                    <w:top w:val="single" w:color="000000" w:sz="4" w:space="0"/>
                    <w:bottom w:val="single" w:color="000000" w:sz="4" w:space="0"/>
                    <w:right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水泵</w:t>
                  </w:r>
                </w:p>
              </w:tc>
              <w:tc>
                <w:tcPr>
                  <w:tcW w:w="708" w:type="pct"/>
                  <w:tcBorders>
                    <w:top w:val="single" w:color="000000" w:sz="4" w:space="0"/>
                    <w:left w:val="single" w:color="000000" w:sz="4" w:space="0"/>
                    <w:bottom w:val="single" w:color="000000" w:sz="4" w:space="0"/>
                    <w:right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70</w:t>
                  </w:r>
                </w:p>
              </w:tc>
              <w:tc>
                <w:tcPr>
                  <w:tcW w:w="759" w:type="pct"/>
                  <w:tcBorders>
                    <w:top w:val="single" w:color="000000" w:sz="4" w:space="0"/>
                    <w:left w:val="single" w:color="000000" w:sz="4" w:space="0"/>
                    <w:bottom w:val="single" w:color="000000" w:sz="4" w:space="0"/>
                    <w:right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39.1</w:t>
                  </w:r>
                </w:p>
              </w:tc>
              <w:tc>
                <w:tcPr>
                  <w:tcW w:w="757" w:type="pct"/>
                  <w:tcBorders>
                    <w:top w:val="single" w:color="000000" w:sz="4" w:space="0"/>
                    <w:left w:val="single" w:color="000000" w:sz="4" w:space="0"/>
                    <w:bottom w:val="single" w:color="000000" w:sz="4" w:space="0"/>
                    <w:right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36.4</w:t>
                  </w:r>
                </w:p>
              </w:tc>
              <w:tc>
                <w:tcPr>
                  <w:tcW w:w="884" w:type="pct"/>
                  <w:tcBorders>
                    <w:top w:val="single" w:color="000000" w:sz="4" w:space="0"/>
                    <w:left w:val="single" w:color="000000" w:sz="4" w:space="0"/>
                    <w:bottom w:val="single" w:color="000000" w:sz="4" w:space="0"/>
                    <w:right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29.6</w:t>
                  </w:r>
                </w:p>
              </w:tc>
              <w:tc>
                <w:tcPr>
                  <w:tcW w:w="753" w:type="pct"/>
                  <w:tcBorders>
                    <w:top w:val="single" w:color="000000" w:sz="4" w:space="0"/>
                    <w:left w:val="single" w:color="000000" w:sz="4" w:space="0"/>
                    <w:bottom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1140" w:type="pct"/>
                  <w:tcBorders>
                    <w:top w:val="single" w:color="000000" w:sz="4" w:space="0"/>
                    <w:bottom w:val="single" w:color="000000" w:sz="4" w:space="0"/>
                    <w:right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输送机</w:t>
                  </w:r>
                </w:p>
              </w:tc>
              <w:tc>
                <w:tcPr>
                  <w:tcW w:w="708" w:type="pct"/>
                  <w:tcBorders>
                    <w:top w:val="single" w:color="000000" w:sz="4" w:space="0"/>
                    <w:left w:val="single" w:color="000000" w:sz="4" w:space="0"/>
                    <w:bottom w:val="single" w:color="000000" w:sz="4" w:space="0"/>
                    <w:right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75</w:t>
                  </w:r>
                </w:p>
              </w:tc>
              <w:tc>
                <w:tcPr>
                  <w:tcW w:w="759" w:type="pct"/>
                  <w:tcBorders>
                    <w:top w:val="single" w:color="000000" w:sz="4" w:space="0"/>
                    <w:left w:val="single" w:color="000000" w:sz="4" w:space="0"/>
                    <w:bottom w:val="single" w:color="000000" w:sz="4" w:space="0"/>
                    <w:right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41</w:t>
                  </w:r>
                </w:p>
              </w:tc>
              <w:tc>
                <w:tcPr>
                  <w:tcW w:w="757" w:type="pct"/>
                  <w:tcBorders>
                    <w:top w:val="single" w:color="000000" w:sz="4" w:space="0"/>
                    <w:left w:val="single" w:color="000000" w:sz="4" w:space="0"/>
                    <w:bottom w:val="single" w:color="000000" w:sz="4" w:space="0"/>
                    <w:right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47</w:t>
                  </w:r>
                </w:p>
              </w:tc>
              <w:tc>
                <w:tcPr>
                  <w:tcW w:w="884" w:type="pct"/>
                  <w:tcBorders>
                    <w:top w:val="single" w:color="000000" w:sz="4" w:space="0"/>
                    <w:left w:val="single" w:color="000000" w:sz="4" w:space="0"/>
                    <w:bottom w:val="single" w:color="000000" w:sz="4" w:space="0"/>
                    <w:right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36.1</w:t>
                  </w:r>
                </w:p>
              </w:tc>
              <w:tc>
                <w:tcPr>
                  <w:tcW w:w="753" w:type="pct"/>
                  <w:tcBorders>
                    <w:top w:val="single" w:color="000000" w:sz="4" w:space="0"/>
                    <w:left w:val="single" w:color="000000" w:sz="4" w:space="0"/>
                    <w:bottom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45.5</w:t>
                  </w:r>
                </w:p>
              </w:tc>
            </w:tr>
          </w:tbl>
          <w:p>
            <w:pPr>
              <w:spacing w:line="360" w:lineRule="auto"/>
              <w:ind w:firstLine="301" w:firstLineChars="150"/>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表 4- 1</w:t>
            </w:r>
            <w:r>
              <w:rPr>
                <w:rFonts w:hint="eastAsia" w:eastAsia="黑体"/>
                <w:b/>
                <w:bCs/>
                <w:color w:val="000000" w:themeColor="text1"/>
                <w:kern w:val="0"/>
                <w:sz w:val="20"/>
                <w:szCs w:val="20"/>
                <w14:textFill>
                  <w14:solidFill>
                    <w14:schemeClr w14:val="tx1"/>
                  </w14:solidFill>
                </w14:textFill>
              </w:rPr>
              <w:t>3</w:t>
            </w:r>
            <w:r>
              <w:rPr>
                <w:rFonts w:eastAsia="黑体"/>
                <w:b/>
                <w:bCs/>
                <w:color w:val="000000" w:themeColor="text1"/>
                <w:kern w:val="0"/>
                <w:sz w:val="20"/>
                <w:szCs w:val="20"/>
                <w14:textFill>
                  <w14:solidFill>
                    <w14:schemeClr w14:val="tx1"/>
                  </w14:solidFill>
                </w14:textFill>
              </w:rPr>
              <w:t xml:space="preserve">   项目厂界噪声预测结果</w:t>
            </w:r>
          </w:p>
          <w:tbl>
            <w:tblPr>
              <w:tblStyle w:val="3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90"/>
              <w:gridCol w:w="1778"/>
              <w:gridCol w:w="1613"/>
              <w:gridCol w:w="1279"/>
              <w:gridCol w:w="1618"/>
              <w:gridCol w:w="13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678" w:type="pct"/>
                  <w:vMerge w:val="restart"/>
                  <w:tcBorders>
                    <w:left w:val="nil"/>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项目</w:t>
                  </w:r>
                </w:p>
              </w:tc>
              <w:tc>
                <w:tcPr>
                  <w:tcW w:w="1012" w:type="pct"/>
                  <w:vMerge w:val="restart"/>
                  <w:tcBorders>
                    <w:bottom w:val="nil"/>
                  </w:tcBorders>
                  <w:vAlign w:val="center"/>
                </w:tcPr>
                <w:p>
                  <w:pPr>
                    <w:pStyle w:val="34"/>
                    <w:spacing w:line="360" w:lineRule="auto"/>
                    <w:ind w:right="151"/>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各声源贡献值叠加后的源强</w:t>
                  </w:r>
                </w:p>
              </w:tc>
              <w:tc>
                <w:tcPr>
                  <w:tcW w:w="918" w:type="pct"/>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隔声、降噪量</w:t>
                  </w:r>
                </w:p>
              </w:tc>
              <w:tc>
                <w:tcPr>
                  <w:tcW w:w="728" w:type="pct"/>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贡献值</w:t>
                  </w:r>
                </w:p>
              </w:tc>
              <w:tc>
                <w:tcPr>
                  <w:tcW w:w="92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执行标准</w:t>
                  </w:r>
                </w:p>
              </w:tc>
              <w:tc>
                <w:tcPr>
                  <w:tcW w:w="743"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78" w:type="pct"/>
                  <w:vMerge w:val="continue"/>
                  <w:tcBorders>
                    <w:top w:val="nil"/>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1012" w:type="pct"/>
                  <w:vMerge w:val="continue"/>
                  <w:tcBorders>
                    <w:top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918" w:type="pct"/>
                  <w:vMerge w:val="continue"/>
                  <w:tcBorders>
                    <w:top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728" w:type="pct"/>
                  <w:vMerge w:val="continue"/>
                  <w:tcBorders>
                    <w:top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92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昼间</w:t>
                  </w:r>
                </w:p>
              </w:tc>
              <w:tc>
                <w:tcPr>
                  <w:tcW w:w="743"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昼间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78"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东厂界</w:t>
                  </w:r>
                </w:p>
              </w:tc>
              <w:tc>
                <w:tcPr>
                  <w:tcW w:w="101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66.0</w:t>
                  </w:r>
                </w:p>
              </w:tc>
              <w:tc>
                <w:tcPr>
                  <w:tcW w:w="91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15</w:t>
                  </w:r>
                </w:p>
              </w:tc>
              <w:tc>
                <w:tcPr>
                  <w:tcW w:w="72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51.0</w:t>
                  </w:r>
                </w:p>
              </w:tc>
              <w:tc>
                <w:tcPr>
                  <w:tcW w:w="92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60</w:t>
                  </w:r>
                </w:p>
              </w:tc>
              <w:tc>
                <w:tcPr>
                  <w:tcW w:w="743"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78"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南厂界</w:t>
                  </w:r>
                </w:p>
              </w:tc>
              <w:tc>
                <w:tcPr>
                  <w:tcW w:w="101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73.8</w:t>
                  </w:r>
                </w:p>
              </w:tc>
              <w:tc>
                <w:tcPr>
                  <w:tcW w:w="91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15</w:t>
                  </w:r>
                </w:p>
              </w:tc>
              <w:tc>
                <w:tcPr>
                  <w:tcW w:w="72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58.8</w:t>
                  </w:r>
                </w:p>
              </w:tc>
              <w:tc>
                <w:tcPr>
                  <w:tcW w:w="92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60</w:t>
                  </w:r>
                </w:p>
              </w:tc>
              <w:tc>
                <w:tcPr>
                  <w:tcW w:w="743"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678"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西厂界</w:t>
                  </w:r>
                </w:p>
              </w:tc>
              <w:tc>
                <w:tcPr>
                  <w:tcW w:w="101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58.5</w:t>
                  </w:r>
                </w:p>
              </w:tc>
              <w:tc>
                <w:tcPr>
                  <w:tcW w:w="91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15</w:t>
                  </w:r>
                </w:p>
              </w:tc>
              <w:tc>
                <w:tcPr>
                  <w:tcW w:w="72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43.5</w:t>
                  </w:r>
                </w:p>
              </w:tc>
              <w:tc>
                <w:tcPr>
                  <w:tcW w:w="92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60</w:t>
                  </w:r>
                </w:p>
              </w:tc>
              <w:tc>
                <w:tcPr>
                  <w:tcW w:w="743"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678"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北厂界</w:t>
                  </w:r>
                </w:p>
              </w:tc>
              <w:tc>
                <w:tcPr>
                  <w:tcW w:w="101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66.7</w:t>
                  </w:r>
                </w:p>
              </w:tc>
              <w:tc>
                <w:tcPr>
                  <w:tcW w:w="91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15</w:t>
                  </w:r>
                </w:p>
              </w:tc>
              <w:tc>
                <w:tcPr>
                  <w:tcW w:w="72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51.7</w:t>
                  </w:r>
                </w:p>
              </w:tc>
              <w:tc>
                <w:tcPr>
                  <w:tcW w:w="92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70</w:t>
                  </w:r>
                </w:p>
              </w:tc>
              <w:tc>
                <w:tcPr>
                  <w:tcW w:w="743" w:type="pct"/>
                  <w:tcBorders>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达标</w:t>
                  </w:r>
                </w:p>
              </w:tc>
            </w:tr>
          </w:tbl>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由上表预测结果可知，本项目设备噪声通过建筑隔声、基础减振、距离衰减等措施的情况下，各厂界噪声值能够满足《工业企业厂界环境噪声排放标准》（GB12348-2008）2类声环境功能区的排放限值要求。</w:t>
            </w:r>
          </w:p>
          <w:p>
            <w:pPr>
              <w:spacing w:line="360" w:lineRule="auto"/>
              <w:ind w:firstLine="361" w:firstLineChars="150"/>
              <w:rPr>
                <w:b/>
                <w:color w:val="000000" w:themeColor="text1"/>
                <w14:textFill>
                  <w14:solidFill>
                    <w14:schemeClr w14:val="tx1"/>
                  </w14:solidFill>
                </w14:textFill>
              </w:rPr>
            </w:pPr>
            <w:r>
              <w:rPr>
                <w:rFonts w:hint="eastAsia"/>
                <w:b/>
                <w:color w:val="000000" w:themeColor="text1"/>
                <w14:textFill>
                  <w14:solidFill>
                    <w14:schemeClr w14:val="tx1"/>
                  </w14:solidFill>
                </w14:textFill>
              </w:rPr>
              <w:t>3.3噪声监测</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根据《排污单位自行监测技术指南-总则》（HJ819-2017），本项目营运期厂界环境噪声监测计划见下表所示。</w:t>
            </w:r>
          </w:p>
          <w:p>
            <w:pPr>
              <w:spacing w:line="360" w:lineRule="auto"/>
              <w:ind w:firstLine="301" w:firstLineChars="150"/>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表 4-1</w:t>
            </w:r>
            <w:r>
              <w:rPr>
                <w:rFonts w:hint="eastAsia" w:eastAsia="黑体"/>
                <w:b/>
                <w:bCs/>
                <w:color w:val="000000" w:themeColor="text1"/>
                <w:kern w:val="0"/>
                <w:sz w:val="20"/>
                <w:szCs w:val="20"/>
                <w14:textFill>
                  <w14:solidFill>
                    <w14:schemeClr w14:val="tx1"/>
                  </w14:solidFill>
                </w14:textFill>
              </w:rPr>
              <w:t>4</w:t>
            </w:r>
            <w:r>
              <w:rPr>
                <w:rFonts w:eastAsia="黑体"/>
                <w:b/>
                <w:bCs/>
                <w:color w:val="000000" w:themeColor="text1"/>
                <w:kern w:val="0"/>
                <w:sz w:val="20"/>
                <w:szCs w:val="20"/>
                <w14:textFill>
                  <w14:solidFill>
                    <w14:schemeClr w14:val="tx1"/>
                  </w14:solidFill>
                </w14:textFill>
              </w:rPr>
              <w:t xml:space="preserve">   </w:t>
            </w:r>
            <w:r>
              <w:rPr>
                <w:rFonts w:hint="eastAsia" w:eastAsia="黑体"/>
                <w:b/>
                <w:bCs/>
                <w:color w:val="000000" w:themeColor="text1"/>
                <w:kern w:val="0"/>
                <w:sz w:val="20"/>
                <w:szCs w:val="20"/>
                <w14:textFill>
                  <w14:solidFill>
                    <w14:schemeClr w14:val="tx1"/>
                  </w14:solidFill>
                </w14:textFill>
              </w:rPr>
              <w:t>声</w:t>
            </w:r>
            <w:r>
              <w:rPr>
                <w:rFonts w:eastAsia="黑体"/>
                <w:b/>
                <w:bCs/>
                <w:color w:val="000000" w:themeColor="text1"/>
                <w:kern w:val="0"/>
                <w:sz w:val="20"/>
                <w:szCs w:val="20"/>
                <w14:textFill>
                  <w14:solidFill>
                    <w14:schemeClr w14:val="tx1"/>
                  </w14:solidFill>
                </w14:textFill>
              </w:rPr>
              <w:t>环境监测定期计划建议</w:t>
            </w:r>
          </w:p>
          <w:tbl>
            <w:tblPr>
              <w:tblStyle w:val="38"/>
              <w:tblW w:w="5000" w:type="pct"/>
              <w:tblInd w:w="0" w:type="dxa"/>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986"/>
              <w:gridCol w:w="1394"/>
              <w:gridCol w:w="1258"/>
              <w:gridCol w:w="1250"/>
              <w:gridCol w:w="1243"/>
              <w:gridCol w:w="2657"/>
            </w:tblGrid>
            <w:tr>
              <w:tblPrEx>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56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类别</w:t>
                  </w:r>
                </w:p>
              </w:tc>
              <w:tc>
                <w:tcPr>
                  <w:tcW w:w="79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监测位置</w:t>
                  </w:r>
                </w:p>
              </w:tc>
              <w:tc>
                <w:tcPr>
                  <w:tcW w:w="716"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监测点数</w:t>
                  </w:r>
                </w:p>
              </w:tc>
              <w:tc>
                <w:tcPr>
                  <w:tcW w:w="71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监测项目</w:t>
                  </w:r>
                </w:p>
              </w:tc>
              <w:tc>
                <w:tcPr>
                  <w:tcW w:w="707"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监测频率</w:t>
                  </w:r>
                </w:p>
              </w:tc>
              <w:tc>
                <w:tcPr>
                  <w:tcW w:w="151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技术要求</w:t>
                  </w:r>
                </w:p>
              </w:tc>
            </w:tr>
            <w:tr>
              <w:tblPrEx>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119" w:hRule="atLeast"/>
              </w:trPr>
              <w:tc>
                <w:tcPr>
                  <w:tcW w:w="56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噪声</w:t>
                  </w:r>
                </w:p>
              </w:tc>
              <w:tc>
                <w:tcPr>
                  <w:tcW w:w="79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厂界外 1m</w:t>
                  </w:r>
                </w:p>
              </w:tc>
              <w:tc>
                <w:tcPr>
                  <w:tcW w:w="716"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4 个</w:t>
                  </w:r>
                </w:p>
              </w:tc>
              <w:tc>
                <w:tcPr>
                  <w:tcW w:w="71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厂界噪声</w:t>
                  </w:r>
                </w:p>
              </w:tc>
              <w:tc>
                <w:tcPr>
                  <w:tcW w:w="707"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 次/季度</w:t>
                  </w:r>
                </w:p>
              </w:tc>
              <w:tc>
                <w:tcPr>
                  <w:tcW w:w="1512"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《工业企业厂界环境噪声排放标准》（GB12348-2008）中2类标准</w:t>
                  </w:r>
                </w:p>
              </w:tc>
            </w:tr>
          </w:tbl>
          <w:p>
            <w:pPr>
              <w:spacing w:line="360" w:lineRule="auto"/>
              <w:rPr>
                <w:b/>
                <w:color w:val="000000" w:themeColor="text1"/>
                <w14:textFill>
                  <w14:solidFill>
                    <w14:schemeClr w14:val="tx1"/>
                  </w14:solidFill>
                </w14:textFill>
              </w:rPr>
            </w:pPr>
            <w:r>
              <w:rPr>
                <w:rFonts w:hint="eastAsia"/>
                <w:b/>
                <w:color w:val="000000" w:themeColor="text1"/>
                <w14:textFill>
                  <w14:solidFill>
                    <w14:schemeClr w14:val="tx1"/>
                  </w14:solidFill>
                </w14:textFill>
              </w:rPr>
              <w:t>4、固体废物</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营运期产生的固体废物包括一般固废和危险废物。</w:t>
            </w:r>
          </w:p>
          <w:p>
            <w:pPr>
              <w:spacing w:line="360" w:lineRule="auto"/>
              <w:ind w:firstLine="361" w:firstLineChars="150"/>
              <w:rPr>
                <w:b/>
                <w:color w:val="000000" w:themeColor="text1"/>
                <w14:textFill>
                  <w14:solidFill>
                    <w14:schemeClr w14:val="tx1"/>
                  </w14:solidFill>
                </w14:textFill>
              </w:rPr>
            </w:pPr>
            <w:r>
              <w:rPr>
                <w:rFonts w:hint="eastAsia"/>
                <w:b/>
                <w:color w:val="000000" w:themeColor="text1"/>
                <w14:textFill>
                  <w14:solidFill>
                    <w14:schemeClr w14:val="tx1"/>
                  </w14:solidFill>
                </w14:textFill>
              </w:rPr>
              <w:t>4.1一般固废的产生量及处置</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营运期固废主要为干化泥饼、废絮凝剂桶和办公生活产生的少量生活垃圾。</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（1）干化泥饼</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根据建设单位介绍，项目外购原料一般含泥量约在10%左右。原料经过破碎筛分加工后进入水洗环节量为146740t/a （本次扩建新增量为92390t/a），则泥砂量（干基）约14674t/a （本次扩建新增泥砂量9239t/a）。生产过程采用水洗工艺，约有80%的泥沙进入废水处理系统，经板框压滤机压滤后泥饼含水率降至60%左右。经计算，</w:t>
            </w:r>
            <w:r>
              <w:rPr>
                <w:rFonts w:hint="eastAsia"/>
                <w:color w:val="000000" w:themeColor="text1"/>
                <w:kern w:val="24"/>
                <w:szCs w:val="24"/>
                <w14:textFill>
                  <w14:solidFill>
                    <w14:schemeClr w14:val="tx1"/>
                  </w14:solidFill>
                </w14:textFill>
              </w:rPr>
              <w:t>板框压滤后含水60%的泥饼量约</w:t>
            </w:r>
            <w:r>
              <w:rPr>
                <w:color w:val="000000" w:themeColor="text1"/>
                <w:kern w:val="24"/>
                <w:szCs w:val="24"/>
                <w14:textFill>
                  <w14:solidFill>
                    <w14:schemeClr w14:val="tx1"/>
                  </w14:solidFill>
                </w14:textFill>
              </w:rPr>
              <w:t>29348</w:t>
            </w:r>
            <w:r>
              <w:rPr>
                <w:rFonts w:hint="eastAsia"/>
                <w:color w:val="000000" w:themeColor="text1"/>
                <w:kern w:val="24"/>
                <w:szCs w:val="24"/>
                <w14:textFill>
                  <w14:solidFill>
                    <w14:schemeClr w14:val="tx1"/>
                  </w14:solidFill>
                </w14:textFill>
              </w:rPr>
              <w:t>t/a，</w:t>
            </w:r>
            <w:r>
              <w:rPr>
                <w:color w:val="000000" w:themeColor="text1"/>
                <w:kern w:val="24"/>
                <w:szCs w:val="24"/>
                <w14:textFill>
                  <w14:solidFill>
                    <w14:schemeClr w14:val="tx1"/>
                  </w14:solidFill>
                </w14:textFill>
              </w:rPr>
              <w:t>97.83</w:t>
            </w:r>
            <w:r>
              <w:rPr>
                <w:rFonts w:hint="eastAsia"/>
                <w:color w:val="000000" w:themeColor="text1"/>
                <w:kern w:val="24"/>
                <w:szCs w:val="24"/>
                <w14:textFill>
                  <w14:solidFill>
                    <w14:schemeClr w14:val="tx1"/>
                  </w14:solidFill>
                </w14:textFill>
              </w:rPr>
              <w:t>t/d（扩建后新增含水60%的泥饼量约1</w:t>
            </w:r>
            <w:r>
              <w:rPr>
                <w:color w:val="000000" w:themeColor="text1"/>
                <w:kern w:val="24"/>
                <w:szCs w:val="24"/>
                <w14:textFill>
                  <w14:solidFill>
                    <w14:schemeClr w14:val="tx1"/>
                  </w14:solidFill>
                </w14:textFill>
              </w:rPr>
              <w:t>8478</w:t>
            </w:r>
            <w:r>
              <w:rPr>
                <w:rFonts w:hint="eastAsia"/>
                <w:color w:val="000000" w:themeColor="text1"/>
                <w:kern w:val="24"/>
                <w:szCs w:val="24"/>
                <w14:textFill>
                  <w14:solidFill>
                    <w14:schemeClr w14:val="tx1"/>
                  </w14:solidFill>
                </w14:textFill>
              </w:rPr>
              <w:t xml:space="preserve"> t/a，</w:t>
            </w:r>
            <w:r>
              <w:rPr>
                <w:color w:val="000000" w:themeColor="text1"/>
                <w:kern w:val="24"/>
                <w:szCs w:val="24"/>
                <w14:textFill>
                  <w14:solidFill>
                    <w14:schemeClr w14:val="tx1"/>
                  </w14:solidFill>
                </w14:textFill>
              </w:rPr>
              <w:t>61.59</w:t>
            </w:r>
            <w:r>
              <w:rPr>
                <w:rFonts w:hint="eastAsia"/>
                <w:color w:val="000000" w:themeColor="text1"/>
                <w:kern w:val="24"/>
                <w:szCs w:val="24"/>
                <w14:textFill>
                  <w14:solidFill>
                    <w14:schemeClr w14:val="tx1"/>
                  </w14:solidFill>
                </w14:textFill>
              </w:rPr>
              <w:t>t/d）</w:t>
            </w:r>
            <w:r>
              <w:rPr>
                <w:rFonts w:hint="eastAsia"/>
                <w:bCs/>
                <w:color w:val="000000" w:themeColor="text1"/>
                <w14:textFill>
                  <w14:solidFill>
                    <w14:schemeClr w14:val="tx1"/>
                  </w14:solidFill>
                </w14:textFill>
              </w:rPr>
              <w:t>。干化泥饼在压滤机下方的泥饼池暂存，定期外运至砖厂做原料利用。</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（2）废絮凝剂桶</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项目废水处理采用聚丙烯酰胺做絮凝剂。使用后剩下的废絮凝剂桶，本项目建设后全厂产生量约0.08t/a （本次扩建新增产生量为0.05t/a）。统一收集后，由厂家回收利用。</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（3）生活垃圾</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建设新增员工3人，建设后全厂员工人数为10人，生活垃圾产生量为0.5kg/d·人。经计算，项目建设后全厂生活垃圾产生量为1.5t/a（本次建设新增生活垃圾量0.45t/a）。厂区设垃圾桶收集后，及时外运附近生活垃圾集中收集点，由环卫负责清运处置。</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本项目的一般固废通过采取上述处置措施，不会造成二次污染。</w:t>
            </w:r>
          </w:p>
          <w:p>
            <w:pPr>
              <w:spacing w:line="360" w:lineRule="auto"/>
              <w:ind w:firstLine="301" w:firstLineChars="150"/>
              <w:jc w:val="center"/>
              <w:rPr>
                <w:rFonts w:eastAsia="黑体"/>
                <w:b/>
                <w:bCs/>
                <w:color w:val="000000" w:themeColor="text1"/>
                <w:kern w:val="0"/>
                <w:sz w:val="20"/>
                <w:szCs w:val="20"/>
                <w14:textFill>
                  <w14:solidFill>
                    <w14:schemeClr w14:val="tx1"/>
                  </w14:solidFill>
                </w14:textFill>
              </w:rPr>
            </w:pPr>
            <w:r>
              <w:rPr>
                <w:rFonts w:hint="eastAsia" w:eastAsia="黑体"/>
                <w:b/>
                <w:bCs/>
                <w:color w:val="000000" w:themeColor="text1"/>
                <w:kern w:val="0"/>
                <w:sz w:val="20"/>
                <w:szCs w:val="20"/>
                <w14:textFill>
                  <w14:solidFill>
                    <w14:schemeClr w14:val="tx1"/>
                  </w14:solidFill>
                </w14:textFill>
              </w:rPr>
              <w:t>表4- 15   一般固废的产生及处置情况表</w:t>
            </w:r>
          </w:p>
          <w:tbl>
            <w:tblPr>
              <w:tblStyle w:val="38"/>
              <w:tblW w:w="5000" w:type="pct"/>
              <w:tblInd w:w="0" w:type="dxa"/>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594"/>
              <w:gridCol w:w="1383"/>
              <w:gridCol w:w="779"/>
              <w:gridCol w:w="826"/>
              <w:gridCol w:w="1074"/>
              <w:gridCol w:w="1074"/>
              <w:gridCol w:w="1394"/>
              <w:gridCol w:w="1664"/>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33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序号</w:t>
                  </w:r>
                </w:p>
              </w:tc>
              <w:tc>
                <w:tcPr>
                  <w:tcW w:w="787"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名称</w:t>
                  </w:r>
                </w:p>
              </w:tc>
              <w:tc>
                <w:tcPr>
                  <w:tcW w:w="44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产生</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环节</w:t>
                  </w:r>
                </w:p>
              </w:tc>
              <w:tc>
                <w:tcPr>
                  <w:tcW w:w="47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固废</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类别</w:t>
                  </w:r>
                </w:p>
              </w:tc>
              <w:tc>
                <w:tcPr>
                  <w:tcW w:w="61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本项目新增产生量</w:t>
                  </w:r>
                </w:p>
              </w:tc>
              <w:tc>
                <w:tcPr>
                  <w:tcW w:w="61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全厂</w:t>
                  </w:r>
                  <w:r>
                    <w:rPr>
                      <w:rFonts w:ascii="Times New Roman" w:hAnsi="Times New Roman" w:cs="Times New Roman"/>
                      <w:snapToGrid/>
                      <w:color w:val="000000" w:themeColor="text1"/>
                      <w:kern w:val="2"/>
                      <w:sz w:val="21"/>
                      <w:szCs w:val="21"/>
                      <w:lang w:eastAsia="zh-CN"/>
                      <w14:textFill>
                        <w14:solidFill>
                          <w14:schemeClr w14:val="tx1"/>
                        </w14:solidFill>
                      </w14:textFill>
                    </w:rPr>
                    <w:t>产生量</w:t>
                  </w:r>
                </w:p>
              </w:tc>
              <w:tc>
                <w:tcPr>
                  <w:tcW w:w="79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收集贮存方式</w:t>
                  </w:r>
                </w:p>
              </w:tc>
              <w:tc>
                <w:tcPr>
                  <w:tcW w:w="947"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处置去向</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33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w:t>
                  </w:r>
                </w:p>
              </w:tc>
              <w:tc>
                <w:tcPr>
                  <w:tcW w:w="787"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干化泥饼（含水 60%）</w:t>
                  </w:r>
                </w:p>
              </w:tc>
              <w:tc>
                <w:tcPr>
                  <w:tcW w:w="44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废水处 理</w:t>
                  </w:r>
                </w:p>
              </w:tc>
              <w:tc>
                <w:tcPr>
                  <w:tcW w:w="47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无机废 水污泥</w:t>
                  </w:r>
                </w:p>
              </w:tc>
              <w:tc>
                <w:tcPr>
                  <w:tcW w:w="61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18478</w:t>
                  </w:r>
                  <w:r>
                    <w:rPr>
                      <w:rFonts w:ascii="Times New Roman" w:hAnsi="Times New Roman" w:cs="Times New Roman"/>
                      <w:snapToGrid/>
                      <w:color w:val="000000" w:themeColor="text1"/>
                      <w:kern w:val="2"/>
                      <w:sz w:val="21"/>
                      <w:szCs w:val="21"/>
                      <w:lang w:eastAsia="zh-CN"/>
                      <w14:textFill>
                        <w14:solidFill>
                          <w14:schemeClr w14:val="tx1"/>
                        </w14:solidFill>
                      </w14:textFill>
                    </w:rPr>
                    <w:t>t/a</w:t>
                  </w:r>
                </w:p>
              </w:tc>
              <w:tc>
                <w:tcPr>
                  <w:tcW w:w="61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29348</w:t>
                  </w:r>
                  <w:r>
                    <w:rPr>
                      <w:rFonts w:ascii="Times New Roman" w:hAnsi="Times New Roman" w:cs="Times New Roman"/>
                      <w:snapToGrid/>
                      <w:color w:val="000000" w:themeColor="text1"/>
                      <w:kern w:val="2"/>
                      <w:sz w:val="21"/>
                      <w:szCs w:val="21"/>
                      <w:lang w:eastAsia="zh-CN"/>
                      <w14:textFill>
                        <w14:solidFill>
                          <w14:schemeClr w14:val="tx1"/>
                        </w14:solidFill>
                      </w14:textFill>
                    </w:rPr>
                    <w:t>t/a</w:t>
                  </w:r>
                </w:p>
              </w:tc>
              <w:tc>
                <w:tcPr>
                  <w:tcW w:w="79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泥饼池暂存</w:t>
                  </w:r>
                </w:p>
              </w:tc>
              <w:tc>
                <w:tcPr>
                  <w:tcW w:w="947"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砖厂利用</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33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2</w:t>
                  </w:r>
                </w:p>
              </w:tc>
              <w:tc>
                <w:tcPr>
                  <w:tcW w:w="787"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废絮凝剂桶</w:t>
                  </w:r>
                </w:p>
              </w:tc>
              <w:tc>
                <w:tcPr>
                  <w:tcW w:w="44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废水</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处理</w:t>
                  </w:r>
                </w:p>
              </w:tc>
              <w:tc>
                <w:tcPr>
                  <w:tcW w:w="47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废塑料</w:t>
                  </w:r>
                </w:p>
              </w:tc>
              <w:tc>
                <w:tcPr>
                  <w:tcW w:w="61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0.05</w:t>
                  </w:r>
                  <w:r>
                    <w:rPr>
                      <w:rFonts w:ascii="Times New Roman" w:hAnsi="Times New Roman" w:cs="Times New Roman"/>
                      <w:snapToGrid/>
                      <w:color w:val="000000" w:themeColor="text1"/>
                      <w:kern w:val="2"/>
                      <w:sz w:val="21"/>
                      <w:szCs w:val="21"/>
                      <w:lang w:eastAsia="zh-CN"/>
                      <w14:textFill>
                        <w14:solidFill>
                          <w14:schemeClr w14:val="tx1"/>
                        </w14:solidFill>
                      </w14:textFill>
                    </w:rPr>
                    <w:t>t/a</w:t>
                  </w:r>
                </w:p>
              </w:tc>
              <w:tc>
                <w:tcPr>
                  <w:tcW w:w="61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0.0</w:t>
                  </w:r>
                  <w:r>
                    <w:rPr>
                      <w:rFonts w:hint="eastAsia" w:ascii="Times New Roman" w:hAnsi="Times New Roman" w:cs="Times New Roman"/>
                      <w:snapToGrid/>
                      <w:color w:val="000000" w:themeColor="text1"/>
                      <w:kern w:val="2"/>
                      <w:sz w:val="21"/>
                      <w:szCs w:val="21"/>
                      <w:lang w:eastAsia="zh-CN"/>
                      <w14:textFill>
                        <w14:solidFill>
                          <w14:schemeClr w14:val="tx1"/>
                        </w14:solidFill>
                      </w14:textFill>
                    </w:rPr>
                    <w:t>8</w:t>
                  </w:r>
                  <w:r>
                    <w:rPr>
                      <w:rFonts w:ascii="Times New Roman" w:hAnsi="Times New Roman" w:cs="Times New Roman"/>
                      <w:snapToGrid/>
                      <w:color w:val="000000" w:themeColor="text1"/>
                      <w:kern w:val="2"/>
                      <w:sz w:val="21"/>
                      <w:szCs w:val="21"/>
                      <w:lang w:eastAsia="zh-CN"/>
                      <w14:textFill>
                        <w14:solidFill>
                          <w14:schemeClr w14:val="tx1"/>
                        </w14:solidFill>
                      </w14:textFill>
                    </w:rPr>
                    <w:t>t/a</w:t>
                  </w:r>
                </w:p>
              </w:tc>
              <w:tc>
                <w:tcPr>
                  <w:tcW w:w="79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固定房间收集</w:t>
                  </w:r>
                </w:p>
              </w:tc>
              <w:tc>
                <w:tcPr>
                  <w:tcW w:w="947"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由厂家回收处置</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338"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3</w:t>
                  </w:r>
                </w:p>
              </w:tc>
              <w:tc>
                <w:tcPr>
                  <w:tcW w:w="787"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生活垃圾</w:t>
                  </w:r>
                </w:p>
              </w:tc>
              <w:tc>
                <w:tcPr>
                  <w:tcW w:w="44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办公</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生活</w:t>
                  </w:r>
                </w:p>
              </w:tc>
              <w:tc>
                <w:tcPr>
                  <w:tcW w:w="47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61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0.45</w:t>
                  </w:r>
                  <w:r>
                    <w:rPr>
                      <w:rFonts w:ascii="Times New Roman" w:hAnsi="Times New Roman" w:cs="Times New Roman"/>
                      <w:snapToGrid/>
                      <w:color w:val="000000" w:themeColor="text1"/>
                      <w:kern w:val="2"/>
                      <w:sz w:val="21"/>
                      <w:szCs w:val="21"/>
                      <w:lang w:eastAsia="zh-CN"/>
                      <w14:textFill>
                        <w14:solidFill>
                          <w14:schemeClr w14:val="tx1"/>
                        </w14:solidFill>
                      </w14:textFill>
                    </w:rPr>
                    <w:t>t/a</w:t>
                  </w:r>
                </w:p>
              </w:tc>
              <w:tc>
                <w:tcPr>
                  <w:tcW w:w="61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1.5</w:t>
                  </w:r>
                  <w:r>
                    <w:rPr>
                      <w:rFonts w:ascii="Times New Roman" w:hAnsi="Times New Roman" w:cs="Times New Roman"/>
                      <w:snapToGrid/>
                      <w:color w:val="000000" w:themeColor="text1"/>
                      <w:kern w:val="2"/>
                      <w:sz w:val="21"/>
                      <w:szCs w:val="21"/>
                      <w:lang w:eastAsia="zh-CN"/>
                      <w14:textFill>
                        <w14:solidFill>
                          <w14:schemeClr w14:val="tx1"/>
                        </w14:solidFill>
                      </w14:textFill>
                    </w:rPr>
                    <w:t>t/a</w:t>
                  </w:r>
                </w:p>
              </w:tc>
              <w:tc>
                <w:tcPr>
                  <w:tcW w:w="79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袋装收集、及 时外运</w:t>
                  </w:r>
                </w:p>
              </w:tc>
              <w:tc>
                <w:tcPr>
                  <w:tcW w:w="947"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环卫清运处置</w:t>
                  </w:r>
                </w:p>
              </w:tc>
            </w:tr>
          </w:tbl>
          <w:p>
            <w:pPr>
              <w:spacing w:line="360" w:lineRule="auto"/>
              <w:ind w:firstLine="361" w:firstLineChars="150"/>
              <w:rPr>
                <w:b/>
                <w:color w:val="000000" w:themeColor="text1"/>
                <w14:textFill>
                  <w14:solidFill>
                    <w14:schemeClr w14:val="tx1"/>
                  </w14:solidFill>
                </w14:textFill>
              </w:rPr>
            </w:pPr>
            <w:r>
              <w:rPr>
                <w:rFonts w:hint="eastAsia"/>
                <w:b/>
                <w:color w:val="000000" w:themeColor="text1"/>
                <w14:textFill>
                  <w14:solidFill>
                    <w14:schemeClr w14:val="tx1"/>
                  </w14:solidFill>
                </w14:textFill>
              </w:rPr>
              <w:t>4.2危险废物</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①废机油</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本项目在设备运行生产、维修过程中会产生废机油，预计项目建设新增废机油产生量为0.05t/a，建设后全厂废机油量为0.08t/a。根据《国家危险废物名录（2021年版）》，废机油属于其中HW08类，危废代码： 900-214-08。</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②废机油桶</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项目使用的各类机油、润滑油后会产生一些废机油桶，预计项目建设新增产生量约0.15t/a，建设后全厂废机油桶产生量为0.2t/a。根据《国家危险废物名录（2021 年版）》，废机油桶其中 HW08类，危废代码：900-249-08。</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项目危险废物产生及处置情况见表4- 16。</w:t>
            </w:r>
          </w:p>
          <w:p>
            <w:pPr>
              <w:spacing w:line="360" w:lineRule="auto"/>
              <w:ind w:firstLine="301" w:firstLineChars="150"/>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表 4-1</w:t>
            </w:r>
            <w:r>
              <w:rPr>
                <w:rFonts w:hint="eastAsia" w:eastAsia="黑体"/>
                <w:b/>
                <w:bCs/>
                <w:color w:val="000000" w:themeColor="text1"/>
                <w:kern w:val="0"/>
                <w:sz w:val="20"/>
                <w:szCs w:val="20"/>
                <w14:textFill>
                  <w14:solidFill>
                    <w14:schemeClr w14:val="tx1"/>
                  </w14:solidFill>
                </w14:textFill>
              </w:rPr>
              <w:t>6</w:t>
            </w:r>
            <w:r>
              <w:rPr>
                <w:rFonts w:eastAsia="黑体"/>
                <w:b/>
                <w:bCs/>
                <w:color w:val="000000" w:themeColor="text1"/>
                <w:kern w:val="0"/>
                <w:sz w:val="20"/>
                <w:szCs w:val="20"/>
                <w14:textFill>
                  <w14:solidFill>
                    <w14:schemeClr w14:val="tx1"/>
                  </w14:solidFill>
                </w14:textFill>
              </w:rPr>
              <w:t xml:space="preserve">   项目危险废物产生及处置情况</w:t>
            </w:r>
          </w:p>
          <w:tbl>
            <w:tblPr>
              <w:tblStyle w:val="3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49"/>
              <w:gridCol w:w="880"/>
              <w:gridCol w:w="726"/>
              <w:gridCol w:w="842"/>
              <w:gridCol w:w="861"/>
              <w:gridCol w:w="861"/>
              <w:gridCol w:w="692"/>
              <w:gridCol w:w="610"/>
              <w:gridCol w:w="627"/>
              <w:gridCol w:w="430"/>
              <w:gridCol w:w="429"/>
              <w:gridCol w:w="499"/>
              <w:gridCol w:w="8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trPr>
              <w:tc>
                <w:tcPr>
                  <w:tcW w:w="256" w:type="pct"/>
                  <w:tcBorders>
                    <w:top w:val="single" w:color="000000" w:sz="4" w:space="0"/>
                    <w:left w:val="nil"/>
                  </w:tcBorders>
                  <w:textDirection w:val="tbRlV"/>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序 号</w:t>
                  </w:r>
                </w:p>
              </w:tc>
              <w:tc>
                <w:tcPr>
                  <w:tcW w:w="501" w:type="pct"/>
                  <w:tcBorders>
                    <w:top w:val="single" w:color="000000" w:sz="4" w:space="0"/>
                  </w:tcBorders>
                  <w:vAlign w:val="center"/>
                </w:tcPr>
                <w:p>
                  <w:pPr>
                    <w:pStyle w:val="34"/>
                    <w:spacing w:line="360" w:lineRule="auto"/>
                    <w:ind w:right="128"/>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危险废 物名称</w:t>
                  </w:r>
                </w:p>
              </w:tc>
              <w:tc>
                <w:tcPr>
                  <w:tcW w:w="413" w:type="pct"/>
                  <w:tcBorders>
                    <w:top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危险</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废物</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类别</w:t>
                  </w:r>
                </w:p>
              </w:tc>
              <w:tc>
                <w:tcPr>
                  <w:tcW w:w="479" w:type="pct"/>
                  <w:tcBorders>
                    <w:top w:val="single" w:color="000000" w:sz="4" w:space="0"/>
                  </w:tcBorders>
                  <w:vAlign w:val="center"/>
                </w:tcPr>
                <w:p>
                  <w:pPr>
                    <w:pStyle w:val="34"/>
                    <w:spacing w:line="360" w:lineRule="auto"/>
                    <w:ind w:right="99"/>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危险废 物代码</w:t>
                  </w:r>
                </w:p>
              </w:tc>
              <w:tc>
                <w:tcPr>
                  <w:tcW w:w="490" w:type="pct"/>
                  <w:tcBorders>
                    <w:top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新增</w:t>
                  </w:r>
                  <w:r>
                    <w:rPr>
                      <w:rFonts w:ascii="Times New Roman" w:hAnsi="Times New Roman" w:cs="Times New Roman"/>
                      <w:snapToGrid/>
                      <w:color w:val="000000" w:themeColor="text1"/>
                      <w:kern w:val="2"/>
                      <w:sz w:val="21"/>
                      <w:szCs w:val="21"/>
                      <w:lang w:eastAsia="zh-CN"/>
                      <w14:textFill>
                        <w14:solidFill>
                          <w14:schemeClr w14:val="tx1"/>
                        </w14:solidFill>
                      </w14:textFill>
                    </w:rPr>
                    <w:t>产生量</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（吨/年）</w:t>
                  </w:r>
                </w:p>
              </w:tc>
              <w:tc>
                <w:tcPr>
                  <w:tcW w:w="490" w:type="pct"/>
                  <w:tcBorders>
                    <w:top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全厂</w:t>
                  </w:r>
                  <w:r>
                    <w:rPr>
                      <w:rFonts w:ascii="Times New Roman" w:hAnsi="Times New Roman" w:cs="Times New Roman"/>
                      <w:snapToGrid/>
                      <w:color w:val="000000" w:themeColor="text1"/>
                      <w:kern w:val="2"/>
                      <w:sz w:val="21"/>
                      <w:szCs w:val="21"/>
                      <w:lang w:eastAsia="zh-CN"/>
                      <w14:textFill>
                        <w14:solidFill>
                          <w14:schemeClr w14:val="tx1"/>
                        </w14:solidFill>
                      </w14:textFill>
                    </w:rPr>
                    <w:t>产生量</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（吨/年）</w:t>
                  </w:r>
                </w:p>
              </w:tc>
              <w:tc>
                <w:tcPr>
                  <w:tcW w:w="394" w:type="pct"/>
                  <w:tcBorders>
                    <w:top w:val="single" w:color="000000" w:sz="4" w:space="0"/>
                  </w:tcBorders>
                  <w:vAlign w:val="center"/>
                </w:tcPr>
                <w:p>
                  <w:pPr>
                    <w:pStyle w:val="34"/>
                    <w:spacing w:line="360" w:lineRule="auto"/>
                    <w:ind w:right="128"/>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产生工序及装置</w:t>
                  </w:r>
                </w:p>
              </w:tc>
              <w:tc>
                <w:tcPr>
                  <w:tcW w:w="347" w:type="pct"/>
                  <w:tcBorders>
                    <w:top w:val="single" w:color="000000" w:sz="4" w:space="0"/>
                  </w:tcBorders>
                  <w:textDirection w:val="tbRlV"/>
                  <w:vAlign w:val="center"/>
                </w:tcPr>
                <w:p>
                  <w:pPr>
                    <w:pStyle w:val="34"/>
                    <w:spacing w:line="360" w:lineRule="auto"/>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形 态</w:t>
                  </w:r>
                </w:p>
              </w:tc>
              <w:tc>
                <w:tcPr>
                  <w:tcW w:w="357" w:type="pct"/>
                  <w:tcBorders>
                    <w:top w:val="single" w:color="000000" w:sz="4" w:space="0"/>
                  </w:tcBorders>
                  <w:vAlign w:val="center"/>
                </w:tcPr>
                <w:p>
                  <w:pPr>
                    <w:pStyle w:val="34"/>
                    <w:spacing w:line="360" w:lineRule="auto"/>
                    <w:ind w:right="112"/>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主要 成分</w:t>
                  </w:r>
                </w:p>
              </w:tc>
              <w:tc>
                <w:tcPr>
                  <w:tcW w:w="245" w:type="pct"/>
                  <w:tcBorders>
                    <w:top w:val="single" w:color="000000" w:sz="4" w:space="0"/>
                  </w:tcBorders>
                  <w:textDirection w:val="tbRlV"/>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有 害 成 分</w:t>
                  </w:r>
                </w:p>
              </w:tc>
              <w:tc>
                <w:tcPr>
                  <w:tcW w:w="244" w:type="pct"/>
                  <w:tcBorders>
                    <w:top w:val="single" w:color="000000" w:sz="4" w:space="0"/>
                  </w:tcBorders>
                  <w:textDirection w:val="tbRlV"/>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产 废 周 期</w:t>
                  </w:r>
                </w:p>
              </w:tc>
              <w:tc>
                <w:tcPr>
                  <w:tcW w:w="284" w:type="pct"/>
                  <w:tcBorders>
                    <w:top w:val="single" w:color="000000" w:sz="4" w:space="0"/>
                  </w:tcBorders>
                  <w:textDirection w:val="tbRlV"/>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危 险 特 性</w:t>
                  </w:r>
                </w:p>
              </w:tc>
              <w:tc>
                <w:tcPr>
                  <w:tcW w:w="499" w:type="pct"/>
                  <w:tcBorders>
                    <w:top w:val="single" w:color="000000" w:sz="4" w:space="0"/>
                    <w:right w:val="nil"/>
                  </w:tcBorders>
                  <w:vAlign w:val="center"/>
                </w:tcPr>
                <w:p>
                  <w:pPr>
                    <w:pStyle w:val="34"/>
                    <w:spacing w:line="360" w:lineRule="auto"/>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污染防治措施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256" w:type="pct"/>
                  <w:tcBorders>
                    <w:lef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w:t>
                  </w:r>
                </w:p>
              </w:tc>
              <w:tc>
                <w:tcPr>
                  <w:tcW w:w="501"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废机油桶</w:t>
                  </w:r>
                </w:p>
              </w:tc>
              <w:tc>
                <w:tcPr>
                  <w:tcW w:w="41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HW08</w:t>
                  </w:r>
                </w:p>
              </w:tc>
              <w:tc>
                <w:tcPr>
                  <w:tcW w:w="479"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900-</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249-08</w:t>
                  </w:r>
                </w:p>
              </w:tc>
              <w:tc>
                <w:tcPr>
                  <w:tcW w:w="49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0.15</w:t>
                  </w:r>
                </w:p>
              </w:tc>
              <w:tc>
                <w:tcPr>
                  <w:tcW w:w="49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0.2</w:t>
                  </w:r>
                </w:p>
              </w:tc>
              <w:tc>
                <w:tcPr>
                  <w:tcW w:w="394" w:type="pct"/>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机械设备维</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护、保养</w:t>
                  </w:r>
                </w:p>
              </w:tc>
              <w:tc>
                <w:tcPr>
                  <w:tcW w:w="347" w:type="pct"/>
                  <w:textDirection w:val="tbRlV"/>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固 态</w:t>
                  </w:r>
                </w:p>
              </w:tc>
              <w:tc>
                <w:tcPr>
                  <w:tcW w:w="357"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矿物</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油</w:t>
                  </w:r>
                </w:p>
              </w:tc>
              <w:tc>
                <w:tcPr>
                  <w:tcW w:w="245" w:type="pct"/>
                  <w:textDirection w:val="tbRlV"/>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矿 物 油</w:t>
                  </w:r>
                </w:p>
              </w:tc>
              <w:tc>
                <w:tcPr>
                  <w:tcW w:w="244" w:type="pct"/>
                  <w:textDirection w:val="tbRlV"/>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每 月</w:t>
                  </w:r>
                </w:p>
              </w:tc>
              <w:tc>
                <w:tcPr>
                  <w:tcW w:w="284"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T/C</w:t>
                  </w:r>
                </w:p>
              </w:tc>
              <w:tc>
                <w:tcPr>
                  <w:tcW w:w="499" w:type="pct"/>
                  <w:vMerge w:val="restart"/>
                  <w:tcBorders>
                    <w:bottom w:val="nil"/>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暂存于危</w:t>
                  </w:r>
                </w:p>
                <w:p>
                  <w:pPr>
                    <w:pStyle w:val="34"/>
                    <w:spacing w:line="360" w:lineRule="auto"/>
                    <w:jc w:val="center"/>
                    <w:rPr>
                      <w:sz w:val="20"/>
                      <w:szCs w:val="20"/>
                      <w:lang w:eastAsia="zh-CN"/>
                    </w:rPr>
                  </w:pPr>
                  <w:r>
                    <w:rPr>
                      <w:rFonts w:ascii="Times New Roman" w:hAnsi="Times New Roman" w:cs="Times New Roman"/>
                      <w:snapToGrid/>
                      <w:color w:val="000000" w:themeColor="text1"/>
                      <w:kern w:val="2"/>
                      <w:sz w:val="21"/>
                      <w:szCs w:val="21"/>
                      <w:lang w:eastAsia="zh-CN"/>
                      <w14:textFill>
                        <w14:solidFill>
                          <w14:schemeClr w14:val="tx1"/>
                        </w14:solidFill>
                      </w14:textFill>
                    </w:rPr>
                    <w:t>废暂存间，交由资质单位处</w:t>
                  </w:r>
                  <w:r>
                    <w:rPr>
                      <w:spacing w:val="2"/>
                      <w:sz w:val="20"/>
                      <w:szCs w:val="20"/>
                      <w:lang w:eastAsia="zh-CN"/>
                    </w:rPr>
                    <w:t>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256" w:type="pct"/>
                  <w:tcBorders>
                    <w:left w:val="nil"/>
                    <w:bottom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2</w:t>
                  </w:r>
                </w:p>
              </w:tc>
              <w:tc>
                <w:tcPr>
                  <w:tcW w:w="501" w:type="pct"/>
                  <w:tcBorders>
                    <w:bottom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废机油</w:t>
                  </w:r>
                </w:p>
              </w:tc>
              <w:tc>
                <w:tcPr>
                  <w:tcW w:w="413" w:type="pct"/>
                  <w:tcBorders>
                    <w:bottom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HW08</w:t>
                  </w:r>
                </w:p>
              </w:tc>
              <w:tc>
                <w:tcPr>
                  <w:tcW w:w="479" w:type="pct"/>
                  <w:tcBorders>
                    <w:bottom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900-</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214-08</w:t>
                  </w:r>
                </w:p>
              </w:tc>
              <w:tc>
                <w:tcPr>
                  <w:tcW w:w="490" w:type="pct"/>
                  <w:tcBorders>
                    <w:bottom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0.05</w:t>
                  </w:r>
                </w:p>
              </w:tc>
              <w:tc>
                <w:tcPr>
                  <w:tcW w:w="490" w:type="pct"/>
                  <w:tcBorders>
                    <w:bottom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0.08</w:t>
                  </w:r>
                </w:p>
              </w:tc>
              <w:tc>
                <w:tcPr>
                  <w:tcW w:w="394" w:type="pct"/>
                  <w:vMerge w:val="continue"/>
                  <w:tcBorders>
                    <w:top w:val="nil"/>
                    <w:bottom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p>
              </w:tc>
              <w:tc>
                <w:tcPr>
                  <w:tcW w:w="347" w:type="pct"/>
                  <w:tcBorders>
                    <w:bottom w:val="single" w:color="000000" w:sz="4" w:space="0"/>
                  </w:tcBorders>
                  <w:textDirection w:val="tbRlV"/>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液 态</w:t>
                  </w:r>
                </w:p>
              </w:tc>
              <w:tc>
                <w:tcPr>
                  <w:tcW w:w="357" w:type="pct"/>
                  <w:tcBorders>
                    <w:bottom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矿物</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油</w:t>
                  </w:r>
                </w:p>
              </w:tc>
              <w:tc>
                <w:tcPr>
                  <w:tcW w:w="245" w:type="pct"/>
                  <w:tcBorders>
                    <w:bottom w:val="single" w:color="000000" w:sz="4" w:space="0"/>
                  </w:tcBorders>
                  <w:textDirection w:val="tbRlV"/>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矿 物 油</w:t>
                  </w:r>
                </w:p>
              </w:tc>
              <w:tc>
                <w:tcPr>
                  <w:tcW w:w="244" w:type="pct"/>
                  <w:tcBorders>
                    <w:bottom w:val="single" w:color="000000" w:sz="4" w:space="0"/>
                  </w:tcBorders>
                  <w:textDirection w:val="tbRlV"/>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每 月</w:t>
                  </w:r>
                </w:p>
              </w:tc>
              <w:tc>
                <w:tcPr>
                  <w:tcW w:w="284" w:type="pct"/>
                  <w:tcBorders>
                    <w:bottom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T/C</w:t>
                  </w:r>
                </w:p>
              </w:tc>
              <w:tc>
                <w:tcPr>
                  <w:tcW w:w="499" w:type="pct"/>
                  <w:vMerge w:val="continue"/>
                  <w:tcBorders>
                    <w:top w:val="nil"/>
                    <w:bottom w:val="single" w:color="000000" w:sz="4" w:space="0"/>
                    <w:right w:val="nil"/>
                  </w:tcBorders>
                  <w:vAlign w:val="center"/>
                </w:tcPr>
                <w:p>
                  <w:pPr>
                    <w:ind w:left="960" w:hanging="480"/>
                  </w:pPr>
                </w:p>
              </w:tc>
            </w:tr>
          </w:tbl>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项目危险废物贮存设施情况见表 4- 17。</w:t>
            </w:r>
          </w:p>
          <w:p>
            <w:pPr>
              <w:spacing w:line="360" w:lineRule="auto"/>
              <w:ind w:firstLine="301" w:firstLineChars="150"/>
              <w:jc w:val="center"/>
              <w:rPr>
                <w:rFonts w:eastAsia="黑体"/>
                <w:b/>
                <w:bCs/>
                <w:color w:val="000000" w:themeColor="text1"/>
                <w:kern w:val="0"/>
                <w:sz w:val="20"/>
                <w:szCs w:val="20"/>
                <w14:textFill>
                  <w14:solidFill>
                    <w14:schemeClr w14:val="tx1"/>
                  </w14:solidFill>
                </w14:textFill>
              </w:rPr>
            </w:pPr>
            <w:r>
              <w:rPr>
                <w:rFonts w:hint="eastAsia" w:eastAsia="黑体"/>
                <w:b/>
                <w:bCs/>
                <w:color w:val="000000" w:themeColor="text1"/>
                <w:kern w:val="0"/>
                <w:sz w:val="20"/>
                <w:szCs w:val="20"/>
                <w14:textFill>
                  <w14:solidFill>
                    <w14:schemeClr w14:val="tx1"/>
                  </w14:solidFill>
                </w14:textFill>
              </w:rPr>
              <w:t>表 4-17   建设项目危险废物贮存场所（设施）基本情况表</w:t>
            </w:r>
          </w:p>
          <w:tbl>
            <w:tblPr>
              <w:tblStyle w:val="3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87"/>
              <w:gridCol w:w="885"/>
              <w:gridCol w:w="1114"/>
              <w:gridCol w:w="1007"/>
              <w:gridCol w:w="1274"/>
              <w:gridCol w:w="743"/>
              <w:gridCol w:w="696"/>
              <w:gridCol w:w="919"/>
              <w:gridCol w:w="771"/>
              <w:gridCol w:w="7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6" w:hRule="atLeast"/>
              </w:trPr>
              <w:tc>
                <w:tcPr>
                  <w:tcW w:w="335" w:type="pct"/>
                  <w:tcBorders>
                    <w:top w:val="single" w:color="000000" w:sz="4" w:space="0"/>
                    <w:left w:val="nil"/>
                  </w:tcBorders>
                  <w:textDirection w:val="tbRlV"/>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序 号</w:t>
                  </w:r>
                </w:p>
              </w:tc>
              <w:tc>
                <w:tcPr>
                  <w:tcW w:w="504" w:type="pct"/>
                  <w:tcBorders>
                    <w:top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贮存场所</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（设施）名称</w:t>
                  </w:r>
                </w:p>
              </w:tc>
              <w:tc>
                <w:tcPr>
                  <w:tcW w:w="634" w:type="pct"/>
                  <w:tcBorders>
                    <w:top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危险废物名称</w:t>
                  </w:r>
                </w:p>
              </w:tc>
              <w:tc>
                <w:tcPr>
                  <w:tcW w:w="573" w:type="pct"/>
                  <w:tcBorders>
                    <w:top w:val="single" w:color="000000" w:sz="4" w:space="0"/>
                  </w:tcBorders>
                  <w:vAlign w:val="center"/>
                </w:tcPr>
                <w:p>
                  <w:pPr>
                    <w:pStyle w:val="34"/>
                    <w:spacing w:line="360" w:lineRule="auto"/>
                    <w:ind w:right="155"/>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危险废 物类别</w:t>
                  </w:r>
                </w:p>
              </w:tc>
              <w:tc>
                <w:tcPr>
                  <w:tcW w:w="725" w:type="pct"/>
                  <w:tcBorders>
                    <w:top w:val="single" w:color="000000" w:sz="4" w:space="0"/>
                  </w:tcBorders>
                  <w:vAlign w:val="center"/>
                </w:tcPr>
                <w:p>
                  <w:pPr>
                    <w:pStyle w:val="34"/>
                    <w:spacing w:line="360" w:lineRule="auto"/>
                    <w:ind w:right="171"/>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危险废物 代码</w:t>
                  </w:r>
                </w:p>
              </w:tc>
              <w:tc>
                <w:tcPr>
                  <w:tcW w:w="423" w:type="pct"/>
                  <w:tcBorders>
                    <w:top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位置</w:t>
                  </w:r>
                </w:p>
              </w:tc>
              <w:tc>
                <w:tcPr>
                  <w:tcW w:w="396" w:type="pct"/>
                  <w:tcBorders>
                    <w:top w:val="single" w:color="000000" w:sz="4" w:space="0"/>
                  </w:tcBorders>
                  <w:textDirection w:val="tbRlV"/>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占 地 面 积</w:t>
                  </w:r>
                </w:p>
              </w:tc>
              <w:tc>
                <w:tcPr>
                  <w:tcW w:w="523" w:type="pct"/>
                  <w:tcBorders>
                    <w:top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贮存</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方式</w:t>
                  </w:r>
                </w:p>
              </w:tc>
              <w:tc>
                <w:tcPr>
                  <w:tcW w:w="439" w:type="pct"/>
                  <w:tcBorders>
                    <w:top w:val="single" w:color="000000" w:sz="4" w:space="0"/>
                  </w:tcBorders>
                  <w:vAlign w:val="center"/>
                </w:tcPr>
                <w:p>
                  <w:pPr>
                    <w:pStyle w:val="34"/>
                    <w:spacing w:line="360" w:lineRule="auto"/>
                    <w:ind w:right="135"/>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贮存 能力</w:t>
                  </w:r>
                </w:p>
              </w:tc>
              <w:tc>
                <w:tcPr>
                  <w:tcW w:w="449" w:type="pct"/>
                  <w:tcBorders>
                    <w:top w:val="single" w:color="000000" w:sz="4" w:space="0"/>
                    <w:right w:val="nil"/>
                  </w:tcBorders>
                  <w:textDirection w:val="tbRlV"/>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贮 存 周 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35" w:type="pct"/>
                  <w:vMerge w:val="restart"/>
                  <w:tcBorders>
                    <w:left w:val="nil"/>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page">
                              <wp:posOffset>65405</wp:posOffset>
                            </wp:positionH>
                            <wp:positionV relativeFrom="page">
                              <wp:posOffset>358140</wp:posOffset>
                            </wp:positionV>
                            <wp:extent cx="276860" cy="0"/>
                            <wp:effectExtent l="8255" t="5715" r="10160" b="13335"/>
                            <wp:wrapNone/>
                            <wp:docPr id="1697808226" name="任意多边形: 形状 1"/>
                            <wp:cNvGraphicFramePr/>
                            <a:graphic xmlns:a="http://schemas.openxmlformats.org/drawingml/2006/main">
                              <a:graphicData uri="http://schemas.microsoft.com/office/word/2010/wordprocessingShape">
                                <wps:wsp>
                                  <wps:cNvSpPr>
                                    <a:spLocks noChangeArrowheads="1"/>
                                  </wps:cNvSpPr>
                                  <wps:spPr bwMode="auto">
                                    <a:xfrm>
                                      <a:off x="0" y="0"/>
                                      <a:ext cx="276860" cy="0"/>
                                    </a:xfrm>
                                    <a:custGeom>
                                      <a:avLst/>
                                      <a:gdLst>
                                        <a:gd name="T0" fmla="*/ 0 w 437"/>
                                        <a:gd name="T1" fmla="*/ 0 h 10"/>
                                        <a:gd name="T2" fmla="*/ 437 w 437"/>
                                        <a:gd name="T3" fmla="*/ 0 h 10"/>
                                      </a:gdLst>
                                      <a:ahLst/>
                                      <a:cxnLst>
                                        <a:cxn ang="0">
                                          <a:pos x="T0" y="T1"/>
                                        </a:cxn>
                                        <a:cxn ang="0">
                                          <a:pos x="T2" y="T3"/>
                                        </a:cxn>
                                      </a:cxnLst>
                                      <a:rect l="0" t="0" r="r" b="b"/>
                                      <a:pathLst>
                                        <a:path w="437" h="10">
                                          <a:moveTo>
                                            <a:pt x="0" y="0"/>
                                          </a:moveTo>
                                          <a:lnTo>
                                            <a:pt x="437" y="0"/>
                                          </a:lnTo>
                                        </a:path>
                                      </a:pathLst>
                                    </a:custGeom>
                                    <a:noFill/>
                                    <a:ln w="6096">
                                      <a:solidFill>
                                        <a:srgbClr val="000000"/>
                                      </a:solidFill>
                                      <a:bevel/>
                                    </a:ln>
                                  </wps:spPr>
                                  <wps:bodyPr rot="0" vert="horz" wrap="square" lIns="91440" tIns="45720" rIns="91440" bIns="45720" anchor="t" anchorCtr="0" upright="1">
                                    <a:noAutofit/>
                                  </wps:bodyPr>
                                </wps:wsp>
                              </a:graphicData>
                            </a:graphic>
                          </wp:anchor>
                        </w:drawing>
                      </mc:Choice>
                      <mc:Fallback>
                        <w:pict>
                          <v:shape id="任意多边形: 形状 1" o:spid="_x0000_s1026" o:spt="100" style="position:absolute;left:0pt;margin-left:5.15pt;margin-top:28.2pt;height:0pt;width:21.8pt;mso-position-horizontal-relative:page;mso-position-vertical-relative:page;z-index:-251654144;mso-width-relative:page;mso-height-relative:page;" filled="f" stroked="t" coordsize="437,10" o:gfxdata="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DE0qQd1AAAAAcBAAAPAAAAAAAAAAEAIAAAACIAAABkcnMvZG93bnJldi54bWxQSwEC&#10;FAAUAAAACACHTuJAQsW9gNwCAAD/BQAADgAAAAAAAAABACAAAAAjAQAAZHJzL2Uyb0RvYy54bWxQ&#10;SwUGAAAAAAYABgBZAQAAcQYAAAAA&#10;" path="m0,0l437,0e">
                            <v:path o:connectlocs="0,0;276860,0" o:connectangles="0,0"/>
                            <v:fill on="f" focussize="0,0"/>
                            <v:stroke weight="0.48pt" color="#000000" joinstyle="bevel"/>
                            <v:imagedata o:title=""/>
                            <o:lock v:ext="edit" aspectratio="f"/>
                          </v:shape>
                        </w:pict>
                      </mc:Fallback>
                    </mc:AlternateContent>
                  </w:r>
                  <w:r>
                    <w:rPr>
                      <w:rFonts w:ascii="Times New Roman" w:hAnsi="Times New Roman" w:cs="Times New Roman"/>
                      <w:snapToGrid/>
                      <w:color w:val="000000" w:themeColor="text1"/>
                      <w:kern w:val="2"/>
                      <w:sz w:val="21"/>
                      <w:szCs w:val="21"/>
                      <w:lang w:eastAsia="zh-CN"/>
                      <w14:textFill>
                        <w14:solidFill>
                          <w14:schemeClr w14:val="tx1"/>
                        </w14:solidFill>
                      </w14:textFill>
                    </w:rPr>
                    <w:t>1</w:t>
                  </w:r>
                </w:p>
                <w:p>
                  <w:pPr>
                    <w:rPr>
                      <w:color w:val="000000" w:themeColor="text1"/>
                      <w:sz w:val="21"/>
                      <w14:textFill>
                        <w14:solidFill>
                          <w14:schemeClr w14:val="tx1"/>
                        </w14:solidFill>
                      </w14:textFill>
                    </w:rPr>
                  </w:pPr>
                </w:p>
                <w:p>
                  <w:pPr>
                    <w:jc w:val="center"/>
                  </w:pPr>
                  <w:r>
                    <w:rPr>
                      <w:rFonts w:hint="eastAsia"/>
                    </w:rPr>
                    <w:t>2</w:t>
                  </w:r>
                </w:p>
              </w:tc>
              <w:tc>
                <w:tcPr>
                  <w:tcW w:w="504" w:type="pct"/>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危险废物</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贮存设施</w:t>
                  </w:r>
                </w:p>
              </w:tc>
              <w:tc>
                <w:tcPr>
                  <w:tcW w:w="634"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废机油桶</w:t>
                  </w:r>
                </w:p>
              </w:tc>
              <w:tc>
                <w:tcPr>
                  <w:tcW w:w="57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HW08</w:t>
                  </w:r>
                </w:p>
              </w:tc>
              <w:tc>
                <w:tcPr>
                  <w:tcW w:w="725"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900-249-</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08</w:t>
                  </w:r>
                </w:p>
              </w:tc>
              <w:tc>
                <w:tcPr>
                  <w:tcW w:w="423" w:type="pct"/>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危废</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暂存</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间</w:t>
                  </w:r>
                </w:p>
              </w:tc>
              <w:tc>
                <w:tcPr>
                  <w:tcW w:w="396" w:type="pct"/>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10m2</w:t>
                  </w:r>
                </w:p>
              </w:tc>
              <w:tc>
                <w:tcPr>
                  <w:tcW w:w="523" w:type="pct"/>
                  <w:vMerge w:val="restart"/>
                  <w:tcBorders>
                    <w:bottom w:val="nil"/>
                  </w:tcBorders>
                  <w:textDirection w:val="tbRlV"/>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分类密闭存放</w:t>
                  </w:r>
                </w:p>
              </w:tc>
              <w:tc>
                <w:tcPr>
                  <w:tcW w:w="439" w:type="pct"/>
                  <w:vMerge w:val="restart"/>
                  <w:tcBorders>
                    <w:bottom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500k g</w:t>
                  </w:r>
                </w:p>
              </w:tc>
              <w:tc>
                <w:tcPr>
                  <w:tcW w:w="449" w:type="pct"/>
                  <w:vMerge w:val="restart"/>
                  <w:tcBorders>
                    <w:bottom w:val="nil"/>
                    <w:right w:val="nil"/>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3 个</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335" w:type="pct"/>
                  <w:vMerge w:val="continue"/>
                  <w:tcBorders>
                    <w:top w:val="nil"/>
                    <w:left w:val="nil"/>
                    <w:bottom w:val="single" w:color="000000" w:sz="4" w:space="0"/>
                  </w:tcBorders>
                  <w:vAlign w:val="center"/>
                </w:tcPr>
                <w:p>
                  <w:pPr>
                    <w:ind w:left="960" w:hanging="480"/>
                  </w:pPr>
                </w:p>
              </w:tc>
              <w:tc>
                <w:tcPr>
                  <w:tcW w:w="504" w:type="pct"/>
                  <w:vMerge w:val="continue"/>
                  <w:tcBorders>
                    <w:top w:val="nil"/>
                    <w:bottom w:val="single" w:color="000000" w:sz="4" w:space="0"/>
                  </w:tcBorders>
                  <w:vAlign w:val="center"/>
                </w:tcPr>
                <w:p>
                  <w:pPr>
                    <w:ind w:left="960" w:hanging="480"/>
                  </w:pPr>
                </w:p>
              </w:tc>
              <w:tc>
                <w:tcPr>
                  <w:tcW w:w="634" w:type="pct"/>
                  <w:tcBorders>
                    <w:bottom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废机油</w:t>
                  </w:r>
                </w:p>
              </w:tc>
              <w:tc>
                <w:tcPr>
                  <w:tcW w:w="573" w:type="pct"/>
                  <w:tcBorders>
                    <w:bottom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HW08</w:t>
                  </w:r>
                </w:p>
              </w:tc>
              <w:tc>
                <w:tcPr>
                  <w:tcW w:w="725" w:type="pct"/>
                  <w:tcBorders>
                    <w:bottom w:val="single" w:color="000000" w:sz="4" w:space="0"/>
                  </w:tcBorders>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900-214-</w:t>
                  </w:r>
                </w:p>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08</w:t>
                  </w:r>
                </w:p>
              </w:tc>
              <w:tc>
                <w:tcPr>
                  <w:tcW w:w="423" w:type="pct"/>
                  <w:vMerge w:val="continue"/>
                  <w:tcBorders>
                    <w:top w:val="nil"/>
                    <w:bottom w:val="single" w:color="000000" w:sz="4" w:space="0"/>
                  </w:tcBorders>
                  <w:vAlign w:val="center"/>
                </w:tcPr>
                <w:p>
                  <w:pPr>
                    <w:ind w:left="960" w:hanging="480"/>
                  </w:pPr>
                </w:p>
              </w:tc>
              <w:tc>
                <w:tcPr>
                  <w:tcW w:w="396" w:type="pct"/>
                  <w:vMerge w:val="continue"/>
                  <w:tcBorders>
                    <w:top w:val="nil"/>
                    <w:bottom w:val="single" w:color="000000" w:sz="4" w:space="0"/>
                  </w:tcBorders>
                  <w:vAlign w:val="center"/>
                </w:tcPr>
                <w:p>
                  <w:pPr>
                    <w:ind w:left="960" w:hanging="480"/>
                  </w:pPr>
                </w:p>
              </w:tc>
              <w:tc>
                <w:tcPr>
                  <w:tcW w:w="523" w:type="pct"/>
                  <w:vMerge w:val="continue"/>
                  <w:tcBorders>
                    <w:top w:val="nil"/>
                    <w:bottom w:val="single" w:color="000000" w:sz="4" w:space="0"/>
                  </w:tcBorders>
                  <w:textDirection w:val="tbRlV"/>
                  <w:vAlign w:val="center"/>
                </w:tcPr>
                <w:p>
                  <w:pPr>
                    <w:ind w:left="960" w:hanging="480"/>
                  </w:pPr>
                </w:p>
              </w:tc>
              <w:tc>
                <w:tcPr>
                  <w:tcW w:w="439" w:type="pct"/>
                  <w:vMerge w:val="continue"/>
                  <w:tcBorders>
                    <w:top w:val="nil"/>
                    <w:bottom w:val="single" w:color="000000" w:sz="4" w:space="0"/>
                  </w:tcBorders>
                  <w:vAlign w:val="center"/>
                </w:tcPr>
                <w:p>
                  <w:pPr>
                    <w:ind w:left="960" w:hanging="480"/>
                  </w:pPr>
                </w:p>
              </w:tc>
              <w:tc>
                <w:tcPr>
                  <w:tcW w:w="449" w:type="pct"/>
                  <w:vMerge w:val="continue"/>
                  <w:tcBorders>
                    <w:top w:val="nil"/>
                    <w:bottom w:val="single" w:color="000000" w:sz="4" w:space="0"/>
                    <w:right w:val="nil"/>
                  </w:tcBorders>
                  <w:vAlign w:val="center"/>
                </w:tcPr>
                <w:p>
                  <w:pPr>
                    <w:ind w:left="960" w:hanging="480"/>
                  </w:pPr>
                </w:p>
              </w:tc>
            </w:tr>
          </w:tbl>
          <w:p>
            <w:pPr>
              <w:spacing w:line="360" w:lineRule="auto"/>
              <w:ind w:firstLine="361" w:firstLineChars="150"/>
              <w:rPr>
                <w:b/>
                <w:color w:val="000000" w:themeColor="text1"/>
                <w14:textFill>
                  <w14:solidFill>
                    <w14:schemeClr w14:val="tx1"/>
                  </w14:solidFill>
                </w14:textFill>
              </w:rPr>
            </w:pPr>
            <w:r>
              <w:rPr>
                <w:rFonts w:hint="eastAsia"/>
                <w:b/>
                <w:color w:val="000000" w:themeColor="text1"/>
                <w14:textFill>
                  <w14:solidFill>
                    <w14:schemeClr w14:val="tx1"/>
                  </w14:solidFill>
                </w14:textFill>
              </w:rPr>
              <w:t>4.3危险废物的处置措施</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经现场踏勘，项目目前未建设规范的危废间。因此，评价要求建设单位应严格按照《危险废物贮存污染控制标准》（GB18597-2023）中的污染控制要求，进行危险废物的收集、贮存管理；并按照《危险废物识别标志设置技术规范》 (HJ 1276-2022)的相应要求设置规范的标识标牌。</w:t>
            </w:r>
          </w:p>
          <w:p>
            <w:pPr>
              <w:spacing w:line="360" w:lineRule="auto"/>
              <w:ind w:firstLine="357" w:firstLineChars="150"/>
              <w:rPr>
                <w:bCs/>
                <w:color w:val="000000" w:themeColor="text1"/>
                <w14:textFill>
                  <w14:solidFill>
                    <w14:schemeClr w14:val="tx1"/>
                  </w14:solidFill>
                </w14:textFill>
              </w:rPr>
            </w:pPr>
            <w:r>
              <w:rPr>
                <w:spacing w:val="-1"/>
              </w:rPr>
              <w:t>项目拟在</w:t>
            </w:r>
            <w:r>
              <w:rPr>
                <w:rFonts w:hint="eastAsia"/>
                <w:spacing w:val="-1"/>
              </w:rPr>
              <w:t>厂区西侧</w:t>
            </w:r>
            <w:r>
              <w:rPr>
                <w:spacing w:val="-1"/>
              </w:rPr>
              <w:t>设置一个规范的危废暂存间（建筑面积约</w:t>
            </w:r>
            <w:r>
              <w:rPr>
                <w:rFonts w:hint="eastAsia"/>
                <w:spacing w:val="-1"/>
              </w:rPr>
              <w:t>10㎡），危废间采取防风、防雨、防渗、防漏、防晒及防腐等环境污染防治措施。设专用容器收集暂存，悬挂危险废物标识牌，建设危废台账并交由有资质的单位回收处置。</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管理要求：6.1. 1贮存设施应根据危险废物的形态、物理化学性质、包装形式和污染物迁移途径，采取必要的防风、防晒、防雨、防漏、防渗、防腐以及其他环境污染防治措施，不应露天堆放危险废物。</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6.1.2贮存设施应根据危险废物的类别、数量、形态、物理化学性质和污染防治等要求设置必要的贮存分区，避免不相容的危险废物接触、混合。</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6.1.3贮存设施或贮存分区内地面、墙面裙脚、堵截泄漏的围堰、接触危险废物的隔板和墙体等应采用坚固的材料建造，表面无裂缝。</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6.1.4贮存设施地面与裙脚应采取表面防渗措施；表面防渗材料应与所 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bCs/>
                <w:color w:val="000000" w:themeColor="text1"/>
                <w:vertAlign w:val="superscript"/>
                <w14:textFill>
                  <w14:solidFill>
                    <w14:schemeClr w14:val="tx1"/>
                  </w14:solidFill>
                </w14:textFill>
              </w:rPr>
              <w:t>-7</w:t>
            </w:r>
            <w:r>
              <w:rPr>
                <w:rFonts w:hint="eastAsia"/>
                <w:bCs/>
                <w:color w:val="000000" w:themeColor="text1"/>
                <w14:textFill>
                  <w14:solidFill>
                    <w14:schemeClr w14:val="tx1"/>
                  </w14:solidFill>
                </w14:textFill>
              </w:rPr>
              <w:t>cm/s ），或至少2mm厚高密度聚乙烯膜等人工防渗材料（渗透系数不大于 10</w:t>
            </w:r>
            <w:r>
              <w:rPr>
                <w:rFonts w:hint="eastAsia"/>
                <w:bCs/>
                <w:color w:val="000000" w:themeColor="text1"/>
                <w:vertAlign w:val="superscript"/>
                <w14:textFill>
                  <w14:solidFill>
                    <w14:schemeClr w14:val="tx1"/>
                  </w14:solidFill>
                </w14:textFill>
              </w:rPr>
              <w:t>- 10</w:t>
            </w:r>
            <w:r>
              <w:rPr>
                <w:rFonts w:hint="eastAsia"/>
                <w:bCs/>
                <w:color w:val="000000" w:themeColor="text1"/>
                <w14:textFill>
                  <w14:solidFill>
                    <w14:schemeClr w14:val="tx1"/>
                  </w14:solidFill>
                </w14:textFill>
              </w:rPr>
              <w:t>cm/s ），或其他防渗性能等效的材料。</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6.1.5同一贮存设施宜采用相同的防渗、防腐工艺（包括防渗、防腐结 构或材料），防渗、防腐材料应覆盖所有可能与废物及其渗滤液、渗漏液等接触的构筑物表面；采用不同防渗、防腐工艺应分别建设贮存分区。</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6.1.6贮存设施应采取技术和管理措施防止无关人员进入。</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综上所述，在采取上述固废处置措施后，本项目固体废物能够做到去向明确，能够得到妥善处置，不会产生二次污染。</w:t>
            </w:r>
          </w:p>
          <w:p>
            <w:pPr>
              <w:spacing w:line="360" w:lineRule="auto"/>
              <w:rPr>
                <w:b/>
                <w:color w:val="000000" w:themeColor="text1"/>
                <w14:textFill>
                  <w14:solidFill>
                    <w14:schemeClr w14:val="tx1"/>
                  </w14:solidFill>
                </w14:textFill>
              </w:rPr>
            </w:pPr>
            <w:r>
              <w:rPr>
                <w:rFonts w:hint="eastAsia"/>
                <w:b/>
                <w:color w:val="000000" w:themeColor="text1"/>
                <w14:textFill>
                  <w14:solidFill>
                    <w14:schemeClr w14:val="tx1"/>
                  </w14:solidFill>
                </w14:textFill>
              </w:rPr>
              <w:t>5.地下水、土壤污染防治措施及影响分析</w:t>
            </w:r>
          </w:p>
          <w:p>
            <w:pPr>
              <w:spacing w:line="360" w:lineRule="auto"/>
              <w:ind w:firstLine="361" w:firstLineChars="150"/>
              <w:rPr>
                <w:b/>
                <w:color w:val="000000" w:themeColor="text1"/>
                <w14:textFill>
                  <w14:solidFill>
                    <w14:schemeClr w14:val="tx1"/>
                  </w14:solidFill>
                </w14:textFill>
              </w:rPr>
            </w:pPr>
            <w:r>
              <w:rPr>
                <w:rFonts w:hint="eastAsia"/>
                <w:b/>
                <w:color w:val="000000" w:themeColor="text1"/>
                <w14:textFill>
                  <w14:solidFill>
                    <w14:schemeClr w14:val="tx1"/>
                  </w14:solidFill>
                </w14:textFill>
              </w:rPr>
              <w:t>（1）污染途径</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项目营运期对区域地下水和土壤环境的污染影响途径主要包括：废水处理设施发生废水渗漏，导致含泥废水垂直入渗污染地下水和土壤。废机</w:t>
            </w:r>
            <w:r>
              <w:rPr>
                <w:spacing w:val="-1"/>
              </w:rPr>
              <w:t>油发生渗漏，油类物质垂直入渗污染地下水和土壤。</w:t>
            </w:r>
          </w:p>
          <w:p>
            <w:pPr>
              <w:spacing w:line="360" w:lineRule="auto"/>
              <w:ind w:firstLine="361" w:firstLineChars="150"/>
              <w:rPr>
                <w:b/>
                <w:color w:val="000000" w:themeColor="text1"/>
                <w14:textFill>
                  <w14:solidFill>
                    <w14:schemeClr w14:val="tx1"/>
                  </w14:solidFill>
                </w14:textFill>
              </w:rPr>
            </w:pPr>
            <w:r>
              <w:rPr>
                <w:rFonts w:hint="eastAsia"/>
                <w:b/>
                <w:color w:val="000000" w:themeColor="text1"/>
                <w14:textFill>
                  <w14:solidFill>
                    <w14:schemeClr w14:val="tx1"/>
                  </w14:solidFill>
                </w14:textFill>
              </w:rPr>
              <w:t>（2）防治措施</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①源头控制措施</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项目应根据国家现行相关规范加强环境管理，采取防止和降低污染物跑、冒、滴、漏的措施。正常生产过程中应加强巡检及时处理污染物跑、冒、滴、漏。同时应加强对防渗工程的检查，若发现防渗密封材料老化或 损坏，应及时维修更换；对工艺、设备、危废暂存间采取控制措施，防止污染物的跑、冒、滴、漏，将污染物泄漏的环境风险事故降到最低限度。</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②分区防治措施</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根据各生产单元可能泄漏至地面区域的污染物性质和生产单元的构筑方式，将厂区划分为重点防渗区、一般防渗区、简单防渗区，并采取对应的措施，详见下表：</w:t>
            </w:r>
          </w:p>
          <w:p>
            <w:pPr>
              <w:spacing w:line="360" w:lineRule="auto"/>
              <w:ind w:firstLine="301" w:firstLineChars="150"/>
              <w:jc w:val="center"/>
              <w:rPr>
                <w:rFonts w:eastAsia="黑体"/>
                <w:b/>
                <w:bCs/>
                <w:color w:val="000000" w:themeColor="text1"/>
                <w:kern w:val="0"/>
                <w:sz w:val="20"/>
                <w:szCs w:val="20"/>
                <w14:textFill>
                  <w14:solidFill>
                    <w14:schemeClr w14:val="tx1"/>
                  </w14:solidFill>
                </w14:textFill>
              </w:rPr>
            </w:pPr>
            <w:r>
              <w:rPr>
                <w:rFonts w:hint="eastAsia" w:eastAsia="黑体"/>
                <w:b/>
                <w:bCs/>
                <w:color w:val="000000" w:themeColor="text1"/>
                <w:kern w:val="0"/>
                <w:sz w:val="20"/>
                <w:szCs w:val="20"/>
                <w14:textFill>
                  <w14:solidFill>
                    <w14:schemeClr w14:val="tx1"/>
                  </w14:solidFill>
                </w14:textFill>
              </w:rPr>
              <w:t>表4-18</w:t>
            </w:r>
            <w:r>
              <w:rPr>
                <w:rFonts w:eastAsia="黑体"/>
                <w:b/>
                <w:bCs/>
                <w:color w:val="000000" w:themeColor="text1"/>
                <w:kern w:val="0"/>
                <w:sz w:val="20"/>
                <w:szCs w:val="20"/>
                <w14:textFill>
                  <w14:solidFill>
                    <w14:schemeClr w14:val="tx1"/>
                  </w14:solidFill>
                </w14:textFill>
              </w:rPr>
              <w:t xml:space="preserve">   项目分区防渗一览表</w:t>
            </w:r>
          </w:p>
          <w:tbl>
            <w:tblPr>
              <w:tblStyle w:val="38"/>
              <w:tblW w:w="5000" w:type="pct"/>
              <w:tblInd w:w="0" w:type="dxa"/>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26"/>
              <w:gridCol w:w="1570"/>
              <w:gridCol w:w="2689"/>
              <w:gridCol w:w="3803"/>
            </w:tblGrid>
            <w:tr>
              <w:tblPrEx>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41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序号</w:t>
                  </w:r>
                </w:p>
              </w:tc>
              <w:tc>
                <w:tcPr>
                  <w:tcW w:w="89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防渗分区</w:t>
                  </w:r>
                </w:p>
              </w:tc>
              <w:tc>
                <w:tcPr>
                  <w:tcW w:w="153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具体范围</w:t>
                  </w:r>
                </w:p>
              </w:tc>
              <w:tc>
                <w:tcPr>
                  <w:tcW w:w="2164"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防渗措施</w:t>
                  </w:r>
                </w:p>
              </w:tc>
            </w:tr>
            <w:tr>
              <w:tblPrEx>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1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1</w:t>
                  </w:r>
                </w:p>
              </w:tc>
              <w:tc>
                <w:tcPr>
                  <w:tcW w:w="89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重点防渗</w:t>
                  </w:r>
                </w:p>
              </w:tc>
              <w:tc>
                <w:tcPr>
                  <w:tcW w:w="153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危废暂存间</w:t>
                  </w:r>
                </w:p>
              </w:tc>
              <w:tc>
                <w:tcPr>
                  <w:tcW w:w="2164"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铺设 2mm 厚高密度聚乙烯，渗透系数≤10</w:t>
                  </w:r>
                  <w:r>
                    <w:rPr>
                      <w:rFonts w:ascii="Times New Roman" w:hAnsi="Times New Roman" w:cs="Times New Roman"/>
                      <w:snapToGrid/>
                      <w:color w:val="000000" w:themeColor="text1"/>
                      <w:kern w:val="2"/>
                      <w:sz w:val="21"/>
                      <w:szCs w:val="21"/>
                      <w:vertAlign w:val="superscript"/>
                      <w:lang w:eastAsia="zh-CN"/>
                      <w14:textFill>
                        <w14:solidFill>
                          <w14:schemeClr w14:val="tx1"/>
                        </w14:solidFill>
                      </w14:textFill>
                    </w:rPr>
                    <w:t>-10</w:t>
                  </w:r>
                  <w:r>
                    <w:rPr>
                      <w:rFonts w:ascii="Times New Roman" w:hAnsi="Times New Roman" w:cs="Times New Roman"/>
                      <w:snapToGrid/>
                      <w:color w:val="000000" w:themeColor="text1"/>
                      <w:kern w:val="2"/>
                      <w:sz w:val="21"/>
                      <w:szCs w:val="21"/>
                      <w:lang w:eastAsia="zh-CN"/>
                      <w14:textFill>
                        <w14:solidFill>
                          <w14:schemeClr w14:val="tx1"/>
                        </w14:solidFill>
                      </w14:textFill>
                    </w:rPr>
                    <w:t>cm/s ，地面以混凝土铺设，采用环氧漆做防腐防渗处理，危废暂存间设置 10cm高围堰。</w:t>
                  </w:r>
                </w:p>
              </w:tc>
            </w:tr>
            <w:tr>
              <w:tblPrEx>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1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2</w:t>
                  </w:r>
                </w:p>
              </w:tc>
              <w:tc>
                <w:tcPr>
                  <w:tcW w:w="89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一般防渗区</w:t>
                  </w:r>
                </w:p>
              </w:tc>
              <w:tc>
                <w:tcPr>
                  <w:tcW w:w="153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洗砂废水处理池、雨水池、车辆轮胎冲洗废水沉淀池、泥饼池、化粪池</w:t>
                  </w:r>
                </w:p>
              </w:tc>
              <w:tc>
                <w:tcPr>
                  <w:tcW w:w="2164"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污泥沉淀塔、沉淀池池壁以及地面采用C25 ，P6防渗等级混凝土结构 处理，渗透系数不小 1.0 × 10</w:t>
                  </w:r>
                  <w:r>
                    <w:rPr>
                      <w:rFonts w:ascii="Times New Roman" w:hAnsi="Times New Roman" w:cs="Times New Roman"/>
                      <w:snapToGrid/>
                      <w:color w:val="000000" w:themeColor="text1"/>
                      <w:kern w:val="2"/>
                      <w:sz w:val="21"/>
                      <w:szCs w:val="21"/>
                      <w:vertAlign w:val="superscript"/>
                      <w:lang w:eastAsia="zh-CN"/>
                      <w14:textFill>
                        <w14:solidFill>
                          <w14:schemeClr w14:val="tx1"/>
                        </w14:solidFill>
                      </w14:textFill>
                    </w:rPr>
                    <w:t>-7</w:t>
                  </w:r>
                  <w:r>
                    <w:rPr>
                      <w:rFonts w:ascii="Times New Roman" w:hAnsi="Times New Roman" w:cs="Times New Roman"/>
                      <w:snapToGrid/>
                      <w:color w:val="000000" w:themeColor="text1"/>
                      <w:kern w:val="2"/>
                      <w:sz w:val="21"/>
                      <w:szCs w:val="21"/>
                      <w:lang w:eastAsia="zh-CN"/>
                      <w14:textFill>
                        <w14:solidFill>
                          <w14:schemeClr w14:val="tx1"/>
                        </w14:solidFill>
                      </w14:textFill>
                    </w:rPr>
                    <w:t>cm/s；或参照 GB16889 执行。</w:t>
                  </w:r>
                </w:p>
              </w:tc>
            </w:tr>
            <w:tr>
              <w:tblPrEx>
                <w:tblBorders>
                  <w:top w:val="single" w:color="000000" w:sz="4" w:space="0"/>
                  <w:left w:val="none" w:color="auto" w:sz="0" w:space="0"/>
                  <w:bottom w:val="single" w:color="000000" w:sz="4"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41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3</w:t>
                  </w:r>
                </w:p>
              </w:tc>
              <w:tc>
                <w:tcPr>
                  <w:tcW w:w="893"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简单防渗区</w:t>
                  </w:r>
                </w:p>
              </w:tc>
              <w:tc>
                <w:tcPr>
                  <w:tcW w:w="1530"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生产车间、厂区露天区域</w:t>
                  </w:r>
                </w:p>
              </w:tc>
              <w:tc>
                <w:tcPr>
                  <w:tcW w:w="2164" w:type="pct"/>
                  <w:vAlign w:val="center"/>
                </w:tcPr>
                <w:p>
                  <w:pPr>
                    <w:pStyle w:val="34"/>
                    <w:spacing w:line="360" w:lineRule="auto"/>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一般地面硬化</w:t>
                  </w:r>
                </w:p>
              </w:tc>
            </w:tr>
          </w:tbl>
          <w:p>
            <w:pPr>
              <w:spacing w:line="360" w:lineRule="auto"/>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6</w:t>
            </w:r>
            <w:r>
              <w:rPr>
                <w:b/>
                <w:color w:val="000000" w:themeColor="text1"/>
                <w:szCs w:val="24"/>
                <w14:textFill>
                  <w14:solidFill>
                    <w14:schemeClr w14:val="tx1"/>
                  </w14:solidFill>
                </w14:textFill>
              </w:rPr>
              <w:t>、环境风险</w:t>
            </w:r>
          </w:p>
          <w:p>
            <w:pPr>
              <w:spacing w:line="360" w:lineRule="auto"/>
              <w:ind w:firstLine="361" w:firstLineChars="15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（1）风险调查及风险潜势</w:t>
            </w:r>
            <w:r>
              <w:rPr>
                <w:rFonts w:hint="eastAsia"/>
                <w:b/>
                <w:color w:val="000000" w:themeColor="text1"/>
                <w:szCs w:val="24"/>
                <w14:textFill>
                  <w14:solidFill>
                    <w14:schemeClr w14:val="tx1"/>
                  </w14:solidFill>
                </w14:textFill>
              </w:rPr>
              <w:t xml:space="preserve">   </w:t>
            </w:r>
          </w:p>
          <w:p>
            <w:pPr>
              <w:spacing w:line="360" w:lineRule="auto"/>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通过对本项目营运期主要原辅材料及其分布情况、生产工艺特点进行分析，本项目营运期危废暂存间贮存的废润滑油</w:t>
            </w:r>
            <w:r>
              <w:rPr>
                <w:rFonts w:hint="eastAsia"/>
                <w:color w:val="000000" w:themeColor="text1"/>
                <w:szCs w:val="24"/>
                <w14:textFill>
                  <w14:solidFill>
                    <w14:schemeClr w14:val="tx1"/>
                  </w14:solidFill>
                </w14:textFill>
              </w:rPr>
              <w:t>以及贮存的</w:t>
            </w:r>
            <w:r>
              <w:rPr>
                <w:color w:val="000000" w:themeColor="text1"/>
                <w:szCs w:val="24"/>
                <w14:textFill>
                  <w14:solidFill>
                    <w14:schemeClr w14:val="tx1"/>
                  </w14:solidFill>
                </w14:textFill>
              </w:rPr>
              <w:t>少量机油及润滑油为有毒、易燃危险物质，其危险特性、贮存情况见下表：</w:t>
            </w:r>
          </w:p>
          <w:p>
            <w:pPr>
              <w:spacing w:line="360" w:lineRule="auto"/>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表4-1</w:t>
            </w:r>
            <w:r>
              <w:rPr>
                <w:rFonts w:hint="eastAsia" w:eastAsia="黑体"/>
                <w:b/>
                <w:bCs/>
                <w:color w:val="000000" w:themeColor="text1"/>
                <w:kern w:val="0"/>
                <w:sz w:val="20"/>
                <w:szCs w:val="20"/>
                <w14:textFill>
                  <w14:solidFill>
                    <w14:schemeClr w14:val="tx1"/>
                  </w14:solidFill>
                </w14:textFill>
              </w:rPr>
              <w:t>9</w:t>
            </w:r>
            <w:r>
              <w:rPr>
                <w:rFonts w:eastAsia="黑体"/>
                <w:b/>
                <w:bCs/>
                <w:color w:val="000000" w:themeColor="text1"/>
                <w:kern w:val="0"/>
                <w:sz w:val="20"/>
                <w:szCs w:val="20"/>
                <w14:textFill>
                  <w14:solidFill>
                    <w14:schemeClr w14:val="tx1"/>
                  </w14:solidFill>
                </w14:textFill>
              </w:rPr>
              <w:t xml:space="preserve">  主要危险物质储存及危险特性</w:t>
            </w:r>
          </w:p>
          <w:tbl>
            <w:tblPr>
              <w:tblStyle w:val="15"/>
              <w:tblW w:w="864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1392"/>
              <w:gridCol w:w="1183"/>
              <w:gridCol w:w="1795"/>
              <w:gridCol w:w="829"/>
              <w:gridCol w:w="1224"/>
              <w:gridCol w:w="156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tblHeader/>
                <w:jc w:val="center"/>
              </w:trPr>
              <w:tc>
                <w:tcPr>
                  <w:tcW w:w="655"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序号</w:t>
                  </w:r>
                </w:p>
              </w:tc>
              <w:tc>
                <w:tcPr>
                  <w:tcW w:w="1392"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危险单元</w:t>
                  </w:r>
                </w:p>
              </w:tc>
              <w:tc>
                <w:tcPr>
                  <w:tcW w:w="1183"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危险物质</w:t>
                  </w:r>
                </w:p>
              </w:tc>
              <w:tc>
                <w:tcPr>
                  <w:tcW w:w="1795"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储存量（t）</w:t>
                  </w:r>
                </w:p>
              </w:tc>
              <w:tc>
                <w:tcPr>
                  <w:tcW w:w="829"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形态</w:t>
                  </w:r>
                </w:p>
              </w:tc>
              <w:tc>
                <w:tcPr>
                  <w:tcW w:w="1224"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储存方式</w:t>
                  </w:r>
                </w:p>
              </w:tc>
              <w:tc>
                <w:tcPr>
                  <w:tcW w:w="1562"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危险性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655"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w:t>
                  </w:r>
                </w:p>
              </w:tc>
              <w:tc>
                <w:tcPr>
                  <w:tcW w:w="1392"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危废暂存间</w:t>
                  </w:r>
                </w:p>
              </w:tc>
              <w:tc>
                <w:tcPr>
                  <w:tcW w:w="1183" w:type="dxa"/>
                  <w:tcBorders>
                    <w:tl2br w:val="nil"/>
                    <w:tr2bl w:val="nil"/>
                  </w:tcBorders>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废机油</w:t>
                  </w:r>
                </w:p>
              </w:tc>
              <w:tc>
                <w:tcPr>
                  <w:tcW w:w="1795"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0.</w:t>
                  </w:r>
                  <w:r>
                    <w:rPr>
                      <w:rFonts w:hint="eastAsia"/>
                      <w:color w:val="000000" w:themeColor="text1"/>
                      <w:sz w:val="21"/>
                      <w14:textFill>
                        <w14:solidFill>
                          <w14:schemeClr w14:val="tx1"/>
                        </w14:solidFill>
                      </w14:textFill>
                    </w:rPr>
                    <w:t>05</w:t>
                  </w:r>
                </w:p>
              </w:tc>
              <w:tc>
                <w:tcPr>
                  <w:tcW w:w="829"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液体</w:t>
                  </w:r>
                </w:p>
              </w:tc>
              <w:tc>
                <w:tcPr>
                  <w:tcW w:w="1224"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桶装</w:t>
                  </w:r>
                </w:p>
              </w:tc>
              <w:tc>
                <w:tcPr>
                  <w:tcW w:w="1562"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低毒、易燃性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655"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2</w:t>
                  </w:r>
                </w:p>
              </w:tc>
              <w:tc>
                <w:tcPr>
                  <w:tcW w:w="1392"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危废暂存间</w:t>
                  </w:r>
                </w:p>
              </w:tc>
              <w:tc>
                <w:tcPr>
                  <w:tcW w:w="1183"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机油</w:t>
                  </w:r>
                </w:p>
              </w:tc>
              <w:tc>
                <w:tcPr>
                  <w:tcW w:w="1795"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0.05</w:t>
                  </w:r>
                </w:p>
              </w:tc>
              <w:tc>
                <w:tcPr>
                  <w:tcW w:w="829"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液体</w:t>
                  </w:r>
                </w:p>
              </w:tc>
              <w:tc>
                <w:tcPr>
                  <w:tcW w:w="1224"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桶装</w:t>
                  </w:r>
                </w:p>
              </w:tc>
              <w:tc>
                <w:tcPr>
                  <w:tcW w:w="1562" w:type="dxa"/>
                  <w:tcBorders>
                    <w:tl2br w:val="nil"/>
                    <w:tr2bl w:val="nil"/>
                  </w:tcBorders>
                  <w:vAlign w:val="center"/>
                </w:tcPr>
                <w:p>
                  <w:pPr>
                    <w:jc w:val="center"/>
                    <w:rPr>
                      <w:snapToGrid w:val="0"/>
                      <w:color w:val="000000" w:themeColor="text1"/>
                      <w:sz w:val="21"/>
                      <w14:textFill>
                        <w14:solidFill>
                          <w14:schemeClr w14:val="tx1"/>
                        </w14:solidFill>
                      </w14:textFill>
                    </w:rPr>
                  </w:pPr>
                  <w:r>
                    <w:rPr>
                      <w:color w:val="000000" w:themeColor="text1"/>
                      <w:sz w:val="21"/>
                      <w14:textFill>
                        <w14:solidFill>
                          <w14:schemeClr w14:val="tx1"/>
                        </w14:solidFill>
                      </w14:textFill>
                    </w:rPr>
                    <w:t>低毒、易燃性</w:t>
                  </w:r>
                </w:p>
              </w:tc>
            </w:tr>
          </w:tbl>
          <w:p>
            <w:pPr>
              <w:spacing w:line="360" w:lineRule="auto"/>
              <w:ind w:firstLine="480"/>
              <w:rPr>
                <w:color w:val="000000" w:themeColor="text1"/>
                <w:szCs w:val="24"/>
                <w14:textFill>
                  <w14:solidFill>
                    <w14:schemeClr w14:val="tx1"/>
                  </w14:solidFill>
                </w14:textFill>
              </w:rPr>
            </w:pPr>
            <w:r>
              <w:rPr>
                <w:color w:val="000000" w:themeColor="text1"/>
                <w:szCs w:val="24"/>
                <w14:textFill>
                  <w14:solidFill>
                    <w14:schemeClr w14:val="tx1"/>
                  </w14:solidFill>
                </w14:textFill>
              </w:rPr>
              <w:t>根据《建设项目环境风险评价技术导则》（HJ169-2018）附录B中对应临界量的比值计算，本项目危险物质数量与临界量比值见下表。</w:t>
            </w:r>
          </w:p>
          <w:p>
            <w:pPr>
              <w:spacing w:line="360" w:lineRule="auto"/>
              <w:jc w:val="center"/>
              <w:rPr>
                <w:rFonts w:eastAsia="黑体"/>
                <w:b/>
                <w:bCs/>
                <w:color w:val="000000" w:themeColor="text1"/>
                <w:kern w:val="0"/>
                <w:sz w:val="20"/>
                <w:szCs w:val="20"/>
                <w14:textFill>
                  <w14:solidFill>
                    <w14:schemeClr w14:val="tx1"/>
                  </w14:solidFill>
                </w14:textFill>
              </w:rPr>
            </w:pPr>
            <w:r>
              <w:rPr>
                <w:rFonts w:eastAsia="黑体"/>
                <w:b/>
                <w:bCs/>
                <w:color w:val="000000" w:themeColor="text1"/>
                <w:kern w:val="0"/>
                <w:sz w:val="20"/>
                <w:szCs w:val="20"/>
                <w14:textFill>
                  <w14:solidFill>
                    <w14:schemeClr w14:val="tx1"/>
                  </w14:solidFill>
                </w14:textFill>
              </w:rPr>
              <w:t>表4-</w:t>
            </w:r>
            <w:r>
              <w:rPr>
                <w:rFonts w:hint="eastAsia" w:eastAsia="黑体"/>
                <w:b/>
                <w:bCs/>
                <w:color w:val="000000" w:themeColor="text1"/>
                <w:kern w:val="0"/>
                <w:sz w:val="20"/>
                <w:szCs w:val="20"/>
                <w14:textFill>
                  <w14:solidFill>
                    <w14:schemeClr w14:val="tx1"/>
                  </w14:solidFill>
                </w14:textFill>
              </w:rPr>
              <w:t>20</w:t>
            </w:r>
            <w:r>
              <w:rPr>
                <w:rFonts w:eastAsia="黑体"/>
                <w:b/>
                <w:bCs/>
                <w:color w:val="000000" w:themeColor="text1"/>
                <w:kern w:val="0"/>
                <w:sz w:val="20"/>
                <w:szCs w:val="20"/>
                <w14:textFill>
                  <w14:solidFill>
                    <w14:schemeClr w14:val="tx1"/>
                  </w14:solidFill>
                </w14:textFill>
              </w:rPr>
              <w:t xml:space="preserve">  危险物质数量与临界量比值表</w:t>
            </w:r>
          </w:p>
          <w:tbl>
            <w:tblPr>
              <w:tblStyle w:val="15"/>
              <w:tblW w:w="870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2263"/>
              <w:gridCol w:w="1873"/>
              <w:gridCol w:w="1980"/>
              <w:gridCol w:w="16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7"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序号</w:t>
                  </w:r>
                </w:p>
              </w:tc>
              <w:tc>
                <w:tcPr>
                  <w:tcW w:w="2263"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危险物质</w:t>
                  </w:r>
                </w:p>
              </w:tc>
              <w:tc>
                <w:tcPr>
                  <w:tcW w:w="1873"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储存量（</w:t>
                  </w:r>
                  <w:r>
                    <w:rPr>
                      <w:b/>
                      <w:bCs/>
                      <w:i/>
                      <w:color w:val="000000" w:themeColor="text1"/>
                      <w:sz w:val="21"/>
                      <w14:textFill>
                        <w14:solidFill>
                          <w14:schemeClr w14:val="tx1"/>
                        </w14:solidFill>
                      </w14:textFill>
                    </w:rPr>
                    <w:t>q</w:t>
                  </w:r>
                  <w:r>
                    <w:rPr>
                      <w:b/>
                      <w:bCs/>
                      <w:color w:val="000000" w:themeColor="text1"/>
                      <w:sz w:val="21"/>
                      <w14:textFill>
                        <w14:solidFill>
                          <w14:schemeClr w14:val="tx1"/>
                        </w14:solidFill>
                      </w14:textFill>
                    </w:rPr>
                    <w:t>）</w:t>
                  </w:r>
                </w:p>
              </w:tc>
              <w:tc>
                <w:tcPr>
                  <w:tcW w:w="1980"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临界量（</w:t>
                  </w:r>
                  <w:r>
                    <w:rPr>
                      <w:b/>
                      <w:bCs/>
                      <w:i/>
                      <w:color w:val="000000" w:themeColor="text1"/>
                      <w:sz w:val="21"/>
                      <w14:textFill>
                        <w14:solidFill>
                          <w14:schemeClr w14:val="tx1"/>
                        </w14:solidFill>
                      </w14:textFill>
                    </w:rPr>
                    <w:t>Q</w:t>
                  </w:r>
                  <w:r>
                    <w:rPr>
                      <w:b/>
                      <w:bCs/>
                      <w:color w:val="000000" w:themeColor="text1"/>
                      <w:sz w:val="21"/>
                      <w14:textFill>
                        <w14:solidFill>
                          <w14:schemeClr w14:val="tx1"/>
                        </w14:solidFill>
                      </w14:textFill>
                    </w:rPr>
                    <w:t>）</w:t>
                  </w:r>
                </w:p>
              </w:tc>
              <w:tc>
                <w:tcPr>
                  <w:tcW w:w="1667" w:type="dxa"/>
                  <w:tcBorders>
                    <w:tl2br w:val="nil"/>
                    <w:tr2bl w:val="nil"/>
                  </w:tcBorders>
                  <w:vAlign w:val="center"/>
                </w:tcPr>
                <w:p>
                  <w:pPr>
                    <w:jc w:val="center"/>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比值（</w:t>
                  </w:r>
                  <w:r>
                    <w:rPr>
                      <w:b/>
                      <w:bCs/>
                      <w:i/>
                      <w:color w:val="000000" w:themeColor="text1"/>
                      <w:sz w:val="21"/>
                      <w14:textFill>
                        <w14:solidFill>
                          <w14:schemeClr w14:val="tx1"/>
                        </w14:solidFill>
                      </w14:textFill>
                    </w:rPr>
                    <w:t>Q</w:t>
                  </w:r>
                  <w:r>
                    <w:rPr>
                      <w:b/>
                      <w:bCs/>
                      <w:color w:val="000000" w:themeColor="text1"/>
                      <w:sz w:val="21"/>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7"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1</w:t>
                  </w:r>
                </w:p>
              </w:tc>
              <w:tc>
                <w:tcPr>
                  <w:tcW w:w="2263" w:type="dxa"/>
                  <w:tcBorders>
                    <w:tl2br w:val="nil"/>
                    <w:tr2bl w:val="nil"/>
                  </w:tcBorders>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废机油</w:t>
                  </w:r>
                </w:p>
              </w:tc>
              <w:tc>
                <w:tcPr>
                  <w:tcW w:w="1873"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0.</w:t>
                  </w:r>
                  <w:r>
                    <w:rPr>
                      <w:rFonts w:hint="eastAsia"/>
                      <w:color w:val="000000" w:themeColor="text1"/>
                      <w:sz w:val="21"/>
                      <w14:textFill>
                        <w14:solidFill>
                          <w14:schemeClr w14:val="tx1"/>
                        </w14:solidFill>
                      </w14:textFill>
                    </w:rPr>
                    <w:t>05</w:t>
                  </w:r>
                  <w:r>
                    <w:rPr>
                      <w:color w:val="000000" w:themeColor="text1"/>
                      <w:sz w:val="21"/>
                      <w14:textFill>
                        <w14:solidFill>
                          <w14:schemeClr w14:val="tx1"/>
                        </w14:solidFill>
                      </w14:textFill>
                    </w:rPr>
                    <w:t>t</w:t>
                  </w:r>
                </w:p>
              </w:tc>
              <w:tc>
                <w:tcPr>
                  <w:tcW w:w="1980"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2500t</w:t>
                  </w:r>
                </w:p>
              </w:tc>
              <w:tc>
                <w:tcPr>
                  <w:tcW w:w="1667" w:type="dxa"/>
                  <w:tcBorders>
                    <w:tl2br w:val="nil"/>
                    <w:tr2bl w:val="nil"/>
                  </w:tcBorders>
                  <w:vAlign w:val="center"/>
                </w:tcPr>
                <w:p>
                  <w:pPr>
                    <w:widowControl/>
                    <w:jc w:val="center"/>
                    <w:textAlignment w:val="center"/>
                    <w:rPr>
                      <w:color w:val="000000" w:themeColor="text1"/>
                      <w:sz w:val="21"/>
                      <w14:textFill>
                        <w14:solidFill>
                          <w14:schemeClr w14:val="tx1"/>
                        </w14:solidFill>
                      </w14:textFill>
                    </w:rPr>
                  </w:pPr>
                  <w:r>
                    <w:rPr>
                      <w:color w:val="000000" w:themeColor="text1"/>
                      <w:kern w:val="0"/>
                      <w:sz w:val="21"/>
                      <w:lang w:bidi="ar"/>
                      <w14:textFill>
                        <w14:solidFill>
                          <w14:schemeClr w14:val="tx1"/>
                        </w14:solidFill>
                      </w14:textFill>
                    </w:rPr>
                    <w:t>0.0000</w:t>
                  </w:r>
                  <w:r>
                    <w:rPr>
                      <w:rFonts w:hint="eastAsia"/>
                      <w:color w:val="000000" w:themeColor="text1"/>
                      <w:kern w:val="0"/>
                      <w:sz w:val="21"/>
                      <w:lang w:bidi="ar"/>
                      <w14:textFill>
                        <w14:solidFill>
                          <w14:schemeClr w14:val="tx1"/>
                        </w14:solidFill>
                      </w14:textFill>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17" w:type="dxa"/>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2</w:t>
                  </w:r>
                </w:p>
              </w:tc>
              <w:tc>
                <w:tcPr>
                  <w:tcW w:w="2263" w:type="dxa"/>
                  <w:tcBorders>
                    <w:tl2br w:val="nil"/>
                    <w:tr2bl w:val="nil"/>
                  </w:tcBorders>
                  <w:vAlign w:val="center"/>
                </w:tcPr>
                <w:p>
                  <w:pPr>
                    <w:jc w:val="center"/>
                    <w:rPr>
                      <w:snapToGrid w:val="0"/>
                      <w:color w:val="000000" w:themeColor="text1"/>
                      <w:sz w:val="21"/>
                      <w14:textFill>
                        <w14:solidFill>
                          <w14:schemeClr w14:val="tx1"/>
                        </w14:solidFill>
                      </w14:textFill>
                    </w:rPr>
                  </w:pPr>
                  <w:r>
                    <w:rPr>
                      <w:color w:val="000000" w:themeColor="text1"/>
                      <w:sz w:val="21"/>
                      <w14:textFill>
                        <w14:solidFill>
                          <w14:schemeClr w14:val="tx1"/>
                        </w14:solidFill>
                      </w14:textFill>
                    </w:rPr>
                    <w:t>机油</w:t>
                  </w:r>
                </w:p>
              </w:tc>
              <w:tc>
                <w:tcPr>
                  <w:tcW w:w="1873" w:type="dxa"/>
                  <w:tcBorders>
                    <w:tl2br w:val="nil"/>
                    <w:tr2bl w:val="nil"/>
                  </w:tcBorders>
                  <w:vAlign w:val="center"/>
                </w:tcPr>
                <w:p>
                  <w:pPr>
                    <w:jc w:val="center"/>
                    <w:rPr>
                      <w:snapToGrid w:val="0"/>
                      <w:color w:val="000000" w:themeColor="text1"/>
                      <w:sz w:val="21"/>
                      <w14:textFill>
                        <w14:solidFill>
                          <w14:schemeClr w14:val="tx1"/>
                        </w14:solidFill>
                      </w14:textFill>
                    </w:rPr>
                  </w:pPr>
                  <w:r>
                    <w:rPr>
                      <w:color w:val="000000" w:themeColor="text1"/>
                      <w:sz w:val="21"/>
                      <w14:textFill>
                        <w14:solidFill>
                          <w14:schemeClr w14:val="tx1"/>
                        </w14:solidFill>
                      </w14:textFill>
                    </w:rPr>
                    <w:t>0.05t</w:t>
                  </w:r>
                </w:p>
              </w:tc>
              <w:tc>
                <w:tcPr>
                  <w:tcW w:w="1980" w:type="dxa"/>
                  <w:tcBorders>
                    <w:tl2br w:val="nil"/>
                    <w:tr2bl w:val="nil"/>
                  </w:tcBorders>
                  <w:vAlign w:val="center"/>
                </w:tcPr>
                <w:p>
                  <w:pPr>
                    <w:jc w:val="center"/>
                    <w:rPr>
                      <w:snapToGrid w:val="0"/>
                      <w:color w:val="000000" w:themeColor="text1"/>
                      <w:sz w:val="21"/>
                      <w14:textFill>
                        <w14:solidFill>
                          <w14:schemeClr w14:val="tx1"/>
                        </w14:solidFill>
                      </w14:textFill>
                    </w:rPr>
                  </w:pPr>
                  <w:r>
                    <w:rPr>
                      <w:color w:val="000000" w:themeColor="text1"/>
                      <w:sz w:val="21"/>
                      <w14:textFill>
                        <w14:solidFill>
                          <w14:schemeClr w14:val="tx1"/>
                        </w14:solidFill>
                      </w14:textFill>
                    </w:rPr>
                    <w:t>2500t</w:t>
                  </w:r>
                </w:p>
              </w:tc>
              <w:tc>
                <w:tcPr>
                  <w:tcW w:w="1667" w:type="dxa"/>
                  <w:tcBorders>
                    <w:tl2br w:val="nil"/>
                    <w:tr2bl w:val="nil"/>
                  </w:tcBorders>
                  <w:vAlign w:val="center"/>
                </w:tcPr>
                <w:p>
                  <w:pPr>
                    <w:widowControl/>
                    <w:jc w:val="center"/>
                    <w:textAlignment w:val="center"/>
                    <w:rPr>
                      <w:color w:val="000000" w:themeColor="text1"/>
                      <w:kern w:val="0"/>
                      <w:sz w:val="21"/>
                      <w:lang w:bidi="ar"/>
                      <w14:textFill>
                        <w14:solidFill>
                          <w14:schemeClr w14:val="tx1"/>
                        </w14:solidFill>
                      </w14:textFill>
                    </w:rPr>
                  </w:pPr>
                  <w:r>
                    <w:rPr>
                      <w:color w:val="000000" w:themeColor="text1"/>
                      <w:kern w:val="0"/>
                      <w:sz w:val="21"/>
                      <w:lang w:bidi="ar"/>
                      <w14:textFill>
                        <w14:solidFill>
                          <w14:schemeClr w14:val="tx1"/>
                        </w14:solidFill>
                      </w14:textFill>
                    </w:rPr>
                    <w:t>0.00002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033" w:type="dxa"/>
                  <w:gridSpan w:val="4"/>
                  <w:tcBorders>
                    <w:tl2br w:val="nil"/>
                    <w:tr2bl w:val="nil"/>
                  </w:tcBorders>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总计</w:t>
                  </w:r>
                </w:p>
              </w:tc>
              <w:tc>
                <w:tcPr>
                  <w:tcW w:w="1667" w:type="dxa"/>
                  <w:tcBorders>
                    <w:tl2br w:val="nil"/>
                    <w:tr2bl w:val="nil"/>
                  </w:tcBorders>
                  <w:vAlign w:val="center"/>
                </w:tcPr>
                <w:p>
                  <w:pPr>
                    <w:widowControl/>
                    <w:jc w:val="center"/>
                    <w:textAlignment w:val="center"/>
                    <w:rPr>
                      <w:color w:val="000000" w:themeColor="text1"/>
                      <w:sz w:val="21"/>
                      <w14:textFill>
                        <w14:solidFill>
                          <w14:schemeClr w14:val="tx1"/>
                        </w14:solidFill>
                      </w14:textFill>
                    </w:rPr>
                  </w:pPr>
                  <w:r>
                    <w:rPr>
                      <w:color w:val="000000" w:themeColor="text1"/>
                      <w:kern w:val="0"/>
                      <w:sz w:val="21"/>
                      <w:lang w:bidi="ar"/>
                      <w14:textFill>
                        <w14:solidFill>
                          <w14:schemeClr w14:val="tx1"/>
                        </w14:solidFill>
                      </w14:textFill>
                    </w:rPr>
                    <w:t>0.000</w:t>
                  </w:r>
                  <w:r>
                    <w:rPr>
                      <w:rFonts w:hint="eastAsia"/>
                      <w:color w:val="000000" w:themeColor="text1"/>
                      <w:kern w:val="0"/>
                      <w:sz w:val="21"/>
                      <w:lang w:bidi="ar"/>
                      <w14:textFill>
                        <w14:solidFill>
                          <w14:schemeClr w14:val="tx1"/>
                        </w14:solidFill>
                      </w14:textFill>
                    </w:rPr>
                    <w:t>04</w:t>
                  </w:r>
                </w:p>
              </w:tc>
            </w:tr>
          </w:tbl>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由上表可知，本项目危险物质数量与临界量比值（Q）小于1，环境风险潜势为I。故本次环评仅开展简单分析。</w:t>
            </w:r>
          </w:p>
          <w:p>
            <w:pPr>
              <w:spacing w:line="360" w:lineRule="auto"/>
              <w:ind w:firstLine="361" w:firstLineChars="15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（2）环境风险识别及分析</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1）物质危险性识别 </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项目主要为贮存和使用的</w:t>
            </w:r>
            <w:r>
              <w:rPr>
                <w:rFonts w:hint="eastAsia"/>
                <w:color w:val="000000" w:themeColor="text1"/>
                <w:szCs w:val="24"/>
                <w14:textFill>
                  <w14:solidFill>
                    <w14:schemeClr w14:val="tx1"/>
                  </w14:solidFill>
                </w14:textFill>
              </w:rPr>
              <w:t>废机油</w:t>
            </w:r>
            <w:r>
              <w:rPr>
                <w:color w:val="000000" w:themeColor="text1"/>
                <w:szCs w:val="24"/>
                <w14:textFill>
                  <w14:solidFill>
                    <w14:schemeClr w14:val="tx1"/>
                  </w14:solidFill>
                </w14:textFill>
              </w:rPr>
              <w:t>、机油、润滑油等，其主要危险特性及贮存情况见表4-</w:t>
            </w:r>
            <w:r>
              <w:rPr>
                <w:rFonts w:hint="eastAsia"/>
                <w:color w:val="000000" w:themeColor="text1"/>
                <w:szCs w:val="24"/>
                <w14:textFill>
                  <w14:solidFill>
                    <w14:schemeClr w14:val="tx1"/>
                  </w14:solidFill>
                </w14:textFill>
              </w:rPr>
              <w:t>19</w:t>
            </w:r>
            <w:r>
              <w:rPr>
                <w:color w:val="000000" w:themeColor="text1"/>
                <w:szCs w:val="24"/>
                <w14:textFill>
                  <w14:solidFill>
                    <w14:schemeClr w14:val="tx1"/>
                  </w14:solidFill>
                </w14:textFill>
              </w:rPr>
              <w:t>。</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2）生产系统危险性识别 </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本项目生产系统风险源主要为废水处理各沉淀池发生垮塌、泄漏，造成废水事故外排；贮存和使用的</w:t>
            </w:r>
            <w:r>
              <w:rPr>
                <w:rFonts w:hint="eastAsia"/>
                <w:color w:val="000000" w:themeColor="text1"/>
                <w:szCs w:val="24"/>
                <w14:textFill>
                  <w14:solidFill>
                    <w14:schemeClr w14:val="tx1"/>
                  </w14:solidFill>
                </w14:textFill>
              </w:rPr>
              <w:t>废机油</w:t>
            </w:r>
            <w:r>
              <w:rPr>
                <w:color w:val="000000" w:themeColor="text1"/>
                <w:szCs w:val="24"/>
                <w14:textFill>
                  <w14:solidFill>
                    <w14:schemeClr w14:val="tx1"/>
                  </w14:solidFill>
                </w14:textFill>
              </w:rPr>
              <w:t>、机油、润滑油因操作不当、贮存容器损坏等造成泄漏，发生火灾或污染环境等事故。</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3）危险物质向环境转移途径识别 </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a.</w:t>
            </w:r>
            <w:r>
              <w:rPr>
                <w:rFonts w:hint="eastAsia"/>
                <w:color w:val="000000" w:themeColor="text1"/>
                <w:szCs w:val="24"/>
                <w14:textFill>
                  <w14:solidFill>
                    <w14:schemeClr w14:val="tx1"/>
                  </w14:solidFill>
                </w14:textFill>
              </w:rPr>
              <w:t>废机油</w:t>
            </w:r>
            <w:r>
              <w:rPr>
                <w:color w:val="000000" w:themeColor="text1"/>
                <w:szCs w:val="24"/>
                <w14:textFill>
                  <w14:solidFill>
                    <w14:schemeClr w14:val="tx1"/>
                  </w14:solidFill>
                </w14:textFill>
              </w:rPr>
              <w:t>、机油容器破损、裂缝挥发进入大气环境；</w:t>
            </w:r>
            <w:r>
              <w:rPr>
                <w:rFonts w:hint="eastAsia"/>
                <w:color w:val="000000" w:themeColor="text1"/>
                <w:szCs w:val="24"/>
                <w14:textFill>
                  <w14:solidFill>
                    <w14:schemeClr w14:val="tx1"/>
                  </w14:solidFill>
                </w14:textFill>
              </w:rPr>
              <w:t>废机油</w:t>
            </w:r>
            <w:r>
              <w:rPr>
                <w:color w:val="000000" w:themeColor="text1"/>
                <w:szCs w:val="24"/>
                <w14:textFill>
                  <w14:solidFill>
                    <w14:schemeClr w14:val="tx1"/>
                  </w14:solidFill>
                </w14:textFill>
              </w:rPr>
              <w:t>、机油、润滑油泄漏遇明火引起燃烧产生的伴生/次生污染物（CO、SO</w:t>
            </w:r>
            <w:r>
              <w:rPr>
                <w:color w:val="000000" w:themeColor="text1"/>
                <w:szCs w:val="24"/>
                <w:vertAlign w:val="subscript"/>
                <w14:textFill>
                  <w14:solidFill>
                    <w14:schemeClr w14:val="tx1"/>
                  </w14:solidFill>
                </w14:textFill>
              </w:rPr>
              <w:t>2</w:t>
            </w:r>
            <w:r>
              <w:rPr>
                <w:color w:val="000000" w:themeColor="text1"/>
                <w:szCs w:val="24"/>
                <w14:textFill>
                  <w14:solidFill>
                    <w14:schemeClr w14:val="tx1"/>
                  </w14:solidFill>
                </w14:textFill>
              </w:rPr>
              <w:t>、NO</w:t>
            </w:r>
            <w:r>
              <w:rPr>
                <w:color w:val="000000" w:themeColor="text1"/>
                <w:szCs w:val="24"/>
                <w:vertAlign w:val="subscript"/>
                <w14:textFill>
                  <w14:solidFill>
                    <w14:schemeClr w14:val="tx1"/>
                  </w14:solidFill>
                </w14:textFill>
              </w:rPr>
              <w:t>x</w:t>
            </w:r>
            <w:r>
              <w:rPr>
                <w:color w:val="000000" w:themeColor="text1"/>
                <w:szCs w:val="24"/>
                <w14:textFill>
                  <w14:solidFill>
                    <w14:schemeClr w14:val="tx1"/>
                  </w14:solidFill>
                </w14:textFill>
              </w:rPr>
              <w:t>、颗粒物等）排入大气环境。</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b.</w:t>
            </w:r>
            <w:r>
              <w:rPr>
                <w:rFonts w:hint="eastAsia"/>
                <w:color w:val="000000" w:themeColor="text1"/>
                <w:szCs w:val="24"/>
                <w14:textFill>
                  <w14:solidFill>
                    <w14:schemeClr w14:val="tx1"/>
                  </w14:solidFill>
                </w14:textFill>
              </w:rPr>
              <w:t>废机油</w:t>
            </w:r>
            <w:r>
              <w:rPr>
                <w:color w:val="000000" w:themeColor="text1"/>
                <w:szCs w:val="24"/>
                <w14:textFill>
                  <w14:solidFill>
                    <w14:schemeClr w14:val="tx1"/>
                  </w14:solidFill>
                </w14:textFill>
              </w:rPr>
              <w:t>、机油、润滑油桶破裂造成有害物质泄漏，有害物质通过地表径流或雨水管道进入地表水环境，此外还可能通过垂直渗透进入地下水环境或土壤环境。</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c.废气、废水处理设施发生故障导致污染物未经有效处理排放。</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d.营运过程中废水沉淀池及污水处理罐的垮塌泄漏，一般情况下属于人为因素，如清理池底泥沙时机械操作不当导致；污水处理罐锈蚀穿孔泄漏，导致废水事故排放。</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e.生产过程中因管理不规范、操作不当等造成一般性火灾事故产生次生污染物进入大气环境，在灭火过程中事故消防废水通过地表径流或雨水管道进入地表水环境。</w:t>
            </w:r>
          </w:p>
          <w:p>
            <w:pPr>
              <w:spacing w:line="360" w:lineRule="auto"/>
              <w:ind w:firstLine="361" w:firstLineChars="150"/>
              <w:rPr>
                <w:b/>
                <w:color w:val="000000" w:themeColor="text1"/>
                <w:szCs w:val="24"/>
                <w14:textFill>
                  <w14:solidFill>
                    <w14:schemeClr w14:val="tx1"/>
                  </w14:solidFill>
                </w14:textFill>
              </w:rPr>
            </w:pPr>
            <w:r>
              <w:rPr>
                <w:b/>
                <w:color w:val="000000" w:themeColor="text1"/>
                <w:szCs w:val="24"/>
                <w14:textFill>
                  <w14:solidFill>
                    <w14:schemeClr w14:val="tx1"/>
                  </w14:solidFill>
                </w14:textFill>
              </w:rPr>
              <w:t xml:space="preserve">（3）环境风险防范措施及应急要求 </w:t>
            </w:r>
          </w:p>
          <w:p>
            <w:pPr>
              <w:spacing w:line="360" w:lineRule="auto"/>
              <w:ind w:firstLine="480" w:firstLineChars="200"/>
              <w:rPr>
                <w:color w:val="000000" w:themeColor="text1"/>
                <w:szCs w:val="24"/>
                <w14:textFill>
                  <w14:solidFill>
                    <w14:schemeClr w14:val="tx1"/>
                  </w14:solidFill>
                </w14:textFill>
              </w:rPr>
            </w:pPr>
            <w:r>
              <w:rPr>
                <w:rFonts w:eastAsia="仿宋_GB2312"/>
                <w:color w:val="000000" w:themeColor="text1"/>
                <w:szCs w:val="24"/>
                <w14:textFill>
                  <w14:solidFill>
                    <w14:schemeClr w14:val="tx1"/>
                  </w14:solidFill>
                </w14:textFill>
              </w:rPr>
              <w:t>1）</w:t>
            </w:r>
            <w:r>
              <w:rPr>
                <w:color w:val="000000" w:themeColor="text1"/>
                <w:szCs w:val="24"/>
                <w14:textFill>
                  <w14:solidFill>
                    <w14:schemeClr w14:val="tx1"/>
                  </w14:solidFill>
                </w14:textFill>
              </w:rPr>
              <w:t>危废暂存间应采取重点防渗措施，同时设置防渗围堰，围堰内应设置备用收容设施，围堰地面采用不渗透的材料做防渗处理。贮存区附近需常备有砂子、碎石、灭火器等防范物资。一旦发生泄漏，不要直接接触泄漏物，在确保安全情况下堵漏。发生小量的泄漏，用砂石或其它不燃性吸附剂混合吸收，然后收集运至废物处理场所处置。发生大量泄漏，应及时将围堰里物质的抽取到安全不易泄漏的收集器内，回收或运至废物处理场所处置。</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2）加强运输风险管理，设置警示标识，配备相应数量灭火器，开展员工安全培训；加强污染防治设施管理和维护。</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3）本项目各废水沉淀池池体、池底采用砖混修建，具有良好的防渗功能。发生人为破坏致池体垮塌的风险极小。沉淀泥沙清掏作业尽量安排专人进行指导，避免误操作损坏池体，发生事故排放。</w:t>
            </w:r>
          </w:p>
          <w:p>
            <w:pPr>
              <w:spacing w:line="360" w:lineRule="auto"/>
              <w:ind w:firstLine="480" w:firstLineChars="200"/>
              <w:rPr>
                <w:color w:val="000000" w:themeColor="text1"/>
                <w:szCs w:val="24"/>
                <w14:textFill>
                  <w14:solidFill>
                    <w14:schemeClr w14:val="tx1"/>
                  </w14:solidFill>
                </w14:textFill>
              </w:rPr>
            </w:pPr>
            <w:r>
              <w:rPr>
                <w:rFonts w:eastAsia="仿宋_GB2312"/>
                <w:color w:val="000000" w:themeColor="text1"/>
                <w:szCs w:val="24"/>
                <w14:textFill>
                  <w14:solidFill>
                    <w14:schemeClr w14:val="tx1"/>
                  </w14:solidFill>
                </w14:textFill>
              </w:rPr>
              <w:t>4）</w:t>
            </w:r>
            <w:r>
              <w:rPr>
                <w:color w:val="000000" w:themeColor="text1"/>
                <w:szCs w:val="24"/>
                <w14:textFill>
                  <w14:solidFill>
                    <w14:schemeClr w14:val="tx1"/>
                  </w14:solidFill>
                </w14:textFill>
              </w:rPr>
              <w:t>废气处理设施应保证其有效运行和去除效率，当发现设备故障或去除效率下降时，尽快安排检修，减少污染物排放。</w:t>
            </w:r>
          </w:p>
          <w:p>
            <w:pPr>
              <w:spacing w:line="360" w:lineRule="auto"/>
              <w:ind w:firstLine="480" w:firstLineChars="200"/>
              <w:rPr>
                <w:color w:val="000000" w:themeColor="text1"/>
                <w:szCs w:val="24"/>
                <w14:textFill>
                  <w14:solidFill>
                    <w14:schemeClr w14:val="tx1"/>
                  </w14:solidFill>
                </w14:textFill>
              </w:rPr>
            </w:pPr>
            <w:r>
              <w:rPr>
                <w:rFonts w:eastAsia="仿宋_GB2312"/>
                <w:color w:val="000000" w:themeColor="text1"/>
                <w:szCs w:val="24"/>
                <w14:textFill>
                  <w14:solidFill>
                    <w14:schemeClr w14:val="tx1"/>
                  </w14:solidFill>
                </w14:textFill>
              </w:rPr>
              <w:t>5）</w:t>
            </w:r>
            <w:r>
              <w:rPr>
                <w:color w:val="000000" w:themeColor="text1"/>
                <w:szCs w:val="24"/>
                <w14:textFill>
                  <w14:solidFill>
                    <w14:schemeClr w14:val="tx1"/>
                  </w14:solidFill>
                </w14:textFill>
              </w:rPr>
              <w:t>加强污水处理</w:t>
            </w:r>
            <w:r>
              <w:rPr>
                <w:rFonts w:hint="eastAsia"/>
                <w:color w:val="000000" w:themeColor="text1"/>
                <w:szCs w:val="24"/>
                <w14:textFill>
                  <w14:solidFill>
                    <w14:schemeClr w14:val="tx1"/>
                  </w14:solidFill>
                </w14:textFill>
              </w:rPr>
              <w:t>设施</w:t>
            </w:r>
            <w:r>
              <w:rPr>
                <w:color w:val="000000" w:themeColor="text1"/>
                <w:szCs w:val="24"/>
                <w14:textFill>
                  <w14:solidFill>
                    <w14:schemeClr w14:val="tx1"/>
                  </w14:solidFill>
                </w14:textFill>
              </w:rPr>
              <w:t xml:space="preserve">的定期检查、维护，及早发现消灭事故隐患。沉淀池和污水处理罐均采取防雨淋措施，避免暴雨季节雨水冲刷。  </w:t>
            </w:r>
          </w:p>
          <w:p>
            <w:pPr>
              <w:spacing w:line="360" w:lineRule="auto"/>
              <w:ind w:firstLine="360" w:firstLineChars="150"/>
              <w:rPr>
                <w:bCs/>
                <w:color w:val="000000" w:themeColor="text1"/>
                <w14:textFill>
                  <w14:solidFill>
                    <w14:schemeClr w14:val="tx1"/>
                  </w14:solidFill>
                </w14:textFill>
              </w:rPr>
            </w:pPr>
            <w:r>
              <w:rPr>
                <w:rFonts w:eastAsia="仿宋_GB2312"/>
                <w:color w:val="000000" w:themeColor="text1"/>
                <w:szCs w:val="24"/>
                <w14:textFill>
                  <w14:solidFill>
                    <w14:schemeClr w14:val="tx1"/>
                  </w14:solidFill>
                </w14:textFill>
              </w:rPr>
              <w:t>6）</w:t>
            </w:r>
            <w:r>
              <w:rPr>
                <w:color w:val="000000" w:themeColor="text1"/>
                <w:szCs w:val="24"/>
                <w14:textFill>
                  <w14:solidFill>
                    <w14:schemeClr w14:val="tx1"/>
                  </w14:solidFill>
                </w14:textFill>
              </w:rPr>
              <w:t>规范厂区废水收集装置，在砂石生产区周边设置收集沟，将整个厂区内场地散水收集</w:t>
            </w:r>
            <w:r>
              <w:rPr>
                <w:rFonts w:hint="eastAsia"/>
                <w:color w:val="000000" w:themeColor="text1"/>
                <w:szCs w:val="24"/>
                <w14:textFill>
                  <w14:solidFill>
                    <w14:schemeClr w14:val="tx1"/>
                  </w14:solidFill>
                </w14:textFill>
              </w:rPr>
              <w:t>至散水收集池处理</w:t>
            </w:r>
            <w:r>
              <w:rPr>
                <w:color w:val="000000" w:themeColor="text1"/>
                <w:szCs w:val="24"/>
                <w14:textFill>
                  <w14:solidFill>
                    <w14:schemeClr w14:val="tx1"/>
                  </w14:solidFill>
                </w14:textFill>
              </w:rPr>
              <w:t>后循环使用，不外排。</w:t>
            </w:r>
          </w:p>
          <w:p>
            <w:pPr>
              <w:spacing w:line="360" w:lineRule="auto"/>
              <w:ind w:firstLine="361" w:firstLineChars="150"/>
              <w:rPr>
                <w:b/>
                <w:color w:val="000000" w:themeColor="text1"/>
                <w14:textFill>
                  <w14:solidFill>
                    <w14:schemeClr w14:val="tx1"/>
                  </w14:solidFill>
                </w14:textFill>
              </w:rPr>
            </w:pPr>
            <w:r>
              <w:rPr>
                <w:rFonts w:hint="eastAsia"/>
                <w:b/>
                <w:color w:val="000000" w:themeColor="text1"/>
                <w14:textFill>
                  <w14:solidFill>
                    <w14:schemeClr w14:val="tx1"/>
                  </w14:solidFill>
                </w14:textFill>
              </w:rPr>
              <w:t>（4）环境风险评价结论</w:t>
            </w:r>
          </w:p>
          <w:p>
            <w:pPr>
              <w:spacing w:line="360" w:lineRule="auto"/>
              <w:ind w:firstLine="360" w:firstLineChars="15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本项目风险源主要为机油、废机油和废水处理设施。通过采取上述风险防范措施，环境风险是可控的。因此，从环境风险角度分析本项目建设可行。</w:t>
            </w:r>
          </w:p>
          <w:p>
            <w:pPr>
              <w:numPr>
                <w:ilvl w:val="0"/>
                <w:numId w:val="3"/>
              </w:numPr>
              <w:spacing w:line="360" w:lineRule="auto"/>
              <w:ind w:firstLine="482" w:firstLineChars="200"/>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环保投资</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本项目总投资</w:t>
            </w:r>
            <w:r>
              <w:rPr>
                <w:rFonts w:hint="eastAsia"/>
                <w:color w:val="000000" w:themeColor="text1"/>
                <w:szCs w:val="24"/>
                <w14:textFill>
                  <w14:solidFill>
                    <w14:schemeClr w14:val="tx1"/>
                  </w14:solidFill>
                </w14:textFill>
              </w:rPr>
              <w:t>180</w:t>
            </w:r>
            <w:r>
              <w:rPr>
                <w:color w:val="000000" w:themeColor="text1"/>
                <w:szCs w:val="24"/>
                <w14:textFill>
                  <w14:solidFill>
                    <w14:schemeClr w14:val="tx1"/>
                  </w14:solidFill>
                </w14:textFill>
              </w:rPr>
              <w:t>万元，环保投资约</w:t>
            </w:r>
            <w:r>
              <w:rPr>
                <w:rFonts w:hint="eastAsia"/>
                <w:color w:val="000000" w:themeColor="text1"/>
                <w:szCs w:val="24"/>
                <w14:textFill>
                  <w14:solidFill>
                    <w14:schemeClr w14:val="tx1"/>
                  </w14:solidFill>
                </w14:textFill>
              </w:rPr>
              <w:t>45</w:t>
            </w:r>
            <w:r>
              <w:rPr>
                <w:color w:val="000000" w:themeColor="text1"/>
                <w:szCs w:val="24"/>
                <w14:textFill>
                  <w14:solidFill>
                    <w14:schemeClr w14:val="tx1"/>
                  </w14:solidFill>
                </w14:textFill>
              </w:rPr>
              <w:t>万元，占总投资的</w:t>
            </w:r>
            <w:r>
              <w:rPr>
                <w:rFonts w:hint="eastAsia"/>
                <w:color w:val="000000" w:themeColor="text1"/>
                <w14:textFill>
                  <w14:solidFill>
                    <w14:schemeClr w14:val="tx1"/>
                  </w14:solidFill>
                </w14:textFill>
              </w:rPr>
              <w:t>25</w:t>
            </w:r>
            <w:r>
              <w:rPr>
                <w:color w:val="000000" w:themeColor="text1"/>
                <w:szCs w:val="24"/>
                <w14:textFill>
                  <w14:solidFill>
                    <w14:schemeClr w14:val="tx1"/>
                  </w14:solidFill>
                </w14:textFill>
              </w:rPr>
              <w:t>%，主要环保措施及投资估算见表4-18。</w:t>
            </w:r>
          </w:p>
          <w:p>
            <w:pPr>
              <w:spacing w:line="360" w:lineRule="auto"/>
              <w:jc w:val="center"/>
              <w:rPr>
                <w:rFonts w:eastAsia="黑体"/>
                <w:color w:val="000000" w:themeColor="text1"/>
                <w:sz w:val="21"/>
                <w14:textFill>
                  <w14:solidFill>
                    <w14:schemeClr w14:val="tx1"/>
                  </w14:solidFill>
                </w14:textFill>
              </w:rPr>
            </w:pPr>
            <w:r>
              <w:rPr>
                <w:rFonts w:eastAsia="黑体"/>
                <w:b/>
                <w:bCs/>
                <w:color w:val="000000" w:themeColor="text1"/>
                <w:kern w:val="0"/>
                <w:sz w:val="20"/>
                <w:szCs w:val="20"/>
                <w14:textFill>
                  <w14:solidFill>
                    <w14:schemeClr w14:val="tx1"/>
                  </w14:solidFill>
                </w14:textFill>
              </w:rPr>
              <w:t>表4-18  环保投资估算一览表</w:t>
            </w:r>
          </w:p>
          <w:tbl>
            <w:tblPr>
              <w:tblStyle w:val="38"/>
              <w:tblW w:w="5000"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754"/>
              <w:gridCol w:w="6076"/>
              <w:gridCol w:w="1065"/>
              <w:gridCol w:w="893"/>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429"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项目</w:t>
                  </w:r>
                </w:p>
              </w:tc>
              <w:tc>
                <w:tcPr>
                  <w:tcW w:w="3457"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环保设施（措施） 内容</w:t>
                  </w:r>
                </w:p>
              </w:tc>
              <w:tc>
                <w:tcPr>
                  <w:tcW w:w="606"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投资</w:t>
                  </w:r>
                </w:p>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（万元）</w:t>
                  </w:r>
                </w:p>
              </w:tc>
              <w:tc>
                <w:tcPr>
                  <w:tcW w:w="508"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备注</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429" w:type="pct"/>
                  <w:vMerge w:val="restart"/>
                  <w:vAlign w:val="center"/>
                </w:tcPr>
                <w:p>
                  <w:pPr>
                    <w:pStyle w:val="34"/>
                    <w:spacing w:before="65"/>
                    <w:ind w:left="143" w:right="129" w:hanging="5"/>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废气 治理</w:t>
                  </w:r>
                </w:p>
              </w:tc>
              <w:tc>
                <w:tcPr>
                  <w:tcW w:w="3457" w:type="pct"/>
                  <w:vAlign w:val="center"/>
                </w:tcPr>
                <w:p>
                  <w:pPr>
                    <w:pStyle w:val="34"/>
                    <w:spacing w:before="44"/>
                    <w:ind w:left="120" w:right="318" w:firstLine="5"/>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原料卸料粉尘：建设一个封闭式厂房，将原料堆场布置在厂房内，在堆场卸料作业区上方采取喷雾降尘措施</w:t>
                  </w:r>
                </w:p>
              </w:tc>
              <w:tc>
                <w:tcPr>
                  <w:tcW w:w="606"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15</w:t>
                  </w:r>
                </w:p>
              </w:tc>
              <w:tc>
                <w:tcPr>
                  <w:tcW w:w="508"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整改</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429" w:type="pct"/>
                  <w:vMerge w:val="continue"/>
                  <w:vAlign w:val="center"/>
                </w:tcPr>
                <w:p>
                  <w:pPr>
                    <w:jc w:val="center"/>
                    <w:rPr>
                      <w:color w:val="000000" w:themeColor="text1"/>
                      <w:sz w:val="21"/>
                      <w14:textFill>
                        <w14:solidFill>
                          <w14:schemeClr w14:val="tx1"/>
                        </w14:solidFill>
                      </w14:textFill>
                    </w:rPr>
                  </w:pPr>
                </w:p>
              </w:tc>
              <w:tc>
                <w:tcPr>
                  <w:tcW w:w="3457" w:type="pct"/>
                  <w:vAlign w:val="center"/>
                </w:tcPr>
                <w:p>
                  <w:pPr>
                    <w:pStyle w:val="34"/>
                    <w:spacing w:before="45" w:line="235" w:lineRule="auto"/>
                    <w:ind w:left="121" w:right="318"/>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给料机上料粉尘：给料机入料口处采取二次封闭、设三面围挡及顶部遮盖并采取喷雾降尘</w:t>
                  </w:r>
                </w:p>
              </w:tc>
              <w:tc>
                <w:tcPr>
                  <w:tcW w:w="606"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3.0</w:t>
                  </w:r>
                </w:p>
              </w:tc>
              <w:tc>
                <w:tcPr>
                  <w:tcW w:w="508"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整改</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429" w:type="pct"/>
                  <w:vMerge w:val="continue"/>
                  <w:vAlign w:val="center"/>
                </w:tcPr>
                <w:p>
                  <w:pPr>
                    <w:jc w:val="center"/>
                    <w:rPr>
                      <w:color w:val="000000" w:themeColor="text1"/>
                      <w:sz w:val="21"/>
                      <w14:textFill>
                        <w14:solidFill>
                          <w14:schemeClr w14:val="tx1"/>
                        </w14:solidFill>
                      </w14:textFill>
                    </w:rPr>
                  </w:pPr>
                </w:p>
              </w:tc>
              <w:tc>
                <w:tcPr>
                  <w:tcW w:w="3457" w:type="pct"/>
                  <w:vAlign w:val="center"/>
                </w:tcPr>
                <w:p>
                  <w:pPr>
                    <w:pStyle w:val="34"/>
                    <w:spacing w:before="45" w:line="214" w:lineRule="auto"/>
                    <w:ind w:left="12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破碎粉尘：布置在封闭式厂房内，对颚式破碎机、反击式破碎机以及之间的输送皮带，采取二次封闭措施。进 料口采取喷雾降尘</w:t>
                  </w:r>
                </w:p>
              </w:tc>
              <w:tc>
                <w:tcPr>
                  <w:tcW w:w="606"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5.0</w:t>
                  </w:r>
                </w:p>
              </w:tc>
              <w:tc>
                <w:tcPr>
                  <w:tcW w:w="508"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整改</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429" w:type="pct"/>
                  <w:vMerge w:val="continue"/>
                  <w:vAlign w:val="center"/>
                </w:tcPr>
                <w:p>
                  <w:pPr>
                    <w:jc w:val="center"/>
                    <w:rPr>
                      <w:color w:val="000000" w:themeColor="text1"/>
                      <w:sz w:val="21"/>
                      <w14:textFill>
                        <w14:solidFill>
                          <w14:schemeClr w14:val="tx1"/>
                        </w14:solidFill>
                      </w14:textFill>
                    </w:rPr>
                  </w:pPr>
                </w:p>
              </w:tc>
              <w:tc>
                <w:tcPr>
                  <w:tcW w:w="3457" w:type="pct"/>
                  <w:vAlign w:val="center"/>
                </w:tcPr>
                <w:p>
                  <w:pPr>
                    <w:pStyle w:val="34"/>
                    <w:spacing w:before="47" w:line="212" w:lineRule="auto"/>
                    <w:ind w:left="13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多级振动筛分粉尘：布置在封闭式厂房内，对筛分机采取二次封闭措施；振动筛分环节采取不间断冲水，实现湿法作业</w:t>
                  </w:r>
                </w:p>
              </w:tc>
              <w:tc>
                <w:tcPr>
                  <w:tcW w:w="606"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w:t>
                  </w:r>
                </w:p>
              </w:tc>
              <w:tc>
                <w:tcPr>
                  <w:tcW w:w="508"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已建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429" w:type="pct"/>
                  <w:vMerge w:val="continue"/>
                  <w:vAlign w:val="center"/>
                </w:tcPr>
                <w:p>
                  <w:pPr>
                    <w:jc w:val="center"/>
                    <w:rPr>
                      <w:color w:val="000000" w:themeColor="text1"/>
                      <w:sz w:val="21"/>
                      <w14:textFill>
                        <w14:solidFill>
                          <w14:schemeClr w14:val="tx1"/>
                        </w14:solidFill>
                      </w14:textFill>
                    </w:rPr>
                  </w:pPr>
                </w:p>
              </w:tc>
              <w:tc>
                <w:tcPr>
                  <w:tcW w:w="3457" w:type="pct"/>
                  <w:vAlign w:val="center"/>
                </w:tcPr>
                <w:p>
                  <w:pPr>
                    <w:pStyle w:val="34"/>
                    <w:spacing w:before="47" w:line="234" w:lineRule="auto"/>
                    <w:ind w:left="123" w:right="370" w:hanging="2"/>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制砂粉尘：制砂环节来料含水率较大，属于湿法作业；设备运行时为密闭运行，能够避免粉尘产生</w:t>
                  </w:r>
                </w:p>
              </w:tc>
              <w:tc>
                <w:tcPr>
                  <w:tcW w:w="606"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w:t>
                  </w:r>
                </w:p>
              </w:tc>
              <w:tc>
                <w:tcPr>
                  <w:tcW w:w="508"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已建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4" w:hRule="atLeast"/>
              </w:trPr>
              <w:tc>
                <w:tcPr>
                  <w:tcW w:w="429" w:type="pct"/>
                  <w:vMerge w:val="continue"/>
                  <w:vAlign w:val="center"/>
                </w:tcPr>
                <w:p>
                  <w:pPr>
                    <w:jc w:val="center"/>
                    <w:rPr>
                      <w:color w:val="000000" w:themeColor="text1"/>
                      <w:sz w:val="21"/>
                      <w14:textFill>
                        <w14:solidFill>
                          <w14:schemeClr w14:val="tx1"/>
                        </w14:solidFill>
                      </w14:textFill>
                    </w:rPr>
                  </w:pPr>
                </w:p>
              </w:tc>
              <w:tc>
                <w:tcPr>
                  <w:tcW w:w="3457" w:type="pct"/>
                  <w:vAlign w:val="center"/>
                </w:tcPr>
                <w:p>
                  <w:pPr>
                    <w:pStyle w:val="34"/>
                    <w:spacing w:before="47" w:line="234" w:lineRule="auto"/>
                    <w:ind w:left="69" w:right="160" w:firstLine="2"/>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皮带输送粉尘：皮带平稳运行、采取全封闭措施，采取湿法生产工艺</w:t>
                  </w:r>
                </w:p>
              </w:tc>
              <w:tc>
                <w:tcPr>
                  <w:tcW w:w="606"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2.0</w:t>
                  </w:r>
                </w:p>
              </w:tc>
              <w:tc>
                <w:tcPr>
                  <w:tcW w:w="508"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已建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429" w:type="pct"/>
                  <w:vMerge w:val="continue"/>
                  <w:vAlign w:val="center"/>
                </w:tcPr>
                <w:p>
                  <w:pPr>
                    <w:jc w:val="center"/>
                    <w:rPr>
                      <w:color w:val="000000" w:themeColor="text1"/>
                      <w:sz w:val="21"/>
                      <w14:textFill>
                        <w14:solidFill>
                          <w14:schemeClr w14:val="tx1"/>
                        </w14:solidFill>
                      </w14:textFill>
                    </w:rPr>
                  </w:pPr>
                </w:p>
              </w:tc>
              <w:tc>
                <w:tcPr>
                  <w:tcW w:w="3457" w:type="pct"/>
                  <w:vAlign w:val="center"/>
                </w:tcPr>
                <w:p>
                  <w:pPr>
                    <w:pStyle w:val="34"/>
                    <w:spacing w:before="47" w:line="234" w:lineRule="auto"/>
                    <w:ind w:left="128" w:right="318" w:hanging="6"/>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成品堆场扬尘：将成品堆场布置在封闭式厂房内，采取喷雾降尘，加强装车作业管理</w:t>
                  </w:r>
                </w:p>
              </w:tc>
              <w:tc>
                <w:tcPr>
                  <w:tcW w:w="606"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12</w:t>
                  </w:r>
                </w:p>
              </w:tc>
              <w:tc>
                <w:tcPr>
                  <w:tcW w:w="508"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整改</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429" w:type="pct"/>
                  <w:vMerge w:val="continue"/>
                  <w:vAlign w:val="center"/>
                </w:tcPr>
                <w:p>
                  <w:pPr>
                    <w:jc w:val="center"/>
                    <w:rPr>
                      <w:color w:val="000000" w:themeColor="text1"/>
                      <w:sz w:val="21"/>
                      <w14:textFill>
                        <w14:solidFill>
                          <w14:schemeClr w14:val="tx1"/>
                        </w14:solidFill>
                      </w14:textFill>
                    </w:rPr>
                  </w:pPr>
                </w:p>
              </w:tc>
              <w:tc>
                <w:tcPr>
                  <w:tcW w:w="3457"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运输扬尘：厂区地面硬化处理，进出口设车辆冲洗设施，运输车辆加盖篷布密闭运输</w:t>
                  </w:r>
                </w:p>
              </w:tc>
              <w:tc>
                <w:tcPr>
                  <w:tcW w:w="606"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0.5</w:t>
                  </w:r>
                </w:p>
              </w:tc>
              <w:tc>
                <w:tcPr>
                  <w:tcW w:w="508"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整改</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429" w:type="pct"/>
                  <w:vMerge w:val="continue"/>
                  <w:vAlign w:val="center"/>
                </w:tcPr>
                <w:p>
                  <w:pPr>
                    <w:jc w:val="center"/>
                    <w:rPr>
                      <w:color w:val="000000" w:themeColor="text1"/>
                      <w:sz w:val="21"/>
                      <w14:textFill>
                        <w14:solidFill>
                          <w14:schemeClr w14:val="tx1"/>
                        </w14:solidFill>
                      </w14:textFill>
                    </w:rPr>
                  </w:pPr>
                </w:p>
              </w:tc>
              <w:tc>
                <w:tcPr>
                  <w:tcW w:w="3457" w:type="pct"/>
                  <w:vAlign w:val="center"/>
                </w:tcPr>
                <w:p>
                  <w:pPr>
                    <w:pStyle w:val="34"/>
                    <w:spacing w:before="48" w:line="209" w:lineRule="auto"/>
                    <w:ind w:left="68"/>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食堂油烟：厨房设抽油烟机净化处理</w:t>
                  </w:r>
                </w:p>
              </w:tc>
              <w:tc>
                <w:tcPr>
                  <w:tcW w:w="606"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w:t>
                  </w:r>
                </w:p>
              </w:tc>
              <w:tc>
                <w:tcPr>
                  <w:tcW w:w="508"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已建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429" w:type="pct"/>
                  <w:vMerge w:val="restart"/>
                  <w:vAlign w:val="center"/>
                </w:tcPr>
                <w:p>
                  <w:pPr>
                    <w:pStyle w:val="34"/>
                    <w:spacing w:before="65"/>
                    <w:ind w:left="143" w:right="129" w:hanging="5"/>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废水 治理</w:t>
                  </w:r>
                </w:p>
              </w:tc>
              <w:tc>
                <w:tcPr>
                  <w:tcW w:w="3457" w:type="pct"/>
                  <w:vAlign w:val="center"/>
                </w:tcPr>
                <w:p>
                  <w:pPr>
                    <w:pStyle w:val="34"/>
                    <w:spacing w:before="49"/>
                    <w:ind w:left="77"/>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洗砂废水：设废水处理系统1套，包括</w:t>
                  </w:r>
                  <w:r>
                    <w:rPr>
                      <w:rFonts w:hint="eastAsia" w:ascii="Times New Roman" w:hAnsi="Times New Roman" w:cs="Times New Roman"/>
                      <w:snapToGrid/>
                      <w:color w:val="000000" w:themeColor="text1"/>
                      <w:kern w:val="2"/>
                      <w:sz w:val="21"/>
                      <w:szCs w:val="21"/>
                      <w:lang w:eastAsia="zh-CN"/>
                      <w14:textFill>
                        <w14:solidFill>
                          <w14:schemeClr w14:val="tx1"/>
                        </w14:solidFill>
                      </w14:textFill>
                    </w:rPr>
                    <w:t>废水收集池、澄清水塔</w:t>
                  </w:r>
                  <w:r>
                    <w:rPr>
                      <w:rFonts w:ascii="Times New Roman" w:hAnsi="Times New Roman" w:cs="Times New Roman"/>
                      <w:snapToGrid/>
                      <w:color w:val="000000" w:themeColor="text1"/>
                      <w:kern w:val="2"/>
                      <w:sz w:val="21"/>
                      <w:szCs w:val="21"/>
                      <w:lang w:eastAsia="zh-CN"/>
                      <w14:textFill>
                        <w14:solidFill>
                          <w14:schemeClr w14:val="tx1"/>
                        </w14:solidFill>
                      </w14:textFill>
                    </w:rPr>
                    <w:t>、加药机及水泵等，采用“絮凝沉淀”工艺处理系统 1 套，处理后全部回用不外排</w:t>
                  </w:r>
                </w:p>
              </w:tc>
              <w:tc>
                <w:tcPr>
                  <w:tcW w:w="606"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w:t>
                  </w:r>
                </w:p>
              </w:tc>
              <w:tc>
                <w:tcPr>
                  <w:tcW w:w="508"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已建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429" w:type="pct"/>
                  <w:vMerge w:val="continue"/>
                  <w:vAlign w:val="center"/>
                </w:tcPr>
                <w:p>
                  <w:pPr>
                    <w:jc w:val="center"/>
                    <w:rPr>
                      <w:color w:val="000000" w:themeColor="text1"/>
                      <w:sz w:val="21"/>
                      <w14:textFill>
                        <w14:solidFill>
                          <w14:schemeClr w14:val="tx1"/>
                        </w14:solidFill>
                      </w14:textFill>
                    </w:rPr>
                  </w:pPr>
                </w:p>
              </w:tc>
              <w:tc>
                <w:tcPr>
                  <w:tcW w:w="3457" w:type="pct"/>
                  <w:vAlign w:val="center"/>
                </w:tcPr>
                <w:p>
                  <w:pPr>
                    <w:pStyle w:val="34"/>
                    <w:spacing w:before="50" w:line="233" w:lineRule="auto"/>
                    <w:ind w:left="7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产品渗沥水：堆场设导水沟接通沉淀池，渗沥水收集至洗砂废水处理设施处理后回用不外排</w:t>
                  </w:r>
                </w:p>
              </w:tc>
              <w:tc>
                <w:tcPr>
                  <w:tcW w:w="606"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3</w:t>
                  </w:r>
                </w:p>
              </w:tc>
              <w:tc>
                <w:tcPr>
                  <w:tcW w:w="508"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整改</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429" w:type="pct"/>
                  <w:vMerge w:val="continue"/>
                  <w:vAlign w:val="center"/>
                </w:tcPr>
                <w:p>
                  <w:pPr>
                    <w:jc w:val="center"/>
                    <w:rPr>
                      <w:color w:val="000000" w:themeColor="text1"/>
                      <w:sz w:val="21"/>
                      <w14:textFill>
                        <w14:solidFill>
                          <w14:schemeClr w14:val="tx1"/>
                        </w14:solidFill>
                      </w14:textFill>
                    </w:rPr>
                  </w:pPr>
                </w:p>
              </w:tc>
              <w:tc>
                <w:tcPr>
                  <w:tcW w:w="3457" w:type="pct"/>
                  <w:vAlign w:val="center"/>
                </w:tcPr>
                <w:p>
                  <w:pPr>
                    <w:pStyle w:val="34"/>
                    <w:spacing w:before="47" w:line="234" w:lineRule="auto"/>
                    <w:ind w:left="77" w:right="181" w:firstLine="2"/>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车辆冲洗废水：车辆冲洗区设沉淀池（容积4</w:t>
                  </w:r>
                  <w:r>
                    <w:rPr>
                      <w:rFonts w:hint="eastAsia" w:ascii="Times New Roman" w:hAnsi="Times New Roman" w:cs="Times New Roman"/>
                      <w:snapToGrid/>
                      <w:color w:val="000000" w:themeColor="text1"/>
                      <w:kern w:val="2"/>
                      <w:sz w:val="21"/>
                      <w:szCs w:val="21"/>
                      <w:lang w:eastAsia="zh-CN"/>
                      <w14:textFill>
                        <w14:solidFill>
                          <w14:schemeClr w14:val="tx1"/>
                        </w14:solidFill>
                      </w14:textFill>
                    </w:rPr>
                    <w:t>m³</w:t>
                  </w:r>
                  <w:r>
                    <w:rPr>
                      <w:rFonts w:ascii="Times New Roman" w:hAnsi="Times New Roman" w:cs="Times New Roman"/>
                      <w:snapToGrid/>
                      <w:color w:val="000000" w:themeColor="text1"/>
                      <w:kern w:val="2"/>
                      <w:sz w:val="21"/>
                      <w:szCs w:val="21"/>
                      <w:lang w:eastAsia="zh-CN"/>
                      <w14:textFill>
                        <w14:solidFill>
                          <w14:schemeClr w14:val="tx1"/>
                        </w14:solidFill>
                      </w14:textFill>
                    </w:rPr>
                    <w:t>）收集冲 洗废水，沉淀处理后回用不外排</w:t>
                  </w:r>
                </w:p>
              </w:tc>
              <w:tc>
                <w:tcPr>
                  <w:tcW w:w="606"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w:t>
                  </w:r>
                </w:p>
              </w:tc>
              <w:tc>
                <w:tcPr>
                  <w:tcW w:w="508"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已建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429" w:type="pct"/>
                  <w:vMerge w:val="continue"/>
                  <w:vAlign w:val="center"/>
                </w:tcPr>
                <w:p>
                  <w:pPr>
                    <w:jc w:val="center"/>
                    <w:rPr>
                      <w:color w:val="000000" w:themeColor="text1"/>
                      <w:sz w:val="21"/>
                      <w14:textFill>
                        <w14:solidFill>
                          <w14:schemeClr w14:val="tx1"/>
                        </w14:solidFill>
                      </w14:textFill>
                    </w:rPr>
                  </w:pPr>
                </w:p>
              </w:tc>
              <w:tc>
                <w:tcPr>
                  <w:tcW w:w="3457" w:type="pct"/>
                  <w:vAlign w:val="center"/>
                </w:tcPr>
                <w:p>
                  <w:pPr>
                    <w:pStyle w:val="34"/>
                    <w:spacing w:before="50" w:line="233" w:lineRule="auto"/>
                    <w:ind w:left="80" w:right="199" w:hanging="3"/>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场地初期雨水：在厂区地势最低处设置 1 个雨水收集池， 容积约 50</w:t>
                  </w:r>
                  <w:r>
                    <w:rPr>
                      <w:rFonts w:hint="eastAsia" w:ascii="Times New Roman" w:hAnsi="Times New Roman" w:cs="Times New Roman"/>
                      <w:snapToGrid/>
                      <w:color w:val="000000" w:themeColor="text1"/>
                      <w:kern w:val="2"/>
                      <w:sz w:val="21"/>
                      <w:szCs w:val="21"/>
                      <w:lang w:eastAsia="zh-CN"/>
                      <w14:textFill>
                        <w14:solidFill>
                          <w14:schemeClr w14:val="tx1"/>
                        </w14:solidFill>
                      </w14:textFill>
                    </w:rPr>
                    <w:t>m³</w:t>
                  </w:r>
                  <w:r>
                    <w:rPr>
                      <w:rFonts w:ascii="Times New Roman" w:hAnsi="Times New Roman" w:cs="Times New Roman"/>
                      <w:snapToGrid/>
                      <w:color w:val="000000" w:themeColor="text1"/>
                      <w:kern w:val="2"/>
                      <w:sz w:val="21"/>
                      <w:szCs w:val="21"/>
                      <w:lang w:eastAsia="zh-CN"/>
                      <w14:textFill>
                        <w14:solidFill>
                          <w14:schemeClr w14:val="tx1"/>
                        </w14:solidFill>
                      </w14:textFill>
                    </w:rPr>
                    <w:t>，初期雨水回用生产不外排</w:t>
                  </w:r>
                </w:p>
              </w:tc>
              <w:tc>
                <w:tcPr>
                  <w:tcW w:w="606"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w:t>
                  </w:r>
                </w:p>
              </w:tc>
              <w:tc>
                <w:tcPr>
                  <w:tcW w:w="508"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已建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429" w:type="pct"/>
                  <w:vMerge w:val="continue"/>
                  <w:vAlign w:val="center"/>
                </w:tcPr>
                <w:p>
                  <w:pPr>
                    <w:jc w:val="center"/>
                    <w:rPr>
                      <w:color w:val="000000" w:themeColor="text1"/>
                      <w:sz w:val="21"/>
                      <w14:textFill>
                        <w14:solidFill>
                          <w14:schemeClr w14:val="tx1"/>
                        </w14:solidFill>
                      </w14:textFill>
                    </w:rPr>
                  </w:pPr>
                </w:p>
              </w:tc>
              <w:tc>
                <w:tcPr>
                  <w:tcW w:w="3457" w:type="pct"/>
                  <w:vAlign w:val="center"/>
                </w:tcPr>
                <w:p>
                  <w:pPr>
                    <w:pStyle w:val="34"/>
                    <w:spacing w:before="47" w:line="234" w:lineRule="auto"/>
                    <w:ind w:left="77" w:right="325" w:firstLine="1"/>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ascii="Times New Roman" w:hAnsi="Times New Roman" w:cs="Times New Roman"/>
                      <w:snapToGrid/>
                      <w:color w:val="000000" w:themeColor="text1"/>
                      <w:kern w:val="2"/>
                      <w:sz w:val="21"/>
                      <w:szCs w:val="21"/>
                      <w:lang w:eastAsia="zh-CN"/>
                      <w14:textFill>
                        <w14:solidFill>
                          <w14:schemeClr w14:val="tx1"/>
                        </w14:solidFill>
                      </w14:textFill>
                    </w:rPr>
                    <w:t xml:space="preserve">生活污水：设化粪池1个（容积 </w:t>
                  </w:r>
                  <w:r>
                    <w:rPr>
                      <w:rFonts w:hint="eastAsia" w:ascii="Times New Roman" w:hAnsi="Times New Roman" w:cs="Times New Roman"/>
                      <w:snapToGrid/>
                      <w:color w:val="000000" w:themeColor="text1"/>
                      <w:kern w:val="2"/>
                      <w:sz w:val="21"/>
                      <w:szCs w:val="21"/>
                      <w:lang w:eastAsia="zh-CN"/>
                      <w14:textFill>
                        <w14:solidFill>
                          <w14:schemeClr w14:val="tx1"/>
                        </w14:solidFill>
                      </w14:textFill>
                    </w:rPr>
                    <w:t>3m³</w:t>
                  </w:r>
                  <w:r>
                    <w:rPr>
                      <w:rFonts w:ascii="Times New Roman" w:hAnsi="Times New Roman" w:cs="Times New Roman"/>
                      <w:snapToGrid/>
                      <w:color w:val="000000" w:themeColor="text1"/>
                      <w:kern w:val="2"/>
                      <w:sz w:val="21"/>
                      <w:szCs w:val="21"/>
                      <w:lang w:eastAsia="zh-CN"/>
                      <w14:textFill>
                        <w14:solidFill>
                          <w14:schemeClr w14:val="tx1"/>
                        </w14:solidFill>
                      </w14:textFill>
                    </w:rPr>
                    <w:t>），收集后由附近农户定期清掏做农肥</w:t>
                  </w:r>
                </w:p>
              </w:tc>
              <w:tc>
                <w:tcPr>
                  <w:tcW w:w="606"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ascii="Times New Roman" w:hAnsi="Times New Roman" w:cs="Times New Roman"/>
                      <w:snapToGrid/>
                      <w:color w:val="000000" w:themeColor="text1"/>
                      <w:kern w:val="2"/>
                      <w:sz w:val="21"/>
                      <w:szCs w:val="21"/>
                      <w:lang w:eastAsia="zh-CN"/>
                      <w14:textFill>
                        <w14:solidFill>
                          <w14:schemeClr w14:val="tx1"/>
                        </w14:solidFill>
                      </w14:textFill>
                    </w:rPr>
                    <w:t>/</w:t>
                  </w:r>
                </w:p>
              </w:tc>
              <w:tc>
                <w:tcPr>
                  <w:tcW w:w="508" w:type="pct"/>
                  <w:vAlign w:val="center"/>
                </w:tcPr>
                <w:p>
                  <w:pPr>
                    <w:pStyle w:val="34"/>
                    <w:spacing w:before="47" w:line="234" w:lineRule="auto"/>
                    <w:ind w:left="67" w:right="150"/>
                    <w:jc w:val="center"/>
                    <w:rPr>
                      <w:rFonts w:ascii="Times New Roman" w:hAnsi="Times New Roman" w:cs="Times New Roman"/>
                      <w:snapToGrid/>
                      <w:color w:val="000000" w:themeColor="text1"/>
                      <w:kern w:val="2"/>
                      <w:sz w:val="21"/>
                      <w:szCs w:val="21"/>
                      <w:lang w:eastAsia="zh-CN"/>
                      <w14:textFill>
                        <w14:solidFill>
                          <w14:schemeClr w14:val="tx1"/>
                        </w14:solidFill>
                      </w14:textFill>
                    </w:rPr>
                  </w:pPr>
                  <w:r>
                    <w:rPr>
                      <w:rFonts w:hint="eastAsia"/>
                      <w:color w:val="000000" w:themeColor="text1"/>
                      <w:sz w:val="21"/>
                      <w:lang w:eastAsia="zh-CN"/>
                      <w14:textFill>
                        <w14:solidFill>
                          <w14:schemeClr w14:val="tx1"/>
                        </w14:solidFill>
                      </w14:textFill>
                    </w:rPr>
                    <w:t>已建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429"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噪声 治理</w:t>
                  </w:r>
                </w:p>
              </w:tc>
              <w:tc>
                <w:tcPr>
                  <w:tcW w:w="3457" w:type="pct"/>
                  <w:vAlign w:val="center"/>
                </w:tcPr>
                <w:p>
                  <w:pPr>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选用环保型低噪声设备、安装时采取基础减振；加强设</w:t>
                  </w:r>
                  <w:r>
                    <w:rPr>
                      <w:snapToGrid w:val="0"/>
                      <w:color w:val="000000" w:themeColor="text1"/>
                      <w:sz w:val="21"/>
                      <w14:textFill>
                        <w14:solidFill>
                          <w14:schemeClr w14:val="tx1"/>
                        </w14:solidFill>
                      </w14:textFill>
                    </w:rPr>
                    <w:t>备的维护保养；车间内优化布局，尽量远离厂房边界； 合理安排生产及运输作业时间</w:t>
                  </w:r>
                </w:p>
              </w:tc>
              <w:tc>
                <w:tcPr>
                  <w:tcW w:w="606"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w:t>
                  </w:r>
                </w:p>
              </w:tc>
              <w:tc>
                <w:tcPr>
                  <w:tcW w:w="508"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新建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429" w:type="pct"/>
                  <w:vMerge w:val="restar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固废处置</w:t>
                  </w:r>
                </w:p>
              </w:tc>
              <w:tc>
                <w:tcPr>
                  <w:tcW w:w="3457"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沉淀泥砂：定期清理至板框压滤机压滤处理后，临时堆“存在压滤机下方的贮存池，贮存池位于车间内防渗、防雨、防流失，压滤后的泥饼定期外运至砖厂做制砖原料利用</w:t>
                  </w:r>
                </w:p>
              </w:tc>
              <w:tc>
                <w:tcPr>
                  <w:tcW w:w="606"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508"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依托</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429" w:type="pct"/>
                  <w:vMerge w:val="continue"/>
                  <w:vAlign w:val="center"/>
                </w:tcPr>
                <w:p>
                  <w:pPr>
                    <w:jc w:val="center"/>
                    <w:rPr>
                      <w:color w:val="000000" w:themeColor="text1"/>
                      <w:sz w:val="21"/>
                      <w14:textFill>
                        <w14:solidFill>
                          <w14:schemeClr w14:val="tx1"/>
                        </w14:solidFill>
                      </w14:textFill>
                    </w:rPr>
                  </w:pPr>
                </w:p>
              </w:tc>
              <w:tc>
                <w:tcPr>
                  <w:tcW w:w="3457"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废絮凝剂桶：由厂家定期回收</w:t>
                  </w:r>
                </w:p>
              </w:tc>
              <w:tc>
                <w:tcPr>
                  <w:tcW w:w="606"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c>
                <w:tcPr>
                  <w:tcW w:w="508"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429" w:type="pct"/>
                  <w:vMerge w:val="continue"/>
                  <w:vAlign w:val="center"/>
                </w:tcPr>
                <w:p>
                  <w:pPr>
                    <w:jc w:val="center"/>
                    <w:rPr>
                      <w:color w:val="000000" w:themeColor="text1"/>
                      <w:sz w:val="21"/>
                      <w14:textFill>
                        <w14:solidFill>
                          <w14:schemeClr w14:val="tx1"/>
                        </w14:solidFill>
                      </w14:textFill>
                    </w:rPr>
                  </w:pPr>
                </w:p>
              </w:tc>
              <w:tc>
                <w:tcPr>
                  <w:tcW w:w="3457"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废机油、废机油桶：属于危险废物。按照《危险废物贮存污染物控制标准》(GB18597-2023)的要求，设置规范的危废间，落实防风、防雨、防晒、防渗、防漏、防腐等环境污染防治措施，按《危险废物识别标志设置技术规范》 (HJ 1276-2022)的要求张贴标识标牌等，建立危废台账，委托有资质的单位回收处理</w:t>
                  </w:r>
                </w:p>
              </w:tc>
              <w:tc>
                <w:tcPr>
                  <w:tcW w:w="606"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2.5</w:t>
                  </w:r>
                </w:p>
              </w:tc>
              <w:tc>
                <w:tcPr>
                  <w:tcW w:w="508"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整改</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trPr>
              <w:tc>
                <w:tcPr>
                  <w:tcW w:w="3886" w:type="pct"/>
                  <w:gridSpan w:val="2"/>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合计</w:t>
                  </w:r>
                </w:p>
              </w:tc>
              <w:tc>
                <w:tcPr>
                  <w:tcW w:w="606"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45</w:t>
                  </w:r>
                </w:p>
              </w:tc>
              <w:tc>
                <w:tcPr>
                  <w:tcW w:w="508" w:type="pct"/>
                  <w:vAlign w:val="center"/>
                </w:tcPr>
                <w:p>
                  <w:pPr>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w:t>
                  </w:r>
                </w:p>
              </w:tc>
            </w:tr>
          </w:tbl>
          <w:p>
            <w:pPr>
              <w:spacing w:line="360" w:lineRule="auto"/>
              <w:ind w:firstLine="360" w:firstLineChars="150"/>
              <w:rPr>
                <w:bCs/>
                <w:color w:val="000000" w:themeColor="text1"/>
                <w14:textFill>
                  <w14:solidFill>
                    <w14:schemeClr w14:val="tx1"/>
                  </w14:solidFill>
                </w14:textFill>
              </w:rPr>
            </w:pPr>
          </w:p>
          <w:p>
            <w:pPr>
              <w:spacing w:line="360" w:lineRule="auto"/>
              <w:ind w:firstLine="360" w:firstLineChars="150"/>
              <w:rPr>
                <w:bCs/>
                <w:color w:val="000000" w:themeColor="text1"/>
                <w14:textFill>
                  <w14:solidFill>
                    <w14:schemeClr w14:val="tx1"/>
                  </w14:solidFill>
                </w14:textFill>
              </w:rPr>
            </w:pPr>
          </w:p>
          <w:p>
            <w:pPr>
              <w:spacing w:line="360" w:lineRule="auto"/>
              <w:ind w:firstLine="360" w:firstLineChars="150"/>
              <w:rPr>
                <w:bCs/>
                <w:color w:val="000000" w:themeColor="text1"/>
                <w14:textFill>
                  <w14:solidFill>
                    <w14:schemeClr w14:val="tx1"/>
                  </w14:solidFill>
                </w14:textFill>
              </w:rPr>
            </w:pPr>
          </w:p>
          <w:p>
            <w:pPr>
              <w:spacing w:line="360" w:lineRule="auto"/>
              <w:ind w:firstLine="360" w:firstLineChars="150"/>
              <w:rPr>
                <w:bCs/>
                <w:color w:val="000000" w:themeColor="text1"/>
                <w14:textFill>
                  <w14:solidFill>
                    <w14:schemeClr w14:val="tx1"/>
                  </w14:solidFill>
                </w14:textFill>
              </w:rPr>
            </w:pPr>
          </w:p>
          <w:p>
            <w:pPr>
              <w:spacing w:line="360" w:lineRule="auto"/>
              <w:ind w:firstLine="360" w:firstLineChars="150"/>
              <w:rPr>
                <w:bCs/>
                <w:color w:val="000000" w:themeColor="text1"/>
                <w14:textFill>
                  <w14:solidFill>
                    <w14:schemeClr w14:val="tx1"/>
                  </w14:solidFill>
                </w14:textFill>
              </w:rPr>
            </w:pPr>
          </w:p>
          <w:p>
            <w:pPr>
              <w:spacing w:line="360" w:lineRule="auto"/>
              <w:ind w:firstLine="360" w:firstLineChars="150"/>
              <w:rPr>
                <w:bCs/>
                <w:color w:val="000000" w:themeColor="text1"/>
                <w14:textFill>
                  <w14:solidFill>
                    <w14:schemeClr w14:val="tx1"/>
                  </w14:solidFill>
                </w14:textFill>
              </w:rPr>
            </w:pPr>
          </w:p>
          <w:p>
            <w:pPr>
              <w:spacing w:line="360" w:lineRule="auto"/>
              <w:ind w:firstLine="360" w:firstLineChars="150"/>
              <w:rPr>
                <w:bCs/>
                <w:color w:val="000000" w:themeColor="text1"/>
                <w14:textFill>
                  <w14:solidFill>
                    <w14:schemeClr w14:val="tx1"/>
                  </w14:solidFill>
                </w14:textFill>
              </w:rPr>
            </w:pPr>
          </w:p>
          <w:p>
            <w:pPr>
              <w:spacing w:line="360" w:lineRule="auto"/>
              <w:ind w:firstLine="360" w:firstLineChars="150"/>
              <w:rPr>
                <w:bCs/>
                <w:color w:val="000000" w:themeColor="text1"/>
                <w14:textFill>
                  <w14:solidFill>
                    <w14:schemeClr w14:val="tx1"/>
                  </w14:solidFill>
                </w14:textFill>
              </w:rPr>
            </w:pPr>
          </w:p>
          <w:p>
            <w:pPr>
              <w:spacing w:line="360" w:lineRule="auto"/>
              <w:ind w:firstLine="480" w:firstLineChars="200"/>
              <w:rPr>
                <w:color w:val="000000" w:themeColor="text1"/>
                <w:szCs w:val="24"/>
                <w14:textFill>
                  <w14:solidFill>
                    <w14:schemeClr w14:val="tx1"/>
                  </w14:solidFill>
                </w14:textFill>
              </w:rPr>
            </w:pPr>
          </w:p>
        </w:tc>
      </w:tr>
    </w:tbl>
    <w:p>
      <w:pPr>
        <w:spacing w:line="360" w:lineRule="auto"/>
        <w:rPr>
          <w:b/>
          <w:color w:val="000000" w:themeColor="text1"/>
          <w:sz w:val="28"/>
          <w:szCs w:val="28"/>
          <w14:textFill>
            <w14:solidFill>
              <w14:schemeClr w14:val="tx1"/>
            </w14:solidFill>
          </w14:textFill>
        </w:rPr>
        <w:sectPr>
          <w:pgSz w:w="11906" w:h="16838"/>
          <w:pgMar w:top="1134" w:right="1134" w:bottom="1134" w:left="1418" w:header="851" w:footer="992" w:gutter="0"/>
          <w:cols w:space="720" w:num="1"/>
          <w:docGrid w:type="lines" w:linePitch="312" w:charSpace="0"/>
        </w:sectPr>
      </w:pPr>
    </w:p>
    <w:p>
      <w:pPr>
        <w:pStyle w:val="18"/>
        <w:jc w:val="center"/>
        <w:rPr>
          <w:rFonts w:eastAsia="黑体"/>
          <w:b w:val="0"/>
          <w:color w:val="000000" w:themeColor="text1"/>
          <w:sz w:val="30"/>
          <w:szCs w:val="30"/>
          <w14:textFill>
            <w14:solidFill>
              <w14:schemeClr w14:val="tx1"/>
            </w14:solidFill>
          </w14:textFill>
        </w:rPr>
      </w:pPr>
      <w:r>
        <w:rPr>
          <w:rFonts w:eastAsia="黑体"/>
          <w:b w:val="0"/>
          <w:color w:val="000000" w:themeColor="text1"/>
          <w:sz w:val="30"/>
          <w:szCs w:val="30"/>
          <w14:textFill>
            <w14:solidFill>
              <w14:schemeClr w14:val="tx1"/>
            </w14:solidFill>
          </w14:textFill>
        </w:rPr>
        <w:t>五、环境保护措施监督检查清单</w:t>
      </w:r>
    </w:p>
    <w:tbl>
      <w:tblPr>
        <w:tblStyle w:val="15"/>
        <w:tblW w:w="94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1561"/>
        <w:gridCol w:w="1644"/>
        <w:gridCol w:w="3885"/>
        <w:gridCol w:w="1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tblHeader/>
        </w:trPr>
        <w:tc>
          <w:tcPr>
            <w:tcW w:w="936" w:type="dxa"/>
            <w:tcBorders>
              <w:tl2br w:val="single" w:color="auto" w:sz="4" w:space="0"/>
            </w:tcBorders>
            <w:vAlign w:val="center"/>
          </w:tcPr>
          <w:p>
            <w:pPr>
              <w:spacing w:line="380" w:lineRule="exact"/>
              <w:jc w:val="right"/>
              <w:rPr>
                <w:rFonts w:eastAsiaTheme="minorEastAsia"/>
                <w:b/>
                <w:bCs/>
                <w:color w:val="000000" w:themeColor="text1"/>
                <w:sz w:val="21"/>
                <w14:textFill>
                  <w14:solidFill>
                    <w14:schemeClr w14:val="tx1"/>
                  </w14:solidFill>
                </w14:textFill>
              </w:rPr>
            </w:pPr>
            <w:r>
              <w:rPr>
                <w:rFonts w:eastAsiaTheme="minorEastAsia"/>
                <w:b/>
                <w:bCs/>
                <w:color w:val="000000" w:themeColor="text1"/>
                <w:sz w:val="21"/>
                <w14:textFill>
                  <w14:solidFill>
                    <w14:schemeClr w14:val="tx1"/>
                  </w14:solidFill>
                </w14:textFill>
              </w:rPr>
              <w:t>内容</w:t>
            </w:r>
          </w:p>
          <w:p>
            <w:pPr>
              <w:spacing w:line="380" w:lineRule="exact"/>
              <w:jc w:val="left"/>
              <w:rPr>
                <w:rFonts w:eastAsiaTheme="minorEastAsia"/>
                <w:b/>
                <w:bCs/>
                <w:color w:val="000000" w:themeColor="text1"/>
                <w:sz w:val="21"/>
                <w14:textFill>
                  <w14:solidFill>
                    <w14:schemeClr w14:val="tx1"/>
                  </w14:solidFill>
                </w14:textFill>
              </w:rPr>
            </w:pPr>
            <w:r>
              <w:rPr>
                <w:rFonts w:eastAsiaTheme="minorEastAsia"/>
                <w:b/>
                <w:bCs/>
                <w:color w:val="000000" w:themeColor="text1"/>
                <w:sz w:val="21"/>
                <w14:textFill>
                  <w14:solidFill>
                    <w14:schemeClr w14:val="tx1"/>
                  </w14:solidFill>
                </w14:textFill>
              </w:rPr>
              <w:t>要素</w:t>
            </w:r>
          </w:p>
        </w:tc>
        <w:tc>
          <w:tcPr>
            <w:tcW w:w="1561" w:type="dxa"/>
            <w:vAlign w:val="center"/>
          </w:tcPr>
          <w:p>
            <w:pPr>
              <w:spacing w:line="380" w:lineRule="exact"/>
              <w:jc w:val="center"/>
              <w:rPr>
                <w:rFonts w:eastAsiaTheme="minorEastAsia"/>
                <w:b/>
                <w:bCs/>
                <w:color w:val="000000" w:themeColor="text1"/>
                <w:sz w:val="21"/>
                <w14:textFill>
                  <w14:solidFill>
                    <w14:schemeClr w14:val="tx1"/>
                  </w14:solidFill>
                </w14:textFill>
              </w:rPr>
            </w:pPr>
            <w:r>
              <w:rPr>
                <w:rFonts w:eastAsiaTheme="minorEastAsia"/>
                <w:b/>
                <w:bCs/>
                <w:color w:val="000000" w:themeColor="text1"/>
                <w:sz w:val="21"/>
                <w14:textFill>
                  <w14:solidFill>
                    <w14:schemeClr w14:val="tx1"/>
                  </w14:solidFill>
                </w14:textFill>
              </w:rPr>
              <w:t>排放口（编号、名称）/污染源</w:t>
            </w:r>
          </w:p>
        </w:tc>
        <w:tc>
          <w:tcPr>
            <w:tcW w:w="1644" w:type="dxa"/>
            <w:vAlign w:val="center"/>
          </w:tcPr>
          <w:p>
            <w:pPr>
              <w:spacing w:line="380" w:lineRule="exact"/>
              <w:jc w:val="center"/>
              <w:rPr>
                <w:rFonts w:eastAsiaTheme="minorEastAsia"/>
                <w:b/>
                <w:bCs/>
                <w:color w:val="000000" w:themeColor="text1"/>
                <w:sz w:val="21"/>
                <w14:textFill>
                  <w14:solidFill>
                    <w14:schemeClr w14:val="tx1"/>
                  </w14:solidFill>
                </w14:textFill>
              </w:rPr>
            </w:pPr>
            <w:r>
              <w:rPr>
                <w:rFonts w:eastAsiaTheme="minorEastAsia"/>
                <w:b/>
                <w:bCs/>
                <w:color w:val="000000" w:themeColor="text1"/>
                <w:sz w:val="21"/>
                <w14:textFill>
                  <w14:solidFill>
                    <w14:schemeClr w14:val="tx1"/>
                  </w14:solidFill>
                </w14:textFill>
              </w:rPr>
              <w:t>污染物项目</w:t>
            </w:r>
          </w:p>
        </w:tc>
        <w:tc>
          <w:tcPr>
            <w:tcW w:w="3885" w:type="dxa"/>
            <w:vAlign w:val="center"/>
          </w:tcPr>
          <w:p>
            <w:pPr>
              <w:spacing w:line="380" w:lineRule="exact"/>
              <w:jc w:val="center"/>
              <w:rPr>
                <w:rFonts w:eastAsiaTheme="minorEastAsia"/>
                <w:b/>
                <w:bCs/>
                <w:color w:val="000000" w:themeColor="text1"/>
                <w:sz w:val="21"/>
                <w14:textFill>
                  <w14:solidFill>
                    <w14:schemeClr w14:val="tx1"/>
                  </w14:solidFill>
                </w14:textFill>
              </w:rPr>
            </w:pPr>
            <w:r>
              <w:rPr>
                <w:rFonts w:eastAsiaTheme="minorEastAsia"/>
                <w:b/>
                <w:bCs/>
                <w:color w:val="000000" w:themeColor="text1"/>
                <w:sz w:val="21"/>
                <w14:textFill>
                  <w14:solidFill>
                    <w14:schemeClr w14:val="tx1"/>
                  </w14:solidFill>
                </w14:textFill>
              </w:rPr>
              <w:t>环境保护措施</w:t>
            </w:r>
          </w:p>
        </w:tc>
        <w:tc>
          <w:tcPr>
            <w:tcW w:w="1445" w:type="dxa"/>
            <w:vAlign w:val="center"/>
          </w:tcPr>
          <w:p>
            <w:pPr>
              <w:spacing w:line="380" w:lineRule="exact"/>
              <w:jc w:val="center"/>
              <w:rPr>
                <w:rFonts w:eastAsiaTheme="minorEastAsia"/>
                <w:b/>
                <w:bCs/>
                <w:color w:val="000000" w:themeColor="text1"/>
                <w:sz w:val="21"/>
                <w14:textFill>
                  <w14:solidFill>
                    <w14:schemeClr w14:val="tx1"/>
                  </w14:solidFill>
                </w14:textFill>
              </w:rPr>
            </w:pPr>
            <w:r>
              <w:rPr>
                <w:rFonts w:eastAsiaTheme="minorEastAsia"/>
                <w:b/>
                <w:bCs/>
                <w:color w:val="000000" w:themeColor="text1"/>
                <w:sz w:val="21"/>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restart"/>
            <w:vAlign w:val="center"/>
          </w:tcPr>
          <w:p>
            <w:pPr>
              <w:spacing w:line="380" w:lineRule="exact"/>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大气</w:t>
            </w:r>
          </w:p>
          <w:p>
            <w:pPr>
              <w:spacing w:line="380" w:lineRule="exact"/>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环境</w:t>
            </w:r>
          </w:p>
        </w:tc>
        <w:tc>
          <w:tcPr>
            <w:tcW w:w="1561" w:type="dxa"/>
            <w:vAlign w:val="center"/>
          </w:tcPr>
          <w:p>
            <w:pPr>
              <w:spacing w:line="38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施工现场</w:t>
            </w:r>
          </w:p>
        </w:tc>
        <w:tc>
          <w:tcPr>
            <w:tcW w:w="1644" w:type="dxa"/>
            <w:vAlign w:val="center"/>
          </w:tcPr>
          <w:p>
            <w:pPr>
              <w:spacing w:line="380" w:lineRule="exact"/>
              <w:jc w:val="center"/>
              <w:rPr>
                <w:rFonts w:eastAsiaTheme="minorEastAsia"/>
                <w:color w:val="000000" w:themeColor="text1"/>
                <w:sz w:val="21"/>
                <w14:textFill>
                  <w14:solidFill>
                    <w14:schemeClr w14:val="tx1"/>
                  </w14:solidFill>
                </w14:textFill>
              </w:rPr>
            </w:pPr>
            <w:r>
              <w:rPr>
                <w:rFonts w:hint="eastAsia" w:eastAsiaTheme="minorEastAsia"/>
                <w:color w:val="000000" w:themeColor="text1"/>
                <w:sz w:val="21"/>
                <w14:textFill>
                  <w14:solidFill>
                    <w14:schemeClr w14:val="tx1"/>
                  </w14:solidFill>
                </w14:textFill>
              </w:rPr>
              <w:t>施工扬尘</w:t>
            </w:r>
          </w:p>
        </w:tc>
        <w:tc>
          <w:tcPr>
            <w:tcW w:w="3885" w:type="dxa"/>
            <w:vAlign w:val="center"/>
          </w:tcPr>
          <w:p>
            <w:pPr>
              <w:spacing w:line="380" w:lineRule="exact"/>
              <w:jc w:val="center"/>
              <w:rPr>
                <w:rFonts w:eastAsiaTheme="minorEastAsia"/>
                <w:snapToGrid w:val="0"/>
                <w:color w:val="000000" w:themeColor="text1"/>
                <w:spacing w:val="-6"/>
                <w:sz w:val="21"/>
                <w14:textFill>
                  <w14:solidFill>
                    <w14:schemeClr w14:val="tx1"/>
                  </w14:solidFill>
                </w14:textFill>
              </w:rPr>
            </w:pPr>
            <w:r>
              <w:rPr>
                <w:rFonts w:hint="eastAsia" w:eastAsiaTheme="minorEastAsia"/>
                <w:color w:val="000000" w:themeColor="text1"/>
                <w:spacing w:val="-6"/>
                <w:sz w:val="21"/>
                <w14:textFill>
                  <w14:solidFill>
                    <w14:schemeClr w14:val="tx1"/>
                  </w14:solidFill>
                </w14:textFill>
              </w:rPr>
              <w:t>①</w:t>
            </w:r>
            <w:r>
              <w:rPr>
                <w:rFonts w:eastAsiaTheme="minorEastAsia"/>
                <w:color w:val="000000" w:themeColor="text1"/>
                <w:spacing w:val="-6"/>
                <w:sz w:val="21"/>
                <w14:textFill>
                  <w14:solidFill>
                    <w14:schemeClr w14:val="tx1"/>
                  </w14:solidFill>
                </w14:textFill>
              </w:rPr>
              <w:t>围挡作业；</w:t>
            </w:r>
            <w:r>
              <w:rPr>
                <w:rFonts w:hint="eastAsia" w:eastAsiaTheme="minorEastAsia"/>
                <w:color w:val="000000" w:themeColor="text1"/>
                <w:spacing w:val="-6"/>
                <w:sz w:val="21"/>
                <w14:textFill>
                  <w14:solidFill>
                    <w14:schemeClr w14:val="tx1"/>
                  </w14:solidFill>
                </w14:textFill>
              </w:rPr>
              <w:t>②</w:t>
            </w:r>
            <w:r>
              <w:rPr>
                <w:rFonts w:eastAsiaTheme="minorEastAsia"/>
                <w:color w:val="000000" w:themeColor="text1"/>
                <w:spacing w:val="-6"/>
                <w:sz w:val="21"/>
                <w14:textFill>
                  <w14:solidFill>
                    <w14:schemeClr w14:val="tx1"/>
                  </w14:solidFill>
                </w14:textFill>
              </w:rPr>
              <w:t>喷雾洒水、湿法作业；</w:t>
            </w:r>
            <w:r>
              <w:rPr>
                <w:rFonts w:hint="eastAsia" w:eastAsiaTheme="minorEastAsia"/>
                <w:color w:val="000000" w:themeColor="text1"/>
                <w:spacing w:val="-6"/>
                <w:sz w:val="21"/>
                <w14:textFill>
                  <w14:solidFill>
                    <w14:schemeClr w14:val="tx1"/>
                  </w14:solidFill>
                </w14:textFill>
              </w:rPr>
              <w:t>③</w:t>
            </w:r>
            <w:r>
              <w:rPr>
                <w:rFonts w:eastAsiaTheme="minorEastAsia"/>
                <w:color w:val="000000" w:themeColor="text1"/>
                <w:spacing w:val="-6"/>
                <w:sz w:val="21"/>
                <w14:textFill>
                  <w14:solidFill>
                    <w14:schemeClr w14:val="tx1"/>
                  </w14:solidFill>
                </w14:textFill>
              </w:rPr>
              <w:t>车辆冲洗</w:t>
            </w:r>
          </w:p>
        </w:tc>
        <w:tc>
          <w:tcPr>
            <w:tcW w:w="1445" w:type="dxa"/>
            <w:vAlign w:val="center"/>
          </w:tcPr>
          <w:p>
            <w:pPr>
              <w:pStyle w:val="34"/>
              <w:spacing w:before="61" w:line="253" w:lineRule="auto"/>
              <w:ind w:left="311" w:right="187" w:hanging="95"/>
              <w:rPr>
                <w:rFonts w:eastAsiaTheme="minorEastAsia"/>
                <w:color w:val="000000" w:themeColor="text1"/>
                <w:sz w:val="21"/>
                <w:lang w:eastAsia="zh-CN"/>
                <w14:textFill>
                  <w14:solidFill>
                    <w14:schemeClr w14:val="tx1"/>
                  </w14:solidFill>
                </w14:textFill>
              </w:rPr>
            </w:pPr>
            <w:r>
              <w:rPr>
                <w:spacing w:val="1"/>
                <w:sz w:val="20"/>
                <w:szCs w:val="20"/>
                <w:lang w:eastAsia="zh-CN"/>
              </w:rPr>
              <w:t>《四川省施工场地扬尘排放标准》（</w:t>
            </w:r>
            <w:r>
              <w:rPr>
                <w:rFonts w:ascii="Times New Roman" w:hAnsi="Times New Roman" w:eastAsia="Times New Roman" w:cs="Times New Roman"/>
                <w:sz w:val="20"/>
                <w:szCs w:val="20"/>
                <w:lang w:eastAsia="zh-CN"/>
              </w:rPr>
              <w:t>DB</w:t>
            </w:r>
            <w:r>
              <w:rPr>
                <w:rFonts w:ascii="Times New Roman" w:hAnsi="Times New Roman" w:eastAsia="Times New Roman" w:cs="Times New Roman"/>
                <w:spacing w:val="1"/>
                <w:sz w:val="20"/>
                <w:szCs w:val="20"/>
                <w:lang w:eastAsia="zh-CN"/>
              </w:rPr>
              <w:t>512682-2020</w:t>
            </w:r>
            <w:r>
              <w:rPr>
                <w:spacing w:val="1"/>
                <w:sz w:val="20"/>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continue"/>
            <w:vAlign w:val="center"/>
          </w:tcPr>
          <w:p>
            <w:pPr>
              <w:spacing w:line="380" w:lineRule="exact"/>
              <w:jc w:val="center"/>
              <w:rPr>
                <w:rFonts w:eastAsiaTheme="minorEastAsia"/>
                <w:color w:val="000000" w:themeColor="text1"/>
                <w:sz w:val="21"/>
                <w14:textFill>
                  <w14:solidFill>
                    <w14:schemeClr w14:val="tx1"/>
                  </w14:solidFill>
                </w14:textFill>
              </w:rPr>
            </w:pPr>
          </w:p>
        </w:tc>
        <w:tc>
          <w:tcPr>
            <w:tcW w:w="1561" w:type="dxa"/>
            <w:vAlign w:val="center"/>
          </w:tcPr>
          <w:p>
            <w:pPr>
              <w:spacing w:line="38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原料卸料</w:t>
            </w:r>
          </w:p>
        </w:tc>
        <w:tc>
          <w:tcPr>
            <w:tcW w:w="1644" w:type="dxa"/>
            <w:vAlign w:val="center"/>
          </w:tcPr>
          <w:p>
            <w:pPr>
              <w:spacing w:line="380" w:lineRule="exac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颗粒物</w:t>
            </w:r>
          </w:p>
        </w:tc>
        <w:tc>
          <w:tcPr>
            <w:tcW w:w="3885" w:type="dxa"/>
            <w:vAlign w:val="center"/>
          </w:tcPr>
          <w:p>
            <w:pPr>
              <w:spacing w:line="380" w:lineRule="exact"/>
              <w:jc w:val="center"/>
              <w:rPr>
                <w:color w:val="000000" w:themeColor="text1"/>
                <w:sz w:val="21"/>
                <w14:textFill>
                  <w14:solidFill>
                    <w14:schemeClr w14:val="tx1"/>
                  </w14:solidFill>
                </w14:textFill>
              </w:rPr>
            </w:pPr>
            <w:r>
              <w:rPr>
                <w:rFonts w:hint="eastAsia" w:eastAsiaTheme="minorEastAsia"/>
                <w:color w:val="000000" w:themeColor="text1"/>
                <w:spacing w:val="-6"/>
                <w:sz w:val="21"/>
                <w14:textFill>
                  <w14:solidFill>
                    <w14:schemeClr w14:val="tx1"/>
                  </w14:solidFill>
                </w14:textFill>
              </w:rPr>
              <w:t>建设一个封闭式厂房，将原料堆场、生 产线、成品堆场均布置在厂房内，在堆场卸料 作业区上方采取喷雾降 尘措施</w:t>
            </w:r>
            <w:r>
              <w:rPr>
                <w:rFonts w:eastAsiaTheme="minorEastAsia"/>
                <w:color w:val="000000" w:themeColor="text1"/>
                <w:spacing w:val="-6"/>
                <w:sz w:val="21"/>
                <w14:textFill>
                  <w14:solidFill>
                    <w14:schemeClr w14:val="tx1"/>
                  </w14:solidFill>
                </w14:textFill>
              </w:rPr>
              <w:t>。</w:t>
            </w:r>
          </w:p>
        </w:tc>
        <w:tc>
          <w:tcPr>
            <w:tcW w:w="1445" w:type="dxa"/>
            <w:vMerge w:val="restart"/>
            <w:vAlign w:val="center"/>
          </w:tcPr>
          <w:p>
            <w:pPr>
              <w:spacing w:line="380" w:lineRule="exact"/>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《大气污染物综合排放标准》（GB16297-1996）表2中二级标准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continue"/>
            <w:vAlign w:val="center"/>
          </w:tcPr>
          <w:p>
            <w:pPr>
              <w:spacing w:line="380" w:lineRule="exact"/>
              <w:jc w:val="center"/>
              <w:rPr>
                <w:rFonts w:eastAsiaTheme="minorEastAsia"/>
                <w:color w:val="000000" w:themeColor="text1"/>
                <w:sz w:val="21"/>
                <w14:textFill>
                  <w14:solidFill>
                    <w14:schemeClr w14:val="tx1"/>
                  </w14:solidFill>
                </w14:textFill>
              </w:rPr>
            </w:pPr>
          </w:p>
        </w:tc>
        <w:tc>
          <w:tcPr>
            <w:tcW w:w="1561" w:type="dxa"/>
            <w:vAlign w:val="center"/>
          </w:tcPr>
          <w:p>
            <w:pPr>
              <w:spacing w:line="380" w:lineRule="exact"/>
              <w:jc w:val="center"/>
              <w:rPr>
                <w:color w:val="000000" w:themeColor="text1"/>
                <w:sz w:val="21"/>
                <w14:textFill>
                  <w14:solidFill>
                    <w14:schemeClr w14:val="tx1"/>
                  </w14:solidFill>
                </w14:textFill>
              </w:rPr>
            </w:pPr>
            <w:r>
              <w:rPr>
                <w:spacing w:val="7"/>
                <w:sz w:val="20"/>
                <w:szCs w:val="20"/>
              </w:rPr>
              <w:t>给料机上料</w:t>
            </w:r>
          </w:p>
        </w:tc>
        <w:tc>
          <w:tcPr>
            <w:tcW w:w="1644" w:type="dxa"/>
            <w:vAlign w:val="center"/>
          </w:tcPr>
          <w:p>
            <w:pPr>
              <w:spacing w:line="380" w:lineRule="exac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颗粒物</w:t>
            </w:r>
          </w:p>
        </w:tc>
        <w:tc>
          <w:tcPr>
            <w:tcW w:w="3885" w:type="dxa"/>
            <w:vAlign w:val="center"/>
          </w:tcPr>
          <w:p>
            <w:pPr>
              <w:spacing w:line="380" w:lineRule="exact"/>
              <w:jc w:val="center"/>
              <w:rPr>
                <w:rFonts w:eastAsiaTheme="minorEastAsia"/>
                <w:color w:val="000000" w:themeColor="text1"/>
                <w:spacing w:val="-6"/>
                <w:sz w:val="21"/>
                <w14:textFill>
                  <w14:solidFill>
                    <w14:schemeClr w14:val="tx1"/>
                  </w14:solidFill>
                </w14:textFill>
              </w:rPr>
            </w:pPr>
            <w:r>
              <w:rPr>
                <w:rFonts w:hint="eastAsia" w:eastAsiaTheme="minorEastAsia"/>
                <w:color w:val="000000" w:themeColor="text1"/>
                <w:spacing w:val="-6"/>
                <w:sz w:val="21"/>
                <w14:textFill>
                  <w14:solidFill>
                    <w14:schemeClr w14:val="tx1"/>
                  </w14:solidFill>
                </w14:textFill>
              </w:rPr>
              <w:t>给料机入料口处采取二次封闭、设三面 围挡及顶部遮盖并采取喷雾降尘</w:t>
            </w:r>
          </w:p>
        </w:tc>
        <w:tc>
          <w:tcPr>
            <w:tcW w:w="1445" w:type="dxa"/>
            <w:vMerge w:val="continue"/>
            <w:vAlign w:val="center"/>
          </w:tcPr>
          <w:p>
            <w:pPr>
              <w:spacing w:line="380" w:lineRule="exact"/>
              <w:jc w:val="center"/>
              <w:rPr>
                <w:rFonts w:eastAsiaTheme="minorEastAsia"/>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continue"/>
            <w:vAlign w:val="center"/>
          </w:tcPr>
          <w:p>
            <w:pPr>
              <w:spacing w:line="380" w:lineRule="exact"/>
              <w:jc w:val="center"/>
              <w:rPr>
                <w:rFonts w:eastAsiaTheme="minorEastAsia"/>
                <w:color w:val="000000" w:themeColor="text1"/>
                <w:sz w:val="21"/>
                <w14:textFill>
                  <w14:solidFill>
                    <w14:schemeClr w14:val="tx1"/>
                  </w14:solidFill>
                </w14:textFill>
              </w:rPr>
            </w:pPr>
          </w:p>
        </w:tc>
        <w:tc>
          <w:tcPr>
            <w:tcW w:w="1561" w:type="dxa"/>
            <w:vAlign w:val="center"/>
          </w:tcPr>
          <w:p>
            <w:pPr>
              <w:spacing w:line="380" w:lineRule="exact"/>
              <w:jc w:val="center"/>
              <w:rPr>
                <w:color w:val="000000" w:themeColor="text1"/>
                <w:sz w:val="21"/>
                <w14:textFill>
                  <w14:solidFill>
                    <w14:schemeClr w14:val="tx1"/>
                  </w14:solidFill>
                </w14:textFill>
              </w:rPr>
            </w:pPr>
            <w:r>
              <w:rPr>
                <w:spacing w:val="5"/>
                <w:sz w:val="20"/>
                <w:szCs w:val="20"/>
              </w:rPr>
              <w:t>破碎</w:t>
            </w:r>
          </w:p>
        </w:tc>
        <w:tc>
          <w:tcPr>
            <w:tcW w:w="1644" w:type="dxa"/>
            <w:vAlign w:val="center"/>
          </w:tcPr>
          <w:p>
            <w:pPr>
              <w:spacing w:line="380" w:lineRule="exac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颗粒物</w:t>
            </w:r>
          </w:p>
        </w:tc>
        <w:tc>
          <w:tcPr>
            <w:tcW w:w="3885" w:type="dxa"/>
            <w:vAlign w:val="center"/>
          </w:tcPr>
          <w:p>
            <w:pPr>
              <w:spacing w:line="380" w:lineRule="exact"/>
              <w:jc w:val="center"/>
              <w:rPr>
                <w:rFonts w:eastAsiaTheme="minorEastAsia"/>
                <w:color w:val="000000" w:themeColor="text1"/>
                <w:spacing w:val="-6"/>
                <w:sz w:val="21"/>
                <w14:textFill>
                  <w14:solidFill>
                    <w14:schemeClr w14:val="tx1"/>
                  </w14:solidFill>
                </w14:textFill>
              </w:rPr>
            </w:pPr>
            <w:r>
              <w:rPr>
                <w:rFonts w:hint="eastAsia" w:eastAsiaTheme="minorEastAsia"/>
                <w:color w:val="000000" w:themeColor="text1"/>
                <w:spacing w:val="-6"/>
                <w:sz w:val="21"/>
                <w14:textFill>
                  <w14:solidFill>
                    <w14:schemeClr w14:val="tx1"/>
                  </w14:solidFill>
                </w14:textFill>
              </w:rPr>
              <w:t>布置在封闭式厂房内，对颚式破碎机、 反击式破碎机以及之间的输送皮带，采取二次封闭措施。进料口采取喷雾降尘</w:t>
            </w:r>
          </w:p>
        </w:tc>
        <w:tc>
          <w:tcPr>
            <w:tcW w:w="1445" w:type="dxa"/>
            <w:vMerge w:val="continue"/>
            <w:vAlign w:val="center"/>
          </w:tcPr>
          <w:p>
            <w:pPr>
              <w:spacing w:line="380" w:lineRule="exact"/>
              <w:jc w:val="center"/>
              <w:rPr>
                <w:rFonts w:eastAsiaTheme="minorEastAsia"/>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continue"/>
            <w:vAlign w:val="center"/>
          </w:tcPr>
          <w:p>
            <w:pPr>
              <w:spacing w:line="380" w:lineRule="exact"/>
              <w:jc w:val="center"/>
              <w:rPr>
                <w:rFonts w:eastAsiaTheme="minorEastAsia"/>
                <w:color w:val="000000" w:themeColor="text1"/>
                <w:sz w:val="21"/>
                <w14:textFill>
                  <w14:solidFill>
                    <w14:schemeClr w14:val="tx1"/>
                  </w14:solidFill>
                </w14:textFill>
              </w:rPr>
            </w:pPr>
          </w:p>
        </w:tc>
        <w:tc>
          <w:tcPr>
            <w:tcW w:w="1561" w:type="dxa"/>
            <w:vAlign w:val="center"/>
          </w:tcPr>
          <w:p>
            <w:pPr>
              <w:spacing w:line="380" w:lineRule="exact"/>
              <w:jc w:val="center"/>
              <w:rPr>
                <w:color w:val="000000" w:themeColor="text1"/>
                <w:sz w:val="21"/>
                <w14:textFill>
                  <w14:solidFill>
                    <w14:schemeClr w14:val="tx1"/>
                  </w14:solidFill>
                </w14:textFill>
              </w:rPr>
            </w:pPr>
            <w:r>
              <w:rPr>
                <w:spacing w:val="6"/>
                <w:sz w:val="20"/>
                <w:szCs w:val="20"/>
              </w:rPr>
              <w:t>多级振动筛分</w:t>
            </w:r>
          </w:p>
        </w:tc>
        <w:tc>
          <w:tcPr>
            <w:tcW w:w="1644" w:type="dxa"/>
            <w:vAlign w:val="center"/>
          </w:tcPr>
          <w:p>
            <w:pPr>
              <w:spacing w:line="380" w:lineRule="exac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颗粒物</w:t>
            </w:r>
          </w:p>
        </w:tc>
        <w:tc>
          <w:tcPr>
            <w:tcW w:w="3885" w:type="dxa"/>
            <w:vAlign w:val="center"/>
          </w:tcPr>
          <w:p>
            <w:pPr>
              <w:spacing w:line="380" w:lineRule="exact"/>
              <w:jc w:val="center"/>
              <w:rPr>
                <w:rFonts w:eastAsiaTheme="minorEastAsia"/>
                <w:color w:val="000000" w:themeColor="text1"/>
                <w:spacing w:val="-6"/>
                <w:sz w:val="21"/>
                <w14:textFill>
                  <w14:solidFill>
                    <w14:schemeClr w14:val="tx1"/>
                  </w14:solidFill>
                </w14:textFill>
              </w:rPr>
            </w:pPr>
            <w:r>
              <w:rPr>
                <w:rFonts w:hint="eastAsia" w:eastAsiaTheme="minorEastAsia"/>
                <w:color w:val="000000" w:themeColor="text1"/>
                <w:spacing w:val="-6"/>
                <w:sz w:val="21"/>
                <w14:textFill>
                  <w14:solidFill>
                    <w14:schemeClr w14:val="tx1"/>
                  </w14:solidFill>
                </w14:textFill>
              </w:rPr>
              <w:t>布置在封闭式厂房内，对筛分机采取二次封闭措施；采用湿法生产工艺</w:t>
            </w:r>
          </w:p>
        </w:tc>
        <w:tc>
          <w:tcPr>
            <w:tcW w:w="1445" w:type="dxa"/>
            <w:vMerge w:val="continue"/>
            <w:vAlign w:val="center"/>
          </w:tcPr>
          <w:p>
            <w:pPr>
              <w:spacing w:line="380" w:lineRule="exact"/>
              <w:jc w:val="center"/>
              <w:rPr>
                <w:rFonts w:eastAsiaTheme="minorEastAsia"/>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continue"/>
            <w:vAlign w:val="center"/>
          </w:tcPr>
          <w:p>
            <w:pPr>
              <w:spacing w:line="380" w:lineRule="exact"/>
              <w:jc w:val="center"/>
              <w:rPr>
                <w:rFonts w:eastAsiaTheme="minorEastAsia"/>
                <w:color w:val="000000" w:themeColor="text1"/>
                <w:sz w:val="21"/>
                <w14:textFill>
                  <w14:solidFill>
                    <w14:schemeClr w14:val="tx1"/>
                  </w14:solidFill>
                </w14:textFill>
              </w:rPr>
            </w:pPr>
          </w:p>
        </w:tc>
        <w:tc>
          <w:tcPr>
            <w:tcW w:w="1561" w:type="dxa"/>
            <w:vAlign w:val="center"/>
          </w:tcPr>
          <w:p>
            <w:pPr>
              <w:spacing w:line="380" w:lineRule="exact"/>
              <w:jc w:val="center"/>
              <w:rPr>
                <w:color w:val="000000" w:themeColor="text1"/>
                <w:sz w:val="21"/>
                <w14:textFill>
                  <w14:solidFill>
                    <w14:schemeClr w14:val="tx1"/>
                  </w14:solidFill>
                </w14:textFill>
              </w:rPr>
            </w:pPr>
            <w:r>
              <w:rPr>
                <w:spacing w:val="4"/>
                <w:sz w:val="20"/>
                <w:szCs w:val="20"/>
              </w:rPr>
              <w:t>制砂</w:t>
            </w:r>
          </w:p>
        </w:tc>
        <w:tc>
          <w:tcPr>
            <w:tcW w:w="1644" w:type="dxa"/>
            <w:vAlign w:val="center"/>
          </w:tcPr>
          <w:p>
            <w:pPr>
              <w:spacing w:line="380" w:lineRule="exact"/>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颗粒物</w:t>
            </w:r>
          </w:p>
        </w:tc>
        <w:tc>
          <w:tcPr>
            <w:tcW w:w="3885" w:type="dxa"/>
            <w:vAlign w:val="center"/>
          </w:tcPr>
          <w:p>
            <w:pPr>
              <w:spacing w:line="380" w:lineRule="exact"/>
              <w:jc w:val="center"/>
              <w:rPr>
                <w:color w:val="000000" w:themeColor="text1"/>
                <w:sz w:val="21"/>
                <w14:textFill>
                  <w14:solidFill>
                    <w14:schemeClr w14:val="tx1"/>
                  </w14:solidFill>
                </w14:textFill>
              </w:rPr>
            </w:pPr>
            <w:r>
              <w:rPr>
                <w:rFonts w:hint="eastAsia" w:eastAsiaTheme="minorEastAsia"/>
                <w:color w:val="000000" w:themeColor="text1"/>
                <w:spacing w:val="-6"/>
                <w:sz w:val="21"/>
                <w14:textFill>
                  <w14:solidFill>
                    <w14:schemeClr w14:val="tx1"/>
                  </w14:solidFill>
                </w14:textFill>
              </w:rPr>
              <w:t>制砂环节来料含水率较大，属于湿法作业；设 备运行时为密闭运行，能够避免粉尘产生</w:t>
            </w:r>
            <w:r>
              <w:rPr>
                <w:rFonts w:eastAsiaTheme="minorEastAsia"/>
                <w:color w:val="000000" w:themeColor="text1"/>
                <w:spacing w:val="-6"/>
                <w:sz w:val="21"/>
                <w14:textFill>
                  <w14:solidFill>
                    <w14:schemeClr w14:val="tx1"/>
                  </w14:solidFill>
                </w14:textFill>
              </w:rPr>
              <w:t>。</w:t>
            </w:r>
          </w:p>
        </w:tc>
        <w:tc>
          <w:tcPr>
            <w:tcW w:w="1445" w:type="dxa"/>
            <w:vMerge w:val="continue"/>
            <w:vAlign w:val="center"/>
          </w:tcPr>
          <w:p>
            <w:pPr>
              <w:spacing w:line="380" w:lineRule="exact"/>
              <w:jc w:val="center"/>
              <w:rPr>
                <w:rFonts w:eastAsiaTheme="minorEastAsia"/>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continue"/>
            <w:vAlign w:val="center"/>
          </w:tcPr>
          <w:p>
            <w:pPr>
              <w:spacing w:line="380" w:lineRule="exact"/>
              <w:jc w:val="center"/>
              <w:rPr>
                <w:rFonts w:eastAsiaTheme="minorEastAsia"/>
                <w:color w:val="000000" w:themeColor="text1"/>
                <w:sz w:val="21"/>
                <w14:textFill>
                  <w14:solidFill>
                    <w14:schemeClr w14:val="tx1"/>
                  </w14:solidFill>
                </w14:textFill>
              </w:rPr>
            </w:pPr>
          </w:p>
        </w:tc>
        <w:tc>
          <w:tcPr>
            <w:tcW w:w="1561" w:type="dxa"/>
            <w:vAlign w:val="center"/>
          </w:tcPr>
          <w:p>
            <w:pPr>
              <w:spacing w:line="380" w:lineRule="exact"/>
              <w:jc w:val="center"/>
              <w:rPr>
                <w:spacing w:val="4"/>
                <w:sz w:val="20"/>
                <w:szCs w:val="20"/>
              </w:rPr>
            </w:pPr>
            <w:r>
              <w:rPr>
                <w:spacing w:val="6"/>
                <w:sz w:val="20"/>
                <w:szCs w:val="20"/>
              </w:rPr>
              <w:t>皮带输送</w:t>
            </w:r>
          </w:p>
        </w:tc>
        <w:tc>
          <w:tcPr>
            <w:tcW w:w="1644" w:type="dxa"/>
            <w:vAlign w:val="center"/>
          </w:tcPr>
          <w:p>
            <w:pPr>
              <w:spacing w:line="380" w:lineRule="exact"/>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颗粒物</w:t>
            </w:r>
          </w:p>
        </w:tc>
        <w:tc>
          <w:tcPr>
            <w:tcW w:w="3885" w:type="dxa"/>
            <w:vAlign w:val="center"/>
          </w:tcPr>
          <w:p>
            <w:pPr>
              <w:spacing w:line="380" w:lineRule="exact"/>
              <w:jc w:val="center"/>
              <w:rPr>
                <w:rFonts w:eastAsiaTheme="minorEastAsia"/>
                <w:color w:val="000000" w:themeColor="text1"/>
                <w:spacing w:val="-6"/>
                <w:sz w:val="21"/>
                <w14:textFill>
                  <w14:solidFill>
                    <w14:schemeClr w14:val="tx1"/>
                  </w14:solidFill>
                </w14:textFill>
              </w:rPr>
            </w:pPr>
            <w:r>
              <w:rPr>
                <w:rFonts w:hint="eastAsia" w:eastAsiaTheme="minorEastAsia"/>
                <w:color w:val="000000" w:themeColor="text1"/>
                <w:spacing w:val="-6"/>
                <w:sz w:val="21"/>
                <w14:textFill>
                  <w14:solidFill>
                    <w14:schemeClr w14:val="tx1"/>
                  </w14:solidFill>
                </w14:textFill>
              </w:rPr>
              <w:t>皮带平稳运行、采取全封闭措施，采取湿法生产工艺</w:t>
            </w:r>
          </w:p>
        </w:tc>
        <w:tc>
          <w:tcPr>
            <w:tcW w:w="1445" w:type="dxa"/>
            <w:vMerge w:val="continue"/>
            <w:vAlign w:val="center"/>
          </w:tcPr>
          <w:p>
            <w:pPr>
              <w:spacing w:line="380" w:lineRule="exact"/>
              <w:jc w:val="center"/>
              <w:rPr>
                <w:rFonts w:eastAsiaTheme="minorEastAsia"/>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continue"/>
            <w:vAlign w:val="center"/>
          </w:tcPr>
          <w:p>
            <w:pPr>
              <w:spacing w:line="380" w:lineRule="exact"/>
              <w:jc w:val="center"/>
              <w:rPr>
                <w:rFonts w:eastAsiaTheme="minorEastAsia"/>
                <w:color w:val="000000" w:themeColor="text1"/>
                <w:sz w:val="21"/>
                <w14:textFill>
                  <w14:solidFill>
                    <w14:schemeClr w14:val="tx1"/>
                  </w14:solidFill>
                </w14:textFill>
              </w:rPr>
            </w:pPr>
          </w:p>
        </w:tc>
        <w:tc>
          <w:tcPr>
            <w:tcW w:w="1561" w:type="dxa"/>
            <w:vAlign w:val="center"/>
          </w:tcPr>
          <w:p>
            <w:pPr>
              <w:spacing w:line="380" w:lineRule="exact"/>
              <w:jc w:val="center"/>
              <w:rPr>
                <w:spacing w:val="4"/>
                <w:sz w:val="20"/>
                <w:szCs w:val="20"/>
              </w:rPr>
            </w:pPr>
            <w:r>
              <w:rPr>
                <w:rFonts w:hint="eastAsia"/>
                <w:spacing w:val="4"/>
                <w:sz w:val="20"/>
                <w:szCs w:val="20"/>
              </w:rPr>
              <w:t>成品堆场</w:t>
            </w:r>
          </w:p>
        </w:tc>
        <w:tc>
          <w:tcPr>
            <w:tcW w:w="1644" w:type="dxa"/>
            <w:vAlign w:val="center"/>
          </w:tcPr>
          <w:p>
            <w:pPr>
              <w:spacing w:line="380" w:lineRule="exact"/>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颗粒物</w:t>
            </w:r>
          </w:p>
        </w:tc>
        <w:tc>
          <w:tcPr>
            <w:tcW w:w="3885" w:type="dxa"/>
            <w:vAlign w:val="center"/>
          </w:tcPr>
          <w:p>
            <w:pPr>
              <w:spacing w:line="380" w:lineRule="exact"/>
              <w:jc w:val="center"/>
              <w:rPr>
                <w:rFonts w:eastAsiaTheme="minorEastAsia"/>
                <w:color w:val="000000" w:themeColor="text1"/>
                <w:spacing w:val="-6"/>
                <w:sz w:val="21"/>
                <w14:textFill>
                  <w14:solidFill>
                    <w14:schemeClr w14:val="tx1"/>
                  </w14:solidFill>
                </w14:textFill>
              </w:rPr>
            </w:pPr>
            <w:r>
              <w:rPr>
                <w:rFonts w:hint="eastAsia" w:eastAsiaTheme="minorEastAsia"/>
                <w:color w:val="000000" w:themeColor="text1"/>
                <w:spacing w:val="-6"/>
                <w:sz w:val="21"/>
                <w14:textFill>
                  <w14:solidFill>
                    <w14:schemeClr w14:val="tx1"/>
                  </w14:solidFill>
                </w14:textFill>
              </w:rPr>
              <w:t>将成品堆场布置 在封闭式厂房内，采取 喷雾降尘，加强装车作业管理</w:t>
            </w:r>
          </w:p>
        </w:tc>
        <w:tc>
          <w:tcPr>
            <w:tcW w:w="1445" w:type="dxa"/>
            <w:vMerge w:val="continue"/>
            <w:vAlign w:val="center"/>
          </w:tcPr>
          <w:p>
            <w:pPr>
              <w:spacing w:line="380" w:lineRule="exact"/>
              <w:jc w:val="center"/>
              <w:rPr>
                <w:rFonts w:eastAsiaTheme="minorEastAsia"/>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continue"/>
            <w:vAlign w:val="center"/>
          </w:tcPr>
          <w:p>
            <w:pPr>
              <w:spacing w:line="380" w:lineRule="exact"/>
              <w:jc w:val="center"/>
              <w:rPr>
                <w:rFonts w:eastAsiaTheme="minorEastAsia"/>
                <w:color w:val="000000" w:themeColor="text1"/>
                <w:sz w:val="21"/>
                <w14:textFill>
                  <w14:solidFill>
                    <w14:schemeClr w14:val="tx1"/>
                  </w14:solidFill>
                </w14:textFill>
              </w:rPr>
            </w:pPr>
          </w:p>
        </w:tc>
        <w:tc>
          <w:tcPr>
            <w:tcW w:w="1561" w:type="dxa"/>
            <w:vAlign w:val="center"/>
          </w:tcPr>
          <w:p>
            <w:pPr>
              <w:spacing w:line="380" w:lineRule="exact"/>
              <w:jc w:val="center"/>
              <w:rPr>
                <w:spacing w:val="4"/>
                <w:sz w:val="20"/>
                <w:szCs w:val="20"/>
              </w:rPr>
            </w:pPr>
            <w:r>
              <w:rPr>
                <w:spacing w:val="1"/>
                <w:sz w:val="20"/>
                <w:szCs w:val="20"/>
              </w:rPr>
              <w:t>运输作业</w:t>
            </w:r>
          </w:p>
        </w:tc>
        <w:tc>
          <w:tcPr>
            <w:tcW w:w="1644" w:type="dxa"/>
            <w:vAlign w:val="center"/>
          </w:tcPr>
          <w:p>
            <w:pPr>
              <w:spacing w:line="380" w:lineRule="exact"/>
              <w:jc w:val="center"/>
              <w:rPr>
                <w:rFonts w:eastAsiaTheme="minorEastAsia"/>
                <w:color w:val="000000" w:themeColor="text1"/>
                <w:sz w:val="21"/>
                <w14:textFill>
                  <w14:solidFill>
                    <w14:schemeClr w14:val="tx1"/>
                  </w14:solidFill>
                </w14:textFill>
              </w:rPr>
            </w:pPr>
            <w:r>
              <w:rPr>
                <w:rFonts w:hint="eastAsia" w:eastAsiaTheme="minorEastAsia"/>
                <w:color w:val="000000" w:themeColor="text1"/>
                <w:sz w:val="21"/>
                <w14:textFill>
                  <w14:solidFill>
                    <w14:schemeClr w14:val="tx1"/>
                  </w14:solidFill>
                </w14:textFill>
              </w:rPr>
              <w:t>扬尘</w:t>
            </w:r>
          </w:p>
        </w:tc>
        <w:tc>
          <w:tcPr>
            <w:tcW w:w="3885" w:type="dxa"/>
            <w:vAlign w:val="center"/>
          </w:tcPr>
          <w:p>
            <w:pPr>
              <w:spacing w:line="380" w:lineRule="exact"/>
              <w:jc w:val="center"/>
              <w:rPr>
                <w:rFonts w:eastAsiaTheme="minorEastAsia"/>
                <w:color w:val="000000" w:themeColor="text1"/>
                <w:spacing w:val="-6"/>
                <w:sz w:val="21"/>
                <w14:textFill>
                  <w14:solidFill>
                    <w14:schemeClr w14:val="tx1"/>
                  </w14:solidFill>
                </w14:textFill>
              </w:rPr>
            </w:pPr>
            <w:r>
              <w:rPr>
                <w:rFonts w:hint="eastAsia" w:eastAsiaTheme="minorEastAsia"/>
                <w:color w:val="000000" w:themeColor="text1"/>
                <w:spacing w:val="-6"/>
                <w:sz w:val="21"/>
                <w14:textFill>
                  <w14:solidFill>
                    <w14:schemeClr w14:val="tx1"/>
                  </w14:solidFill>
                </w14:textFill>
              </w:rPr>
              <w:t>厂区地面硬化处理，进出口设车辆冲洗设施，运输车辆加盖篷布密闭运输</w:t>
            </w:r>
          </w:p>
        </w:tc>
        <w:tc>
          <w:tcPr>
            <w:tcW w:w="1445" w:type="dxa"/>
            <w:vMerge w:val="continue"/>
            <w:vAlign w:val="center"/>
          </w:tcPr>
          <w:p>
            <w:pPr>
              <w:spacing w:line="380" w:lineRule="exact"/>
              <w:jc w:val="center"/>
              <w:rPr>
                <w:rFonts w:eastAsiaTheme="minorEastAsia"/>
                <w:color w:val="000000" w:themeColor="text1"/>
                <w:sz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continue"/>
            <w:vAlign w:val="center"/>
          </w:tcPr>
          <w:p>
            <w:pPr>
              <w:spacing w:line="380" w:lineRule="exact"/>
              <w:jc w:val="center"/>
              <w:rPr>
                <w:rFonts w:eastAsiaTheme="minorEastAsia"/>
                <w:color w:val="000000" w:themeColor="text1"/>
                <w:sz w:val="21"/>
                <w14:textFill>
                  <w14:solidFill>
                    <w14:schemeClr w14:val="tx1"/>
                  </w14:solidFill>
                </w14:textFill>
              </w:rPr>
            </w:pPr>
          </w:p>
        </w:tc>
        <w:tc>
          <w:tcPr>
            <w:tcW w:w="1561" w:type="dxa"/>
            <w:vAlign w:val="center"/>
          </w:tcPr>
          <w:p>
            <w:pPr>
              <w:spacing w:line="38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食堂烹饪</w:t>
            </w:r>
          </w:p>
        </w:tc>
        <w:tc>
          <w:tcPr>
            <w:tcW w:w="1644" w:type="dxa"/>
            <w:vAlign w:val="center"/>
          </w:tcPr>
          <w:p>
            <w:pPr>
              <w:spacing w:line="380" w:lineRule="exact"/>
              <w:jc w:val="center"/>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油烟</w:t>
            </w:r>
          </w:p>
        </w:tc>
        <w:tc>
          <w:tcPr>
            <w:tcW w:w="3885" w:type="dxa"/>
            <w:vAlign w:val="center"/>
          </w:tcPr>
          <w:p>
            <w:pPr>
              <w:spacing w:line="380" w:lineRule="exact"/>
              <w:jc w:val="center"/>
              <w:rPr>
                <w:color w:val="000000" w:themeColor="text1"/>
                <w:sz w:val="21"/>
                <w14:textFill>
                  <w14:solidFill>
                    <w14:schemeClr w14:val="tx1"/>
                  </w14:solidFill>
                </w14:textFill>
              </w:rPr>
            </w:pPr>
            <w:r>
              <w:rPr>
                <w:rFonts w:hint="eastAsia" w:eastAsiaTheme="minorEastAsia"/>
                <w:color w:val="000000" w:themeColor="text1"/>
                <w:spacing w:val="-6"/>
                <w:sz w:val="21"/>
                <w14:textFill>
                  <w14:solidFill>
                    <w14:schemeClr w14:val="tx1"/>
                  </w14:solidFill>
                </w14:textFill>
              </w:rPr>
              <w:t>厨房设抽油烟机净化处理</w:t>
            </w:r>
          </w:p>
        </w:tc>
        <w:tc>
          <w:tcPr>
            <w:tcW w:w="1445" w:type="dxa"/>
            <w:vAlign w:val="center"/>
          </w:tcPr>
          <w:p>
            <w:pPr>
              <w:spacing w:line="380" w:lineRule="exact"/>
              <w:jc w:val="center"/>
              <w:rPr>
                <w:rFonts w:eastAsiaTheme="minorEastAsia"/>
                <w:color w:val="000000" w:themeColor="text1"/>
                <w:sz w:val="21"/>
                <w14:textFill>
                  <w14:solidFill>
                    <w14:schemeClr w14:val="tx1"/>
                  </w14:solidFill>
                </w14:textFill>
              </w:rPr>
            </w:pPr>
            <w:r>
              <w:rPr>
                <w:rFonts w:hint="eastAsia" w:eastAsiaTheme="minorEastAsia"/>
                <w:color w:val="000000" w:themeColor="text1"/>
                <w:sz w:val="21"/>
                <w14:textFill>
                  <w14:solidFill>
                    <w14:schemeClr w14:val="tx1"/>
                  </w14:solidFill>
                </w14:textFill>
              </w:rPr>
              <w:t>《饮食业油烟排放标准（试行）》（GB18483-2001）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restart"/>
            <w:vAlign w:val="center"/>
          </w:tcPr>
          <w:p>
            <w:pPr>
              <w:spacing w:line="380" w:lineRule="exact"/>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地表水环境</w:t>
            </w:r>
          </w:p>
        </w:tc>
        <w:tc>
          <w:tcPr>
            <w:tcW w:w="1561" w:type="dxa"/>
            <w:vAlign w:val="center"/>
          </w:tcPr>
          <w:p>
            <w:pPr>
              <w:spacing w:line="380" w:lineRule="exact"/>
              <w:jc w:val="center"/>
              <w:rPr>
                <w:color w:val="000000" w:themeColor="text1"/>
                <w:sz w:val="21"/>
                <w14:textFill>
                  <w14:solidFill>
                    <w14:schemeClr w14:val="tx1"/>
                  </w14:solidFill>
                </w14:textFill>
              </w:rPr>
            </w:pPr>
            <w:r>
              <w:rPr>
                <w:spacing w:val="7"/>
                <w:sz w:val="20"/>
                <w:szCs w:val="20"/>
              </w:rPr>
              <w:t>施工现场</w:t>
            </w:r>
          </w:p>
        </w:tc>
        <w:tc>
          <w:tcPr>
            <w:tcW w:w="1644" w:type="dxa"/>
            <w:vAlign w:val="center"/>
          </w:tcPr>
          <w:p>
            <w:pPr>
              <w:spacing w:line="380" w:lineRule="exact"/>
              <w:jc w:val="center"/>
              <w:rPr>
                <w:rFonts w:eastAsiaTheme="minorEastAsia"/>
                <w:color w:val="000000" w:themeColor="text1"/>
                <w:sz w:val="21"/>
                <w14:textFill>
                  <w14:solidFill>
                    <w14:schemeClr w14:val="tx1"/>
                  </w14:solidFill>
                </w14:textFill>
              </w:rPr>
            </w:pPr>
            <w:r>
              <w:rPr>
                <w:rFonts w:hint="eastAsia" w:eastAsiaTheme="minorEastAsia"/>
                <w:color w:val="000000" w:themeColor="text1"/>
                <w:sz w:val="21"/>
                <w14:textFill>
                  <w14:solidFill>
                    <w14:schemeClr w14:val="tx1"/>
                  </w14:solidFill>
                </w14:textFill>
              </w:rPr>
              <w:t>施工废水</w:t>
            </w:r>
          </w:p>
        </w:tc>
        <w:tc>
          <w:tcPr>
            <w:tcW w:w="3885" w:type="dxa"/>
            <w:vAlign w:val="center"/>
          </w:tcPr>
          <w:p>
            <w:pPr>
              <w:spacing w:line="380" w:lineRule="exact"/>
              <w:jc w:val="center"/>
              <w:rPr>
                <w:rFonts w:eastAsiaTheme="minor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设临时沉砂池收集处理后回用</w:t>
            </w:r>
            <w:r>
              <w:rPr>
                <w:color w:val="000000" w:themeColor="text1"/>
                <w:sz w:val="21"/>
                <w14:textFill>
                  <w14:solidFill>
                    <w14:schemeClr w14:val="tx1"/>
                  </w14:solidFill>
                </w14:textFill>
              </w:rPr>
              <w:t>。</w:t>
            </w:r>
            <w:r>
              <w:rPr>
                <w:rFonts w:hint="eastAsia"/>
                <w:color w:val="000000" w:themeColor="text1"/>
                <w:sz w:val="21"/>
                <w14:textFill>
                  <w14:solidFill>
                    <w14:schemeClr w14:val="tx1"/>
                  </w14:solidFill>
                </w14:textFill>
              </w:rPr>
              <w:t xml:space="preserve"> </w:t>
            </w:r>
          </w:p>
        </w:tc>
        <w:tc>
          <w:tcPr>
            <w:tcW w:w="1445" w:type="dxa"/>
            <w:vAlign w:val="center"/>
          </w:tcPr>
          <w:p>
            <w:pPr>
              <w:spacing w:line="380" w:lineRule="exact"/>
              <w:jc w:val="center"/>
              <w:rPr>
                <w:rFonts w:eastAsiaTheme="minorEastAsia"/>
                <w:color w:val="000000" w:themeColor="text1"/>
                <w:sz w:val="21"/>
                <w14:textFill>
                  <w14:solidFill>
                    <w14:schemeClr w14:val="tx1"/>
                  </w14:solidFill>
                </w14:textFill>
              </w:rPr>
            </w:pPr>
            <w:r>
              <w:rPr>
                <w:rFonts w:hint="eastAsia" w:eastAsiaTheme="minorEastAsia"/>
                <w:color w:val="000000" w:themeColor="text1"/>
                <w:sz w:val="21"/>
                <w14:textFill>
                  <w14:solidFill>
                    <w14:schemeClr w14:val="tx1"/>
                  </w14:solidFill>
                </w14:textFill>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continue"/>
            <w:vAlign w:val="center"/>
          </w:tcPr>
          <w:p>
            <w:pPr>
              <w:spacing w:line="380" w:lineRule="exact"/>
              <w:jc w:val="center"/>
              <w:rPr>
                <w:rFonts w:eastAsiaTheme="minorEastAsia"/>
                <w:color w:val="000000" w:themeColor="text1"/>
                <w:sz w:val="21"/>
                <w14:textFill>
                  <w14:solidFill>
                    <w14:schemeClr w14:val="tx1"/>
                  </w14:solidFill>
                </w14:textFill>
              </w:rPr>
            </w:pPr>
          </w:p>
        </w:tc>
        <w:tc>
          <w:tcPr>
            <w:tcW w:w="1561" w:type="dxa"/>
            <w:vAlign w:val="center"/>
          </w:tcPr>
          <w:p>
            <w:pPr>
              <w:spacing w:line="380" w:lineRule="exact"/>
              <w:jc w:val="center"/>
              <w:rPr>
                <w:rFonts w:eastAsiaTheme="minorEastAsia"/>
                <w:color w:val="000000" w:themeColor="text1"/>
                <w:sz w:val="21"/>
                <w14:textFill>
                  <w14:solidFill>
                    <w14:schemeClr w14:val="tx1"/>
                  </w14:solidFill>
                </w14:textFill>
              </w:rPr>
            </w:pPr>
            <w:r>
              <w:rPr>
                <w:rFonts w:hint="eastAsia" w:eastAsiaTheme="minorEastAsia"/>
                <w:color w:val="000000" w:themeColor="text1"/>
                <w:sz w:val="21"/>
                <w14:textFill>
                  <w14:solidFill>
                    <w14:schemeClr w14:val="tx1"/>
                  </w14:solidFill>
                </w14:textFill>
              </w:rPr>
              <w:t>洗砂废水</w:t>
            </w:r>
          </w:p>
        </w:tc>
        <w:tc>
          <w:tcPr>
            <w:tcW w:w="1644" w:type="dxa"/>
            <w:vAlign w:val="center"/>
          </w:tcPr>
          <w:p>
            <w:pPr>
              <w:spacing w:line="380" w:lineRule="exact"/>
              <w:jc w:val="center"/>
              <w:rPr>
                <w:rFonts w:eastAsiaTheme="minorEastAsia"/>
                <w:color w:val="000000" w:themeColor="text1"/>
                <w:sz w:val="21"/>
                <w14:textFill>
                  <w14:solidFill>
                    <w14:schemeClr w14:val="tx1"/>
                  </w14:solidFill>
                </w14:textFill>
              </w:rPr>
            </w:pPr>
            <w:r>
              <w:rPr>
                <w:rFonts w:hint="eastAsia" w:eastAsiaTheme="minorEastAsia"/>
                <w:color w:val="000000" w:themeColor="text1"/>
                <w:sz w:val="21"/>
                <w14:textFill>
                  <w14:solidFill>
                    <w14:schemeClr w14:val="tx1"/>
                  </w14:solidFill>
                </w14:textFill>
              </w:rPr>
              <w:t>SS</w:t>
            </w:r>
          </w:p>
        </w:tc>
        <w:tc>
          <w:tcPr>
            <w:tcW w:w="3885" w:type="dxa"/>
            <w:vAlign w:val="center"/>
          </w:tcPr>
          <w:p>
            <w:pPr>
              <w:spacing w:line="380" w:lineRule="exact"/>
              <w:jc w:val="center"/>
              <w:rPr>
                <w:color w:val="000000" w:themeColor="text1"/>
                <w:sz w:val="21"/>
                <w14:textFill>
                  <w14:solidFill>
                    <w14:schemeClr w14:val="tx1"/>
                  </w14:solidFill>
                </w14:textFill>
              </w:rPr>
            </w:pPr>
            <w:r>
              <w:rPr>
                <w:rFonts w:hint="eastAsia" w:eastAsiaTheme="minorEastAsia"/>
                <w:color w:val="000000" w:themeColor="text1"/>
                <w:sz w:val="21"/>
                <w14:textFill>
                  <w14:solidFill>
                    <w14:schemeClr w14:val="tx1"/>
                  </w14:solidFill>
                </w14:textFill>
              </w:rPr>
              <w:t>设废水处理系统1套， 包括废水收集池、澄清水塔、清水池、加药机及水泵等，采用“絮凝沉淀 ”工艺处理系统1套，处理后全部回用不外排</w:t>
            </w:r>
          </w:p>
        </w:tc>
        <w:tc>
          <w:tcPr>
            <w:tcW w:w="1445" w:type="dxa"/>
            <w:vAlign w:val="center"/>
          </w:tcPr>
          <w:p>
            <w:pPr>
              <w:spacing w:line="380" w:lineRule="exact"/>
              <w:jc w:val="center"/>
              <w:rPr>
                <w:rFonts w:eastAsiaTheme="minorEastAsia"/>
                <w:color w:val="000000" w:themeColor="text1"/>
                <w:sz w:val="21"/>
                <w14:textFill>
                  <w14:solidFill>
                    <w14:schemeClr w14:val="tx1"/>
                  </w14:solidFill>
                </w14:textFill>
              </w:rPr>
            </w:pPr>
            <w:r>
              <w:rPr>
                <w:rFonts w:hint="eastAsia" w:eastAsiaTheme="minorEastAsia"/>
                <w:color w:val="000000" w:themeColor="text1"/>
                <w:sz w:val="21"/>
                <w14:textFill>
                  <w14:solidFill>
                    <w14:schemeClr w14:val="tx1"/>
                  </w14:solidFill>
                </w14:textFill>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continue"/>
            <w:vAlign w:val="center"/>
          </w:tcPr>
          <w:p>
            <w:pPr>
              <w:spacing w:line="380" w:lineRule="exact"/>
              <w:jc w:val="center"/>
              <w:rPr>
                <w:rFonts w:eastAsiaTheme="minorEastAsia"/>
                <w:color w:val="000000" w:themeColor="text1"/>
                <w:sz w:val="21"/>
                <w14:textFill>
                  <w14:solidFill>
                    <w14:schemeClr w14:val="tx1"/>
                  </w14:solidFill>
                </w14:textFill>
              </w:rPr>
            </w:pPr>
          </w:p>
        </w:tc>
        <w:tc>
          <w:tcPr>
            <w:tcW w:w="1561" w:type="dxa"/>
            <w:vAlign w:val="center"/>
          </w:tcPr>
          <w:p>
            <w:pPr>
              <w:spacing w:line="380" w:lineRule="exact"/>
              <w:jc w:val="center"/>
              <w:rPr>
                <w:rFonts w:eastAsiaTheme="minorEastAsia"/>
                <w:color w:val="000000" w:themeColor="text1"/>
                <w:sz w:val="21"/>
                <w14:textFill>
                  <w14:solidFill>
                    <w14:schemeClr w14:val="tx1"/>
                  </w14:solidFill>
                </w14:textFill>
              </w:rPr>
            </w:pPr>
            <w:r>
              <w:rPr>
                <w:spacing w:val="8"/>
                <w:sz w:val="20"/>
                <w:szCs w:val="20"/>
              </w:rPr>
              <w:t>产品渗沥水</w:t>
            </w:r>
          </w:p>
        </w:tc>
        <w:tc>
          <w:tcPr>
            <w:tcW w:w="1644" w:type="dxa"/>
            <w:vAlign w:val="center"/>
          </w:tcPr>
          <w:p>
            <w:pPr>
              <w:spacing w:line="380" w:lineRule="exact"/>
              <w:jc w:val="center"/>
              <w:rPr>
                <w:rFonts w:eastAsiaTheme="minorEastAsia"/>
                <w:color w:val="000000" w:themeColor="text1"/>
                <w:sz w:val="21"/>
                <w14:textFill>
                  <w14:solidFill>
                    <w14:schemeClr w14:val="tx1"/>
                  </w14:solidFill>
                </w14:textFill>
              </w:rPr>
            </w:pPr>
            <w:r>
              <w:rPr>
                <w:rFonts w:hint="eastAsia" w:eastAsiaTheme="minorEastAsia"/>
                <w:color w:val="000000" w:themeColor="text1"/>
                <w:sz w:val="21"/>
                <w14:textFill>
                  <w14:solidFill>
                    <w14:schemeClr w14:val="tx1"/>
                  </w14:solidFill>
                </w14:textFill>
              </w:rPr>
              <w:t>SS</w:t>
            </w:r>
          </w:p>
        </w:tc>
        <w:tc>
          <w:tcPr>
            <w:tcW w:w="3885" w:type="dxa"/>
            <w:vAlign w:val="center"/>
          </w:tcPr>
          <w:p>
            <w:pPr>
              <w:spacing w:line="380" w:lineRule="exact"/>
              <w:jc w:val="center"/>
              <w:rPr>
                <w:rFonts w:eastAsiaTheme="minorEastAsia"/>
                <w:color w:val="000000" w:themeColor="text1"/>
                <w:sz w:val="21"/>
                <w14:textFill>
                  <w14:solidFill>
                    <w14:schemeClr w14:val="tx1"/>
                  </w14:solidFill>
                </w14:textFill>
              </w:rPr>
            </w:pPr>
            <w:r>
              <w:rPr>
                <w:rFonts w:hint="eastAsia" w:eastAsiaTheme="minorEastAsia"/>
                <w:color w:val="000000" w:themeColor="text1"/>
                <w:sz w:val="21"/>
                <w14:textFill>
                  <w14:solidFill>
                    <w14:schemeClr w14:val="tx1"/>
                  </w14:solidFill>
                </w14:textFill>
              </w:rPr>
              <w:t>堆场设导水沟接通沉淀池，渗沥水收集至洗砂 废水处理设施处理后回用不外排</w:t>
            </w:r>
          </w:p>
        </w:tc>
        <w:tc>
          <w:tcPr>
            <w:tcW w:w="1445" w:type="dxa"/>
            <w:vAlign w:val="center"/>
          </w:tcPr>
          <w:p>
            <w:pPr>
              <w:spacing w:line="380" w:lineRule="exact"/>
              <w:jc w:val="center"/>
              <w:rPr>
                <w:rFonts w:eastAsiaTheme="minorEastAsia"/>
                <w:color w:val="000000" w:themeColor="text1"/>
                <w:sz w:val="21"/>
                <w14:textFill>
                  <w14:solidFill>
                    <w14:schemeClr w14:val="tx1"/>
                  </w14:solidFill>
                </w14:textFill>
              </w:rPr>
            </w:pPr>
            <w:r>
              <w:rPr>
                <w:rFonts w:hint="eastAsia" w:eastAsiaTheme="minorEastAsia"/>
                <w:color w:val="000000" w:themeColor="text1"/>
                <w:sz w:val="21"/>
                <w14:textFill>
                  <w14:solidFill>
                    <w14:schemeClr w14:val="tx1"/>
                  </w14:solidFill>
                </w14:textFill>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continue"/>
            <w:vAlign w:val="center"/>
          </w:tcPr>
          <w:p>
            <w:pPr>
              <w:spacing w:line="380" w:lineRule="exact"/>
              <w:jc w:val="center"/>
              <w:rPr>
                <w:rFonts w:eastAsiaTheme="minorEastAsia"/>
                <w:color w:val="000000" w:themeColor="text1"/>
                <w:sz w:val="21"/>
                <w14:textFill>
                  <w14:solidFill>
                    <w14:schemeClr w14:val="tx1"/>
                  </w14:solidFill>
                </w14:textFill>
              </w:rPr>
            </w:pPr>
          </w:p>
        </w:tc>
        <w:tc>
          <w:tcPr>
            <w:tcW w:w="1561" w:type="dxa"/>
            <w:vAlign w:val="center"/>
          </w:tcPr>
          <w:p>
            <w:pPr>
              <w:spacing w:line="380" w:lineRule="exact"/>
              <w:jc w:val="center"/>
              <w:rPr>
                <w:rFonts w:eastAsiaTheme="minorEastAsia"/>
                <w:color w:val="000000" w:themeColor="text1"/>
                <w:sz w:val="21"/>
                <w14:textFill>
                  <w14:solidFill>
                    <w14:schemeClr w14:val="tx1"/>
                  </w14:solidFill>
                </w14:textFill>
              </w:rPr>
            </w:pPr>
            <w:r>
              <w:rPr>
                <w:rFonts w:hint="eastAsia" w:eastAsiaTheme="minorEastAsia"/>
                <w:color w:val="000000" w:themeColor="text1"/>
                <w:sz w:val="21"/>
                <w14:textFill>
                  <w14:solidFill>
                    <w14:schemeClr w14:val="tx1"/>
                  </w14:solidFill>
                </w14:textFill>
              </w:rPr>
              <w:t>车辆冲洗废水</w:t>
            </w:r>
          </w:p>
        </w:tc>
        <w:tc>
          <w:tcPr>
            <w:tcW w:w="1644" w:type="dxa"/>
            <w:vAlign w:val="center"/>
          </w:tcPr>
          <w:p>
            <w:pPr>
              <w:spacing w:line="380" w:lineRule="exact"/>
              <w:jc w:val="center"/>
              <w:rPr>
                <w:rFonts w:eastAsiaTheme="minorEastAsia"/>
                <w:color w:val="000000" w:themeColor="text1"/>
                <w:sz w:val="21"/>
                <w14:textFill>
                  <w14:solidFill>
                    <w14:schemeClr w14:val="tx1"/>
                  </w14:solidFill>
                </w14:textFill>
              </w:rPr>
            </w:pPr>
            <w:r>
              <w:rPr>
                <w:rFonts w:hint="eastAsia" w:eastAsiaTheme="minorEastAsia"/>
                <w:color w:val="000000" w:themeColor="text1"/>
                <w:sz w:val="21"/>
                <w14:textFill>
                  <w14:solidFill>
                    <w14:schemeClr w14:val="tx1"/>
                  </w14:solidFill>
                </w14:textFill>
              </w:rPr>
              <w:t>SS</w:t>
            </w:r>
          </w:p>
        </w:tc>
        <w:tc>
          <w:tcPr>
            <w:tcW w:w="3885" w:type="dxa"/>
            <w:vAlign w:val="center"/>
          </w:tcPr>
          <w:p>
            <w:pPr>
              <w:spacing w:line="380" w:lineRule="exact"/>
              <w:jc w:val="center"/>
              <w:rPr>
                <w:rFonts w:eastAsiaTheme="minorEastAsia"/>
                <w:color w:val="000000" w:themeColor="text1"/>
                <w:sz w:val="21"/>
                <w14:textFill>
                  <w14:solidFill>
                    <w14:schemeClr w14:val="tx1"/>
                  </w14:solidFill>
                </w14:textFill>
              </w:rPr>
            </w:pPr>
            <w:r>
              <w:rPr>
                <w:rFonts w:hint="eastAsia" w:eastAsiaTheme="minorEastAsia"/>
                <w:color w:val="000000" w:themeColor="text1"/>
                <w:sz w:val="21"/>
                <w14:textFill>
                  <w14:solidFill>
                    <w14:schemeClr w14:val="tx1"/>
                  </w14:solidFill>
                </w14:textFill>
              </w:rPr>
              <w:t>车辆冲洗区设沉淀池（容积 4m3 ）收集冲洗废水，沉淀处理后回用不外排</w:t>
            </w:r>
          </w:p>
        </w:tc>
        <w:tc>
          <w:tcPr>
            <w:tcW w:w="1445" w:type="dxa"/>
            <w:vAlign w:val="center"/>
          </w:tcPr>
          <w:p>
            <w:pPr>
              <w:spacing w:line="380" w:lineRule="exact"/>
              <w:jc w:val="center"/>
              <w:rPr>
                <w:rFonts w:eastAsiaTheme="minorEastAsia"/>
                <w:color w:val="000000" w:themeColor="text1"/>
                <w:sz w:val="21"/>
                <w14:textFill>
                  <w14:solidFill>
                    <w14:schemeClr w14:val="tx1"/>
                  </w14:solidFill>
                </w14:textFill>
              </w:rPr>
            </w:pPr>
            <w:r>
              <w:rPr>
                <w:rFonts w:hint="eastAsia" w:eastAsiaTheme="minorEastAsia"/>
                <w:color w:val="000000" w:themeColor="text1"/>
                <w:sz w:val="21"/>
                <w14:textFill>
                  <w14:solidFill>
                    <w14:schemeClr w14:val="tx1"/>
                  </w14:solidFill>
                </w14:textFill>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continue"/>
            <w:vAlign w:val="center"/>
          </w:tcPr>
          <w:p>
            <w:pPr>
              <w:spacing w:line="380" w:lineRule="exact"/>
              <w:jc w:val="center"/>
              <w:rPr>
                <w:rFonts w:eastAsiaTheme="minorEastAsia"/>
                <w:color w:val="000000" w:themeColor="text1"/>
                <w:sz w:val="21"/>
                <w14:textFill>
                  <w14:solidFill>
                    <w14:schemeClr w14:val="tx1"/>
                  </w14:solidFill>
                </w14:textFill>
              </w:rPr>
            </w:pPr>
          </w:p>
        </w:tc>
        <w:tc>
          <w:tcPr>
            <w:tcW w:w="1561" w:type="dxa"/>
            <w:vAlign w:val="center"/>
          </w:tcPr>
          <w:p>
            <w:pPr>
              <w:spacing w:line="380" w:lineRule="exact"/>
              <w:jc w:val="center"/>
              <w:rPr>
                <w:rFonts w:eastAsiaTheme="minorEastAsia"/>
                <w:color w:val="000000" w:themeColor="text1"/>
                <w:sz w:val="21"/>
                <w14:textFill>
                  <w14:solidFill>
                    <w14:schemeClr w14:val="tx1"/>
                  </w14:solidFill>
                </w14:textFill>
              </w:rPr>
            </w:pPr>
            <w:r>
              <w:rPr>
                <w:rFonts w:hint="eastAsia" w:eastAsiaTheme="minorEastAsia"/>
                <w:color w:val="000000" w:themeColor="text1"/>
                <w:sz w:val="21"/>
                <w14:textFill>
                  <w14:solidFill>
                    <w14:schemeClr w14:val="tx1"/>
                  </w14:solidFill>
                </w14:textFill>
              </w:rPr>
              <w:t>初期雨水</w:t>
            </w:r>
          </w:p>
        </w:tc>
        <w:tc>
          <w:tcPr>
            <w:tcW w:w="1644" w:type="dxa"/>
            <w:vAlign w:val="center"/>
          </w:tcPr>
          <w:p>
            <w:pPr>
              <w:spacing w:line="380" w:lineRule="exact"/>
              <w:jc w:val="center"/>
              <w:rPr>
                <w:rFonts w:eastAsiaTheme="minorEastAsia"/>
                <w:color w:val="000000" w:themeColor="text1"/>
                <w:sz w:val="21"/>
                <w14:textFill>
                  <w14:solidFill>
                    <w14:schemeClr w14:val="tx1"/>
                  </w14:solidFill>
                </w14:textFill>
              </w:rPr>
            </w:pPr>
            <w:r>
              <w:rPr>
                <w:rFonts w:hint="eastAsia" w:eastAsiaTheme="minorEastAsia"/>
                <w:color w:val="000000" w:themeColor="text1"/>
                <w:sz w:val="21"/>
                <w14:textFill>
                  <w14:solidFill>
                    <w14:schemeClr w14:val="tx1"/>
                  </w14:solidFill>
                </w14:textFill>
              </w:rPr>
              <w:t>SS</w:t>
            </w:r>
          </w:p>
        </w:tc>
        <w:tc>
          <w:tcPr>
            <w:tcW w:w="3885" w:type="dxa"/>
            <w:vAlign w:val="center"/>
          </w:tcPr>
          <w:p>
            <w:pPr>
              <w:spacing w:line="380" w:lineRule="exact"/>
              <w:jc w:val="center"/>
              <w:rPr>
                <w:rFonts w:eastAsiaTheme="minorEastAsia"/>
                <w:color w:val="000000" w:themeColor="text1"/>
                <w:sz w:val="21"/>
                <w14:textFill>
                  <w14:solidFill>
                    <w14:schemeClr w14:val="tx1"/>
                  </w14:solidFill>
                </w14:textFill>
              </w:rPr>
            </w:pPr>
            <w:r>
              <w:rPr>
                <w:rFonts w:hint="eastAsia" w:eastAsiaTheme="minorEastAsia"/>
                <w:color w:val="000000" w:themeColor="text1"/>
                <w:sz w:val="21"/>
                <w14:textFill>
                  <w14:solidFill>
                    <w14:schemeClr w14:val="tx1"/>
                  </w14:solidFill>
                </w14:textFill>
              </w:rPr>
              <w:t>在厂区地势最低处设置1个雨水收集池，容积约50m3，初期雨水回用 生产不外排</w:t>
            </w:r>
          </w:p>
        </w:tc>
        <w:tc>
          <w:tcPr>
            <w:tcW w:w="1445" w:type="dxa"/>
            <w:vAlign w:val="center"/>
          </w:tcPr>
          <w:p>
            <w:pPr>
              <w:spacing w:line="380" w:lineRule="exact"/>
              <w:jc w:val="center"/>
              <w:rPr>
                <w:rFonts w:eastAsiaTheme="minorEastAsia"/>
                <w:color w:val="000000" w:themeColor="text1"/>
                <w:sz w:val="21"/>
                <w14:textFill>
                  <w14:solidFill>
                    <w14:schemeClr w14:val="tx1"/>
                  </w14:solidFill>
                </w14:textFill>
              </w:rPr>
            </w:pPr>
            <w:r>
              <w:rPr>
                <w:rFonts w:hint="eastAsia" w:eastAsiaTheme="minorEastAsia"/>
                <w:color w:val="000000" w:themeColor="text1"/>
                <w:sz w:val="21"/>
                <w14:textFill>
                  <w14:solidFill>
                    <w14:schemeClr w14:val="tx1"/>
                  </w14:solidFill>
                </w14:textFill>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936" w:type="dxa"/>
            <w:vMerge w:val="continue"/>
            <w:vAlign w:val="center"/>
          </w:tcPr>
          <w:p>
            <w:pPr>
              <w:spacing w:line="380" w:lineRule="exact"/>
              <w:jc w:val="center"/>
              <w:rPr>
                <w:rFonts w:eastAsiaTheme="minorEastAsia"/>
                <w:color w:val="000000" w:themeColor="text1"/>
                <w:sz w:val="21"/>
                <w14:textFill>
                  <w14:solidFill>
                    <w14:schemeClr w14:val="tx1"/>
                  </w14:solidFill>
                </w14:textFill>
              </w:rPr>
            </w:pPr>
          </w:p>
        </w:tc>
        <w:tc>
          <w:tcPr>
            <w:tcW w:w="1561" w:type="dxa"/>
            <w:vAlign w:val="center"/>
          </w:tcPr>
          <w:p>
            <w:pPr>
              <w:spacing w:line="380" w:lineRule="exact"/>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生活污水</w:t>
            </w:r>
          </w:p>
        </w:tc>
        <w:tc>
          <w:tcPr>
            <w:tcW w:w="1644" w:type="dxa"/>
            <w:vAlign w:val="center"/>
          </w:tcPr>
          <w:p>
            <w:pPr>
              <w:spacing w:line="380" w:lineRule="exact"/>
              <w:ind w:left="-228" w:leftChars="-95" w:right="-235" w:rightChars="-98"/>
              <w:jc w:val="center"/>
              <w:rPr>
                <w:color w:val="000000" w:themeColor="text1"/>
                <w:sz w:val="21"/>
                <w14:textFill>
                  <w14:solidFill>
                    <w14:schemeClr w14:val="tx1"/>
                  </w14:solidFill>
                </w14:textFill>
              </w:rPr>
            </w:pPr>
            <w:r>
              <w:rPr>
                <w:color w:val="000000" w:themeColor="text1"/>
                <w:sz w:val="21"/>
                <w14:textFill>
                  <w14:solidFill>
                    <w14:schemeClr w14:val="tx1"/>
                  </w14:solidFill>
                </w14:textFill>
              </w:rPr>
              <w:t>COD、BOD</w:t>
            </w:r>
            <w:r>
              <w:rPr>
                <w:color w:val="000000" w:themeColor="text1"/>
                <w:sz w:val="21"/>
                <w:vertAlign w:val="subscript"/>
                <w14:textFill>
                  <w14:solidFill>
                    <w14:schemeClr w14:val="tx1"/>
                  </w14:solidFill>
                </w14:textFill>
              </w:rPr>
              <w:t>5</w:t>
            </w:r>
            <w:r>
              <w:rPr>
                <w:color w:val="000000" w:themeColor="text1"/>
                <w:sz w:val="21"/>
                <w14:textFill>
                  <w14:solidFill>
                    <w14:schemeClr w14:val="tx1"/>
                  </w14:solidFill>
                </w14:textFill>
              </w:rPr>
              <w:t>、</w:t>
            </w:r>
          </w:p>
          <w:p>
            <w:pPr>
              <w:spacing w:line="380" w:lineRule="exact"/>
              <w:ind w:left="-228" w:leftChars="-95" w:right="-235" w:rightChars="-98"/>
              <w:jc w:val="center"/>
              <w:rPr>
                <w:rFonts w:eastAsiaTheme="minorEastAsia"/>
                <w:color w:val="000000" w:themeColor="text1"/>
                <w:sz w:val="21"/>
                <w14:textFill>
                  <w14:solidFill>
                    <w14:schemeClr w14:val="tx1"/>
                  </w14:solidFill>
                </w14:textFill>
              </w:rPr>
            </w:pPr>
            <w:r>
              <w:rPr>
                <w:color w:val="000000" w:themeColor="text1"/>
                <w:sz w:val="21"/>
                <w14:textFill>
                  <w14:solidFill>
                    <w14:schemeClr w14:val="tx1"/>
                  </w14:solidFill>
                </w14:textFill>
              </w:rPr>
              <w:t>SS、NH</w:t>
            </w:r>
            <w:r>
              <w:rPr>
                <w:color w:val="000000" w:themeColor="text1"/>
                <w:sz w:val="21"/>
                <w:vertAlign w:val="subscript"/>
                <w14:textFill>
                  <w14:solidFill>
                    <w14:schemeClr w14:val="tx1"/>
                  </w14:solidFill>
                </w14:textFill>
              </w:rPr>
              <w:t>3</w:t>
            </w:r>
            <w:r>
              <w:rPr>
                <w:color w:val="000000" w:themeColor="text1"/>
                <w:sz w:val="21"/>
                <w14:textFill>
                  <w14:solidFill>
                    <w14:schemeClr w14:val="tx1"/>
                  </w14:solidFill>
                </w14:textFill>
              </w:rPr>
              <w:t>-N、TP</w:t>
            </w:r>
          </w:p>
        </w:tc>
        <w:tc>
          <w:tcPr>
            <w:tcW w:w="3885" w:type="dxa"/>
            <w:vAlign w:val="center"/>
          </w:tcPr>
          <w:p>
            <w:pPr>
              <w:spacing w:line="380" w:lineRule="exact"/>
              <w:jc w:val="center"/>
              <w:rPr>
                <w:rFonts w:eastAsiaTheme="minorEastAsia"/>
                <w:color w:val="000000" w:themeColor="text1"/>
                <w:sz w:val="21"/>
                <w14:textFill>
                  <w14:solidFill>
                    <w14:schemeClr w14:val="tx1"/>
                  </w14:solidFill>
                </w14:textFill>
              </w:rPr>
            </w:pPr>
            <w:r>
              <w:rPr>
                <w:rFonts w:hint="eastAsia" w:eastAsiaTheme="minorEastAsia"/>
                <w:color w:val="000000" w:themeColor="text1"/>
                <w:sz w:val="21"/>
                <w14:textFill>
                  <w14:solidFill>
                    <w14:schemeClr w14:val="tx1"/>
                  </w14:solidFill>
                </w14:textFill>
              </w:rPr>
              <w:t>设化粪池 1 个（容积3m3），收集后由附近 农户定期清掏做农肥</w:t>
            </w:r>
          </w:p>
        </w:tc>
        <w:tc>
          <w:tcPr>
            <w:tcW w:w="1445" w:type="dxa"/>
            <w:vAlign w:val="center"/>
          </w:tcPr>
          <w:p>
            <w:pPr>
              <w:spacing w:line="380" w:lineRule="exact"/>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不外排，农肥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936" w:type="dxa"/>
            <w:vMerge w:val="restart"/>
            <w:vAlign w:val="center"/>
          </w:tcPr>
          <w:p>
            <w:pPr>
              <w:spacing w:line="380" w:lineRule="exact"/>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声环境</w:t>
            </w:r>
          </w:p>
        </w:tc>
        <w:tc>
          <w:tcPr>
            <w:tcW w:w="1561" w:type="dxa"/>
            <w:vAlign w:val="center"/>
          </w:tcPr>
          <w:p>
            <w:pPr>
              <w:spacing w:line="380" w:lineRule="exact"/>
              <w:jc w:val="center"/>
              <w:rPr>
                <w:rFonts w:eastAsiaTheme="minorEastAsia"/>
                <w:color w:val="000000" w:themeColor="text1"/>
                <w:sz w:val="21"/>
                <w14:textFill>
                  <w14:solidFill>
                    <w14:schemeClr w14:val="tx1"/>
                  </w14:solidFill>
                </w14:textFill>
              </w:rPr>
            </w:pPr>
            <w:r>
              <w:rPr>
                <w:spacing w:val="7"/>
                <w:sz w:val="20"/>
                <w:szCs w:val="20"/>
              </w:rPr>
              <w:t>施工现场</w:t>
            </w:r>
          </w:p>
        </w:tc>
        <w:tc>
          <w:tcPr>
            <w:tcW w:w="1644" w:type="dxa"/>
            <w:vAlign w:val="center"/>
          </w:tcPr>
          <w:p>
            <w:pPr>
              <w:spacing w:line="380" w:lineRule="exact"/>
              <w:jc w:val="center"/>
              <w:rPr>
                <w:rFonts w:eastAsiaTheme="minorEastAsia"/>
                <w:color w:val="000000" w:themeColor="text1"/>
                <w:sz w:val="21"/>
                <w14:textFill>
                  <w14:solidFill>
                    <w14:schemeClr w14:val="tx1"/>
                  </w14:solidFill>
                </w14:textFill>
              </w:rPr>
            </w:pPr>
            <w:r>
              <w:rPr>
                <w:rFonts w:hint="eastAsia" w:eastAsiaTheme="minorEastAsia"/>
                <w:color w:val="000000" w:themeColor="text1"/>
                <w:sz w:val="21"/>
                <w14:textFill>
                  <w14:solidFill>
                    <w14:schemeClr w14:val="tx1"/>
                  </w14:solidFill>
                </w14:textFill>
              </w:rPr>
              <w:t>基础建设、设备安装</w:t>
            </w:r>
          </w:p>
        </w:tc>
        <w:tc>
          <w:tcPr>
            <w:tcW w:w="3885" w:type="dxa"/>
            <w:vAlign w:val="center"/>
          </w:tcPr>
          <w:p>
            <w:pPr>
              <w:spacing w:line="380" w:lineRule="exact"/>
              <w:jc w:val="center"/>
              <w:rPr>
                <w:rFonts w:eastAsiaTheme="minorEastAsia"/>
                <w:color w:val="000000" w:themeColor="text1"/>
                <w:sz w:val="21"/>
                <w14:textFill>
                  <w14:solidFill>
                    <w14:schemeClr w14:val="tx1"/>
                  </w14:solidFill>
                </w14:textFill>
              </w:rPr>
            </w:pPr>
            <w:r>
              <w:rPr>
                <w:rFonts w:hint="eastAsia" w:eastAsiaTheme="minorEastAsia"/>
                <w:color w:val="000000" w:themeColor="text1"/>
                <w:sz w:val="21"/>
                <w14:textFill>
                  <w14:solidFill>
                    <w14:schemeClr w14:val="tx1"/>
                  </w14:solidFill>
                </w14:textFill>
              </w:rPr>
              <w:t>设置专用操作间、合理布局施工机械、加强设 备维护保养、合理安排施工时间、文明施工</w:t>
            </w:r>
          </w:p>
        </w:tc>
        <w:tc>
          <w:tcPr>
            <w:tcW w:w="1445" w:type="dxa"/>
            <w:vAlign w:val="center"/>
          </w:tcPr>
          <w:p>
            <w:pPr>
              <w:spacing w:line="380" w:lineRule="exact"/>
              <w:jc w:val="center"/>
              <w:rPr>
                <w:rFonts w:eastAsiaTheme="minorEastAsia"/>
                <w:color w:val="000000" w:themeColor="text1"/>
                <w:sz w:val="21"/>
                <w14:textFill>
                  <w14:solidFill>
                    <w14:schemeClr w14:val="tx1"/>
                  </w14:solidFill>
                </w14:textFill>
              </w:rPr>
            </w:pPr>
            <w:r>
              <w:rPr>
                <w:rFonts w:hint="eastAsia" w:eastAsiaTheme="minorEastAsia"/>
                <w:color w:val="000000" w:themeColor="text1"/>
                <w:sz w:val="21"/>
                <w14:textFill>
                  <w14:solidFill>
                    <w14:schemeClr w14:val="tx1"/>
                  </w14:solidFill>
                </w14:textFill>
              </w:rPr>
              <w:t>《</w:t>
            </w:r>
            <w:r>
              <w:rPr>
                <w:rFonts w:hint="eastAsia" w:eastAsiaTheme="minorEastAsia"/>
                <w:color w:val="000000" w:themeColor="text1"/>
                <w:sz w:val="21"/>
                <w:lang w:eastAsia="zh-CN"/>
                <w14:textFill>
                  <w14:solidFill>
                    <w14:schemeClr w14:val="tx1"/>
                  </w14:solidFill>
                </w14:textFill>
              </w:rPr>
              <w:t>建筑施工场界环境噪声排放标准</w:t>
            </w:r>
            <w:r>
              <w:rPr>
                <w:rFonts w:hint="eastAsia" w:eastAsiaTheme="minorEastAsia"/>
                <w:color w:val="000000" w:themeColor="text1"/>
                <w:sz w:val="21"/>
                <w14:textFill>
                  <w14:solidFill>
                    <w14:schemeClr w14:val="tx1"/>
                  </w14:solidFill>
                </w14:textFill>
              </w:rPr>
              <w:t>》（GB12523-</w:t>
            </w:r>
          </w:p>
          <w:p>
            <w:pPr>
              <w:spacing w:line="380" w:lineRule="exact"/>
              <w:jc w:val="center"/>
              <w:rPr>
                <w:rFonts w:eastAsiaTheme="minorEastAsia"/>
                <w:color w:val="000000" w:themeColor="text1"/>
                <w:sz w:val="21"/>
                <w14:textFill>
                  <w14:solidFill>
                    <w14:schemeClr w14:val="tx1"/>
                  </w14:solidFill>
                </w14:textFill>
              </w:rPr>
            </w:pPr>
            <w:r>
              <w:rPr>
                <w:rFonts w:hint="eastAsia" w:eastAsiaTheme="minorEastAsia"/>
                <w:color w:val="000000" w:themeColor="text1"/>
                <w:sz w:val="21"/>
                <w14:textFill>
                  <w14:solidFill>
                    <w14:schemeClr w14:val="tx1"/>
                  </w14:solidFill>
                </w14:textFill>
              </w:rPr>
              <w:t>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Merge w:val="continue"/>
            <w:vAlign w:val="center"/>
          </w:tcPr>
          <w:p>
            <w:pPr>
              <w:spacing w:line="380" w:lineRule="exact"/>
              <w:jc w:val="center"/>
              <w:rPr>
                <w:rFonts w:eastAsiaTheme="minorEastAsia"/>
                <w:color w:val="000000" w:themeColor="text1"/>
                <w:sz w:val="21"/>
                <w14:textFill>
                  <w14:solidFill>
                    <w14:schemeClr w14:val="tx1"/>
                  </w14:solidFill>
                </w14:textFill>
              </w:rPr>
            </w:pPr>
          </w:p>
        </w:tc>
        <w:tc>
          <w:tcPr>
            <w:tcW w:w="1561" w:type="dxa"/>
            <w:vAlign w:val="center"/>
          </w:tcPr>
          <w:p>
            <w:pPr>
              <w:spacing w:line="380" w:lineRule="exact"/>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设备噪声</w:t>
            </w:r>
          </w:p>
        </w:tc>
        <w:tc>
          <w:tcPr>
            <w:tcW w:w="1644" w:type="dxa"/>
            <w:vAlign w:val="center"/>
          </w:tcPr>
          <w:p>
            <w:pPr>
              <w:spacing w:line="380" w:lineRule="exact"/>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噪声</w:t>
            </w:r>
          </w:p>
        </w:tc>
        <w:tc>
          <w:tcPr>
            <w:tcW w:w="3885" w:type="dxa"/>
            <w:vAlign w:val="center"/>
          </w:tcPr>
          <w:p>
            <w:pPr>
              <w:spacing w:line="380" w:lineRule="exact"/>
              <w:jc w:val="center"/>
              <w:rPr>
                <w:rFonts w:eastAsiaTheme="minorEastAsia"/>
                <w:color w:val="000000" w:themeColor="text1"/>
                <w:sz w:val="21"/>
                <w14:textFill>
                  <w14:solidFill>
                    <w14:schemeClr w14:val="tx1"/>
                  </w14:solidFill>
                </w14:textFill>
              </w:rPr>
            </w:pPr>
            <w:r>
              <w:rPr>
                <w:rFonts w:hint="eastAsia" w:ascii="宋体" w:hAnsi="宋体" w:cs="宋体"/>
                <w:spacing w:val="9"/>
                <w:sz w:val="20"/>
                <w:szCs w:val="20"/>
              </w:rPr>
              <w:t>①</w:t>
            </w:r>
            <w:r>
              <w:rPr>
                <w:spacing w:val="9"/>
                <w:sz w:val="20"/>
                <w:szCs w:val="20"/>
              </w:rPr>
              <w:t>优选低噪声设备；</w:t>
            </w:r>
            <w:r>
              <w:rPr>
                <w:rFonts w:hint="eastAsia" w:ascii="宋体" w:hAnsi="宋体" w:cs="宋体"/>
                <w:spacing w:val="9"/>
                <w:sz w:val="20"/>
                <w:szCs w:val="20"/>
              </w:rPr>
              <w:t>②</w:t>
            </w:r>
            <w:r>
              <w:rPr>
                <w:sz w:val="20"/>
                <w:szCs w:val="20"/>
              </w:rPr>
              <w:t xml:space="preserve"> </w:t>
            </w:r>
            <w:r>
              <w:rPr>
                <w:spacing w:val="8"/>
                <w:sz w:val="20"/>
                <w:szCs w:val="20"/>
              </w:rPr>
              <w:t>基础减振、建筑隔声；</w:t>
            </w:r>
            <w:r>
              <w:rPr>
                <w:rFonts w:hint="eastAsia" w:ascii="宋体" w:hAnsi="宋体" w:cs="宋体"/>
                <w:spacing w:val="9"/>
                <w:sz w:val="20"/>
                <w:szCs w:val="20"/>
              </w:rPr>
              <w:t>③</w:t>
            </w:r>
            <w:r>
              <w:rPr>
                <w:spacing w:val="9"/>
                <w:sz w:val="20"/>
                <w:szCs w:val="20"/>
              </w:rPr>
              <w:t>加强维护管理、合理</w:t>
            </w:r>
            <w:r>
              <w:rPr>
                <w:sz w:val="20"/>
                <w:szCs w:val="20"/>
              </w:rPr>
              <w:t xml:space="preserve"> </w:t>
            </w:r>
            <w:r>
              <w:rPr>
                <w:spacing w:val="7"/>
                <w:sz w:val="20"/>
                <w:szCs w:val="20"/>
              </w:rPr>
              <w:t>安排生产时间</w:t>
            </w:r>
          </w:p>
        </w:tc>
        <w:tc>
          <w:tcPr>
            <w:tcW w:w="1445" w:type="dxa"/>
            <w:vAlign w:val="center"/>
          </w:tcPr>
          <w:p>
            <w:pPr>
              <w:spacing w:line="380" w:lineRule="exact"/>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936" w:type="dxa"/>
            <w:vAlign w:val="center"/>
          </w:tcPr>
          <w:p>
            <w:pPr>
              <w:spacing w:line="380" w:lineRule="exact"/>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电磁</w:t>
            </w:r>
          </w:p>
          <w:p>
            <w:pPr>
              <w:spacing w:line="380" w:lineRule="exact"/>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辐射</w:t>
            </w:r>
          </w:p>
        </w:tc>
        <w:tc>
          <w:tcPr>
            <w:tcW w:w="1561" w:type="dxa"/>
            <w:vAlign w:val="center"/>
          </w:tcPr>
          <w:p>
            <w:pPr>
              <w:spacing w:line="380" w:lineRule="exact"/>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w:t>
            </w:r>
          </w:p>
        </w:tc>
        <w:tc>
          <w:tcPr>
            <w:tcW w:w="1644" w:type="dxa"/>
            <w:vAlign w:val="center"/>
          </w:tcPr>
          <w:p>
            <w:pPr>
              <w:spacing w:line="380" w:lineRule="exact"/>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w:t>
            </w:r>
          </w:p>
        </w:tc>
        <w:tc>
          <w:tcPr>
            <w:tcW w:w="3885" w:type="dxa"/>
            <w:vAlign w:val="center"/>
          </w:tcPr>
          <w:p>
            <w:pPr>
              <w:spacing w:line="380" w:lineRule="exact"/>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w:t>
            </w:r>
          </w:p>
        </w:tc>
        <w:tc>
          <w:tcPr>
            <w:tcW w:w="1445" w:type="dxa"/>
            <w:vAlign w:val="center"/>
          </w:tcPr>
          <w:p>
            <w:pPr>
              <w:spacing w:line="380" w:lineRule="exact"/>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936" w:type="dxa"/>
            <w:vAlign w:val="center"/>
          </w:tcPr>
          <w:p>
            <w:pPr>
              <w:spacing w:line="380" w:lineRule="exact"/>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固体</w:t>
            </w:r>
          </w:p>
          <w:p>
            <w:pPr>
              <w:spacing w:line="380" w:lineRule="exact"/>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废物</w:t>
            </w:r>
          </w:p>
        </w:tc>
        <w:tc>
          <w:tcPr>
            <w:tcW w:w="8535" w:type="dxa"/>
            <w:gridSpan w:val="4"/>
            <w:vAlign w:val="center"/>
          </w:tcPr>
          <w:p>
            <w:pPr>
              <w:spacing w:line="380" w:lineRule="exact"/>
              <w:ind w:firstLine="420" w:firstLineChars="200"/>
              <w:jc w:val="left"/>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 、施工期</w:t>
            </w:r>
          </w:p>
          <w:p>
            <w:pPr>
              <w:spacing w:line="380" w:lineRule="exact"/>
              <w:ind w:firstLine="420" w:firstLineChars="200"/>
              <w:jc w:val="left"/>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（1）少量土石方或建筑垃圾，在施工场地内低洼处回填。</w:t>
            </w:r>
          </w:p>
          <w:p>
            <w:pPr>
              <w:spacing w:line="380" w:lineRule="exact"/>
              <w:ind w:firstLine="420" w:firstLineChars="200"/>
              <w:jc w:val="left"/>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（2）部分可再利用的废建材、建筑垃圾和废弃包装材料，应尽量集中收集外售至废品回收站。</w:t>
            </w:r>
          </w:p>
          <w:p>
            <w:pPr>
              <w:spacing w:line="380" w:lineRule="exact"/>
              <w:ind w:firstLine="420" w:firstLineChars="200"/>
              <w:jc w:val="left"/>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（3）生活垃圾袋装收集后运至附近场镇生活垃圾集中收集点， 由环卫部门清运处置。</w:t>
            </w:r>
          </w:p>
          <w:p>
            <w:pPr>
              <w:spacing w:line="380" w:lineRule="exact"/>
              <w:ind w:firstLine="420" w:firstLineChars="200"/>
              <w:jc w:val="left"/>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 、营运期</w:t>
            </w:r>
          </w:p>
          <w:p>
            <w:pPr>
              <w:spacing w:line="380" w:lineRule="exact"/>
              <w:ind w:firstLine="420" w:firstLineChars="200"/>
              <w:jc w:val="left"/>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（1）废水处理产生的沉淀泥砂，定期清理经压滤机压滤处理，压滤后的泥饼定期外运至砖厂做制砖原料利用。泥饼临时堆放点地面硬化，采取“防雨、防渗、防流失 ”措施，并及时外运处置，减少厂区堆放量。废絮凝剂桶由厂家回收处置或利用。</w:t>
            </w:r>
          </w:p>
          <w:p>
            <w:pPr>
              <w:spacing w:line="380" w:lineRule="exact"/>
              <w:ind w:firstLine="420" w:firstLineChars="200"/>
              <w:jc w:val="left"/>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（2）废机油和废油桶等危废，设危废间1个建筑面积约10m2 ，采取污染防治措施，建立台账，委托有资质的单位处置。</w:t>
            </w:r>
          </w:p>
          <w:p>
            <w:pPr>
              <w:spacing w:line="380" w:lineRule="exact"/>
              <w:ind w:firstLine="420" w:firstLineChars="200"/>
              <w:jc w:val="left"/>
              <w:rPr>
                <w:rFonts w:eastAsiaTheme="minorEastAsia"/>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（3）生活垃圾设置垃圾桶收集，定期外运至附近场镇的生活垃圾集中收集点，由环卫部门负责清运处置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2" w:hRule="atLeast"/>
        </w:trPr>
        <w:tc>
          <w:tcPr>
            <w:tcW w:w="936" w:type="dxa"/>
            <w:vAlign w:val="center"/>
          </w:tcPr>
          <w:p>
            <w:pPr>
              <w:spacing w:line="380" w:lineRule="exact"/>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土壤及地下水</w:t>
            </w:r>
          </w:p>
          <w:p>
            <w:pPr>
              <w:spacing w:line="380" w:lineRule="exact"/>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污染防治措施</w:t>
            </w:r>
          </w:p>
        </w:tc>
        <w:tc>
          <w:tcPr>
            <w:tcW w:w="8535" w:type="dxa"/>
            <w:gridSpan w:val="4"/>
            <w:vAlign w:val="center"/>
          </w:tcPr>
          <w:p>
            <w:pPr>
              <w:spacing w:line="380" w:lineRule="exact"/>
              <w:ind w:firstLine="420" w:firstLineChars="200"/>
              <w:jc w:val="left"/>
              <w:rPr>
                <w:rFonts w:eastAsiaTheme="minorEastAsia"/>
                <w:color w:val="000000" w:themeColor="text1"/>
                <w:sz w:val="21"/>
                <w14:textFill>
                  <w14:solidFill>
                    <w14:schemeClr w14:val="tx1"/>
                  </w14:solidFill>
                </w14:textFill>
              </w:rPr>
            </w:pPr>
            <w:r>
              <w:rPr>
                <w:rFonts w:hint="eastAsia" w:eastAsiaTheme="minorEastAsia"/>
                <w:color w:val="000000" w:themeColor="text1"/>
                <w:sz w:val="21"/>
                <w14:textFill>
                  <w14:solidFill>
                    <w14:schemeClr w14:val="tx1"/>
                  </w14:solidFill>
                </w14:textFill>
              </w:rPr>
              <w:t>对危废间采取防渗处理，防渗技术要求应满足等效黏土防渗层Mb≥ 6.0m ，K≤1×10</w:t>
            </w:r>
            <w:r>
              <w:rPr>
                <w:rFonts w:hint="eastAsia" w:eastAsiaTheme="minorEastAsia"/>
                <w:color w:val="000000" w:themeColor="text1"/>
                <w:sz w:val="21"/>
                <w:vertAlign w:val="superscript"/>
                <w14:textFill>
                  <w14:solidFill>
                    <w14:schemeClr w14:val="tx1"/>
                  </w14:solidFill>
                </w14:textFill>
              </w:rPr>
              <w:t>-7</w:t>
            </w:r>
            <w:r>
              <w:rPr>
                <w:rFonts w:hint="eastAsia" w:eastAsiaTheme="minorEastAsia"/>
                <w:color w:val="000000" w:themeColor="text1"/>
                <w:sz w:val="21"/>
                <w14:textFill>
                  <w14:solidFill>
                    <w14:schemeClr w14:val="tx1"/>
                  </w14:solidFill>
                </w14:textFill>
              </w:rPr>
              <w:t>cm/s ；或防渗层为至少1m厚粘土层（渗透系数≤10</w:t>
            </w:r>
            <w:r>
              <w:rPr>
                <w:rFonts w:hint="eastAsia" w:eastAsiaTheme="minorEastAsia"/>
                <w:color w:val="000000" w:themeColor="text1"/>
                <w:sz w:val="21"/>
                <w:vertAlign w:val="superscript"/>
                <w14:textFill>
                  <w14:solidFill>
                    <w14:schemeClr w14:val="tx1"/>
                  </w14:solidFill>
                </w14:textFill>
              </w:rPr>
              <w:t>-7</w:t>
            </w:r>
            <w:r>
              <w:rPr>
                <w:rFonts w:hint="eastAsia" w:eastAsiaTheme="minorEastAsia"/>
                <w:color w:val="000000" w:themeColor="text1"/>
                <w:sz w:val="21"/>
                <w14:textFill>
                  <w14:solidFill>
                    <w14:schemeClr w14:val="tx1"/>
                  </w14:solidFill>
                </w14:textFill>
              </w:rPr>
              <w:t>cm/s ），或2mm厚高密度聚乙烯，或至少2毫米厚的其它人工材料，渗透系数≤10</w:t>
            </w:r>
            <w:r>
              <w:rPr>
                <w:rFonts w:hint="eastAsia" w:eastAsiaTheme="minorEastAsia"/>
                <w:color w:val="000000" w:themeColor="text1"/>
                <w:sz w:val="21"/>
                <w:vertAlign w:val="superscript"/>
                <w14:textFill>
                  <w14:solidFill>
                    <w14:schemeClr w14:val="tx1"/>
                  </w14:solidFill>
                </w14:textFill>
              </w:rPr>
              <w:t>-10</w:t>
            </w:r>
            <w:r>
              <w:rPr>
                <w:rFonts w:hint="eastAsia" w:eastAsiaTheme="minorEastAsia"/>
                <w:color w:val="000000" w:themeColor="text1"/>
                <w:sz w:val="21"/>
                <w14:textFill>
                  <w14:solidFill>
                    <w14:schemeClr w14:val="tx1"/>
                  </w14:solidFill>
                </w14:textFill>
              </w:rPr>
              <w:t>cm/s 。对废水处理设施区域、初期雨水池、车辆轮胎冲洗废水 沉淀池、泥饼池采取一般防渗处理，防渗技术要求应满足等效黏土层≥1.5m 、渗透系数≤10-7cm/s ；或参照GB16889执行。其余区域采取简单防渗处理</w:t>
            </w:r>
            <w:r>
              <w:rPr>
                <w:rFonts w:eastAsiaTheme="minorEastAsia"/>
                <w:color w:val="000000" w:themeColor="text1"/>
                <w:sz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936" w:type="dxa"/>
            <w:vAlign w:val="center"/>
          </w:tcPr>
          <w:p>
            <w:pPr>
              <w:spacing w:line="380" w:lineRule="exact"/>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生态保护措施</w:t>
            </w:r>
          </w:p>
        </w:tc>
        <w:tc>
          <w:tcPr>
            <w:tcW w:w="8535" w:type="dxa"/>
            <w:gridSpan w:val="4"/>
            <w:vAlign w:val="center"/>
          </w:tcPr>
          <w:p>
            <w:pPr>
              <w:spacing w:line="380" w:lineRule="exact"/>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936" w:type="dxa"/>
            <w:vAlign w:val="center"/>
          </w:tcPr>
          <w:p>
            <w:pPr>
              <w:spacing w:line="380" w:lineRule="exact"/>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环境风险防范措施</w:t>
            </w:r>
          </w:p>
        </w:tc>
        <w:tc>
          <w:tcPr>
            <w:tcW w:w="8535" w:type="dxa"/>
            <w:gridSpan w:val="4"/>
            <w:vAlign w:val="center"/>
          </w:tcPr>
          <w:p>
            <w:pPr>
              <w:spacing w:line="380" w:lineRule="exact"/>
              <w:jc w:val="left"/>
              <w:rPr>
                <w:rFonts w:eastAsiaTheme="minorEastAsia"/>
                <w:color w:val="000000" w:themeColor="text1"/>
                <w:sz w:val="21"/>
                <w14:textFill>
                  <w14:solidFill>
                    <w14:schemeClr w14:val="tx1"/>
                  </w14:solidFill>
                </w14:textFill>
              </w:rPr>
            </w:pPr>
            <w:r>
              <w:rPr>
                <w:color w:val="000000" w:themeColor="text1"/>
                <w:sz w:val="21"/>
                <w14:textFill>
                  <w14:solidFill>
                    <w14:schemeClr w14:val="tx1"/>
                  </w14:solidFill>
                </w14:textFill>
              </w:rPr>
              <w:t>规范废水收集装置</w:t>
            </w:r>
            <w:r>
              <w:rPr>
                <w:rFonts w:hint="eastAsia"/>
                <w:color w:val="000000" w:themeColor="text1"/>
                <w:sz w:val="21"/>
                <w14:textFill>
                  <w14:solidFill>
                    <w14:schemeClr w14:val="tx1"/>
                  </w14:solidFill>
                </w14:textFill>
              </w:rPr>
              <w:t>，在砂石生产区周边设置收集沟，将整个厂区内场地散水收集至散水收集池处理后循环使用，不外排</w:t>
            </w:r>
            <w:r>
              <w:rPr>
                <w:color w:val="000000" w:themeColor="text1"/>
                <w:sz w:val="21"/>
                <w14:textFill>
                  <w14:solidFill>
                    <w14:schemeClr w14:val="tx1"/>
                  </w14:solidFill>
                </w14:textFill>
              </w:rPr>
              <w:t>。</w:t>
            </w:r>
            <w:r>
              <w:rPr>
                <w:rFonts w:eastAsiaTheme="minorEastAsia"/>
                <w:color w:val="000000" w:themeColor="text1"/>
                <w:sz w:val="21"/>
                <w14:textFill>
                  <w14:solidFill>
                    <w14:schemeClr w14:val="tx1"/>
                  </w14:solidFill>
                </w14:textFill>
              </w:rPr>
              <w:t>危废暂存间做好地面防渗、防漏措施，设置防渗围堰，围堰内设置备用收容设施和防范物质；加强运输风险管理，设置警示标识，配备相应数量灭火器，开展员工安全培训；加强污染防治设施管理和维护。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936" w:type="dxa"/>
            <w:vAlign w:val="center"/>
          </w:tcPr>
          <w:p>
            <w:pPr>
              <w:spacing w:line="380" w:lineRule="exact"/>
              <w:jc w:val="center"/>
              <w:rPr>
                <w:rFonts w:eastAsiaTheme="minorEastAsia"/>
                <w:color w:val="000000" w:themeColor="text1"/>
                <w:sz w:val="21"/>
                <w14:textFill>
                  <w14:solidFill>
                    <w14:schemeClr w14:val="tx1"/>
                  </w14:solidFill>
                </w14:textFill>
              </w:rPr>
            </w:pPr>
            <w:r>
              <w:rPr>
                <w:rFonts w:eastAsiaTheme="minorEastAsia"/>
                <w:color w:val="000000" w:themeColor="text1"/>
                <w:sz w:val="21"/>
                <w14:textFill>
                  <w14:solidFill>
                    <w14:schemeClr w14:val="tx1"/>
                  </w14:solidFill>
                </w14:textFill>
              </w:rPr>
              <w:t>其他环境管理要求</w:t>
            </w:r>
          </w:p>
        </w:tc>
        <w:tc>
          <w:tcPr>
            <w:tcW w:w="8535" w:type="dxa"/>
            <w:gridSpan w:val="4"/>
            <w:vAlign w:val="center"/>
          </w:tcPr>
          <w:p>
            <w:pPr>
              <w:spacing w:line="380" w:lineRule="exact"/>
              <w:ind w:firstLine="420" w:firstLineChars="200"/>
              <w:jc w:val="left"/>
              <w:rPr>
                <w:rFonts w:eastAsiaTheme="minorEastAsia"/>
                <w:color w:val="000000" w:themeColor="text1"/>
                <w:sz w:val="21"/>
                <w14:textFill>
                  <w14:solidFill>
                    <w14:schemeClr w14:val="tx1"/>
                  </w14:solidFill>
                </w14:textFill>
              </w:rPr>
            </w:pPr>
            <w:r>
              <w:rPr>
                <w:color w:val="000000" w:themeColor="text1"/>
                <w:sz w:val="21"/>
                <w14:textFill>
                  <w14:solidFill>
                    <w14:schemeClr w14:val="tx1"/>
                  </w14:solidFill>
                </w14:textFill>
              </w:rPr>
              <w:t>加强教育，提高员工的环境与安全意识。建设单位应加强对固体废弃物进行分类存放、统一管理，防止乱堆乱放，防止敞开式堆放，以免引起二次污染</w:t>
            </w:r>
            <w:r>
              <w:rPr>
                <w:rFonts w:eastAsiaTheme="minorEastAsia"/>
                <w:color w:val="000000" w:themeColor="text1"/>
                <w:sz w:val="21"/>
                <w14:textFill>
                  <w14:solidFill>
                    <w14:schemeClr w14:val="tx1"/>
                  </w14:solidFill>
                </w14:textFill>
              </w:rPr>
              <w:t>。</w:t>
            </w:r>
          </w:p>
        </w:tc>
      </w:tr>
    </w:tbl>
    <w:p>
      <w:pPr>
        <w:spacing w:line="360" w:lineRule="auto"/>
        <w:rPr>
          <w:b/>
          <w:color w:val="000000" w:themeColor="text1"/>
          <w:sz w:val="28"/>
          <w:szCs w:val="28"/>
          <w14:textFill>
            <w14:solidFill>
              <w14:schemeClr w14:val="tx1"/>
            </w14:solidFill>
          </w14:textFill>
        </w:rPr>
        <w:sectPr>
          <w:footerReference r:id="rId5" w:type="default"/>
          <w:pgSz w:w="11906" w:h="16838"/>
          <w:pgMar w:top="1134" w:right="1134" w:bottom="1134" w:left="1418" w:header="851" w:footer="992" w:gutter="0"/>
          <w:cols w:space="720" w:num="1"/>
          <w:docGrid w:type="lines" w:linePitch="312" w:charSpace="0"/>
        </w:sectPr>
      </w:pPr>
    </w:p>
    <w:p>
      <w:pPr>
        <w:pStyle w:val="18"/>
        <w:jc w:val="center"/>
        <w:rPr>
          <w:rFonts w:eastAsia="黑体"/>
          <w:b w:val="0"/>
          <w:color w:val="000000" w:themeColor="text1"/>
          <w:sz w:val="30"/>
          <w:szCs w:val="30"/>
          <w14:textFill>
            <w14:solidFill>
              <w14:schemeClr w14:val="tx1"/>
            </w14:solidFill>
          </w14:textFill>
        </w:rPr>
      </w:pPr>
      <w:r>
        <w:rPr>
          <w:rFonts w:eastAsia="黑体"/>
          <w:b w:val="0"/>
          <w:color w:val="000000" w:themeColor="text1"/>
          <w:sz w:val="30"/>
          <w:szCs w:val="30"/>
          <w14:textFill>
            <w14:solidFill>
              <w14:schemeClr w14:val="tx1"/>
            </w14:solidFill>
          </w14:textFill>
        </w:rPr>
        <w:t>六、结论</w:t>
      </w:r>
    </w:p>
    <w:tbl>
      <w:tblPr>
        <w:tblStyle w:val="15"/>
        <w:tblW w:w="934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4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344" w:type="dxa"/>
            <w:shd w:val="clear" w:color="auto" w:fill="auto"/>
          </w:tcPr>
          <w:p>
            <w:pPr>
              <w:spacing w:line="360" w:lineRule="auto"/>
              <w:ind w:firstLine="480" w:firstLineChars="200"/>
              <w:rPr>
                <w:color w:val="000000" w:themeColor="text1"/>
                <w:szCs w:val="24"/>
                <w14:textFill>
                  <w14:solidFill>
                    <w14:schemeClr w14:val="tx1"/>
                  </w14:solidFill>
                </w14:textFill>
              </w:rPr>
            </w:pPr>
          </w:p>
          <w:p>
            <w:pPr>
              <w:spacing w:line="360" w:lineRule="auto"/>
              <w:ind w:firstLine="480" w:firstLineChars="200"/>
              <w:rPr>
                <w:color w:val="000000" w:themeColor="text1"/>
                <w:szCs w:val="24"/>
                <w14:textFill>
                  <w14:solidFill>
                    <w14:schemeClr w14:val="tx1"/>
                  </w14:solidFill>
                </w14:textFill>
              </w:rPr>
            </w:pPr>
            <w:r>
              <w:rPr>
                <w:rFonts w:hint="eastAsia"/>
              </w:rPr>
              <w:t>宣汉县中诺建材有限公司年产 9 万方砂石加工厂项目</w:t>
            </w:r>
            <w:r>
              <w:rPr>
                <w:color w:val="000000" w:themeColor="text1"/>
                <w:szCs w:val="24"/>
                <w14:textFill>
                  <w14:solidFill>
                    <w14:schemeClr w14:val="tx1"/>
                  </w14:solidFill>
                </w14:textFill>
              </w:rPr>
              <w:t xml:space="preserve">符合国家和地方产业政策的要求，符合当地的环境功能区要求，项目选址及总平面布置合理，周围无明显的环境制约因素。项目建设与运营过程中，只要严格落实本环境影响报告表提出的各项环保措施，废气、废水及噪声能够实现达标排放或综合利用，固体废物处置去向明确，生态环境破坏能得到有效控制。项目建设对周围环境的影响很小，不会导致区域环境质量降低和改变区域的环境功能类别，项目的环境风险为可以接受程度。 </w:t>
            </w:r>
          </w:p>
          <w:p>
            <w:pPr>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 xml:space="preserve">因此，从环境保护角度分析，项目在所选地址建设可行。 </w:t>
            </w:r>
          </w:p>
          <w:p>
            <w:pPr>
              <w:spacing w:line="276" w:lineRule="auto"/>
              <w:ind w:firstLine="480" w:firstLineChars="200"/>
              <w:rPr>
                <w:color w:val="000000" w:themeColor="text1"/>
                <w14:textFill>
                  <w14:solidFill>
                    <w14:schemeClr w14:val="tx1"/>
                  </w14:solidFill>
                </w14:textFill>
              </w:rPr>
            </w:pPr>
          </w:p>
          <w:p>
            <w:pPr>
              <w:spacing w:line="276" w:lineRule="auto"/>
              <w:ind w:firstLine="480" w:firstLineChars="200"/>
              <w:rPr>
                <w:color w:val="000000" w:themeColor="text1"/>
                <w14:textFill>
                  <w14:solidFill>
                    <w14:schemeClr w14:val="tx1"/>
                  </w14:solidFill>
                </w14:textFill>
              </w:rPr>
            </w:pPr>
          </w:p>
          <w:p>
            <w:pPr>
              <w:spacing w:line="276" w:lineRule="auto"/>
              <w:ind w:firstLine="480" w:firstLineChars="200"/>
              <w:rPr>
                <w:color w:val="000000" w:themeColor="text1"/>
                <w14:textFill>
                  <w14:solidFill>
                    <w14:schemeClr w14:val="tx1"/>
                  </w14:solidFill>
                </w14:textFill>
              </w:rPr>
            </w:pPr>
          </w:p>
          <w:p>
            <w:pPr>
              <w:spacing w:line="276" w:lineRule="auto"/>
              <w:ind w:firstLine="480" w:firstLineChars="200"/>
              <w:rPr>
                <w:color w:val="000000" w:themeColor="text1"/>
                <w14:textFill>
                  <w14:solidFill>
                    <w14:schemeClr w14:val="tx1"/>
                  </w14:solidFill>
                </w14:textFill>
              </w:rPr>
            </w:pPr>
          </w:p>
          <w:p>
            <w:pPr>
              <w:spacing w:line="276" w:lineRule="auto"/>
              <w:ind w:firstLine="480" w:firstLineChars="200"/>
              <w:rPr>
                <w:color w:val="000000" w:themeColor="text1"/>
                <w14:textFill>
                  <w14:solidFill>
                    <w14:schemeClr w14:val="tx1"/>
                  </w14:solidFill>
                </w14:textFill>
              </w:rPr>
            </w:pPr>
          </w:p>
          <w:p>
            <w:pPr>
              <w:spacing w:line="276" w:lineRule="auto"/>
              <w:ind w:firstLine="480" w:firstLineChars="200"/>
              <w:rPr>
                <w:color w:val="000000" w:themeColor="text1"/>
                <w14:textFill>
                  <w14:solidFill>
                    <w14:schemeClr w14:val="tx1"/>
                  </w14:solidFill>
                </w14:textFill>
              </w:rPr>
            </w:pPr>
          </w:p>
          <w:p>
            <w:pPr>
              <w:spacing w:line="276" w:lineRule="auto"/>
              <w:ind w:firstLine="480" w:firstLineChars="200"/>
              <w:rPr>
                <w:color w:val="000000" w:themeColor="text1"/>
                <w14:textFill>
                  <w14:solidFill>
                    <w14:schemeClr w14:val="tx1"/>
                  </w14:solidFill>
                </w14:textFill>
              </w:rPr>
            </w:pPr>
          </w:p>
          <w:p>
            <w:pPr>
              <w:spacing w:line="276" w:lineRule="auto"/>
              <w:ind w:firstLine="480" w:firstLineChars="200"/>
              <w:rPr>
                <w:color w:val="000000" w:themeColor="text1"/>
                <w14:textFill>
                  <w14:solidFill>
                    <w14:schemeClr w14:val="tx1"/>
                  </w14:solidFill>
                </w14:textFill>
              </w:rPr>
            </w:pPr>
          </w:p>
          <w:p>
            <w:pPr>
              <w:spacing w:line="276" w:lineRule="auto"/>
              <w:ind w:firstLine="480" w:firstLineChars="200"/>
              <w:rPr>
                <w:color w:val="000000" w:themeColor="text1"/>
                <w14:textFill>
                  <w14:solidFill>
                    <w14:schemeClr w14:val="tx1"/>
                  </w14:solidFill>
                </w14:textFill>
              </w:rPr>
            </w:pPr>
          </w:p>
          <w:p>
            <w:pPr>
              <w:spacing w:line="276" w:lineRule="auto"/>
              <w:ind w:firstLine="480" w:firstLineChars="200"/>
              <w:rPr>
                <w:color w:val="000000" w:themeColor="text1"/>
                <w14:textFill>
                  <w14:solidFill>
                    <w14:schemeClr w14:val="tx1"/>
                  </w14:solidFill>
                </w14:textFill>
              </w:rPr>
            </w:pPr>
          </w:p>
          <w:p>
            <w:pPr>
              <w:spacing w:line="276" w:lineRule="auto"/>
              <w:ind w:firstLine="480" w:firstLineChars="200"/>
              <w:rPr>
                <w:color w:val="000000" w:themeColor="text1"/>
                <w14:textFill>
                  <w14:solidFill>
                    <w14:schemeClr w14:val="tx1"/>
                  </w14:solidFill>
                </w14:textFill>
              </w:rPr>
            </w:pPr>
          </w:p>
          <w:p>
            <w:pPr>
              <w:spacing w:line="276" w:lineRule="auto"/>
              <w:ind w:firstLine="480" w:firstLineChars="200"/>
              <w:rPr>
                <w:color w:val="000000" w:themeColor="text1"/>
                <w14:textFill>
                  <w14:solidFill>
                    <w14:schemeClr w14:val="tx1"/>
                  </w14:solidFill>
                </w14:textFill>
              </w:rPr>
            </w:pPr>
          </w:p>
          <w:p>
            <w:pPr>
              <w:spacing w:line="276" w:lineRule="auto"/>
              <w:ind w:firstLine="480" w:firstLineChars="200"/>
              <w:rPr>
                <w:color w:val="000000" w:themeColor="text1"/>
                <w14:textFill>
                  <w14:solidFill>
                    <w14:schemeClr w14:val="tx1"/>
                  </w14:solidFill>
                </w14:textFill>
              </w:rPr>
            </w:pPr>
          </w:p>
          <w:p>
            <w:pPr>
              <w:spacing w:line="276" w:lineRule="auto"/>
              <w:ind w:firstLine="480" w:firstLineChars="200"/>
              <w:rPr>
                <w:color w:val="000000" w:themeColor="text1"/>
                <w14:textFill>
                  <w14:solidFill>
                    <w14:schemeClr w14:val="tx1"/>
                  </w14:solidFill>
                </w14:textFill>
              </w:rPr>
            </w:pPr>
          </w:p>
          <w:p>
            <w:pPr>
              <w:spacing w:line="276" w:lineRule="auto"/>
              <w:ind w:firstLine="480" w:firstLineChars="200"/>
              <w:rPr>
                <w:color w:val="000000" w:themeColor="text1"/>
                <w14:textFill>
                  <w14:solidFill>
                    <w14:schemeClr w14:val="tx1"/>
                  </w14:solidFill>
                </w14:textFill>
              </w:rPr>
            </w:pPr>
          </w:p>
          <w:p>
            <w:pPr>
              <w:spacing w:line="276" w:lineRule="auto"/>
              <w:ind w:firstLine="480" w:firstLineChars="200"/>
              <w:rPr>
                <w:color w:val="000000" w:themeColor="text1"/>
                <w14:textFill>
                  <w14:solidFill>
                    <w14:schemeClr w14:val="tx1"/>
                  </w14:solidFill>
                </w14:textFill>
              </w:rPr>
            </w:pPr>
          </w:p>
          <w:p>
            <w:pPr>
              <w:spacing w:line="276" w:lineRule="auto"/>
              <w:ind w:firstLine="480" w:firstLineChars="200"/>
              <w:rPr>
                <w:color w:val="000000" w:themeColor="text1"/>
                <w14:textFill>
                  <w14:solidFill>
                    <w14:schemeClr w14:val="tx1"/>
                  </w14:solidFill>
                </w14:textFill>
              </w:rPr>
            </w:pPr>
          </w:p>
          <w:p>
            <w:pPr>
              <w:spacing w:line="276" w:lineRule="auto"/>
              <w:ind w:firstLine="480" w:firstLineChars="200"/>
              <w:rPr>
                <w:color w:val="000000" w:themeColor="text1"/>
                <w14:textFill>
                  <w14:solidFill>
                    <w14:schemeClr w14:val="tx1"/>
                  </w14:solidFill>
                </w14:textFill>
              </w:rPr>
            </w:pPr>
          </w:p>
          <w:p>
            <w:pPr>
              <w:spacing w:line="276" w:lineRule="auto"/>
              <w:ind w:firstLine="480" w:firstLineChars="200"/>
              <w:rPr>
                <w:color w:val="000000" w:themeColor="text1"/>
                <w14:textFill>
                  <w14:solidFill>
                    <w14:schemeClr w14:val="tx1"/>
                  </w14:solidFill>
                </w14:textFill>
              </w:rPr>
            </w:pPr>
          </w:p>
          <w:p>
            <w:pPr>
              <w:spacing w:line="276" w:lineRule="auto"/>
              <w:ind w:firstLine="480" w:firstLineChars="200"/>
              <w:rPr>
                <w:color w:val="000000" w:themeColor="text1"/>
                <w14:textFill>
                  <w14:solidFill>
                    <w14:schemeClr w14:val="tx1"/>
                  </w14:solidFill>
                </w14:textFill>
              </w:rPr>
            </w:pPr>
          </w:p>
          <w:p>
            <w:pPr>
              <w:spacing w:line="276" w:lineRule="auto"/>
              <w:ind w:firstLine="480" w:firstLineChars="200"/>
              <w:rPr>
                <w:color w:val="000000" w:themeColor="text1"/>
                <w14:textFill>
                  <w14:solidFill>
                    <w14:schemeClr w14:val="tx1"/>
                  </w14:solidFill>
                </w14:textFill>
              </w:rPr>
            </w:pPr>
          </w:p>
          <w:p>
            <w:pPr>
              <w:spacing w:line="276" w:lineRule="auto"/>
              <w:ind w:firstLine="480" w:firstLineChars="200"/>
              <w:rPr>
                <w:color w:val="000000" w:themeColor="text1"/>
                <w14:textFill>
                  <w14:solidFill>
                    <w14:schemeClr w14:val="tx1"/>
                  </w14:solidFill>
                </w14:textFill>
              </w:rPr>
            </w:pPr>
          </w:p>
          <w:p>
            <w:pPr>
              <w:spacing w:line="276" w:lineRule="auto"/>
              <w:ind w:firstLine="480" w:firstLineChars="200"/>
              <w:rPr>
                <w:color w:val="000000" w:themeColor="text1"/>
                <w14:textFill>
                  <w14:solidFill>
                    <w14:schemeClr w14:val="tx1"/>
                  </w14:solidFill>
                </w14:textFill>
              </w:rPr>
            </w:pPr>
          </w:p>
          <w:p>
            <w:pPr>
              <w:spacing w:line="276" w:lineRule="auto"/>
              <w:ind w:firstLine="480" w:firstLineChars="200"/>
              <w:rPr>
                <w:color w:val="000000" w:themeColor="text1"/>
                <w14:textFill>
                  <w14:solidFill>
                    <w14:schemeClr w14:val="tx1"/>
                  </w14:solidFill>
                </w14:textFill>
              </w:rPr>
            </w:pPr>
          </w:p>
          <w:p>
            <w:pPr>
              <w:spacing w:line="276" w:lineRule="auto"/>
              <w:ind w:firstLine="480" w:firstLineChars="200"/>
              <w:rPr>
                <w:color w:val="000000" w:themeColor="text1"/>
                <w14:textFill>
                  <w14:solidFill>
                    <w14:schemeClr w14:val="tx1"/>
                  </w14:solidFill>
                </w14:textFill>
              </w:rPr>
            </w:pPr>
          </w:p>
          <w:p>
            <w:pPr>
              <w:spacing w:line="276" w:lineRule="auto"/>
              <w:ind w:firstLine="480" w:firstLineChars="200"/>
              <w:rPr>
                <w:color w:val="000000" w:themeColor="text1"/>
                <w14:textFill>
                  <w14:solidFill>
                    <w14:schemeClr w14:val="tx1"/>
                  </w14:solidFill>
                </w14:textFill>
              </w:rPr>
            </w:pPr>
          </w:p>
          <w:p>
            <w:pPr>
              <w:spacing w:line="276" w:lineRule="auto"/>
              <w:ind w:firstLine="480" w:firstLineChars="200"/>
              <w:rPr>
                <w:color w:val="000000" w:themeColor="text1"/>
                <w14:textFill>
                  <w14:solidFill>
                    <w14:schemeClr w14:val="tx1"/>
                  </w14:solidFill>
                </w14:textFill>
              </w:rPr>
            </w:pPr>
          </w:p>
        </w:tc>
      </w:tr>
    </w:tbl>
    <w:p>
      <w:pPr>
        <w:rPr>
          <w:color w:val="000000" w:themeColor="text1"/>
          <w:szCs w:val="24"/>
          <w14:textFill>
            <w14:solidFill>
              <w14:schemeClr w14:val="tx1"/>
            </w14:solidFill>
          </w14:textFill>
        </w:rPr>
        <w:sectPr>
          <w:pgSz w:w="11906" w:h="16838"/>
          <w:pgMar w:top="1134" w:right="1134" w:bottom="1134" w:left="1418" w:header="851" w:footer="992" w:gutter="0"/>
          <w:cols w:space="720" w:num="1"/>
          <w:docGrid w:type="lines" w:linePitch="312" w:charSpace="0"/>
        </w:sectPr>
      </w:pPr>
    </w:p>
    <w:p>
      <w:pPr>
        <w:pStyle w:val="18"/>
        <w:rPr>
          <w:rFonts w:eastAsia="黑体"/>
          <w:b w:val="0"/>
          <w:color w:val="000000" w:themeColor="text1"/>
          <w:sz w:val="30"/>
          <w:szCs w:val="30"/>
          <w14:textFill>
            <w14:solidFill>
              <w14:schemeClr w14:val="tx1"/>
            </w14:solidFill>
          </w14:textFill>
        </w:rPr>
      </w:pPr>
      <w:r>
        <w:rPr>
          <w:rFonts w:eastAsia="黑体"/>
          <w:b w:val="0"/>
          <w:color w:val="000000" w:themeColor="text1"/>
          <w:sz w:val="30"/>
          <w:szCs w:val="30"/>
          <w14:textFill>
            <w14:solidFill>
              <w14:schemeClr w14:val="tx1"/>
            </w14:solidFill>
          </w14:textFill>
        </w:rPr>
        <w:t>附表</w:t>
      </w:r>
    </w:p>
    <w:p>
      <w:pPr>
        <w:jc w:val="center"/>
        <w:rPr>
          <w:rFonts w:eastAsia="方正小标宋_GBK"/>
          <w:color w:val="000000" w:themeColor="text1"/>
          <w:sz w:val="36"/>
          <w:szCs w:val="36"/>
          <w14:textFill>
            <w14:solidFill>
              <w14:schemeClr w14:val="tx1"/>
            </w14:solidFill>
          </w14:textFill>
        </w:rPr>
      </w:pPr>
      <w:r>
        <w:rPr>
          <w:rFonts w:eastAsia="方正小标宋_GBK"/>
          <w:color w:val="000000" w:themeColor="text1"/>
          <w:sz w:val="36"/>
          <w:szCs w:val="36"/>
          <w14:textFill>
            <w14:solidFill>
              <w14:schemeClr w14:val="tx1"/>
            </w14:solidFill>
          </w14:textFill>
        </w:rPr>
        <w:t>建设项目污染物排放量汇总表</w:t>
      </w:r>
    </w:p>
    <w:tbl>
      <w:tblPr>
        <w:tblStyle w:val="16"/>
        <w:tblW w:w="147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1406"/>
        <w:gridCol w:w="1781"/>
        <w:gridCol w:w="1781"/>
        <w:gridCol w:w="1782"/>
        <w:gridCol w:w="1781"/>
        <w:gridCol w:w="1782"/>
        <w:gridCol w:w="2128"/>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trPr>
        <w:tc>
          <w:tcPr>
            <w:tcW w:w="1402" w:type="dxa"/>
            <w:tcBorders>
              <w:tl2br w:val="single" w:color="auto" w:sz="4" w:space="0"/>
            </w:tcBorders>
            <w:vAlign w:val="center"/>
          </w:tcPr>
          <w:p>
            <w:pPr>
              <w:spacing w:line="276" w:lineRule="auto"/>
              <w:jc w:val="right"/>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项目</w:t>
            </w:r>
          </w:p>
          <w:p>
            <w:pPr>
              <w:spacing w:line="276" w:lineRule="auto"/>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分类</w:t>
            </w:r>
          </w:p>
        </w:tc>
        <w:tc>
          <w:tcPr>
            <w:tcW w:w="1406" w:type="dxa"/>
            <w:vAlign w:val="center"/>
          </w:tcPr>
          <w:p>
            <w:pPr>
              <w:spacing w:line="276" w:lineRule="auto"/>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污染物名称</w:t>
            </w:r>
          </w:p>
        </w:tc>
        <w:tc>
          <w:tcPr>
            <w:tcW w:w="1781" w:type="dxa"/>
            <w:vAlign w:val="center"/>
          </w:tcPr>
          <w:p>
            <w:pPr>
              <w:spacing w:line="276" w:lineRule="auto"/>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现有工程</w:t>
            </w:r>
          </w:p>
          <w:p>
            <w:pPr>
              <w:spacing w:line="276" w:lineRule="auto"/>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排放量（固体废物产生量）①</w:t>
            </w:r>
          </w:p>
        </w:tc>
        <w:tc>
          <w:tcPr>
            <w:tcW w:w="1781" w:type="dxa"/>
            <w:vAlign w:val="center"/>
          </w:tcPr>
          <w:p>
            <w:pPr>
              <w:spacing w:line="276" w:lineRule="auto"/>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现有工程</w:t>
            </w:r>
          </w:p>
          <w:p>
            <w:pPr>
              <w:spacing w:line="276" w:lineRule="auto"/>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许可排放量②</w:t>
            </w:r>
          </w:p>
        </w:tc>
        <w:tc>
          <w:tcPr>
            <w:tcW w:w="1782" w:type="dxa"/>
            <w:vAlign w:val="center"/>
          </w:tcPr>
          <w:p>
            <w:pPr>
              <w:spacing w:line="276" w:lineRule="auto"/>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在建工程</w:t>
            </w:r>
          </w:p>
          <w:p>
            <w:pPr>
              <w:spacing w:line="276" w:lineRule="auto"/>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排放量（固体废物产生量）③</w:t>
            </w:r>
          </w:p>
        </w:tc>
        <w:tc>
          <w:tcPr>
            <w:tcW w:w="1781" w:type="dxa"/>
            <w:vAlign w:val="center"/>
          </w:tcPr>
          <w:p>
            <w:pPr>
              <w:spacing w:line="276" w:lineRule="auto"/>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本项目</w:t>
            </w:r>
          </w:p>
          <w:p>
            <w:pPr>
              <w:spacing w:line="276" w:lineRule="auto"/>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排放量（固体废物产生量）④</w:t>
            </w:r>
          </w:p>
        </w:tc>
        <w:tc>
          <w:tcPr>
            <w:tcW w:w="1782" w:type="dxa"/>
            <w:vAlign w:val="center"/>
          </w:tcPr>
          <w:p>
            <w:pPr>
              <w:spacing w:line="276" w:lineRule="auto"/>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以新带老削减量</w:t>
            </w:r>
          </w:p>
          <w:p>
            <w:pPr>
              <w:spacing w:line="276" w:lineRule="auto"/>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（新建项目不填）⑤</w:t>
            </w:r>
          </w:p>
        </w:tc>
        <w:tc>
          <w:tcPr>
            <w:tcW w:w="2128" w:type="dxa"/>
            <w:vAlign w:val="center"/>
          </w:tcPr>
          <w:p>
            <w:pPr>
              <w:spacing w:line="276" w:lineRule="auto"/>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本项目建成后</w:t>
            </w:r>
          </w:p>
          <w:p>
            <w:pPr>
              <w:spacing w:line="276" w:lineRule="auto"/>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全厂排放量（固体废物产生量）⑥</w:t>
            </w:r>
          </w:p>
        </w:tc>
        <w:tc>
          <w:tcPr>
            <w:tcW w:w="950" w:type="dxa"/>
            <w:vAlign w:val="center"/>
          </w:tcPr>
          <w:p>
            <w:pPr>
              <w:spacing w:line="276" w:lineRule="auto"/>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变化量</w:t>
            </w:r>
          </w:p>
          <w:p>
            <w:pPr>
              <w:spacing w:line="276" w:lineRule="auto"/>
              <w:jc w:val="center"/>
              <w:rPr>
                <w:b/>
                <w:bCs/>
                <w:color w:val="000000" w:themeColor="text1"/>
                <w:szCs w:val="24"/>
                <w14:textFill>
                  <w14:solidFill>
                    <w14:schemeClr w14:val="tx1"/>
                  </w14:solidFill>
                </w14:textFill>
              </w:rPr>
            </w:pPr>
            <w:r>
              <w:rPr>
                <w:b/>
                <w:bCs/>
                <w:color w:val="000000" w:themeColor="text1"/>
                <w:szCs w:val="24"/>
                <w14:textFill>
                  <w14:solidFill>
                    <w14:schemeClr w14:val="tx1"/>
                  </w14:solidFill>
                </w14:textFill>
              </w:rPr>
              <w:t>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402" w:type="dxa"/>
            <w:vAlign w:val="center"/>
          </w:tcPr>
          <w:p>
            <w:pPr>
              <w:spacing w:line="276"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废气</w:t>
            </w:r>
          </w:p>
        </w:tc>
        <w:tc>
          <w:tcPr>
            <w:tcW w:w="1406" w:type="dxa"/>
            <w:vAlign w:val="center"/>
          </w:tcPr>
          <w:p>
            <w:pPr>
              <w:spacing w:line="276"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颗粒物</w:t>
            </w:r>
          </w:p>
        </w:tc>
        <w:tc>
          <w:tcPr>
            <w:tcW w:w="1781"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7.67</w:t>
            </w:r>
          </w:p>
        </w:tc>
        <w:tc>
          <w:tcPr>
            <w:tcW w:w="1781"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782"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781"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16.0</w:t>
            </w:r>
          </w:p>
        </w:tc>
        <w:tc>
          <w:tcPr>
            <w:tcW w:w="1782"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2128"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23.67</w:t>
            </w:r>
          </w:p>
        </w:tc>
        <w:tc>
          <w:tcPr>
            <w:tcW w:w="950"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402" w:type="dxa"/>
            <w:vMerge w:val="restart"/>
            <w:vAlign w:val="center"/>
          </w:tcPr>
          <w:p>
            <w:pPr>
              <w:spacing w:line="276"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废水</w:t>
            </w:r>
          </w:p>
        </w:tc>
        <w:tc>
          <w:tcPr>
            <w:tcW w:w="1406" w:type="dxa"/>
            <w:vAlign w:val="center"/>
          </w:tcPr>
          <w:p>
            <w:pPr>
              <w:spacing w:line="276"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COD</w:t>
            </w:r>
          </w:p>
        </w:tc>
        <w:tc>
          <w:tcPr>
            <w:tcW w:w="1781"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781"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782"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781" w:type="dxa"/>
            <w:vAlign w:val="center"/>
          </w:tcPr>
          <w:p>
            <w:pPr>
              <w:spacing w:line="276"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0</w:t>
            </w:r>
          </w:p>
        </w:tc>
        <w:tc>
          <w:tcPr>
            <w:tcW w:w="1782"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2128" w:type="dxa"/>
            <w:vAlign w:val="center"/>
          </w:tcPr>
          <w:p>
            <w:pPr>
              <w:spacing w:line="276"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0</w:t>
            </w:r>
          </w:p>
        </w:tc>
        <w:tc>
          <w:tcPr>
            <w:tcW w:w="950"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402" w:type="dxa"/>
            <w:vMerge w:val="continue"/>
            <w:vAlign w:val="center"/>
          </w:tcPr>
          <w:p>
            <w:pPr>
              <w:spacing w:line="276" w:lineRule="auto"/>
              <w:jc w:val="center"/>
              <w:rPr>
                <w:color w:val="000000" w:themeColor="text1"/>
                <w:szCs w:val="24"/>
                <w14:textFill>
                  <w14:solidFill>
                    <w14:schemeClr w14:val="tx1"/>
                  </w14:solidFill>
                </w14:textFill>
              </w:rPr>
            </w:pPr>
          </w:p>
        </w:tc>
        <w:tc>
          <w:tcPr>
            <w:tcW w:w="1406" w:type="dxa"/>
            <w:vAlign w:val="center"/>
          </w:tcPr>
          <w:p>
            <w:pPr>
              <w:spacing w:line="276"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NH</w:t>
            </w:r>
            <w:r>
              <w:rPr>
                <w:color w:val="000000" w:themeColor="text1"/>
                <w:szCs w:val="24"/>
                <w:vertAlign w:val="subscript"/>
                <w14:textFill>
                  <w14:solidFill>
                    <w14:schemeClr w14:val="tx1"/>
                  </w14:solidFill>
                </w14:textFill>
              </w:rPr>
              <w:t>3</w:t>
            </w:r>
            <w:r>
              <w:rPr>
                <w:color w:val="000000" w:themeColor="text1"/>
                <w:szCs w:val="24"/>
                <w14:textFill>
                  <w14:solidFill>
                    <w14:schemeClr w14:val="tx1"/>
                  </w14:solidFill>
                </w14:textFill>
              </w:rPr>
              <w:t>-N</w:t>
            </w:r>
          </w:p>
        </w:tc>
        <w:tc>
          <w:tcPr>
            <w:tcW w:w="1781"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781"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782"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781" w:type="dxa"/>
            <w:vAlign w:val="center"/>
          </w:tcPr>
          <w:p>
            <w:pPr>
              <w:spacing w:line="276"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0</w:t>
            </w:r>
          </w:p>
        </w:tc>
        <w:tc>
          <w:tcPr>
            <w:tcW w:w="1782"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2128" w:type="dxa"/>
            <w:vAlign w:val="center"/>
          </w:tcPr>
          <w:p>
            <w:pPr>
              <w:spacing w:line="276"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0</w:t>
            </w:r>
          </w:p>
        </w:tc>
        <w:tc>
          <w:tcPr>
            <w:tcW w:w="950"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402" w:type="dxa"/>
            <w:vMerge w:val="continue"/>
            <w:vAlign w:val="center"/>
          </w:tcPr>
          <w:p>
            <w:pPr>
              <w:spacing w:line="276" w:lineRule="auto"/>
              <w:jc w:val="center"/>
              <w:rPr>
                <w:color w:val="000000" w:themeColor="text1"/>
                <w:szCs w:val="24"/>
                <w14:textFill>
                  <w14:solidFill>
                    <w14:schemeClr w14:val="tx1"/>
                  </w14:solidFill>
                </w14:textFill>
              </w:rPr>
            </w:pPr>
          </w:p>
        </w:tc>
        <w:tc>
          <w:tcPr>
            <w:tcW w:w="1406" w:type="dxa"/>
            <w:vAlign w:val="center"/>
          </w:tcPr>
          <w:p>
            <w:pPr>
              <w:spacing w:line="276"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TP</w:t>
            </w:r>
          </w:p>
        </w:tc>
        <w:tc>
          <w:tcPr>
            <w:tcW w:w="1781"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781"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782"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781" w:type="dxa"/>
            <w:vAlign w:val="center"/>
          </w:tcPr>
          <w:p>
            <w:pPr>
              <w:spacing w:line="276"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0</w:t>
            </w:r>
          </w:p>
        </w:tc>
        <w:tc>
          <w:tcPr>
            <w:tcW w:w="1782"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2128" w:type="dxa"/>
            <w:vAlign w:val="center"/>
          </w:tcPr>
          <w:p>
            <w:pPr>
              <w:spacing w:line="276"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0</w:t>
            </w:r>
          </w:p>
        </w:tc>
        <w:tc>
          <w:tcPr>
            <w:tcW w:w="950"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402" w:type="dxa"/>
            <w:vMerge w:val="restart"/>
            <w:vAlign w:val="center"/>
          </w:tcPr>
          <w:p>
            <w:pPr>
              <w:spacing w:line="276"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一般工业</w:t>
            </w:r>
          </w:p>
          <w:p>
            <w:pPr>
              <w:spacing w:line="276"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固体废物</w:t>
            </w:r>
          </w:p>
        </w:tc>
        <w:tc>
          <w:tcPr>
            <w:tcW w:w="1406" w:type="dxa"/>
            <w:vAlign w:val="center"/>
          </w:tcPr>
          <w:p>
            <w:pPr>
              <w:jc w:val="center"/>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沉渣/泥饼</w:t>
            </w:r>
          </w:p>
        </w:tc>
        <w:tc>
          <w:tcPr>
            <w:tcW w:w="1781"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10870</w:t>
            </w:r>
          </w:p>
        </w:tc>
        <w:tc>
          <w:tcPr>
            <w:tcW w:w="1781"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782" w:type="dxa"/>
            <w:vAlign w:val="center"/>
          </w:tcPr>
          <w:p>
            <w:pPr>
              <w:widowControl/>
              <w:jc w:val="center"/>
              <w:textAlignment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781" w:type="dxa"/>
            <w:vAlign w:val="center"/>
          </w:tcPr>
          <w:p>
            <w:pPr>
              <w:widowControl/>
              <w:jc w:val="center"/>
              <w:textAlignment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18478</w:t>
            </w:r>
          </w:p>
        </w:tc>
        <w:tc>
          <w:tcPr>
            <w:tcW w:w="1782"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2128" w:type="dxa"/>
            <w:vAlign w:val="center"/>
          </w:tcPr>
          <w:p>
            <w:pPr>
              <w:widowControl/>
              <w:jc w:val="center"/>
              <w:textAlignment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29348</w:t>
            </w:r>
          </w:p>
        </w:tc>
        <w:tc>
          <w:tcPr>
            <w:tcW w:w="950"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+18478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402" w:type="dxa"/>
            <w:vMerge w:val="continue"/>
            <w:vAlign w:val="center"/>
          </w:tcPr>
          <w:p>
            <w:pPr>
              <w:spacing w:line="276" w:lineRule="auto"/>
              <w:jc w:val="center"/>
              <w:rPr>
                <w:color w:val="000000" w:themeColor="text1"/>
                <w:szCs w:val="24"/>
                <w14:textFill>
                  <w14:solidFill>
                    <w14:schemeClr w14:val="tx1"/>
                  </w14:solidFill>
                </w14:textFill>
              </w:rPr>
            </w:pPr>
          </w:p>
        </w:tc>
        <w:tc>
          <w:tcPr>
            <w:tcW w:w="1406" w:type="dxa"/>
            <w:vAlign w:val="center"/>
          </w:tcPr>
          <w:p>
            <w:pPr>
              <w:jc w:val="center"/>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生活垃圾</w:t>
            </w:r>
          </w:p>
        </w:tc>
        <w:tc>
          <w:tcPr>
            <w:tcW w:w="1781"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1.05</w:t>
            </w:r>
          </w:p>
        </w:tc>
        <w:tc>
          <w:tcPr>
            <w:tcW w:w="1781"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782" w:type="dxa"/>
            <w:vAlign w:val="center"/>
          </w:tcPr>
          <w:p>
            <w:pPr>
              <w:widowControl/>
              <w:jc w:val="center"/>
              <w:textAlignment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781" w:type="dxa"/>
            <w:vAlign w:val="center"/>
          </w:tcPr>
          <w:p>
            <w:pPr>
              <w:widowControl/>
              <w:jc w:val="center"/>
              <w:textAlignment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0.45</w:t>
            </w:r>
          </w:p>
        </w:tc>
        <w:tc>
          <w:tcPr>
            <w:tcW w:w="1782"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2128" w:type="dxa"/>
            <w:vAlign w:val="center"/>
          </w:tcPr>
          <w:p>
            <w:pPr>
              <w:widowControl/>
              <w:jc w:val="center"/>
              <w:textAlignment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1.5</w:t>
            </w:r>
          </w:p>
        </w:tc>
        <w:tc>
          <w:tcPr>
            <w:tcW w:w="950"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402" w:type="dxa"/>
            <w:vMerge w:val="restart"/>
            <w:vAlign w:val="center"/>
          </w:tcPr>
          <w:p>
            <w:pPr>
              <w:spacing w:line="276" w:lineRule="auto"/>
              <w:jc w:val="center"/>
              <w:rPr>
                <w:color w:val="000000" w:themeColor="text1"/>
                <w:szCs w:val="24"/>
                <w14:textFill>
                  <w14:solidFill>
                    <w14:schemeClr w14:val="tx1"/>
                  </w14:solidFill>
                </w14:textFill>
              </w:rPr>
            </w:pPr>
            <w:r>
              <w:rPr>
                <w:color w:val="000000" w:themeColor="text1"/>
                <w:szCs w:val="24"/>
                <w14:textFill>
                  <w14:solidFill>
                    <w14:schemeClr w14:val="tx1"/>
                  </w14:solidFill>
                </w14:textFill>
              </w:rPr>
              <w:t>危险废物</w:t>
            </w:r>
          </w:p>
        </w:tc>
        <w:tc>
          <w:tcPr>
            <w:tcW w:w="1406" w:type="dxa"/>
            <w:vAlign w:val="center"/>
          </w:tcPr>
          <w:p>
            <w:pPr>
              <w:jc w:val="center"/>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废机油</w:t>
            </w:r>
          </w:p>
        </w:tc>
        <w:tc>
          <w:tcPr>
            <w:tcW w:w="1781"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0.03</w:t>
            </w:r>
          </w:p>
        </w:tc>
        <w:tc>
          <w:tcPr>
            <w:tcW w:w="1781"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782" w:type="dxa"/>
            <w:vAlign w:val="center"/>
          </w:tcPr>
          <w:p>
            <w:pPr>
              <w:widowControl/>
              <w:jc w:val="center"/>
              <w:textAlignment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781" w:type="dxa"/>
            <w:vAlign w:val="center"/>
          </w:tcPr>
          <w:p>
            <w:pPr>
              <w:widowControl/>
              <w:jc w:val="center"/>
              <w:textAlignment w:val="center"/>
              <w:rPr>
                <w:color w:val="000000" w:themeColor="text1"/>
                <w:szCs w:val="24"/>
                <w14:textFill>
                  <w14:solidFill>
                    <w14:schemeClr w14:val="tx1"/>
                  </w14:solidFill>
                </w14:textFill>
              </w:rPr>
            </w:pPr>
            <w:r>
              <w:rPr>
                <w:rFonts w:hint="eastAsia"/>
                <w:color w:val="000000" w:themeColor="text1"/>
                <w:kern w:val="0"/>
                <w:szCs w:val="24"/>
                <w:lang w:bidi="ar"/>
                <w14:textFill>
                  <w14:solidFill>
                    <w14:schemeClr w14:val="tx1"/>
                  </w14:solidFill>
                </w14:textFill>
              </w:rPr>
              <w:t>0.05</w:t>
            </w:r>
          </w:p>
        </w:tc>
        <w:tc>
          <w:tcPr>
            <w:tcW w:w="1782"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2128" w:type="dxa"/>
            <w:vAlign w:val="center"/>
          </w:tcPr>
          <w:p>
            <w:pPr>
              <w:widowControl/>
              <w:jc w:val="center"/>
              <w:textAlignment w:val="center"/>
              <w:rPr>
                <w:color w:val="000000" w:themeColor="text1"/>
                <w:szCs w:val="24"/>
                <w14:textFill>
                  <w14:solidFill>
                    <w14:schemeClr w14:val="tx1"/>
                  </w14:solidFill>
                </w14:textFill>
              </w:rPr>
            </w:pPr>
            <w:r>
              <w:rPr>
                <w:rFonts w:hint="eastAsia"/>
                <w:color w:val="000000" w:themeColor="text1"/>
                <w:kern w:val="0"/>
                <w:szCs w:val="24"/>
                <w:lang w:bidi="ar"/>
                <w14:textFill>
                  <w14:solidFill>
                    <w14:schemeClr w14:val="tx1"/>
                  </w14:solidFill>
                </w14:textFill>
              </w:rPr>
              <w:t>0.08</w:t>
            </w:r>
          </w:p>
        </w:tc>
        <w:tc>
          <w:tcPr>
            <w:tcW w:w="950"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402" w:type="dxa"/>
            <w:vMerge w:val="continue"/>
            <w:vAlign w:val="center"/>
          </w:tcPr>
          <w:p>
            <w:pPr>
              <w:spacing w:line="276" w:lineRule="auto"/>
              <w:jc w:val="center"/>
              <w:rPr>
                <w:color w:val="000000" w:themeColor="text1"/>
                <w:szCs w:val="24"/>
                <w14:textFill>
                  <w14:solidFill>
                    <w14:schemeClr w14:val="tx1"/>
                  </w14:solidFill>
                </w14:textFill>
              </w:rPr>
            </w:pPr>
          </w:p>
        </w:tc>
        <w:tc>
          <w:tcPr>
            <w:tcW w:w="1406" w:type="dxa"/>
            <w:vAlign w:val="center"/>
          </w:tcPr>
          <w:p>
            <w:pPr>
              <w:jc w:val="center"/>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废机油</w:t>
            </w:r>
            <w:r>
              <w:rPr>
                <w:rFonts w:eastAsiaTheme="minorEastAsia"/>
                <w:color w:val="000000" w:themeColor="text1"/>
                <w:szCs w:val="24"/>
                <w14:textFill>
                  <w14:solidFill>
                    <w14:schemeClr w14:val="tx1"/>
                  </w14:solidFill>
                </w14:textFill>
              </w:rPr>
              <w:t>桶</w:t>
            </w:r>
          </w:p>
        </w:tc>
        <w:tc>
          <w:tcPr>
            <w:tcW w:w="1781"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0.05</w:t>
            </w:r>
          </w:p>
        </w:tc>
        <w:tc>
          <w:tcPr>
            <w:tcW w:w="1781"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782" w:type="dxa"/>
            <w:vAlign w:val="center"/>
          </w:tcPr>
          <w:p>
            <w:pPr>
              <w:widowControl/>
              <w:jc w:val="center"/>
              <w:textAlignment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1781" w:type="dxa"/>
            <w:vAlign w:val="center"/>
          </w:tcPr>
          <w:p>
            <w:pPr>
              <w:widowControl/>
              <w:jc w:val="center"/>
              <w:textAlignment w:val="center"/>
              <w:rPr>
                <w:color w:val="000000" w:themeColor="text1"/>
                <w:szCs w:val="24"/>
                <w14:textFill>
                  <w14:solidFill>
                    <w14:schemeClr w14:val="tx1"/>
                  </w14:solidFill>
                </w14:textFill>
              </w:rPr>
            </w:pPr>
            <w:r>
              <w:rPr>
                <w:rFonts w:hint="eastAsia"/>
                <w:color w:val="000000" w:themeColor="text1"/>
                <w:kern w:val="0"/>
                <w:szCs w:val="24"/>
                <w:lang w:bidi="ar"/>
                <w14:textFill>
                  <w14:solidFill>
                    <w14:schemeClr w14:val="tx1"/>
                  </w14:solidFill>
                </w14:textFill>
              </w:rPr>
              <w:t>0.15</w:t>
            </w:r>
          </w:p>
        </w:tc>
        <w:tc>
          <w:tcPr>
            <w:tcW w:w="1782"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w:t>
            </w:r>
          </w:p>
        </w:tc>
        <w:tc>
          <w:tcPr>
            <w:tcW w:w="2128" w:type="dxa"/>
            <w:vAlign w:val="center"/>
          </w:tcPr>
          <w:p>
            <w:pPr>
              <w:widowControl/>
              <w:jc w:val="center"/>
              <w:textAlignment w:val="center"/>
              <w:rPr>
                <w:color w:val="000000" w:themeColor="text1"/>
                <w:szCs w:val="24"/>
                <w14:textFill>
                  <w14:solidFill>
                    <w14:schemeClr w14:val="tx1"/>
                  </w14:solidFill>
                </w14:textFill>
              </w:rPr>
            </w:pPr>
            <w:r>
              <w:rPr>
                <w:rFonts w:hint="eastAsia"/>
                <w:color w:val="000000" w:themeColor="text1"/>
                <w:kern w:val="0"/>
                <w:szCs w:val="24"/>
                <w:lang w:bidi="ar"/>
                <w14:textFill>
                  <w14:solidFill>
                    <w14:schemeClr w14:val="tx1"/>
                  </w14:solidFill>
                </w14:textFill>
              </w:rPr>
              <w:t>0.2</w:t>
            </w:r>
          </w:p>
        </w:tc>
        <w:tc>
          <w:tcPr>
            <w:tcW w:w="950" w:type="dxa"/>
            <w:vAlign w:val="center"/>
          </w:tcPr>
          <w:p>
            <w:pPr>
              <w:spacing w:line="276" w:lineRule="auto"/>
              <w:jc w:val="center"/>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+0.15</w:t>
            </w:r>
          </w:p>
        </w:tc>
      </w:tr>
    </w:tbl>
    <w:p/>
    <w:p/>
    <w:p>
      <w:r>
        <w:t>注：⑥=①+③+④-⑤；⑦=⑥-①。</w:t>
      </w:r>
    </w:p>
    <w:p/>
    <w:p/>
    <w:p>
      <w:pPr>
        <w:pStyle w:val="2"/>
        <w:ind w:left="960" w:hanging="480"/>
      </w:pPr>
    </w:p>
    <w:sectPr>
      <w:pgSz w:w="16838" w:h="11906" w:orient="landscape"/>
      <w:pgMar w:top="1418" w:right="1134" w:bottom="1134"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8377582"/>
      <w:docPartObj>
        <w:docPartGallery w:val="autotext"/>
      </w:docPartObj>
    </w:sdtPr>
    <w:sdtContent>
      <w:p>
        <w:pPr>
          <w:pStyle w:val="10"/>
          <w:jc w:val="center"/>
        </w:pPr>
        <w:r>
          <w:fldChar w:fldCharType="begin"/>
        </w:r>
        <w:r>
          <w:instrText xml:space="preserve">PAGE   \* MERGEFORMAT</w:instrText>
        </w:r>
        <w:r>
          <w:fldChar w:fldCharType="separate"/>
        </w:r>
        <w:r>
          <w:rPr>
            <w:lang w:val="zh-CN"/>
          </w:rPr>
          <w:t>2</w:t>
        </w:r>
        <w:r>
          <w:fldChar w:fldCharType="end"/>
        </w:r>
      </w:p>
    </w:sdtContent>
  </w:sdt>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PAGE   \* MERGEFORMAT</w:instrText>
    </w:r>
    <w:r>
      <w:fldChar w:fldCharType="separate"/>
    </w:r>
    <w:r>
      <w:rPr>
        <w:lang w:val="zh-CN"/>
      </w:rPr>
      <w:t>20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PAGE   \* MERGEFORMAT</w:instrText>
    </w:r>
    <w:r>
      <w:fldChar w:fldCharType="separate"/>
    </w:r>
    <w:r>
      <w:rPr>
        <w:lang w:val="zh-CN"/>
      </w:rPr>
      <w:t>20</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CCFF53"/>
    <w:multiLevelType w:val="singleLevel"/>
    <w:tmpl w:val="F4CCFF53"/>
    <w:lvl w:ilvl="0" w:tentative="0">
      <w:start w:val="7"/>
      <w:numFmt w:val="decimal"/>
      <w:suff w:val="nothing"/>
      <w:lvlText w:val="%1、"/>
      <w:lvlJc w:val="left"/>
    </w:lvl>
  </w:abstractNum>
  <w:abstractNum w:abstractNumId="1">
    <w:nsid w:val="18094884"/>
    <w:multiLevelType w:val="multilevel"/>
    <w:tmpl w:val="18094884"/>
    <w:lvl w:ilvl="0" w:tentative="0">
      <w:start w:val="1"/>
      <w:numFmt w:val="decimalEnclosedCircle"/>
      <w:lvlText w:val="%1"/>
      <w:lvlJc w:val="left"/>
      <w:pPr>
        <w:ind w:left="720" w:hanging="360"/>
      </w:pPr>
      <w:rPr>
        <w:rFonts w:hint="default"/>
      </w:rPr>
    </w:lvl>
    <w:lvl w:ilvl="1" w:tentative="0">
      <w:start w:val="1"/>
      <w:numFmt w:val="lowerLetter"/>
      <w:lvlText w:val="%2)"/>
      <w:lvlJc w:val="left"/>
      <w:pPr>
        <w:ind w:left="1240" w:hanging="440"/>
      </w:pPr>
    </w:lvl>
    <w:lvl w:ilvl="2" w:tentative="0">
      <w:start w:val="1"/>
      <w:numFmt w:val="lowerRoman"/>
      <w:lvlText w:val="%3."/>
      <w:lvlJc w:val="right"/>
      <w:pPr>
        <w:ind w:left="1680" w:hanging="440"/>
      </w:pPr>
    </w:lvl>
    <w:lvl w:ilvl="3" w:tentative="0">
      <w:start w:val="1"/>
      <w:numFmt w:val="decimal"/>
      <w:lvlText w:val="%4."/>
      <w:lvlJc w:val="left"/>
      <w:pPr>
        <w:ind w:left="2120" w:hanging="440"/>
      </w:pPr>
    </w:lvl>
    <w:lvl w:ilvl="4" w:tentative="0">
      <w:start w:val="1"/>
      <w:numFmt w:val="lowerLetter"/>
      <w:lvlText w:val="%5)"/>
      <w:lvlJc w:val="left"/>
      <w:pPr>
        <w:ind w:left="2560" w:hanging="440"/>
      </w:pPr>
    </w:lvl>
    <w:lvl w:ilvl="5" w:tentative="0">
      <w:start w:val="1"/>
      <w:numFmt w:val="lowerRoman"/>
      <w:lvlText w:val="%6."/>
      <w:lvlJc w:val="right"/>
      <w:pPr>
        <w:ind w:left="3000" w:hanging="440"/>
      </w:pPr>
    </w:lvl>
    <w:lvl w:ilvl="6" w:tentative="0">
      <w:start w:val="1"/>
      <w:numFmt w:val="decimal"/>
      <w:lvlText w:val="%7."/>
      <w:lvlJc w:val="left"/>
      <w:pPr>
        <w:ind w:left="3440" w:hanging="440"/>
      </w:pPr>
    </w:lvl>
    <w:lvl w:ilvl="7" w:tentative="0">
      <w:start w:val="1"/>
      <w:numFmt w:val="lowerLetter"/>
      <w:lvlText w:val="%8)"/>
      <w:lvlJc w:val="left"/>
      <w:pPr>
        <w:ind w:left="3880" w:hanging="440"/>
      </w:pPr>
    </w:lvl>
    <w:lvl w:ilvl="8" w:tentative="0">
      <w:start w:val="1"/>
      <w:numFmt w:val="lowerRoman"/>
      <w:lvlText w:val="%9."/>
      <w:lvlJc w:val="right"/>
      <w:pPr>
        <w:ind w:left="4320" w:hanging="440"/>
      </w:pPr>
    </w:lvl>
  </w:abstractNum>
  <w:abstractNum w:abstractNumId="2">
    <w:nsid w:val="7F968553"/>
    <w:multiLevelType w:val="singleLevel"/>
    <w:tmpl w:val="7F968553"/>
    <w:lvl w:ilvl="0" w:tentative="0">
      <w:start w:val="2"/>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yMjhkYTYyOTE5MzZkNTk3MjI4ZjVjYWI2MzM3NjkifQ=="/>
  </w:docVars>
  <w:rsids>
    <w:rsidRoot w:val="006E6F49"/>
    <w:rsid w:val="000142FD"/>
    <w:rsid w:val="000A47BA"/>
    <w:rsid w:val="000B7068"/>
    <w:rsid w:val="000C06D3"/>
    <w:rsid w:val="000D11C8"/>
    <w:rsid w:val="000F0167"/>
    <w:rsid w:val="0010436F"/>
    <w:rsid w:val="0014406D"/>
    <w:rsid w:val="00187992"/>
    <w:rsid w:val="001A630B"/>
    <w:rsid w:val="00211505"/>
    <w:rsid w:val="0022744E"/>
    <w:rsid w:val="002A1319"/>
    <w:rsid w:val="002C374D"/>
    <w:rsid w:val="002D1818"/>
    <w:rsid w:val="002D5581"/>
    <w:rsid w:val="0032185B"/>
    <w:rsid w:val="003910D2"/>
    <w:rsid w:val="003A1E0A"/>
    <w:rsid w:val="003E17B6"/>
    <w:rsid w:val="00444DB3"/>
    <w:rsid w:val="004C6D19"/>
    <w:rsid w:val="004D0333"/>
    <w:rsid w:val="005A67F1"/>
    <w:rsid w:val="00611B8B"/>
    <w:rsid w:val="00622E09"/>
    <w:rsid w:val="00625FA8"/>
    <w:rsid w:val="00645ACD"/>
    <w:rsid w:val="00664527"/>
    <w:rsid w:val="00676E80"/>
    <w:rsid w:val="006B199D"/>
    <w:rsid w:val="006E32FC"/>
    <w:rsid w:val="006E6F49"/>
    <w:rsid w:val="006F07B2"/>
    <w:rsid w:val="006F19FE"/>
    <w:rsid w:val="006F78FA"/>
    <w:rsid w:val="00712726"/>
    <w:rsid w:val="00737A8A"/>
    <w:rsid w:val="0074503F"/>
    <w:rsid w:val="007A1899"/>
    <w:rsid w:val="00806DDF"/>
    <w:rsid w:val="00821DCE"/>
    <w:rsid w:val="00834BCF"/>
    <w:rsid w:val="008439F8"/>
    <w:rsid w:val="00863D7A"/>
    <w:rsid w:val="008F7D0F"/>
    <w:rsid w:val="00910E7C"/>
    <w:rsid w:val="00935CFC"/>
    <w:rsid w:val="00947083"/>
    <w:rsid w:val="00970F66"/>
    <w:rsid w:val="009A20E4"/>
    <w:rsid w:val="009A7016"/>
    <w:rsid w:val="009F4DC7"/>
    <w:rsid w:val="00A31FCA"/>
    <w:rsid w:val="00A4437B"/>
    <w:rsid w:val="00AA10C8"/>
    <w:rsid w:val="00AC377A"/>
    <w:rsid w:val="00AE1A6A"/>
    <w:rsid w:val="00AE61C5"/>
    <w:rsid w:val="00B01D90"/>
    <w:rsid w:val="00B1198F"/>
    <w:rsid w:val="00B330DA"/>
    <w:rsid w:val="00B70610"/>
    <w:rsid w:val="00B82C91"/>
    <w:rsid w:val="00B87A5E"/>
    <w:rsid w:val="00BA558C"/>
    <w:rsid w:val="00BF2A79"/>
    <w:rsid w:val="00C55C5B"/>
    <w:rsid w:val="00C8346B"/>
    <w:rsid w:val="00C87C2B"/>
    <w:rsid w:val="00C9257B"/>
    <w:rsid w:val="00CF28D5"/>
    <w:rsid w:val="00CF778A"/>
    <w:rsid w:val="00D00574"/>
    <w:rsid w:val="00D636D8"/>
    <w:rsid w:val="00D7456E"/>
    <w:rsid w:val="00D800CC"/>
    <w:rsid w:val="00D91567"/>
    <w:rsid w:val="00DA4BA2"/>
    <w:rsid w:val="00DC06F4"/>
    <w:rsid w:val="00DD184B"/>
    <w:rsid w:val="00E07F01"/>
    <w:rsid w:val="00E557A8"/>
    <w:rsid w:val="00E609DE"/>
    <w:rsid w:val="00E64905"/>
    <w:rsid w:val="00EA299F"/>
    <w:rsid w:val="00EB036B"/>
    <w:rsid w:val="00EE166C"/>
    <w:rsid w:val="00F14B7C"/>
    <w:rsid w:val="00F17E23"/>
    <w:rsid w:val="00F3114F"/>
    <w:rsid w:val="00F436BB"/>
    <w:rsid w:val="00FE0813"/>
    <w:rsid w:val="02435559"/>
    <w:rsid w:val="02644B38"/>
    <w:rsid w:val="04F60C6B"/>
    <w:rsid w:val="050E14B5"/>
    <w:rsid w:val="0525103E"/>
    <w:rsid w:val="092C4C1D"/>
    <w:rsid w:val="0A4027CB"/>
    <w:rsid w:val="0AC2018B"/>
    <w:rsid w:val="0B452C5D"/>
    <w:rsid w:val="0DA43871"/>
    <w:rsid w:val="0DDD10CB"/>
    <w:rsid w:val="0E9E6512"/>
    <w:rsid w:val="0EA65BBF"/>
    <w:rsid w:val="0F2072BD"/>
    <w:rsid w:val="0F5B3A1F"/>
    <w:rsid w:val="0FDF70FD"/>
    <w:rsid w:val="0FE53BBD"/>
    <w:rsid w:val="10690990"/>
    <w:rsid w:val="108B6A22"/>
    <w:rsid w:val="130848A2"/>
    <w:rsid w:val="138A175B"/>
    <w:rsid w:val="155C40DE"/>
    <w:rsid w:val="16627DFF"/>
    <w:rsid w:val="16E871B4"/>
    <w:rsid w:val="17A403CF"/>
    <w:rsid w:val="1B6F5D1E"/>
    <w:rsid w:val="1B813443"/>
    <w:rsid w:val="1C3F7586"/>
    <w:rsid w:val="1F18632C"/>
    <w:rsid w:val="23887E46"/>
    <w:rsid w:val="245F6A68"/>
    <w:rsid w:val="24732BEA"/>
    <w:rsid w:val="25B652FF"/>
    <w:rsid w:val="25E55E9A"/>
    <w:rsid w:val="27251F74"/>
    <w:rsid w:val="2824273D"/>
    <w:rsid w:val="29F27EBE"/>
    <w:rsid w:val="2AA539F4"/>
    <w:rsid w:val="2C4D5CC2"/>
    <w:rsid w:val="2C7C3A09"/>
    <w:rsid w:val="2FB50FD8"/>
    <w:rsid w:val="33A70DF7"/>
    <w:rsid w:val="34327A1E"/>
    <w:rsid w:val="35F04F88"/>
    <w:rsid w:val="36714388"/>
    <w:rsid w:val="36896D62"/>
    <w:rsid w:val="37134D01"/>
    <w:rsid w:val="37642533"/>
    <w:rsid w:val="37974803"/>
    <w:rsid w:val="38911689"/>
    <w:rsid w:val="38C42003"/>
    <w:rsid w:val="3A2A7109"/>
    <w:rsid w:val="3AA864EE"/>
    <w:rsid w:val="3F0B75E9"/>
    <w:rsid w:val="408D0011"/>
    <w:rsid w:val="411360FD"/>
    <w:rsid w:val="428549E3"/>
    <w:rsid w:val="42E163F2"/>
    <w:rsid w:val="44FD2C16"/>
    <w:rsid w:val="46AA7BFA"/>
    <w:rsid w:val="47A84EDF"/>
    <w:rsid w:val="493F407B"/>
    <w:rsid w:val="495575B4"/>
    <w:rsid w:val="497D576E"/>
    <w:rsid w:val="49D847E0"/>
    <w:rsid w:val="4A0558C8"/>
    <w:rsid w:val="4ADB2FBD"/>
    <w:rsid w:val="4C3B3017"/>
    <w:rsid w:val="4F151810"/>
    <w:rsid w:val="4F413B9C"/>
    <w:rsid w:val="50F63767"/>
    <w:rsid w:val="528B7637"/>
    <w:rsid w:val="53230361"/>
    <w:rsid w:val="54AF6350"/>
    <w:rsid w:val="54BF0531"/>
    <w:rsid w:val="550F5041"/>
    <w:rsid w:val="567E4EEE"/>
    <w:rsid w:val="57184C94"/>
    <w:rsid w:val="57DB161D"/>
    <w:rsid w:val="58C47EF0"/>
    <w:rsid w:val="5A0C3BBE"/>
    <w:rsid w:val="5B5F7C32"/>
    <w:rsid w:val="5B6036E7"/>
    <w:rsid w:val="5CBF734C"/>
    <w:rsid w:val="5DE471C4"/>
    <w:rsid w:val="614442C4"/>
    <w:rsid w:val="6268663B"/>
    <w:rsid w:val="64BF5374"/>
    <w:rsid w:val="66077DB2"/>
    <w:rsid w:val="66A4476B"/>
    <w:rsid w:val="676E469E"/>
    <w:rsid w:val="68B8037E"/>
    <w:rsid w:val="68F93BE6"/>
    <w:rsid w:val="69BD345C"/>
    <w:rsid w:val="6C3762FF"/>
    <w:rsid w:val="6C934726"/>
    <w:rsid w:val="6E461CD3"/>
    <w:rsid w:val="6F203EDC"/>
    <w:rsid w:val="6F4077D8"/>
    <w:rsid w:val="72F8221F"/>
    <w:rsid w:val="734211D3"/>
    <w:rsid w:val="740E3DBF"/>
    <w:rsid w:val="74530EB1"/>
    <w:rsid w:val="74C62B00"/>
    <w:rsid w:val="74E74EC6"/>
    <w:rsid w:val="78F65A4C"/>
    <w:rsid w:val="7A9719D9"/>
    <w:rsid w:val="7BE6063B"/>
    <w:rsid w:val="7C9474F6"/>
    <w:rsid w:val="7CF9412E"/>
    <w:rsid w:val="7DE656E8"/>
    <w:rsid w:val="7E5356EF"/>
    <w:rsid w:val="7F2545E4"/>
    <w:rsid w:val="7F7D48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1"/>
      <w:lang w:val="en-US" w:eastAsia="zh-CN" w:bidi="ar-SA"/>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table of figures"/>
    <w:basedOn w:val="1"/>
    <w:next w:val="1"/>
    <w:unhideWhenUsed/>
    <w:qFormat/>
    <w:uiPriority w:val="99"/>
    <w:pPr>
      <w:ind w:left="200" w:leftChars="200" w:hanging="200" w:hangingChars="200"/>
    </w:pPr>
  </w:style>
  <w:style w:type="paragraph" w:styleId="3">
    <w:name w:val="toa heading"/>
    <w:basedOn w:val="1"/>
    <w:next w:val="1"/>
    <w:qFormat/>
    <w:uiPriority w:val="0"/>
    <w:pPr>
      <w:spacing w:before="120"/>
    </w:pPr>
    <w:rPr>
      <w:rFonts w:ascii="Arial" w:hAnsi="Arial" w:cs="Arial"/>
    </w:rPr>
  </w:style>
  <w:style w:type="paragraph" w:styleId="4">
    <w:name w:val="annotation text"/>
    <w:basedOn w:val="1"/>
    <w:qFormat/>
    <w:uiPriority w:val="0"/>
    <w:pPr>
      <w:jc w:val="left"/>
    </w:pPr>
  </w:style>
  <w:style w:type="paragraph" w:styleId="5">
    <w:name w:val="Body Text"/>
    <w:basedOn w:val="1"/>
    <w:next w:val="1"/>
    <w:qFormat/>
    <w:uiPriority w:val="0"/>
    <w:pPr>
      <w:spacing w:after="120"/>
    </w:pPr>
    <w:rPr>
      <w:kern w:val="0"/>
      <w:szCs w:val="24"/>
    </w:rPr>
  </w:style>
  <w:style w:type="paragraph" w:styleId="6">
    <w:name w:val="Body Text Indent"/>
    <w:basedOn w:val="1"/>
    <w:next w:val="1"/>
    <w:unhideWhenUsed/>
    <w:qFormat/>
    <w:uiPriority w:val="99"/>
    <w:pPr>
      <w:spacing w:after="120"/>
      <w:ind w:left="420" w:leftChars="200"/>
    </w:pPr>
  </w:style>
  <w:style w:type="paragraph" w:styleId="7">
    <w:name w:val="toc 3"/>
    <w:basedOn w:val="1"/>
    <w:next w:val="1"/>
    <w:qFormat/>
    <w:uiPriority w:val="0"/>
    <w:pPr>
      <w:ind w:left="420"/>
      <w:jc w:val="left"/>
    </w:pPr>
    <w:rPr>
      <w:rFonts w:ascii="Calibri" w:hAnsi="Calibri"/>
      <w:i/>
      <w:iCs/>
      <w:sz w:val="20"/>
      <w:szCs w:val="20"/>
    </w:rPr>
  </w:style>
  <w:style w:type="paragraph" w:styleId="8">
    <w:name w:val="Body Text Indent 2"/>
    <w:basedOn w:val="1"/>
    <w:next w:val="9"/>
    <w:qFormat/>
    <w:uiPriority w:val="99"/>
    <w:pPr>
      <w:spacing w:before="100" w:beforeAutospacing="1" w:after="120" w:line="480" w:lineRule="auto"/>
      <w:ind w:left="200" w:leftChars="200"/>
    </w:pPr>
    <w:rPr>
      <w:sz w:val="21"/>
    </w:rPr>
  </w:style>
  <w:style w:type="paragraph" w:customStyle="1" w:styleId="9">
    <w:name w:val="表格文字"/>
    <w:basedOn w:val="1"/>
    <w:next w:val="1"/>
    <w:qFormat/>
    <w:uiPriority w:val="99"/>
    <w:pPr>
      <w:jc w:val="center"/>
    </w:pPr>
    <w:rPr>
      <w:rFonts w:ascii="仿宋_GB2312" w:hAnsi="Arial Black" w:eastAsia="仿宋_GB2312"/>
      <w:kern w:val="44"/>
    </w:rPr>
  </w:style>
  <w:style w:type="paragraph" w:styleId="10">
    <w:name w:val="footer"/>
    <w:basedOn w:val="1"/>
    <w:link w:val="35"/>
    <w:unhideWhenUsed/>
    <w:qFormat/>
    <w:uiPriority w:val="99"/>
    <w:pPr>
      <w:tabs>
        <w:tab w:val="center" w:pos="4153"/>
        <w:tab w:val="right" w:pos="8306"/>
      </w:tabs>
      <w:snapToGrid w:val="0"/>
      <w:jc w:val="left"/>
    </w:pPr>
    <w:rPr>
      <w:sz w:val="18"/>
      <w:szCs w:val="18"/>
    </w:rPr>
  </w:style>
  <w:style w:type="paragraph" w:styleId="11">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2">
    <w:name w:val="index heading"/>
    <w:basedOn w:val="1"/>
    <w:next w:val="13"/>
    <w:qFormat/>
    <w:uiPriority w:val="0"/>
    <w:rPr>
      <w:rFonts w:ascii="Arial" w:hAnsi="Arial" w:cs="Arial"/>
      <w:b/>
      <w:bCs/>
    </w:rPr>
  </w:style>
  <w:style w:type="paragraph" w:styleId="13">
    <w:name w:val="index 1"/>
    <w:basedOn w:val="1"/>
    <w:next w:val="1"/>
    <w:qFormat/>
    <w:uiPriority w:val="0"/>
    <w:pPr>
      <w:tabs>
        <w:tab w:val="left" w:pos="5580"/>
      </w:tabs>
      <w:spacing w:line="280" w:lineRule="exact"/>
    </w:pPr>
    <w:rPr>
      <w:rFonts w:ascii="宋体" w:hAnsi="宋体"/>
      <w:spacing w:val="10"/>
    </w:rPr>
  </w:style>
  <w:style w:type="paragraph" w:styleId="14">
    <w:name w:val="Body Text First Indent 2"/>
    <w:basedOn w:val="6"/>
    <w:next w:val="1"/>
    <w:unhideWhenUsed/>
    <w:qFormat/>
    <w:uiPriority w:val="99"/>
    <w:pPr>
      <w:spacing w:line="360" w:lineRule="auto"/>
      <w:ind w:firstLine="420" w:firstLineChars="200"/>
    </w:pPr>
    <w:rPr>
      <w:szCs w:val="24"/>
    </w:rPr>
  </w:style>
  <w:style w:type="table" w:styleId="16">
    <w:name w:val="Table Grid"/>
    <w:basedOn w:val="15"/>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
    <w:name w:val="章节目录"/>
    <w:basedOn w:val="1"/>
    <w:qFormat/>
    <w:uiPriority w:val="0"/>
    <w:pPr>
      <w:spacing w:line="360" w:lineRule="auto"/>
      <w:outlineLvl w:val="0"/>
    </w:pPr>
    <w:rPr>
      <w:b/>
      <w:sz w:val="28"/>
      <w:szCs w:val="28"/>
    </w:rPr>
  </w:style>
  <w:style w:type="paragraph" w:customStyle="1" w:styleId="19">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20">
    <w:name w:val="Table Grid_0"/>
    <w:basedOn w:val="15"/>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
    <w:name w:val="Default"/>
    <w:next w:val="22"/>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2">
    <w:name w:val="样式1"/>
    <w:basedOn w:val="12"/>
    <w:next w:val="1"/>
    <w:qFormat/>
    <w:uiPriority w:val="0"/>
    <w:pPr>
      <w:autoSpaceDE w:val="0"/>
      <w:autoSpaceDN w:val="0"/>
      <w:adjustRightInd w:val="0"/>
      <w:spacing w:before="120" w:line="360" w:lineRule="auto"/>
      <w:ind w:firstLine="480"/>
    </w:pPr>
    <w:rPr>
      <w:rFonts w:eastAsia="黑体"/>
      <w:kern w:val="0"/>
    </w:rPr>
  </w:style>
  <w:style w:type="paragraph" w:customStyle="1" w:styleId="23">
    <w:name w:val="表文"/>
    <w:basedOn w:val="1"/>
    <w:qFormat/>
    <w:uiPriority w:val="0"/>
    <w:pPr>
      <w:adjustRightInd w:val="0"/>
      <w:spacing w:before="120" w:after="120" w:line="200" w:lineRule="atLeast"/>
      <w:jc w:val="center"/>
      <w:textAlignment w:val="baseline"/>
    </w:pPr>
    <w:rPr>
      <w:rFonts w:ascii="宋体"/>
      <w:sz w:val="21"/>
      <w:szCs w:val="18"/>
    </w:rPr>
  </w:style>
  <w:style w:type="paragraph" w:customStyle="1" w:styleId="24">
    <w:name w:val="报告表格"/>
    <w:basedOn w:val="1"/>
    <w:next w:val="25"/>
    <w:qFormat/>
    <w:uiPriority w:val="0"/>
    <w:pPr>
      <w:autoSpaceDE w:val="0"/>
      <w:autoSpaceDN w:val="0"/>
      <w:adjustRightInd w:val="0"/>
      <w:spacing w:before="40" w:after="40"/>
      <w:jc w:val="center"/>
      <w:textAlignment w:val="bottom"/>
    </w:pPr>
    <w:rPr>
      <w:kern w:val="0"/>
      <w:szCs w:val="20"/>
    </w:rPr>
  </w:style>
  <w:style w:type="paragraph" w:customStyle="1" w:styleId="25">
    <w:name w:val="报告书"/>
    <w:basedOn w:val="1"/>
    <w:qFormat/>
    <w:uiPriority w:val="0"/>
    <w:pPr>
      <w:autoSpaceDE w:val="0"/>
      <w:autoSpaceDN w:val="0"/>
      <w:adjustRightInd w:val="0"/>
      <w:spacing w:line="360" w:lineRule="auto"/>
      <w:ind w:firstLine="505"/>
      <w:jc w:val="left"/>
      <w:textAlignment w:val="bottom"/>
    </w:pPr>
    <w:rPr>
      <w:kern w:val="0"/>
      <w:szCs w:val="20"/>
    </w:rPr>
  </w:style>
  <w:style w:type="paragraph" w:customStyle="1" w:styleId="26">
    <w:name w:val="Table Paragraph"/>
    <w:basedOn w:val="1"/>
    <w:qFormat/>
    <w:uiPriority w:val="1"/>
    <w:pPr>
      <w:jc w:val="left"/>
    </w:pPr>
    <w:rPr>
      <w:rFonts w:ascii="Calibri" w:hAnsi="Calibri"/>
      <w:kern w:val="0"/>
      <w:sz w:val="22"/>
      <w:szCs w:val="22"/>
      <w:lang w:eastAsia="en-US"/>
    </w:rPr>
  </w:style>
  <w:style w:type="paragraph" w:customStyle="1" w:styleId="27">
    <w:name w:val="rpt_表项"/>
    <w:basedOn w:val="1"/>
    <w:qFormat/>
    <w:uiPriority w:val="0"/>
    <w:pPr>
      <w:spacing w:before="60" w:after="60"/>
      <w:jc w:val="center"/>
    </w:pPr>
    <w:rPr>
      <w:rFonts w:cs="宋体"/>
      <w:sz w:val="22"/>
      <w:szCs w:val="20"/>
    </w:rPr>
  </w:style>
  <w:style w:type="paragraph" w:customStyle="1" w:styleId="28">
    <w:name w:val="无间隔1"/>
    <w:next w:val="1"/>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29">
    <w:name w:val="CM96"/>
    <w:basedOn w:val="21"/>
    <w:next w:val="21"/>
    <w:qFormat/>
    <w:uiPriority w:val="99"/>
    <w:pPr>
      <w:spacing w:line="468" w:lineRule="atLeast"/>
    </w:pPr>
    <w:rPr>
      <w:rFonts w:hAnsi="Calibri"/>
      <w:color w:val="auto"/>
    </w:rPr>
  </w:style>
  <w:style w:type="paragraph" w:customStyle="1" w:styleId="30">
    <w:name w:val="CM5"/>
    <w:basedOn w:val="21"/>
    <w:next w:val="21"/>
    <w:qFormat/>
    <w:uiPriority w:val="99"/>
    <w:pPr>
      <w:spacing w:line="468" w:lineRule="atLeast"/>
    </w:pPr>
    <w:rPr>
      <w:rFonts w:hAnsi="Calibri"/>
      <w:color w:val="auto"/>
    </w:rPr>
  </w:style>
  <w:style w:type="paragraph" w:customStyle="1" w:styleId="31">
    <w:name w:val="CM3"/>
    <w:basedOn w:val="1"/>
    <w:next w:val="1"/>
    <w:qFormat/>
    <w:uiPriority w:val="99"/>
    <w:pPr>
      <w:autoSpaceDE w:val="0"/>
      <w:autoSpaceDN w:val="0"/>
      <w:adjustRightInd w:val="0"/>
      <w:spacing w:line="468" w:lineRule="atLeast"/>
      <w:jc w:val="left"/>
    </w:pPr>
    <w:rPr>
      <w:rFonts w:ascii="宋体" w:hAnsi="Calibri"/>
      <w:kern w:val="0"/>
      <w:szCs w:val="24"/>
    </w:rPr>
  </w:style>
  <w:style w:type="paragraph" w:customStyle="1" w:styleId="32">
    <w:name w:val="表格内容"/>
    <w:basedOn w:val="1"/>
    <w:qFormat/>
    <w:uiPriority w:val="0"/>
    <w:pPr>
      <w:jc w:val="center"/>
    </w:pPr>
    <w:rPr>
      <w:rFonts w:eastAsia="Times New Roman"/>
      <w:kern w:val="0"/>
      <w:sz w:val="20"/>
    </w:rPr>
  </w:style>
  <w:style w:type="character" w:customStyle="1" w:styleId="33">
    <w:name w:val="页眉 字符"/>
    <w:basedOn w:val="17"/>
    <w:link w:val="11"/>
    <w:qFormat/>
    <w:uiPriority w:val="0"/>
    <w:rPr>
      <w:kern w:val="2"/>
      <w:sz w:val="18"/>
      <w:szCs w:val="18"/>
    </w:rPr>
  </w:style>
  <w:style w:type="paragraph" w:customStyle="1" w:styleId="34">
    <w:name w:val="Table Text"/>
    <w:basedOn w:val="1"/>
    <w:semiHidden/>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4"/>
      <w:lang w:eastAsia="en-US"/>
    </w:rPr>
  </w:style>
  <w:style w:type="character" w:customStyle="1" w:styleId="35">
    <w:name w:val="页脚 字符"/>
    <w:basedOn w:val="17"/>
    <w:link w:val="10"/>
    <w:qFormat/>
    <w:uiPriority w:val="99"/>
    <w:rPr>
      <w:kern w:val="2"/>
      <w:sz w:val="18"/>
      <w:szCs w:val="18"/>
    </w:rPr>
  </w:style>
  <w:style w:type="character" w:customStyle="1" w:styleId="36">
    <w:name w:val="diff"/>
    <w:basedOn w:val="17"/>
    <w:qFormat/>
    <w:uiPriority w:val="0"/>
  </w:style>
  <w:style w:type="paragraph" w:customStyle="1" w:styleId="37">
    <w:name w:val="Default1"/>
    <w:basedOn w:val="1"/>
    <w:next w:val="1"/>
    <w:qFormat/>
    <w:uiPriority w:val="0"/>
    <w:pPr>
      <w:autoSpaceDE w:val="0"/>
      <w:autoSpaceDN w:val="0"/>
      <w:adjustRightInd w:val="0"/>
      <w:ind w:left="50" w:leftChars="50" w:right="50" w:rightChars="50" w:firstLine="200"/>
      <w:jc w:val="left"/>
    </w:pPr>
    <w:rPr>
      <w:rFonts w:ascii="宋体" w:cs="宋体"/>
      <w:color w:val="000000"/>
      <w:szCs w:val="24"/>
    </w:rPr>
  </w:style>
  <w:style w:type="table" w:customStyle="1" w:styleId="38">
    <w:name w:val="Table Normal"/>
    <w:semiHidden/>
    <w:unhideWhenUsed/>
    <w:qFormat/>
    <w:uiPriority w:val="0"/>
    <w:tblPr>
      <w:tblCellMar>
        <w:top w:w="0" w:type="dxa"/>
        <w:left w:w="0" w:type="dxa"/>
        <w:bottom w:w="0" w:type="dxa"/>
        <w:right w:w="0" w:type="dxa"/>
      </w:tblCellMar>
    </w:tblPr>
  </w:style>
  <w:style w:type="paragraph" w:customStyle="1" w:styleId="39">
    <w:name w:val="报告正文"/>
    <w:basedOn w:val="1"/>
    <w:link w:val="40"/>
    <w:qFormat/>
    <w:uiPriority w:val="0"/>
    <w:pPr>
      <w:spacing w:line="360" w:lineRule="auto"/>
      <w:ind w:firstLine="482"/>
    </w:pPr>
    <w:rPr>
      <w:szCs w:val="24"/>
    </w:rPr>
  </w:style>
  <w:style w:type="character" w:customStyle="1" w:styleId="40">
    <w:name w:val="报告正文 Char"/>
    <w:link w:val="39"/>
    <w:qFormat/>
    <w:uiPriority w:val="0"/>
    <w:rPr>
      <w:kern w:val="2"/>
      <w:sz w:val="24"/>
      <w:szCs w:val="24"/>
    </w:rPr>
  </w:style>
  <w:style w:type="paragraph" w:styleId="41">
    <w:name w:val="List Paragraph"/>
    <w:basedOn w:val="1"/>
    <w:qFormat/>
    <w:uiPriority w:val="99"/>
    <w:pPr>
      <w:ind w:firstLine="420" w:firstLineChars="200"/>
    </w:pPr>
    <w:rPr>
      <w:sz w:val="21"/>
      <w:szCs w:val="24"/>
    </w:rPr>
  </w:style>
  <w:style w:type="character" w:customStyle="1" w:styleId="42">
    <w:name w:val="01 大庆环评 正文 字符"/>
    <w:link w:val="43"/>
    <w:qFormat/>
    <w:uiPriority w:val="0"/>
    <w:rPr>
      <w:kern w:val="2"/>
      <w:sz w:val="21"/>
      <w:szCs w:val="28"/>
    </w:rPr>
  </w:style>
  <w:style w:type="paragraph" w:customStyle="1" w:styleId="43">
    <w:name w:val="01 大庆环评 正文"/>
    <w:basedOn w:val="1"/>
    <w:link w:val="42"/>
    <w:qFormat/>
    <w:uiPriority w:val="0"/>
    <w:pPr>
      <w:spacing w:line="360" w:lineRule="auto"/>
      <w:ind w:firstLine="200" w:firstLineChars="200"/>
    </w:pPr>
    <w:rPr>
      <w:sz w:val="21"/>
      <w:szCs w:val="28"/>
    </w:rPr>
  </w:style>
  <w:style w:type="character" w:customStyle="1" w:styleId="44">
    <w:name w:val="05F凡式正文 Char"/>
    <w:link w:val="45"/>
    <w:qFormat/>
    <w:uiPriority w:val="0"/>
    <w:rPr>
      <w:sz w:val="24"/>
    </w:rPr>
  </w:style>
  <w:style w:type="paragraph" w:customStyle="1" w:styleId="45">
    <w:name w:val="05F凡式正文"/>
    <w:basedOn w:val="1"/>
    <w:link w:val="44"/>
    <w:qFormat/>
    <w:uiPriority w:val="0"/>
    <w:pPr>
      <w:spacing w:line="360" w:lineRule="auto"/>
      <w:ind w:firstLine="720" w:firstLineChars="200"/>
    </w:pPr>
    <w:rPr>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emf"/><Relationship Id="rId15" Type="http://schemas.openxmlformats.org/officeDocument/2006/relationships/package" Target="embeddings/Microsoft_Visio___2.vsdx"/><Relationship Id="rId14" Type="http://schemas.openxmlformats.org/officeDocument/2006/relationships/image" Target="media/image7.emf"/><Relationship Id="rId13" Type="http://schemas.openxmlformats.org/officeDocument/2006/relationships/package" Target="embeddings/Microsoft_Visio___1.vsdx"/><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0B48B1-DFE9-413A-9285-F2E26BDEFB98}">
  <ds:schemaRefs/>
</ds:datastoreItem>
</file>

<file path=docProps/app.xml><?xml version="1.0" encoding="utf-8"?>
<Properties xmlns="http://schemas.openxmlformats.org/officeDocument/2006/extended-properties" xmlns:vt="http://schemas.openxmlformats.org/officeDocument/2006/docPropsVTypes">
  <Template>Normal</Template>
  <Pages>85</Pages>
  <Words>60076</Words>
  <Characters>65706</Characters>
  <Lines>3340</Lines>
  <Paragraphs>3538</Paragraphs>
  <TotalTime>827</TotalTime>
  <ScaleCrop>false</ScaleCrop>
  <LinksUpToDate>false</LinksUpToDate>
  <CharactersWithSpaces>66486</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2023-08-22T07:41:00Z</dcterms:created>
  <dc:creator>Administrator</dc:creator>
  <cp:lastModifiedBy>Administrator</cp:lastModifiedBy>
  <dcterms:modified xsi:type="dcterms:W3CDTF">2024-08-14T07:35:01Z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A24FF2C0BA1F414FAFCD53C93CC6D021_13</vt:lpwstr>
  </property>
</Properties>
</file>