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5714C">
      <w:pPr>
        <w:spacing w:line="269" w:lineRule="auto"/>
        <w:rPr>
          <w:rFonts w:ascii="Arial"/>
          <w:sz w:val="21"/>
        </w:rPr>
      </w:pPr>
      <w:bookmarkStart w:id="0" w:name="_GoBack"/>
      <w:bookmarkEnd w:id="0"/>
    </w:p>
    <w:p w14:paraId="2282A4CB">
      <w:pPr>
        <w:spacing w:line="269" w:lineRule="auto"/>
        <w:rPr>
          <w:rFonts w:ascii="Arial"/>
          <w:sz w:val="21"/>
        </w:rPr>
      </w:pPr>
    </w:p>
    <w:p w14:paraId="3E902D4D">
      <w:pPr>
        <w:spacing w:line="269" w:lineRule="auto"/>
        <w:rPr>
          <w:rFonts w:ascii="Arial"/>
          <w:sz w:val="21"/>
        </w:rPr>
      </w:pPr>
    </w:p>
    <w:p w14:paraId="3A902ACF">
      <w:pPr>
        <w:spacing w:line="269" w:lineRule="auto"/>
        <w:rPr>
          <w:rFonts w:ascii="Arial"/>
          <w:sz w:val="21"/>
        </w:rPr>
      </w:pPr>
    </w:p>
    <w:p w14:paraId="0480C5AA">
      <w:pPr>
        <w:spacing w:line="269" w:lineRule="auto"/>
        <w:rPr>
          <w:rFonts w:ascii="Arial"/>
          <w:sz w:val="21"/>
        </w:rPr>
      </w:pPr>
    </w:p>
    <w:p w14:paraId="56FCC9E2">
      <w:pPr>
        <w:spacing w:line="270" w:lineRule="auto"/>
        <w:rPr>
          <w:rFonts w:ascii="Arial"/>
          <w:sz w:val="21"/>
        </w:rPr>
      </w:pPr>
    </w:p>
    <w:p w14:paraId="6529E04C">
      <w:pPr>
        <w:spacing w:line="270" w:lineRule="auto"/>
        <w:rPr>
          <w:rFonts w:ascii="Arial"/>
          <w:sz w:val="21"/>
        </w:rPr>
      </w:pPr>
    </w:p>
    <w:p w14:paraId="42F3A5C1">
      <w:pPr>
        <w:spacing w:line="270" w:lineRule="auto"/>
        <w:rPr>
          <w:rFonts w:ascii="Arial"/>
          <w:sz w:val="21"/>
        </w:rPr>
      </w:pPr>
    </w:p>
    <w:p w14:paraId="1014BFEF">
      <w:pPr>
        <w:spacing w:before="445" w:line="223" w:lineRule="auto"/>
        <w:ind w:left="555"/>
        <w:outlineLvl w:val="0"/>
        <w:rPr>
          <w:rFonts w:ascii="宋体" w:hAnsi="宋体" w:eastAsia="宋体" w:cs="宋体"/>
          <w:sz w:val="137"/>
          <w:szCs w:val="137"/>
        </w:rPr>
      </w:pPr>
      <w:r>
        <w:rPr>
          <w:rFonts w:ascii="宋体" w:hAnsi="宋体" w:eastAsia="宋体" w:cs="宋体"/>
          <w:b/>
          <w:bCs/>
          <w:color w:val="FF2100"/>
          <w:spacing w:val="-48"/>
          <w:sz w:val="137"/>
          <w:szCs w:val="137"/>
        </w:rPr>
        <w:t>宣汉县财政局</w:t>
      </w:r>
    </w:p>
    <w:p w14:paraId="744C33EC">
      <w:pPr>
        <w:spacing w:line="255" w:lineRule="auto"/>
        <w:rPr>
          <w:rFonts w:ascii="Arial"/>
          <w:sz w:val="21"/>
        </w:rPr>
      </w:pPr>
    </w:p>
    <w:p w14:paraId="56C4B11D">
      <w:pPr>
        <w:spacing w:line="256" w:lineRule="auto"/>
        <w:rPr>
          <w:rFonts w:ascii="Arial"/>
          <w:sz w:val="21"/>
        </w:rPr>
      </w:pPr>
    </w:p>
    <w:p w14:paraId="697FF77F">
      <w:pPr>
        <w:spacing w:line="256" w:lineRule="auto"/>
        <w:rPr>
          <w:rFonts w:ascii="Arial"/>
          <w:sz w:val="21"/>
        </w:rPr>
      </w:pPr>
    </w:p>
    <w:p w14:paraId="5F1B9518">
      <w:pPr>
        <w:pStyle w:val="2"/>
        <w:spacing w:before="110" w:line="212" w:lineRule="auto"/>
        <w:ind w:left="505"/>
        <w:rPr>
          <w:rFonts w:ascii="楷体" w:hAnsi="楷体" w:eastAsia="楷体" w:cs="楷体"/>
          <w:sz w:val="34"/>
          <w:szCs w:val="34"/>
        </w:rPr>
      </w:pPr>
      <w:r>
        <w:rPr>
          <w:spacing w:val="-24"/>
          <w:sz w:val="34"/>
          <w:szCs w:val="34"/>
        </w:rPr>
        <w:t>宣财政〔2024〕21</w:t>
      </w:r>
      <w:r>
        <w:rPr>
          <w:spacing w:val="-40"/>
          <w:sz w:val="34"/>
          <w:szCs w:val="34"/>
        </w:rPr>
        <w:t xml:space="preserve"> </w:t>
      </w:r>
      <w:r>
        <w:rPr>
          <w:spacing w:val="-24"/>
          <w:sz w:val="34"/>
          <w:szCs w:val="34"/>
        </w:rPr>
        <w:t>号</w:t>
      </w:r>
      <w:r>
        <w:rPr>
          <w:spacing w:val="1"/>
          <w:sz w:val="34"/>
          <w:szCs w:val="34"/>
        </w:rPr>
        <w:t xml:space="preserve">                  </w:t>
      </w:r>
      <w:r>
        <w:rPr>
          <w:spacing w:val="-24"/>
          <w:sz w:val="34"/>
          <w:szCs w:val="34"/>
        </w:rPr>
        <w:t>签发人</w:t>
      </w:r>
      <w:r>
        <w:rPr>
          <w:rFonts w:ascii="楷体" w:hAnsi="楷体" w:eastAsia="楷体" w:cs="楷体"/>
          <w:spacing w:val="-24"/>
          <w:sz w:val="34"/>
          <w:szCs w:val="34"/>
        </w:rPr>
        <w:t>：饶伟松</w:t>
      </w:r>
    </w:p>
    <w:p w14:paraId="6BBB1679">
      <w:pPr>
        <w:spacing w:line="59" w:lineRule="exact"/>
      </w:pPr>
      <w:r>
        <w:rPr>
          <w:position w:val="-1"/>
        </w:rPr>
        <w:drawing>
          <wp:inline distT="0" distB="0" distL="0" distR="0">
            <wp:extent cx="5656580" cy="374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57088" cy="3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09FA2">
      <w:pPr>
        <w:spacing w:line="255" w:lineRule="auto"/>
        <w:rPr>
          <w:rFonts w:ascii="Arial"/>
          <w:sz w:val="21"/>
        </w:rPr>
      </w:pPr>
    </w:p>
    <w:p w14:paraId="7AEA87A4">
      <w:pPr>
        <w:spacing w:line="255" w:lineRule="auto"/>
        <w:rPr>
          <w:rFonts w:ascii="Arial"/>
          <w:sz w:val="21"/>
        </w:rPr>
      </w:pPr>
    </w:p>
    <w:p w14:paraId="6B89E135">
      <w:pPr>
        <w:spacing w:line="255" w:lineRule="auto"/>
        <w:rPr>
          <w:rFonts w:ascii="Arial"/>
          <w:sz w:val="21"/>
        </w:rPr>
      </w:pPr>
    </w:p>
    <w:p w14:paraId="68A019B6">
      <w:pPr>
        <w:spacing w:line="256" w:lineRule="auto"/>
        <w:rPr>
          <w:rFonts w:ascii="Arial"/>
          <w:sz w:val="21"/>
        </w:rPr>
      </w:pPr>
    </w:p>
    <w:p w14:paraId="75F2C5C4">
      <w:pPr>
        <w:spacing w:before="137" w:line="218" w:lineRule="auto"/>
        <w:ind w:left="3279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-9"/>
          <w:sz w:val="42"/>
          <w:szCs w:val="42"/>
        </w:rPr>
        <w:t>宣汉县财政局</w:t>
      </w:r>
    </w:p>
    <w:p w14:paraId="3E15D6F3">
      <w:pPr>
        <w:spacing w:line="223" w:lineRule="auto"/>
        <w:ind w:left="489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10"/>
          <w:sz w:val="42"/>
          <w:szCs w:val="42"/>
        </w:rPr>
        <w:t>关于2023年预算绩效管理工作自评的报告</w:t>
      </w:r>
    </w:p>
    <w:p w14:paraId="4E41C805">
      <w:pPr>
        <w:spacing w:line="300" w:lineRule="auto"/>
        <w:rPr>
          <w:rFonts w:ascii="Arial"/>
          <w:sz w:val="21"/>
        </w:rPr>
      </w:pPr>
    </w:p>
    <w:p w14:paraId="66BCAE1C">
      <w:pPr>
        <w:spacing w:line="300" w:lineRule="auto"/>
        <w:rPr>
          <w:rFonts w:ascii="Arial"/>
          <w:sz w:val="21"/>
        </w:rPr>
      </w:pPr>
    </w:p>
    <w:p w14:paraId="5CEFF7A0">
      <w:pPr>
        <w:pStyle w:val="2"/>
        <w:spacing w:before="97" w:line="223" w:lineRule="auto"/>
        <w:ind w:left="25"/>
      </w:pPr>
      <w:r>
        <w:rPr>
          <w:spacing w:val="2"/>
        </w:rPr>
        <w:t>市财政局：</w:t>
      </w:r>
    </w:p>
    <w:p w14:paraId="1AE74FC9">
      <w:pPr>
        <w:pStyle w:val="2"/>
        <w:spacing w:before="239" w:line="281" w:lineRule="auto"/>
        <w:ind w:left="129" w:right="254" w:firstLine="632"/>
      </w:pPr>
      <w:r>
        <w:rPr>
          <w:spacing w:val="14"/>
        </w:rPr>
        <w:t>按照相关规定和工作需要，现将我县2023年预算绩效管理</w:t>
      </w:r>
      <w:r>
        <w:rPr>
          <w:spacing w:val="13"/>
        </w:rPr>
        <w:t xml:space="preserve"> </w:t>
      </w:r>
      <w:r>
        <w:rPr>
          <w:spacing w:val="11"/>
        </w:rPr>
        <w:t>工作自评报告如下。</w:t>
      </w:r>
    </w:p>
    <w:p w14:paraId="09EF4439">
      <w:pPr>
        <w:pStyle w:val="2"/>
        <w:spacing w:before="167" w:line="293" w:lineRule="auto"/>
        <w:ind w:left="115" w:right="266" w:firstLine="657"/>
      </w:pPr>
      <w:r>
        <w:rPr>
          <w:spacing w:val="14"/>
        </w:rPr>
        <w:t>预算绩效管理是建立现代预算管理制度的重要内容，对强</w:t>
      </w:r>
      <w:r>
        <w:rPr>
          <w:spacing w:val="18"/>
        </w:rPr>
        <w:t xml:space="preserve"> </w:t>
      </w:r>
      <w:r>
        <w:rPr>
          <w:spacing w:val="16"/>
        </w:rPr>
        <w:t>化财政资金使用透明度、提高财政资金使用效益</w:t>
      </w:r>
      <w:r>
        <w:rPr>
          <w:spacing w:val="15"/>
        </w:rPr>
        <w:t>，打造高效、</w:t>
      </w:r>
      <w:r>
        <w:t xml:space="preserve"> </w:t>
      </w:r>
      <w:r>
        <w:rPr>
          <w:spacing w:val="15"/>
        </w:rPr>
        <w:t>负责、透明的政府具有重大意义。全面实施预算绩效管理是党</w:t>
      </w:r>
      <w:r>
        <w:rPr>
          <w:spacing w:val="14"/>
        </w:rPr>
        <w:t xml:space="preserve"> </w:t>
      </w:r>
      <w:r>
        <w:rPr>
          <w:spacing w:val="15"/>
        </w:rPr>
        <w:t>中央、国务院作出的重大决策部署，是政府治理和预算管理的</w:t>
      </w:r>
      <w:r>
        <w:rPr>
          <w:spacing w:val="14"/>
        </w:rPr>
        <w:t xml:space="preserve"> </w:t>
      </w:r>
      <w:r>
        <w:rPr>
          <w:spacing w:val="15"/>
        </w:rPr>
        <w:t>深刻变革。近几年，宣汉县积极健全和完善预算绩效管理运行</w:t>
      </w:r>
      <w:r>
        <w:rPr>
          <w:spacing w:val="14"/>
        </w:rPr>
        <w:t xml:space="preserve"> </w:t>
      </w:r>
      <w:r>
        <w:rPr>
          <w:spacing w:val="15"/>
        </w:rPr>
        <w:t>体系，在财政项目资金绩效评价工作上取得了一定成效，但同</w:t>
      </w:r>
      <w:r>
        <w:rPr>
          <w:spacing w:val="14"/>
        </w:rPr>
        <w:t xml:space="preserve"> </w:t>
      </w:r>
      <w:r>
        <w:rPr>
          <w:spacing w:val="13"/>
        </w:rPr>
        <w:t>时也面临一些困难和问题。</w:t>
      </w:r>
    </w:p>
    <w:p w14:paraId="5492FE3C">
      <w:pPr>
        <w:spacing w:line="293" w:lineRule="auto"/>
        <w:sectPr>
          <w:pgSz w:w="11910" w:h="16830"/>
          <w:pgMar w:top="1430" w:right="1321" w:bottom="0" w:left="1680" w:header="0" w:footer="0" w:gutter="0"/>
          <w:cols w:space="720" w:num="1"/>
        </w:sectPr>
      </w:pPr>
    </w:p>
    <w:p w14:paraId="76BFAE71">
      <w:pPr>
        <w:spacing w:before="62" w:line="228" w:lineRule="auto"/>
        <w:ind w:left="663"/>
        <w:outlineLvl w:val="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12"/>
          <w:sz w:val="30"/>
          <w:szCs w:val="30"/>
        </w:rPr>
        <w:t>一</w:t>
      </w:r>
      <w:r>
        <w:rPr>
          <w:rFonts w:ascii="黑体" w:hAnsi="黑体" w:eastAsia="黑体" w:cs="黑体"/>
          <w:spacing w:val="23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12"/>
          <w:sz w:val="30"/>
          <w:szCs w:val="30"/>
        </w:rPr>
        <w:t>、工作开展情况</w:t>
      </w:r>
    </w:p>
    <w:p w14:paraId="4CD6BEF9">
      <w:pPr>
        <w:spacing w:before="145" w:line="233" w:lineRule="auto"/>
        <w:ind w:left="789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color w:val="333333"/>
          <w:spacing w:val="6"/>
          <w:sz w:val="30"/>
          <w:szCs w:val="30"/>
        </w:rPr>
        <w:t>（一）宣传与制度建设情况</w:t>
      </w:r>
    </w:p>
    <w:p w14:paraId="23556D17">
      <w:pPr>
        <w:pStyle w:val="2"/>
        <w:spacing w:before="262" w:line="353" w:lineRule="auto"/>
        <w:ind w:left="12" w:right="60" w:firstLine="802"/>
      </w:pPr>
      <w:r>
        <w:rPr>
          <w:color w:val="333333"/>
          <w:spacing w:val="9"/>
        </w:rPr>
        <w:t>一是大力宣传，营造舆论氛围,强化宣传推广普及预算绩效</w:t>
      </w:r>
      <w:r>
        <w:rPr>
          <w:color w:val="333333"/>
          <w:spacing w:val="3"/>
        </w:rPr>
        <w:t xml:space="preserve"> </w:t>
      </w:r>
      <w:r>
        <w:rPr>
          <w:color w:val="333333"/>
          <w:spacing w:val="7"/>
        </w:rPr>
        <w:t>管理理念。通过</w:t>
      </w:r>
      <w:r>
        <w:rPr>
          <w:color w:val="333333"/>
          <w:spacing w:val="-102"/>
        </w:rPr>
        <w:t xml:space="preserve"> </w:t>
      </w:r>
      <w:r>
        <w:rPr>
          <w:color w:val="333333"/>
          <w:spacing w:val="7"/>
        </w:rPr>
        <w:t>“宣汉发布”</w:t>
      </w:r>
      <w:r>
        <w:rPr>
          <w:color w:val="333333"/>
          <w:spacing w:val="-101"/>
        </w:rPr>
        <w:t xml:space="preserve"> </w:t>
      </w:r>
      <w:r>
        <w:rPr>
          <w:color w:val="333333"/>
          <w:spacing w:val="7"/>
        </w:rPr>
        <w:t>“宣汉融媒”等多种新闻</w:t>
      </w:r>
      <w:r>
        <w:rPr>
          <w:color w:val="333333"/>
          <w:spacing w:val="6"/>
        </w:rPr>
        <w:t>媒体和渠</w:t>
      </w:r>
      <w:r>
        <w:rPr>
          <w:color w:val="333333"/>
        </w:rPr>
        <w:t xml:space="preserve"> </w:t>
      </w:r>
      <w:r>
        <w:rPr>
          <w:color w:val="333333"/>
          <w:spacing w:val="8"/>
        </w:rPr>
        <w:t>道，广泛宣传预算绩效管理政策，大力倡导</w:t>
      </w:r>
      <w:r>
        <w:rPr>
          <w:color w:val="333333"/>
          <w:spacing w:val="-85"/>
        </w:rPr>
        <w:t xml:space="preserve"> </w:t>
      </w:r>
      <w:r>
        <w:rPr>
          <w:color w:val="333333"/>
          <w:spacing w:val="8"/>
        </w:rPr>
        <w:t>“花钱必问效、无效</w:t>
      </w:r>
      <w:r>
        <w:rPr>
          <w:color w:val="333333"/>
        </w:rPr>
        <w:t xml:space="preserve"> </w:t>
      </w:r>
      <w:r>
        <w:rPr>
          <w:color w:val="333333"/>
          <w:spacing w:val="7"/>
        </w:rPr>
        <w:t>必问责”</w:t>
      </w:r>
      <w:r>
        <w:rPr>
          <w:color w:val="333333"/>
          <w:spacing w:val="-108"/>
        </w:rPr>
        <w:t xml:space="preserve"> </w:t>
      </w:r>
      <w:r>
        <w:rPr>
          <w:color w:val="333333"/>
          <w:spacing w:val="7"/>
        </w:rPr>
        <w:t>的预算绩效管理理念，营造</w:t>
      </w:r>
      <w:r>
        <w:rPr>
          <w:color w:val="333333"/>
          <w:spacing w:val="-99"/>
        </w:rPr>
        <w:t xml:space="preserve"> </w:t>
      </w:r>
      <w:r>
        <w:rPr>
          <w:color w:val="333333"/>
          <w:spacing w:val="7"/>
        </w:rPr>
        <w:t>“讲绩效、重绩效、用绩效</w:t>
      </w:r>
      <w:r>
        <w:rPr>
          <w:color w:val="333333"/>
        </w:rPr>
        <w:t xml:space="preserve"> </w:t>
      </w:r>
      <w:r>
        <w:rPr>
          <w:color w:val="333333"/>
          <w:spacing w:val="9"/>
        </w:rPr>
        <w:t>”</w:t>
      </w:r>
      <w:r>
        <w:rPr>
          <w:color w:val="333333"/>
          <w:spacing w:val="-112"/>
        </w:rPr>
        <w:t xml:space="preserve"> </w:t>
      </w:r>
      <w:r>
        <w:rPr>
          <w:color w:val="333333"/>
          <w:spacing w:val="9"/>
        </w:rPr>
        <w:t>的良好氛围，使社会公众了解和支持预算绩效管理工作。二是</w:t>
      </w:r>
      <w:r>
        <w:rPr>
          <w:color w:val="333333"/>
        </w:rPr>
        <w:t xml:space="preserve"> </w:t>
      </w:r>
      <w:r>
        <w:rPr>
          <w:color w:val="333333"/>
          <w:spacing w:val="7"/>
        </w:rPr>
        <w:t>建立预算绩效管理机制，夯实制度基础。</w:t>
      </w:r>
      <w:r>
        <w:rPr>
          <w:color w:val="333333"/>
          <w:spacing w:val="-57"/>
        </w:rPr>
        <w:t xml:space="preserve"> </w:t>
      </w:r>
      <w:r>
        <w:rPr>
          <w:spacing w:val="7"/>
        </w:rPr>
        <w:t>印发了《宣汉县预算绩</w:t>
      </w:r>
      <w:r>
        <w:t xml:space="preserve"> </w:t>
      </w:r>
      <w:r>
        <w:rPr>
          <w:spacing w:val="21"/>
        </w:rPr>
        <w:t>效管理工作推进方案》</w:t>
      </w:r>
      <w:r>
        <w:rPr>
          <w:spacing w:val="-123"/>
        </w:rPr>
        <w:t xml:space="preserve"> </w:t>
      </w:r>
      <w:r>
        <w:rPr>
          <w:spacing w:val="21"/>
        </w:rPr>
        <w:t>《关于加强预算绩效目标管</w:t>
      </w:r>
      <w:r>
        <w:rPr>
          <w:spacing w:val="20"/>
        </w:rPr>
        <w:t>理工作的通</w:t>
      </w:r>
      <w:r>
        <w:t xml:space="preserve"> </w:t>
      </w:r>
      <w:r>
        <w:rPr>
          <w:spacing w:val="19"/>
        </w:rPr>
        <w:t>知》</w:t>
      </w:r>
      <w:r>
        <w:rPr>
          <w:spacing w:val="-104"/>
        </w:rPr>
        <w:t xml:space="preserve"> </w:t>
      </w:r>
      <w:r>
        <w:rPr>
          <w:spacing w:val="19"/>
        </w:rPr>
        <w:t>《宣汉县县级预算绩效运行监控管理暂行办法》</w:t>
      </w:r>
      <w:r>
        <w:rPr>
          <w:spacing w:val="-122"/>
        </w:rPr>
        <w:t xml:space="preserve"> </w:t>
      </w:r>
      <w:r>
        <w:rPr>
          <w:spacing w:val="19"/>
        </w:rPr>
        <w:t>《宣汉县</w:t>
      </w:r>
      <w:r>
        <w:t xml:space="preserve"> </w:t>
      </w:r>
      <w:r>
        <w:rPr>
          <w:spacing w:val="16"/>
        </w:rPr>
        <w:t>财 政支出绩效评价管理暂行办法》《宣汉</w:t>
      </w:r>
      <w:r>
        <w:rPr>
          <w:spacing w:val="15"/>
        </w:rPr>
        <w:t>县财政预算绩效结果</w:t>
      </w:r>
      <w:r>
        <w:t xml:space="preserve"> </w:t>
      </w:r>
      <w:r>
        <w:rPr>
          <w:spacing w:val="15"/>
        </w:rPr>
        <w:t>应用 管理办法》《宣汉县预算绩效管理制度》等规范性文件，</w:t>
      </w:r>
    </w:p>
    <w:p w14:paraId="344CFFE1">
      <w:pPr>
        <w:pStyle w:val="2"/>
        <w:spacing w:before="54" w:line="340" w:lineRule="auto"/>
        <w:ind w:left="15" w:right="60" w:firstLine="9"/>
      </w:pPr>
      <w:r>
        <w:rPr>
          <w:color w:val="333333"/>
          <w:spacing w:val="8"/>
        </w:rPr>
        <w:t>为更好地推进预算绩效管理工作提供参考，</w:t>
      </w:r>
      <w:r>
        <w:rPr>
          <w:color w:val="333333"/>
          <w:spacing w:val="-88"/>
        </w:rPr>
        <w:t xml:space="preserve"> </w:t>
      </w:r>
      <w:r>
        <w:rPr>
          <w:color w:val="333333"/>
          <w:spacing w:val="7"/>
        </w:rPr>
        <w:t>“要钱不随意，花钱</w:t>
      </w:r>
      <w:r>
        <w:rPr>
          <w:color w:val="333333"/>
        </w:rPr>
        <w:t xml:space="preserve"> </w:t>
      </w:r>
      <w:r>
        <w:rPr>
          <w:color w:val="333333"/>
          <w:spacing w:val="7"/>
        </w:rPr>
        <w:t>讲效益”</w:t>
      </w:r>
      <w:r>
        <w:rPr>
          <w:color w:val="333333"/>
          <w:spacing w:val="-98"/>
        </w:rPr>
        <w:t xml:space="preserve"> </w:t>
      </w:r>
      <w:r>
        <w:rPr>
          <w:color w:val="333333"/>
          <w:spacing w:val="7"/>
        </w:rPr>
        <w:t>的绩效管理意识逐渐深入到部门、单位和个人。</w:t>
      </w:r>
    </w:p>
    <w:p w14:paraId="5930DD52">
      <w:pPr>
        <w:spacing w:before="172" w:line="229" w:lineRule="auto"/>
        <w:ind w:left="789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color w:val="333333"/>
          <w:spacing w:val="6"/>
          <w:sz w:val="30"/>
          <w:szCs w:val="30"/>
        </w:rPr>
        <w:t>（二）主要工作推进情况</w:t>
      </w:r>
    </w:p>
    <w:p w14:paraId="149657B3">
      <w:pPr>
        <w:pStyle w:val="2"/>
        <w:spacing w:before="327" w:line="223" w:lineRule="auto"/>
        <w:ind w:left="555"/>
      </w:pPr>
      <w:r>
        <w:rPr>
          <w:color w:val="333333"/>
          <w:spacing w:val="6"/>
        </w:rPr>
        <w:t>1、事前绩效目标管理</w:t>
      </w:r>
    </w:p>
    <w:p w14:paraId="6E453086">
      <w:pPr>
        <w:spacing w:line="242" w:lineRule="auto"/>
        <w:rPr>
          <w:rFonts w:ascii="Arial"/>
          <w:sz w:val="21"/>
        </w:rPr>
      </w:pPr>
    </w:p>
    <w:p w14:paraId="0AFB919D">
      <w:pPr>
        <w:pStyle w:val="2"/>
        <w:spacing w:before="97" w:line="311" w:lineRule="auto"/>
        <w:ind w:firstLine="656"/>
        <w:jc w:val="both"/>
      </w:pPr>
      <w:r>
        <w:rPr>
          <w:color w:val="333333"/>
          <w:spacing w:val="11"/>
        </w:rPr>
        <w:t>一是事前绩效评估。</w:t>
      </w:r>
      <w:r>
        <w:rPr>
          <w:spacing w:val="11"/>
        </w:rPr>
        <w:t>进一步加大绩效评估和预算评审统筹实</w:t>
      </w:r>
      <w:r>
        <w:rPr>
          <w:spacing w:val="3"/>
        </w:rPr>
        <w:t xml:space="preserve"> </w:t>
      </w:r>
      <w:r>
        <w:rPr>
          <w:spacing w:val="22"/>
        </w:rPr>
        <w:t>施力度</w:t>
      </w:r>
      <w:r>
        <w:rPr>
          <w:spacing w:val="22"/>
          <w:position w:val="-8"/>
        </w:rPr>
        <w:t>，</w:t>
      </w:r>
      <w:r>
        <w:rPr>
          <w:spacing w:val="22"/>
        </w:rPr>
        <w:t>按照</w:t>
      </w:r>
      <w:r>
        <w:rPr>
          <w:rFonts w:ascii="微软雅黑" w:hAnsi="微软雅黑" w:eastAsia="微软雅黑" w:cs="微软雅黑"/>
          <w:color w:val="989898"/>
          <w:spacing w:val="22"/>
        </w:rPr>
        <w:t>部门自行评估--部门自行评审审-</w:t>
      </w:r>
      <w:r>
        <w:rPr>
          <w:rFonts w:ascii="微软雅黑" w:hAnsi="微软雅黑" w:eastAsia="微软雅黑" w:cs="微软雅黑"/>
          <w:color w:val="989898"/>
          <w:spacing w:val="21"/>
        </w:rPr>
        <w:t>-审财政重点绩</w:t>
      </w:r>
      <w:r>
        <w:rPr>
          <w:rFonts w:ascii="微软雅黑" w:hAnsi="微软雅黑" w:eastAsia="微软雅黑" w:cs="微软雅黑"/>
          <w:color w:val="989898"/>
        </w:rPr>
        <w:t xml:space="preserve">  </w:t>
      </w:r>
      <w:r>
        <w:rPr>
          <w:rFonts w:ascii="微软雅黑" w:hAnsi="微软雅黑" w:eastAsia="微软雅黑" w:cs="微软雅黑"/>
          <w:color w:val="898989"/>
          <w:spacing w:val="22"/>
        </w:rPr>
        <w:t xml:space="preserve">效评估(评审) </w:t>
      </w:r>
      <w:r>
        <w:rPr>
          <w:rFonts w:ascii="微软雅黑" w:hAnsi="微软雅黑" w:eastAsia="微软雅黑" w:cs="微软雅黑"/>
          <w:color w:val="878787"/>
          <w:spacing w:val="22"/>
        </w:rPr>
        <w:t xml:space="preserve">的程序,  </w:t>
      </w:r>
      <w:r>
        <w:rPr>
          <w:spacing w:val="22"/>
        </w:rPr>
        <w:t>对符合事前绩效评估或</w:t>
      </w:r>
      <w:r>
        <w:rPr>
          <w:spacing w:val="21"/>
        </w:rPr>
        <w:t>预算评审条件的</w:t>
      </w:r>
      <w:r>
        <w:t xml:space="preserve"> </w:t>
      </w:r>
      <w:r>
        <w:rPr>
          <w:spacing w:val="9"/>
        </w:rPr>
        <w:t>项目开展评估（评审</w:t>
      </w:r>
      <w:r>
        <w:rPr>
          <w:spacing w:val="7"/>
        </w:rPr>
        <w:t>），</w:t>
      </w:r>
      <w:r>
        <w:rPr>
          <w:spacing w:val="9"/>
        </w:rPr>
        <w:t>评估（评审）结果作为申请预算的必备</w:t>
      </w:r>
      <w:r>
        <w:rPr>
          <w:spacing w:val="1"/>
        </w:rPr>
        <w:t xml:space="preserve"> </w:t>
      </w:r>
      <w:r>
        <w:rPr>
          <w:spacing w:val="13"/>
        </w:rPr>
        <w:t>要件，切实强化预算源头管控。充分借助各类专家群策群力</w:t>
      </w:r>
      <w:r>
        <w:rPr>
          <w:spacing w:val="12"/>
        </w:rPr>
        <w:t>，不</w:t>
      </w:r>
      <w:r>
        <w:t xml:space="preserve"> </w:t>
      </w:r>
      <w:r>
        <w:rPr>
          <w:spacing w:val="15"/>
        </w:rPr>
        <w:t>断提升评估工作的质量与深度。2023年，完成事前绩效评估项</w:t>
      </w:r>
    </w:p>
    <w:p w14:paraId="0547605B">
      <w:pPr>
        <w:spacing w:line="311" w:lineRule="auto"/>
        <w:sectPr>
          <w:pgSz w:w="11910" w:h="16830"/>
          <w:pgMar w:top="1387" w:right="1469" w:bottom="0" w:left="1676" w:header="0" w:footer="0" w:gutter="0"/>
          <w:cols w:space="720" w:num="1"/>
        </w:sectPr>
      </w:pPr>
    </w:p>
    <w:p w14:paraId="387D87E4">
      <w:pPr>
        <w:pStyle w:val="2"/>
        <w:spacing w:before="61" w:line="343" w:lineRule="auto"/>
        <w:ind w:left="16" w:right="71" w:firstLine="53"/>
      </w:pPr>
      <w:r>
        <w:rPr>
          <w:spacing w:val="12"/>
        </w:rPr>
        <w:t>目70个，涉及资金8734.8万元，维持预算规模项</w:t>
      </w:r>
      <w:r>
        <w:rPr>
          <w:spacing w:val="-58"/>
        </w:rPr>
        <w:t xml:space="preserve"> </w:t>
      </w:r>
      <w:r>
        <w:rPr>
          <w:spacing w:val="12"/>
        </w:rPr>
        <w:t>目70个，</w:t>
      </w:r>
      <w:r>
        <w:rPr>
          <w:spacing w:val="-81"/>
        </w:rPr>
        <w:t xml:space="preserve"> </w:t>
      </w:r>
      <w:r>
        <w:rPr>
          <w:spacing w:val="12"/>
        </w:rPr>
        <w:t>审减</w:t>
      </w:r>
      <w:r>
        <w:t xml:space="preserve"> </w:t>
      </w:r>
      <w:r>
        <w:rPr>
          <w:spacing w:val="6"/>
        </w:rPr>
        <w:t>金额3088.97万元。</w:t>
      </w:r>
    </w:p>
    <w:p w14:paraId="5B73ECAD">
      <w:pPr>
        <w:pStyle w:val="2"/>
        <w:spacing w:before="168" w:line="355" w:lineRule="auto"/>
        <w:ind w:right="4" w:firstLine="799"/>
      </w:pPr>
      <w:r>
        <w:rPr>
          <w:color w:val="333333"/>
          <w:spacing w:val="11"/>
        </w:rPr>
        <w:t>二是绩效目标编制。为</w:t>
      </w:r>
      <w:r>
        <w:rPr>
          <w:spacing w:val="11"/>
        </w:rPr>
        <w:t>提高绩效目标编制审核质量，充分</w:t>
      </w:r>
      <w:r>
        <w:t xml:space="preserve">  </w:t>
      </w:r>
      <w:r>
        <w:rPr>
          <w:spacing w:val="10"/>
        </w:rPr>
        <w:t>发挥绩效目标全程引领作用，对全县绩效目标编制范围、编制内</w:t>
      </w:r>
      <w:r>
        <w:rPr>
          <w:spacing w:val="16"/>
        </w:rPr>
        <w:t xml:space="preserve"> </w:t>
      </w:r>
      <w:r>
        <w:rPr>
          <w:spacing w:val="13"/>
        </w:rPr>
        <w:t>容及审核要求做了详细安排部署，财政局绩效管理股组织开展绩</w:t>
      </w:r>
      <w:r>
        <w:t xml:space="preserve"> </w:t>
      </w:r>
      <w:r>
        <w:rPr>
          <w:spacing w:val="13"/>
        </w:rPr>
        <w:t>效目标重点审核，就绩效目标的内容相关性、指标科学性、规范</w:t>
      </w:r>
      <w:r>
        <w:rPr>
          <w:spacing w:val="11"/>
        </w:rPr>
        <w:t xml:space="preserve"> 完整性、绩效合理性和预算</w:t>
      </w:r>
      <w:r>
        <w:rPr>
          <w:spacing w:val="87"/>
        </w:rPr>
        <w:t xml:space="preserve"> </w:t>
      </w:r>
      <w:r>
        <w:rPr>
          <w:spacing w:val="11"/>
        </w:rPr>
        <w:t>匹配性等方面进行审核评分，审核</w:t>
      </w:r>
      <w:r>
        <w:t xml:space="preserve">  </w:t>
      </w:r>
      <w:r>
        <w:rPr>
          <w:spacing w:val="7"/>
        </w:rPr>
        <w:t>结果纳入年度预算绩效管理相关考核予以应用。</w:t>
      </w:r>
      <w:r>
        <w:rPr>
          <w:spacing w:val="-69"/>
        </w:rPr>
        <w:t xml:space="preserve"> </w:t>
      </w:r>
      <w:r>
        <w:rPr>
          <w:spacing w:val="7"/>
        </w:rPr>
        <w:t>同时，建立协同</w:t>
      </w:r>
      <w:r>
        <w:t xml:space="preserve"> </w:t>
      </w:r>
      <w:r>
        <w:rPr>
          <w:spacing w:val="11"/>
        </w:rPr>
        <w:t>机制，按照</w:t>
      </w:r>
      <w:r>
        <w:rPr>
          <w:b/>
          <w:bCs/>
          <w:spacing w:val="11"/>
        </w:rPr>
        <w:t>基层预算单位申报、主管预算单位初审——财政支出</w:t>
      </w:r>
      <w:r>
        <w:rPr>
          <w:spacing w:val="2"/>
        </w:rPr>
        <w:t xml:space="preserve"> </w:t>
      </w:r>
      <w:r>
        <w:rPr>
          <w:b/>
          <w:bCs/>
          <w:spacing w:val="10"/>
        </w:rPr>
        <w:t>股室、</w:t>
      </w:r>
      <w:r>
        <w:rPr>
          <w:spacing w:val="51"/>
        </w:rPr>
        <w:t xml:space="preserve"> </w:t>
      </w:r>
      <w:r>
        <w:rPr>
          <w:b/>
          <w:bCs/>
          <w:spacing w:val="10"/>
        </w:rPr>
        <w:t>预算股和绩效管理股室联合复审、党组办公会汇</w:t>
      </w:r>
      <w:r>
        <w:rPr>
          <w:b/>
          <w:bCs/>
          <w:spacing w:val="9"/>
        </w:rPr>
        <w:t>总审核</w:t>
      </w:r>
      <w:r>
        <w:t xml:space="preserve">  </w:t>
      </w:r>
      <w:r>
        <w:rPr>
          <w:b/>
          <w:bCs/>
          <w:spacing w:val="12"/>
        </w:rPr>
        <w:t>——专家组成员和人大预算工委集中会审</w:t>
      </w:r>
      <w:r>
        <w:rPr>
          <w:spacing w:val="12"/>
        </w:rPr>
        <w:t>的程序进行全方面审</w:t>
      </w:r>
    </w:p>
    <w:p w14:paraId="1CC66D45">
      <w:pPr>
        <w:pStyle w:val="2"/>
        <w:spacing w:before="49" w:line="349" w:lineRule="auto"/>
        <w:ind w:left="11" w:hanging="9"/>
      </w:pPr>
      <w:r>
        <w:rPr>
          <w:spacing w:val="5"/>
        </w:rPr>
        <w:t>查和监督，使绩效目标与预算资金</w:t>
      </w:r>
      <w:r>
        <w:rPr>
          <w:spacing w:val="-89"/>
        </w:rPr>
        <w:t xml:space="preserve"> </w:t>
      </w:r>
      <w:r>
        <w:rPr>
          <w:spacing w:val="5"/>
        </w:rPr>
        <w:t>“</w:t>
      </w:r>
      <w:r>
        <w:rPr>
          <w:spacing w:val="-102"/>
        </w:rPr>
        <w:t xml:space="preserve"> </w:t>
      </w:r>
      <w:r>
        <w:rPr>
          <w:spacing w:val="5"/>
        </w:rPr>
        <w:t>同步申报、</w:t>
      </w:r>
      <w:r>
        <w:rPr>
          <w:spacing w:val="-88"/>
        </w:rPr>
        <w:t xml:space="preserve"> </w:t>
      </w:r>
      <w:r>
        <w:rPr>
          <w:spacing w:val="5"/>
        </w:rPr>
        <w:t>同步审核、</w:t>
      </w:r>
      <w:r>
        <w:rPr>
          <w:spacing w:val="-88"/>
        </w:rPr>
        <w:t xml:space="preserve"> </w:t>
      </w:r>
      <w:r>
        <w:rPr>
          <w:spacing w:val="5"/>
        </w:rPr>
        <w:t>同步</w:t>
      </w:r>
      <w:r>
        <w:t xml:space="preserve"> </w:t>
      </w:r>
      <w:r>
        <w:rPr>
          <w:spacing w:val="12"/>
        </w:rPr>
        <w:t>批复”。2023年，编制一级预算单位整体绩效目标77个，编制项</w:t>
      </w:r>
      <w:r>
        <w:rPr>
          <w:spacing w:val="4"/>
        </w:rPr>
        <w:t xml:space="preserve"> </w:t>
      </w:r>
      <w:r>
        <w:rPr>
          <w:spacing w:val="11"/>
        </w:rPr>
        <w:t>目绩效目标1407个，涉及资金4.5亿元；集中会审项目472个，</w:t>
      </w:r>
    </w:p>
    <w:p w14:paraId="490A9EC3">
      <w:pPr>
        <w:pStyle w:val="2"/>
        <w:spacing w:before="50" w:line="223" w:lineRule="auto"/>
        <w:ind w:left="22"/>
      </w:pPr>
      <w:r>
        <w:rPr>
          <w:spacing w:val="10"/>
        </w:rPr>
        <w:t>涉及资金1.5亿元，审减金额0.38亿</w:t>
      </w:r>
      <w:r>
        <w:rPr>
          <w:spacing w:val="9"/>
        </w:rPr>
        <w:t>元。</w:t>
      </w:r>
    </w:p>
    <w:p w14:paraId="799BE2E5">
      <w:pPr>
        <w:spacing w:line="241" w:lineRule="auto"/>
        <w:rPr>
          <w:rFonts w:ascii="Arial"/>
          <w:sz w:val="21"/>
        </w:rPr>
      </w:pPr>
    </w:p>
    <w:p w14:paraId="166B59ED">
      <w:pPr>
        <w:pStyle w:val="2"/>
        <w:spacing w:before="97" w:line="343" w:lineRule="auto"/>
        <w:ind w:left="22" w:right="172" w:firstLine="791"/>
      </w:pPr>
      <w:r>
        <w:rPr>
          <w:spacing w:val="12"/>
        </w:rPr>
        <w:t>同时聘请专家对各部门（单位）进行了《绩效目标预算编</w:t>
      </w:r>
      <w:r>
        <w:rPr>
          <w:spacing w:val="1"/>
        </w:rPr>
        <w:t xml:space="preserve"> </w:t>
      </w:r>
      <w:r>
        <w:rPr>
          <w:spacing w:val="11"/>
        </w:rPr>
        <w:t>审与一体化系统操作》的业务培训，培训人次150人。</w:t>
      </w:r>
    </w:p>
    <w:p w14:paraId="77B7D265">
      <w:pPr>
        <w:pStyle w:val="2"/>
        <w:spacing w:before="172" w:line="223" w:lineRule="auto"/>
        <w:ind w:left="535"/>
      </w:pPr>
      <w:r>
        <w:rPr>
          <w:color w:val="333333"/>
          <w:spacing w:val="6"/>
        </w:rPr>
        <w:t>2、事中绩效监控管理</w:t>
      </w:r>
    </w:p>
    <w:p w14:paraId="619112B2">
      <w:pPr>
        <w:pStyle w:val="2"/>
        <w:spacing w:before="338" w:line="351" w:lineRule="auto"/>
        <w:ind w:left="6" w:right="146" w:firstLine="818"/>
        <w:jc w:val="both"/>
      </w:pPr>
      <w:r>
        <w:rPr>
          <w:spacing w:val="7"/>
        </w:rPr>
        <w:t>以绩效目标执行情况为重点，采用目标管理法</w:t>
      </w:r>
      <w:r>
        <w:rPr>
          <w:spacing w:val="6"/>
        </w:rPr>
        <w:t>，用定量和</w:t>
      </w:r>
      <w:r>
        <w:t xml:space="preserve">  </w:t>
      </w:r>
      <w:r>
        <w:rPr>
          <w:spacing w:val="8"/>
        </w:rPr>
        <w:t>定性分析相结合的方式，将实现情况与预期目标相比较，从而对</w:t>
      </w:r>
      <w:r>
        <w:rPr>
          <w:spacing w:val="11"/>
        </w:rPr>
        <w:t xml:space="preserve"> </w:t>
      </w:r>
      <w:r>
        <w:rPr>
          <w:spacing w:val="8"/>
        </w:rPr>
        <w:t>目标完成、预算执行、资金管理等情况进行分析评判；采取部门</w:t>
      </w:r>
      <w:r>
        <w:rPr>
          <w:spacing w:val="11"/>
        </w:rPr>
        <w:t xml:space="preserve"> </w:t>
      </w:r>
      <w:r>
        <w:rPr>
          <w:spacing w:val="6"/>
        </w:rPr>
        <w:t>日常监控和财政重点监控</w:t>
      </w:r>
      <w:r>
        <w:rPr>
          <w:spacing w:val="-83"/>
        </w:rPr>
        <w:t xml:space="preserve"> </w:t>
      </w:r>
      <w:r>
        <w:rPr>
          <w:spacing w:val="6"/>
        </w:rPr>
        <w:t>“双监控”结合的方式，及时发现资金</w:t>
      </w:r>
    </w:p>
    <w:p w14:paraId="64B1B997">
      <w:pPr>
        <w:spacing w:line="351" w:lineRule="auto"/>
        <w:sectPr>
          <w:pgSz w:w="11910" w:h="16830"/>
          <w:pgMar w:top="1414" w:right="1431" w:bottom="0" w:left="1689" w:header="0" w:footer="0" w:gutter="0"/>
          <w:cols w:space="720" w:num="1"/>
        </w:sectPr>
      </w:pPr>
    </w:p>
    <w:p w14:paraId="10C65A42">
      <w:pPr>
        <w:pStyle w:val="2"/>
        <w:spacing w:before="58" w:line="353" w:lineRule="auto"/>
        <w:ind w:right="2"/>
      </w:pPr>
      <w:r>
        <w:rPr>
          <w:spacing w:val="8"/>
        </w:rPr>
        <w:t>使用过程中的绩效偏差，对发现的问题跟踪整改，确保财政资金</w:t>
      </w:r>
      <w:r>
        <w:rPr>
          <w:spacing w:val="9"/>
        </w:rPr>
        <w:t xml:space="preserve">  </w:t>
      </w:r>
      <w:r>
        <w:rPr>
          <w:spacing w:val="8"/>
        </w:rPr>
        <w:t>及时发挥效益。2023年，对77个一级预算</w:t>
      </w:r>
      <w:r>
        <w:rPr>
          <w:spacing w:val="7"/>
        </w:rPr>
        <w:t>单位进行了常态化监控</w:t>
      </w:r>
      <w:r>
        <w:t xml:space="preserve">  </w:t>
      </w:r>
      <w:r>
        <w:rPr>
          <w:spacing w:val="5"/>
        </w:rPr>
        <w:t>,</w:t>
      </w:r>
      <w:r>
        <w:rPr>
          <w:spacing w:val="102"/>
        </w:rPr>
        <w:t xml:space="preserve"> </w:t>
      </w:r>
      <w:r>
        <w:rPr>
          <w:spacing w:val="5"/>
        </w:rPr>
        <w:t>并结合党政机关过紧日子、严肃财经纪律加强财务管理等精神</w:t>
      </w:r>
      <w:r>
        <w:t xml:space="preserve">  </w:t>
      </w:r>
      <w:r>
        <w:rPr>
          <w:spacing w:val="5"/>
        </w:rPr>
        <w:t>要求，对</w:t>
      </w:r>
      <w:r>
        <w:rPr>
          <w:spacing w:val="-91"/>
        </w:rPr>
        <w:t xml:space="preserve"> </w:t>
      </w:r>
      <w:r>
        <w:rPr>
          <w:spacing w:val="5"/>
        </w:rPr>
        <w:t>“</w:t>
      </w:r>
      <w:r>
        <w:rPr>
          <w:spacing w:val="-115"/>
        </w:rPr>
        <w:t xml:space="preserve"> </w:t>
      </w:r>
      <w:r>
        <w:rPr>
          <w:spacing w:val="5"/>
        </w:rPr>
        <w:t>三公”经费 使用情况等进行重点监控，涉及32个预算</w:t>
      </w:r>
      <w:r>
        <w:t xml:space="preserve"> </w:t>
      </w:r>
      <w:r>
        <w:rPr>
          <w:spacing w:val="6"/>
        </w:rPr>
        <w:t>单位资金1420万元，共压减(收回)120万元。</w:t>
      </w:r>
    </w:p>
    <w:p w14:paraId="18D7403D">
      <w:pPr>
        <w:pStyle w:val="2"/>
        <w:spacing w:before="171" w:line="223" w:lineRule="auto"/>
        <w:ind w:left="548"/>
      </w:pPr>
      <w:r>
        <w:rPr>
          <w:color w:val="333333"/>
          <w:spacing w:val="5"/>
        </w:rPr>
        <w:t>3、事后绩效评价管理</w:t>
      </w:r>
    </w:p>
    <w:p w14:paraId="62354D20">
      <w:pPr>
        <w:spacing w:line="387" w:lineRule="auto"/>
        <w:rPr>
          <w:rFonts w:ascii="Arial"/>
          <w:sz w:val="21"/>
        </w:rPr>
      </w:pPr>
    </w:p>
    <w:p w14:paraId="483D1897">
      <w:pPr>
        <w:pStyle w:val="2"/>
        <w:spacing w:before="97" w:line="345" w:lineRule="auto"/>
        <w:ind w:left="3" w:right="153" w:firstLine="614"/>
      </w:pPr>
      <w:r>
        <w:rPr>
          <w:spacing w:val="5"/>
        </w:rPr>
        <w:t>建立</w:t>
      </w:r>
      <w:r>
        <w:rPr>
          <w:spacing w:val="-90"/>
        </w:rPr>
        <w:t xml:space="preserve"> </w:t>
      </w:r>
      <w:r>
        <w:rPr>
          <w:spacing w:val="5"/>
        </w:rPr>
        <w:t>“</w:t>
      </w:r>
      <w:r>
        <w:rPr>
          <w:spacing w:val="-116"/>
        </w:rPr>
        <w:t xml:space="preserve"> </w:t>
      </w:r>
      <w:r>
        <w:rPr>
          <w:spacing w:val="5"/>
        </w:rPr>
        <w:t>三级评价”机制【基层预算单位、主管预算单位全覆</w:t>
      </w:r>
      <w:r>
        <w:t xml:space="preserve"> </w:t>
      </w:r>
      <w:r>
        <w:rPr>
          <w:spacing w:val="8"/>
        </w:rPr>
        <w:t>盖自评，财政部门重点评价和第三方机构独立评价】,对部门(乡</w:t>
      </w:r>
      <w:r>
        <w:rPr>
          <w:spacing w:val="7"/>
        </w:rPr>
        <w:t xml:space="preserve"> </w:t>
      </w:r>
      <w:r>
        <w:rPr>
          <w:spacing w:val="8"/>
        </w:rPr>
        <w:t>镇)整体支出、部门预算项目、专项预算项目等开展重点绩效评</w:t>
      </w:r>
    </w:p>
    <w:p w14:paraId="6B554694">
      <w:pPr>
        <w:pStyle w:val="2"/>
        <w:spacing w:before="55" w:line="351" w:lineRule="auto"/>
        <w:ind w:left="4" w:hanging="1"/>
      </w:pPr>
      <w:r>
        <w:rPr>
          <w:spacing w:val="7"/>
        </w:rPr>
        <w:t>价，不断拓展评价深度，提高评价结果的客观性。2023</w:t>
      </w:r>
      <w:r>
        <w:rPr>
          <w:spacing w:val="-47"/>
        </w:rPr>
        <w:t xml:space="preserve"> </w:t>
      </w:r>
      <w:r>
        <w:rPr>
          <w:spacing w:val="7"/>
        </w:rPr>
        <w:t>年，县财</w:t>
      </w:r>
      <w:r>
        <w:t xml:space="preserve"> </w:t>
      </w:r>
      <w:r>
        <w:rPr>
          <w:spacing w:val="8"/>
        </w:rPr>
        <w:t>政局除要求各部门（单位）全覆盖自评外，还组织了三方机构筛</w:t>
      </w:r>
      <w:r>
        <w:rPr>
          <w:spacing w:val="7"/>
        </w:rPr>
        <w:t xml:space="preserve">  </w:t>
      </w:r>
      <w:r>
        <w:rPr>
          <w:spacing w:val="3"/>
        </w:rPr>
        <w:t>选了部门预算项目</w:t>
      </w:r>
      <w:r>
        <w:rPr>
          <w:spacing w:val="-24"/>
        </w:rPr>
        <w:t xml:space="preserve"> </w:t>
      </w:r>
      <w:r>
        <w:rPr>
          <w:spacing w:val="3"/>
        </w:rPr>
        <w:t>3</w:t>
      </w:r>
      <w:r>
        <w:rPr>
          <w:spacing w:val="-60"/>
        </w:rPr>
        <w:t xml:space="preserve"> </w:t>
      </w:r>
      <w:r>
        <w:rPr>
          <w:spacing w:val="3"/>
        </w:rPr>
        <w:t>个、专项预算项目</w:t>
      </w:r>
      <w:r>
        <w:rPr>
          <w:spacing w:val="-44"/>
        </w:rPr>
        <w:t xml:space="preserve"> </w:t>
      </w:r>
      <w:r>
        <w:rPr>
          <w:spacing w:val="3"/>
        </w:rPr>
        <w:t>12</w:t>
      </w:r>
      <w:r>
        <w:rPr>
          <w:spacing w:val="-60"/>
        </w:rPr>
        <w:t xml:space="preserve"> </w:t>
      </w:r>
      <w:r>
        <w:rPr>
          <w:spacing w:val="3"/>
        </w:rPr>
        <w:t>个、部门整体支出</w:t>
      </w:r>
      <w:r>
        <w:rPr>
          <w:spacing w:val="-42"/>
        </w:rPr>
        <w:t xml:space="preserve"> </w:t>
      </w:r>
      <w:r>
        <w:rPr>
          <w:spacing w:val="3"/>
        </w:rPr>
        <w:t>15</w:t>
      </w:r>
      <w:r>
        <w:t xml:space="preserve">  </w:t>
      </w:r>
      <w:r>
        <w:rPr>
          <w:spacing w:val="6"/>
        </w:rPr>
        <w:t>个进行绩效评价。评价资金量共</w:t>
      </w:r>
      <w:r>
        <w:rPr>
          <w:spacing w:val="-41"/>
        </w:rPr>
        <w:t xml:space="preserve"> </w:t>
      </w:r>
      <w:r>
        <w:rPr>
          <w:spacing w:val="6"/>
        </w:rPr>
        <w:t>18.23</w:t>
      </w:r>
      <w:r>
        <w:rPr>
          <w:spacing w:val="-56"/>
        </w:rPr>
        <w:t xml:space="preserve"> </w:t>
      </w:r>
      <w:r>
        <w:rPr>
          <w:spacing w:val="6"/>
        </w:rPr>
        <w:t>亿元。其中，部门整体支</w:t>
      </w:r>
      <w:r>
        <w:t xml:space="preserve">  </w:t>
      </w:r>
      <w:r>
        <w:rPr>
          <w:spacing w:val="3"/>
        </w:rPr>
        <w:t>出</w:t>
      </w:r>
      <w:r>
        <w:rPr>
          <w:spacing w:val="-26"/>
        </w:rPr>
        <w:t xml:space="preserve"> </w:t>
      </w:r>
      <w:r>
        <w:rPr>
          <w:spacing w:val="3"/>
        </w:rPr>
        <w:t>15.26</w:t>
      </w:r>
      <w:r>
        <w:rPr>
          <w:spacing w:val="-55"/>
        </w:rPr>
        <w:t xml:space="preserve"> </w:t>
      </w:r>
      <w:r>
        <w:rPr>
          <w:spacing w:val="3"/>
        </w:rPr>
        <w:t>亿元，部门预算项目资金预算</w:t>
      </w:r>
      <w:r>
        <w:rPr>
          <w:spacing w:val="-37"/>
        </w:rPr>
        <w:t xml:space="preserve"> </w:t>
      </w:r>
      <w:r>
        <w:rPr>
          <w:spacing w:val="3"/>
        </w:rPr>
        <w:t>335.8</w:t>
      </w:r>
      <w:r>
        <w:rPr>
          <w:spacing w:val="-48"/>
        </w:rPr>
        <w:t xml:space="preserve"> </w:t>
      </w:r>
      <w:r>
        <w:rPr>
          <w:spacing w:val="3"/>
        </w:rPr>
        <w:t>万元，专项预算项</w:t>
      </w:r>
      <w:r>
        <w:t xml:space="preserve">  </w:t>
      </w:r>
      <w:r>
        <w:rPr>
          <w:spacing w:val="6"/>
        </w:rPr>
        <w:t>目资金预算</w:t>
      </w:r>
      <w:r>
        <w:rPr>
          <w:spacing w:val="-35"/>
        </w:rPr>
        <w:t xml:space="preserve"> </w:t>
      </w:r>
      <w:r>
        <w:rPr>
          <w:spacing w:val="6"/>
        </w:rPr>
        <w:t>2.94</w:t>
      </w:r>
      <w:r>
        <w:rPr>
          <w:spacing w:val="-54"/>
        </w:rPr>
        <w:t xml:space="preserve"> </w:t>
      </w:r>
      <w:r>
        <w:rPr>
          <w:spacing w:val="6"/>
        </w:rPr>
        <w:t>亿元。评价范围覆盖扶贫救困、交通住建水利基</w:t>
      </w:r>
      <w:r>
        <w:t xml:space="preserve"> </w:t>
      </w:r>
      <w:r>
        <w:rPr>
          <w:spacing w:val="8"/>
        </w:rPr>
        <w:t>础设施、产业发展、文化惠民等重点支出和民生领域。</w:t>
      </w:r>
    </w:p>
    <w:p w14:paraId="56F0E753">
      <w:pPr>
        <w:pStyle w:val="2"/>
        <w:spacing w:before="22" w:line="343" w:lineRule="auto"/>
        <w:ind w:left="30" w:right="160" w:firstLine="784"/>
      </w:pPr>
      <w:r>
        <w:rPr>
          <w:spacing w:val="10"/>
        </w:rPr>
        <w:t>同时聘请专家对各部门（单位）进行了《</w:t>
      </w:r>
      <w:r>
        <w:rPr>
          <w:color w:val="333333"/>
          <w:spacing w:val="10"/>
          <w:sz w:val="31"/>
          <w:szCs w:val="31"/>
        </w:rPr>
        <w:t>预算绩效管理</w:t>
      </w:r>
      <w:r>
        <w:rPr>
          <w:spacing w:val="10"/>
        </w:rPr>
        <w:t xml:space="preserve">》 </w:t>
      </w:r>
      <w:r>
        <w:rPr>
          <w:spacing w:val="9"/>
        </w:rPr>
        <w:t>的业务培训，培训人次150人。</w:t>
      </w:r>
    </w:p>
    <w:p w14:paraId="190F2C36">
      <w:pPr>
        <w:pStyle w:val="2"/>
        <w:spacing w:before="168" w:line="223" w:lineRule="auto"/>
        <w:ind w:left="535"/>
      </w:pPr>
      <w:r>
        <w:rPr>
          <w:color w:val="333333"/>
          <w:spacing w:val="6"/>
        </w:rPr>
        <w:t>4、绩效评价结果运用</w:t>
      </w:r>
    </w:p>
    <w:p w14:paraId="77F28182">
      <w:pPr>
        <w:rPr>
          <w:rFonts w:ascii="Arial"/>
          <w:sz w:val="21"/>
        </w:rPr>
      </w:pPr>
    </w:p>
    <w:p w14:paraId="325F606E">
      <w:pPr>
        <w:pStyle w:val="2"/>
        <w:spacing w:before="98" w:line="347" w:lineRule="auto"/>
        <w:ind w:left="7" w:right="203" w:firstLine="776"/>
        <w:jc w:val="both"/>
      </w:pPr>
      <w:r>
        <w:rPr>
          <w:spacing w:val="12"/>
        </w:rPr>
        <w:t>加强问题整改，逗硬结果应用，持续将预算绩效管理工作</w:t>
      </w:r>
      <w:r>
        <w:rPr>
          <w:spacing w:val="8"/>
        </w:rPr>
        <w:t xml:space="preserve"> </w:t>
      </w:r>
      <w:r>
        <w:rPr>
          <w:spacing w:val="15"/>
        </w:rPr>
        <w:t>作为全县政务目标考核的重要内容之一。建立挂钩机</w:t>
      </w:r>
      <w:r>
        <w:rPr>
          <w:spacing w:val="14"/>
        </w:rPr>
        <w:t>制，持续</w:t>
      </w:r>
      <w:r>
        <w:t xml:space="preserve"> </w:t>
      </w:r>
      <w:r>
        <w:rPr>
          <w:spacing w:val="17"/>
        </w:rPr>
        <w:t>将绩效评价结果与预算安排和政策调整挂钩，将部门整体绩效</w:t>
      </w:r>
    </w:p>
    <w:p w14:paraId="252C4217">
      <w:pPr>
        <w:spacing w:line="347" w:lineRule="auto"/>
        <w:sectPr>
          <w:pgSz w:w="11910" w:h="16830"/>
          <w:pgMar w:top="1414" w:right="1424" w:bottom="0" w:left="1688" w:header="0" w:footer="0" w:gutter="0"/>
          <w:cols w:space="720" w:num="1"/>
        </w:sectPr>
      </w:pPr>
    </w:p>
    <w:p w14:paraId="3E3043DC">
      <w:pPr>
        <w:pStyle w:val="2"/>
        <w:spacing w:before="60" w:line="223" w:lineRule="auto"/>
        <w:ind w:left="19"/>
      </w:pPr>
      <w:r>
        <w:rPr>
          <w:spacing w:val="9"/>
        </w:rPr>
        <w:t>与部门预算安排挂钩，将项目实施绩效与项目预算增减挂</w:t>
      </w:r>
      <w:r>
        <w:rPr>
          <w:spacing w:val="8"/>
        </w:rPr>
        <w:t>钩。</w:t>
      </w:r>
    </w:p>
    <w:p w14:paraId="6F1041F6">
      <w:pPr>
        <w:pStyle w:val="2"/>
        <w:spacing w:before="216" w:line="351" w:lineRule="auto"/>
        <w:ind w:left="6" w:right="227" w:hanging="6"/>
      </w:pPr>
      <w:r>
        <w:rPr>
          <w:spacing w:val="10"/>
        </w:rPr>
        <w:t>建立报告公开机制，将重要绩效目标、绩效评</w:t>
      </w:r>
      <w:r>
        <w:rPr>
          <w:spacing w:val="9"/>
        </w:rPr>
        <w:t>价结果专题报告</w:t>
      </w:r>
      <w:r>
        <w:t xml:space="preserve">  </w:t>
      </w:r>
      <w:r>
        <w:rPr>
          <w:spacing w:val="12"/>
        </w:rPr>
        <w:t>县委、县人大、县政府，</w:t>
      </w:r>
      <w:r>
        <w:rPr>
          <w:spacing w:val="-78"/>
        </w:rPr>
        <w:t xml:space="preserve"> </w:t>
      </w:r>
      <w:r>
        <w:rPr>
          <w:spacing w:val="12"/>
        </w:rPr>
        <w:t>同步向社会主动公开。2023年，清理</w:t>
      </w:r>
      <w:r>
        <w:t xml:space="preserve"> </w:t>
      </w:r>
      <w:r>
        <w:rPr>
          <w:spacing w:val="21"/>
        </w:rPr>
        <w:t>收回闲置沉淀、低效无效资金1300万元；调减支出预算项目</w:t>
      </w:r>
      <w:r>
        <w:rPr>
          <w:spacing w:val="17"/>
        </w:rPr>
        <w:t xml:space="preserve"> </w:t>
      </w:r>
      <w:r>
        <w:rPr>
          <w:spacing w:val="15"/>
        </w:rPr>
        <w:t>2个，</w:t>
      </w:r>
      <w:r>
        <w:rPr>
          <w:spacing w:val="-79"/>
        </w:rPr>
        <w:t xml:space="preserve"> </w:t>
      </w:r>
      <w:r>
        <w:rPr>
          <w:spacing w:val="15"/>
        </w:rPr>
        <w:t>涉及资金554.42万元。</w:t>
      </w:r>
    </w:p>
    <w:p w14:paraId="551AE909">
      <w:pPr>
        <w:spacing w:before="140" w:line="228" w:lineRule="auto"/>
        <w:ind w:left="650"/>
        <w:outlineLvl w:val="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8"/>
          <w:sz w:val="30"/>
          <w:szCs w:val="30"/>
        </w:rPr>
        <w:t>二、存在的问题</w:t>
      </w:r>
    </w:p>
    <w:p w14:paraId="1195C48F">
      <w:pPr>
        <w:spacing w:before="147" w:line="229" w:lineRule="auto"/>
        <w:ind w:left="725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13"/>
          <w:sz w:val="30"/>
          <w:szCs w:val="30"/>
        </w:rPr>
        <w:t>(一)</w:t>
      </w:r>
      <w:r>
        <w:rPr>
          <w:rFonts w:ascii="楷体" w:hAnsi="楷体" w:eastAsia="楷体" w:cs="楷体"/>
          <w:spacing w:val="63"/>
          <w:sz w:val="30"/>
          <w:szCs w:val="30"/>
        </w:rPr>
        <w:t xml:space="preserve"> </w:t>
      </w:r>
      <w:r>
        <w:rPr>
          <w:rFonts w:ascii="楷体" w:hAnsi="楷体" w:eastAsia="楷体" w:cs="楷体"/>
          <w:spacing w:val="13"/>
          <w:sz w:val="30"/>
          <w:szCs w:val="30"/>
        </w:rPr>
        <w:t>预算绩效管理理念尚未全面树立。</w:t>
      </w:r>
    </w:p>
    <w:p w14:paraId="3FA89F03">
      <w:pPr>
        <w:rPr>
          <w:rFonts w:ascii="Arial"/>
          <w:sz w:val="21"/>
        </w:rPr>
      </w:pPr>
    </w:p>
    <w:p w14:paraId="17DB492D">
      <w:pPr>
        <w:pStyle w:val="2"/>
        <w:spacing w:before="97" w:line="221" w:lineRule="auto"/>
        <w:jc w:val="right"/>
      </w:pPr>
      <w:r>
        <w:rPr>
          <w:spacing w:val="15"/>
        </w:rPr>
        <w:t>一些部门、单位对绩效管理中</w:t>
      </w:r>
      <w:r>
        <w:rPr>
          <w:spacing w:val="-82"/>
        </w:rPr>
        <w:t xml:space="preserve"> </w:t>
      </w:r>
      <w:r>
        <w:rPr>
          <w:spacing w:val="15"/>
        </w:rPr>
        <w:t>“效”</w:t>
      </w:r>
      <w:r>
        <w:rPr>
          <w:spacing w:val="-112"/>
        </w:rPr>
        <w:t xml:space="preserve"> </w:t>
      </w:r>
      <w:r>
        <w:rPr>
          <w:spacing w:val="15"/>
        </w:rPr>
        <w:t>的理解不深刻，工作</w:t>
      </w:r>
    </w:p>
    <w:p w14:paraId="66FBB83D">
      <w:pPr>
        <w:pStyle w:val="2"/>
        <w:spacing w:before="256" w:line="302" w:lineRule="auto"/>
        <w:ind w:left="6" w:right="110" w:firstLine="1"/>
        <w:jc w:val="both"/>
      </w:pPr>
      <w:r>
        <w:rPr>
          <w:spacing w:val="20"/>
        </w:rPr>
        <w:t>缺乏主动性，思想还停留在是否按计划完成任务上，</w:t>
      </w:r>
      <w:r>
        <w:rPr>
          <w:spacing w:val="19"/>
        </w:rPr>
        <w:t>认为只要</w:t>
      </w:r>
      <w:r>
        <w:t xml:space="preserve"> </w:t>
      </w:r>
      <w:r>
        <w:rPr>
          <w:spacing w:val="20"/>
        </w:rPr>
        <w:t>财政资金使用合法合规就行，还没有将工作重点放在实</w:t>
      </w:r>
      <w:r>
        <w:rPr>
          <w:spacing w:val="19"/>
        </w:rPr>
        <w:t>现项目</w:t>
      </w:r>
      <w:r>
        <w:t xml:space="preserve"> </w:t>
      </w:r>
      <w:r>
        <w:rPr>
          <w:spacing w:val="20"/>
        </w:rPr>
        <w:t>效益最大化上，甚至有的部门、单位认为目前实施预算</w:t>
      </w:r>
      <w:r>
        <w:rPr>
          <w:spacing w:val="19"/>
        </w:rPr>
        <w:t>绩效管</w:t>
      </w:r>
      <w:r>
        <w:t xml:space="preserve"> </w:t>
      </w:r>
      <w:r>
        <w:rPr>
          <w:spacing w:val="20"/>
        </w:rPr>
        <w:t>理和评价的物质基础不具备，技术也不成熟，有畏难情</w:t>
      </w:r>
      <w:r>
        <w:rPr>
          <w:spacing w:val="19"/>
        </w:rPr>
        <w:t>绪，对</w:t>
      </w:r>
      <w:r>
        <w:t xml:space="preserve"> </w:t>
      </w:r>
      <w:r>
        <w:rPr>
          <w:spacing w:val="17"/>
        </w:rPr>
        <w:t>预算绩效管理工作拖延或被动应付。</w:t>
      </w:r>
    </w:p>
    <w:p w14:paraId="02964A9F">
      <w:pPr>
        <w:spacing w:before="82" w:line="229" w:lineRule="auto"/>
        <w:ind w:left="725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12"/>
          <w:sz w:val="30"/>
          <w:szCs w:val="30"/>
        </w:rPr>
        <w:t>(二)</w:t>
      </w:r>
      <w:r>
        <w:rPr>
          <w:rFonts w:ascii="楷体" w:hAnsi="楷体" w:eastAsia="楷体" w:cs="楷体"/>
          <w:spacing w:val="62"/>
          <w:sz w:val="30"/>
          <w:szCs w:val="30"/>
        </w:rPr>
        <w:t xml:space="preserve"> </w:t>
      </w:r>
      <w:r>
        <w:rPr>
          <w:rFonts w:ascii="楷体" w:hAnsi="楷体" w:eastAsia="楷体" w:cs="楷体"/>
          <w:spacing w:val="12"/>
          <w:sz w:val="30"/>
          <w:szCs w:val="30"/>
        </w:rPr>
        <w:t>绩效评价结果应用水平不高。</w:t>
      </w:r>
    </w:p>
    <w:p w14:paraId="5AEB9A42">
      <w:pPr>
        <w:spacing w:line="241" w:lineRule="auto"/>
        <w:rPr>
          <w:rFonts w:ascii="Arial"/>
          <w:sz w:val="21"/>
        </w:rPr>
      </w:pPr>
    </w:p>
    <w:p w14:paraId="32A35C1D">
      <w:pPr>
        <w:pStyle w:val="2"/>
        <w:spacing w:before="98" w:line="223" w:lineRule="auto"/>
        <w:jc w:val="right"/>
      </w:pPr>
      <w:r>
        <w:rPr>
          <w:spacing w:val="18"/>
        </w:rPr>
        <w:t>目前，宣汉县绩效评价结果的运用主要是反</w:t>
      </w:r>
      <w:r>
        <w:rPr>
          <w:spacing w:val="17"/>
        </w:rPr>
        <w:t>映情况、找出</w:t>
      </w:r>
    </w:p>
    <w:p w14:paraId="230797C7">
      <w:pPr>
        <w:pStyle w:val="2"/>
        <w:spacing w:before="259" w:line="301" w:lineRule="auto"/>
        <w:ind w:left="2" w:right="110" w:firstLine="36"/>
        <w:jc w:val="both"/>
      </w:pPr>
      <w:r>
        <w:rPr>
          <w:spacing w:val="19"/>
        </w:rPr>
        <w:t>问题、完善工作机制，还没有很好地和经济</w:t>
      </w:r>
      <w:r>
        <w:rPr>
          <w:spacing w:val="18"/>
        </w:rPr>
        <w:t>社会的发展目标相</w:t>
      </w:r>
      <w:r>
        <w:t xml:space="preserve"> </w:t>
      </w:r>
      <w:r>
        <w:rPr>
          <w:spacing w:val="20"/>
        </w:rPr>
        <w:t>衔接，没有把结果运用到促进经济社会发展目标的完成上，没</w:t>
      </w:r>
      <w:r>
        <w:rPr>
          <w:spacing w:val="1"/>
        </w:rPr>
        <w:t xml:space="preserve"> </w:t>
      </w:r>
      <w:r>
        <w:rPr>
          <w:spacing w:val="18"/>
        </w:rPr>
        <w:t>有把结果运用到政府目标考核上来。</w:t>
      </w:r>
      <w:r>
        <w:rPr>
          <w:spacing w:val="-89"/>
        </w:rPr>
        <w:t xml:space="preserve"> </w:t>
      </w:r>
      <w:r>
        <w:rPr>
          <w:spacing w:val="18"/>
        </w:rPr>
        <w:t>绩效评价结</w:t>
      </w:r>
      <w:r>
        <w:rPr>
          <w:spacing w:val="17"/>
        </w:rPr>
        <w:t>果对于支出分</w:t>
      </w:r>
      <w:r>
        <w:t xml:space="preserve"> </w:t>
      </w:r>
      <w:r>
        <w:rPr>
          <w:spacing w:val="20"/>
        </w:rPr>
        <w:t>配和项目管理的制约作用和导向作用尚未得到充分体现，一定</w:t>
      </w:r>
      <w:r>
        <w:rPr>
          <w:spacing w:val="1"/>
        </w:rPr>
        <w:t xml:space="preserve"> </w:t>
      </w:r>
      <w:r>
        <w:rPr>
          <w:spacing w:val="19"/>
        </w:rPr>
        <w:t>程度上影响了预算绩效管理工作的权威性和深入开展。</w:t>
      </w:r>
    </w:p>
    <w:p w14:paraId="2B949743">
      <w:pPr>
        <w:spacing w:before="84" w:line="229" w:lineRule="auto"/>
        <w:ind w:left="725"/>
        <w:outlineLvl w:val="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13"/>
          <w:sz w:val="30"/>
          <w:szCs w:val="30"/>
        </w:rPr>
        <w:t>(三)</w:t>
      </w:r>
      <w:r>
        <w:rPr>
          <w:rFonts w:ascii="楷体" w:hAnsi="楷体" w:eastAsia="楷体" w:cs="楷体"/>
          <w:spacing w:val="54"/>
          <w:sz w:val="30"/>
          <w:szCs w:val="30"/>
        </w:rPr>
        <w:t xml:space="preserve"> </w:t>
      </w:r>
      <w:r>
        <w:rPr>
          <w:rFonts w:ascii="楷体" w:hAnsi="楷体" w:eastAsia="楷体" w:cs="楷体"/>
          <w:spacing w:val="13"/>
          <w:sz w:val="30"/>
          <w:szCs w:val="30"/>
        </w:rPr>
        <w:t>缺少专业的预算绩效管理队伍。</w:t>
      </w:r>
    </w:p>
    <w:p w14:paraId="27A36B14">
      <w:pPr>
        <w:pStyle w:val="2"/>
        <w:spacing w:before="249" w:line="299" w:lineRule="auto"/>
        <w:ind w:left="7" w:right="88" w:firstLine="669"/>
      </w:pPr>
      <w:r>
        <w:rPr>
          <w:spacing w:val="19"/>
        </w:rPr>
        <w:t>事前绩效评估预算绩效管理工作涉及项目建设管理、财务</w:t>
      </w:r>
      <w:r>
        <w:rPr>
          <w:spacing w:val="13"/>
        </w:rPr>
        <w:t xml:space="preserve"> </w:t>
      </w:r>
      <w:r>
        <w:rPr>
          <w:spacing w:val="19"/>
        </w:rPr>
        <w:t>会计、绩效评价业务、研究分析等多方面的.能力和知识，但</w:t>
      </w:r>
      <w:r>
        <w:rPr>
          <w:spacing w:val="8"/>
        </w:rPr>
        <w:t xml:space="preserve">  </w:t>
      </w:r>
      <w:r>
        <w:rPr>
          <w:spacing w:val="16"/>
        </w:rPr>
        <w:t>综合掌握这些知识的人员较少。</w:t>
      </w:r>
      <w:r>
        <w:rPr>
          <w:spacing w:val="-46"/>
        </w:rPr>
        <w:t xml:space="preserve"> </w:t>
      </w:r>
      <w:r>
        <w:rPr>
          <w:spacing w:val="16"/>
        </w:rPr>
        <w:t>因此，面对预算绩效管理工作</w:t>
      </w:r>
    </w:p>
    <w:p w14:paraId="5B3EA731">
      <w:pPr>
        <w:spacing w:line="299" w:lineRule="auto"/>
        <w:sectPr>
          <w:pgSz w:w="11910" w:h="16830"/>
          <w:pgMar w:top="1414" w:right="1464" w:bottom="0" w:left="1689" w:header="0" w:footer="0" w:gutter="0"/>
          <w:cols w:space="720" w:num="1"/>
        </w:sectPr>
      </w:pPr>
    </w:p>
    <w:p w14:paraId="448D181F">
      <w:pPr>
        <w:pStyle w:val="2"/>
        <w:spacing w:before="62" w:line="294" w:lineRule="auto"/>
        <w:ind w:left="31" w:right="258"/>
      </w:pPr>
      <w:r>
        <w:rPr>
          <w:spacing w:val="19"/>
        </w:rPr>
        <w:t>的综合性和考评项目的差异性，需要建立一支专业性强、综合</w:t>
      </w:r>
      <w:r>
        <w:rPr>
          <w:spacing w:val="1"/>
        </w:rPr>
        <w:t xml:space="preserve"> </w:t>
      </w:r>
      <w:r>
        <w:rPr>
          <w:spacing w:val="15"/>
        </w:rPr>
        <w:t>能力突出的队伍，</w:t>
      </w:r>
      <w:r>
        <w:rPr>
          <w:spacing w:val="-69"/>
        </w:rPr>
        <w:t xml:space="preserve"> </w:t>
      </w:r>
      <w:r>
        <w:rPr>
          <w:spacing w:val="15"/>
        </w:rPr>
        <w:t>以提高预算绩效管理工作的质量</w:t>
      </w:r>
    </w:p>
    <w:p w14:paraId="07280737">
      <w:pPr>
        <w:spacing w:before="172" w:line="227" w:lineRule="auto"/>
        <w:ind w:left="64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6"/>
          <w:sz w:val="31"/>
          <w:szCs w:val="31"/>
        </w:rPr>
        <w:t>三、工作建议</w:t>
      </w:r>
    </w:p>
    <w:p w14:paraId="4092FDAE">
      <w:pPr>
        <w:spacing w:before="256" w:line="234" w:lineRule="auto"/>
        <w:ind w:left="74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4"/>
          <w:sz w:val="31"/>
          <w:szCs w:val="31"/>
        </w:rPr>
        <w:t>(一)加强队伍建设和先进经验的运用。</w:t>
      </w:r>
    </w:p>
    <w:p w14:paraId="52D7909D">
      <w:pPr>
        <w:pStyle w:val="2"/>
        <w:spacing w:before="327" w:line="295" w:lineRule="auto"/>
        <w:ind w:right="297" w:firstLine="690"/>
        <w:rPr>
          <w:sz w:val="31"/>
          <w:szCs w:val="31"/>
        </w:rPr>
      </w:pPr>
      <w:r>
        <w:rPr>
          <w:spacing w:val="17"/>
          <w:sz w:val="31"/>
          <w:szCs w:val="31"/>
        </w:rPr>
        <w:t>按照中央、省、市的要求，加快形成</w:t>
      </w:r>
      <w:r>
        <w:rPr>
          <w:spacing w:val="-86"/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“政府主导，财政</w:t>
      </w:r>
      <w:r>
        <w:rPr>
          <w:sz w:val="31"/>
          <w:szCs w:val="31"/>
        </w:rPr>
        <w:t xml:space="preserve"> </w:t>
      </w:r>
      <w:r>
        <w:rPr>
          <w:spacing w:val="16"/>
          <w:sz w:val="31"/>
          <w:szCs w:val="31"/>
        </w:rPr>
        <w:t>主抓，部门执行，社会参与”</w:t>
      </w:r>
      <w:r>
        <w:rPr>
          <w:spacing w:val="-115"/>
          <w:sz w:val="31"/>
          <w:szCs w:val="31"/>
        </w:rPr>
        <w:t xml:space="preserve"> </w:t>
      </w:r>
      <w:r>
        <w:rPr>
          <w:spacing w:val="16"/>
          <w:sz w:val="31"/>
          <w:szCs w:val="31"/>
        </w:rPr>
        <w:t>的预算绩效管理工作</w:t>
      </w:r>
      <w:r>
        <w:rPr>
          <w:spacing w:val="15"/>
          <w:sz w:val="31"/>
          <w:szCs w:val="31"/>
        </w:rPr>
        <w:t>机制。</w:t>
      </w:r>
      <w:r>
        <w:rPr>
          <w:spacing w:val="-82"/>
          <w:sz w:val="31"/>
          <w:szCs w:val="31"/>
        </w:rPr>
        <w:t xml:space="preserve"> </w:t>
      </w:r>
      <w:r>
        <w:rPr>
          <w:spacing w:val="15"/>
          <w:sz w:val="31"/>
          <w:szCs w:val="31"/>
        </w:rPr>
        <w:t>一</w:t>
      </w:r>
      <w:r>
        <w:rPr>
          <w:sz w:val="31"/>
          <w:szCs w:val="31"/>
        </w:rPr>
        <w:t xml:space="preserve"> </w:t>
      </w:r>
      <w:r>
        <w:rPr>
          <w:spacing w:val="20"/>
          <w:sz w:val="31"/>
          <w:szCs w:val="31"/>
        </w:rPr>
        <w:t>是充分整合多方力量，集中业务骨干充实预算绩效管理队伍</w:t>
      </w:r>
      <w:r>
        <w:rPr>
          <w:spacing w:val="5"/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。</w:t>
      </w:r>
      <w:r>
        <w:rPr>
          <w:spacing w:val="-72"/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二是制订中介机构管理办法，进一步规范中介机构参与绩</w:t>
      </w:r>
      <w:r>
        <w:rPr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效评价行为，提高评价质量。</w:t>
      </w:r>
      <w:r>
        <w:rPr>
          <w:spacing w:val="-72"/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三是加大预算绩效管理理论和</w:t>
      </w:r>
      <w:r>
        <w:rPr>
          <w:sz w:val="31"/>
          <w:szCs w:val="31"/>
        </w:rPr>
        <w:t xml:space="preserve"> </w:t>
      </w:r>
      <w:r>
        <w:rPr>
          <w:spacing w:val="21"/>
          <w:sz w:val="31"/>
          <w:szCs w:val="31"/>
        </w:rPr>
        <w:t>实务操作的培训力度，通过聘请专家讲解等方法对各部门、</w:t>
      </w:r>
      <w:r>
        <w:rPr>
          <w:spacing w:val="1"/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单位和中介机构等进行多层次的辅导和培训</w:t>
      </w:r>
      <w:r>
        <w:rPr>
          <w:spacing w:val="16"/>
          <w:sz w:val="31"/>
          <w:szCs w:val="31"/>
        </w:rPr>
        <w:t>。</w:t>
      </w:r>
      <w:r>
        <w:rPr>
          <w:spacing w:val="-65"/>
          <w:sz w:val="31"/>
          <w:szCs w:val="31"/>
        </w:rPr>
        <w:t xml:space="preserve"> </w:t>
      </w:r>
      <w:r>
        <w:rPr>
          <w:spacing w:val="16"/>
          <w:sz w:val="31"/>
          <w:szCs w:val="31"/>
        </w:rPr>
        <w:t>四是进一步加</w:t>
      </w:r>
      <w:r>
        <w:rPr>
          <w:sz w:val="31"/>
          <w:szCs w:val="31"/>
        </w:rPr>
        <w:t xml:space="preserve"> </w:t>
      </w:r>
      <w:r>
        <w:rPr>
          <w:spacing w:val="20"/>
          <w:sz w:val="31"/>
          <w:szCs w:val="31"/>
        </w:rPr>
        <w:t>强理论研究，对绩效评价的范围、方法、技术手段进行探索</w:t>
      </w:r>
      <w:r>
        <w:rPr>
          <w:spacing w:val="5"/>
          <w:sz w:val="31"/>
          <w:szCs w:val="31"/>
        </w:rPr>
        <w:t xml:space="preserve"> </w:t>
      </w:r>
      <w:r>
        <w:rPr>
          <w:spacing w:val="18"/>
          <w:sz w:val="31"/>
          <w:szCs w:val="31"/>
        </w:rPr>
        <w:t>和研究，形成理论和实践互为促进的良好局</w:t>
      </w:r>
      <w:r>
        <w:rPr>
          <w:spacing w:val="17"/>
          <w:sz w:val="31"/>
          <w:szCs w:val="31"/>
        </w:rPr>
        <w:t>面。</w:t>
      </w:r>
      <w:r>
        <w:rPr>
          <w:spacing w:val="-91"/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五是积极学</w:t>
      </w:r>
      <w:r>
        <w:rPr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习和运用外地先进经验，通过走出去与请进来相结合，</w:t>
      </w:r>
      <w:r>
        <w:rPr>
          <w:spacing w:val="-72"/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以学</w:t>
      </w:r>
      <w:r>
        <w:rPr>
          <w:sz w:val="31"/>
          <w:szCs w:val="31"/>
        </w:rPr>
        <w:t xml:space="preserve"> </w:t>
      </w:r>
      <w:r>
        <w:rPr>
          <w:spacing w:val="20"/>
          <w:sz w:val="31"/>
          <w:szCs w:val="31"/>
        </w:rPr>
        <w:t>习交流、座谈讨论、调查研究等形式，不断吸取各地先进做</w:t>
      </w:r>
      <w:r>
        <w:rPr>
          <w:spacing w:val="5"/>
          <w:sz w:val="31"/>
          <w:szCs w:val="31"/>
        </w:rPr>
        <w:t xml:space="preserve"> </w:t>
      </w:r>
      <w:r>
        <w:rPr>
          <w:spacing w:val="18"/>
          <w:sz w:val="31"/>
          <w:szCs w:val="31"/>
        </w:rPr>
        <w:t>法，积累预算绩效管理工作的经验。</w:t>
      </w:r>
    </w:p>
    <w:p w14:paraId="7D0394B2">
      <w:pPr>
        <w:spacing w:before="258" w:line="226" w:lineRule="auto"/>
        <w:ind w:left="45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color w:val="333333"/>
          <w:spacing w:val="8"/>
          <w:sz w:val="30"/>
          <w:szCs w:val="30"/>
        </w:rPr>
        <w:t>（二）建立健全部门管理机制，按规严格执行制度</w:t>
      </w:r>
    </w:p>
    <w:p w14:paraId="03886645">
      <w:pPr>
        <w:pStyle w:val="2"/>
        <w:spacing w:before="272" w:line="291" w:lineRule="auto"/>
        <w:ind w:left="12" w:firstLine="630"/>
        <w:jc w:val="both"/>
        <w:rPr>
          <w:sz w:val="31"/>
          <w:szCs w:val="31"/>
        </w:rPr>
      </w:pPr>
      <w:r>
        <w:rPr>
          <w:color w:val="333333"/>
          <w:spacing w:val="6"/>
        </w:rPr>
        <w:t>一是建立健全部门内部控制等管理机制，及时修订措施办法，</w:t>
      </w:r>
      <w:r>
        <w:rPr>
          <w:color w:val="333333"/>
        </w:rPr>
        <w:t xml:space="preserve"> </w:t>
      </w:r>
      <w:r>
        <w:rPr>
          <w:color w:val="333333"/>
          <w:spacing w:val="9"/>
        </w:rPr>
        <w:t>完善缺位制度，提高工作标准，抓具体的制度落实</w:t>
      </w:r>
      <w:r>
        <w:rPr>
          <w:spacing w:val="9"/>
          <w:sz w:val="31"/>
          <w:szCs w:val="31"/>
        </w:rPr>
        <w:t>，扎牢制度笼</w:t>
      </w:r>
      <w:r>
        <w:rPr>
          <w:spacing w:val="3"/>
          <w:sz w:val="31"/>
          <w:szCs w:val="31"/>
        </w:rPr>
        <w:t xml:space="preserve">  </w:t>
      </w:r>
      <w:r>
        <w:rPr>
          <w:spacing w:val="-6"/>
          <w:sz w:val="31"/>
          <w:szCs w:val="31"/>
        </w:rPr>
        <w:t>子。</w:t>
      </w:r>
    </w:p>
    <w:p w14:paraId="0E46CD77">
      <w:pPr>
        <w:pStyle w:val="2"/>
        <w:spacing w:before="164" w:line="292" w:lineRule="auto"/>
        <w:ind w:left="8" w:right="273" w:firstLine="654"/>
        <w:rPr>
          <w:sz w:val="31"/>
          <w:szCs w:val="31"/>
        </w:rPr>
      </w:pPr>
      <w:r>
        <w:rPr>
          <w:spacing w:val="8"/>
          <w:sz w:val="31"/>
          <w:szCs w:val="31"/>
        </w:rPr>
        <w:t>二是部门（单位）要针对高风险业务，找到风险控制点，</w:t>
      </w:r>
      <w:r>
        <w:rPr>
          <w:spacing w:val="1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>并根据风险控制点制定好相应的应对措施。</w:t>
      </w:r>
      <w:r>
        <w:rPr>
          <w:spacing w:val="-6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>比如资产采购后要</w:t>
      </w:r>
      <w:r>
        <w:rPr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由专门的验收人员根据采购的计划规格和标准验收，资产入库 由相关使用人员及财务人员记账；资产的处置应制定相应的管 </w:t>
      </w:r>
      <w:r>
        <w:rPr>
          <w:spacing w:val="5"/>
          <w:sz w:val="31"/>
          <w:szCs w:val="31"/>
        </w:rPr>
        <w:t>理制度，摒弃</w:t>
      </w:r>
      <w:r>
        <w:rPr>
          <w:spacing w:val="-105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“重采购，轻管理，轻使用”</w:t>
      </w:r>
      <w:r>
        <w:rPr>
          <w:spacing w:val="-115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>的观念。</w:t>
      </w:r>
    </w:p>
    <w:p w14:paraId="3DA22DB1">
      <w:pPr>
        <w:spacing w:line="292" w:lineRule="auto"/>
        <w:rPr>
          <w:sz w:val="31"/>
          <w:szCs w:val="31"/>
        </w:rPr>
        <w:sectPr>
          <w:pgSz w:w="11910" w:h="16830"/>
          <w:pgMar w:top="1414" w:right="1317" w:bottom="0" w:left="1687" w:header="0" w:footer="0" w:gutter="0"/>
          <w:cols w:space="720" w:num="1"/>
        </w:sectPr>
      </w:pPr>
    </w:p>
    <w:p w14:paraId="0166A5BA">
      <w:pPr>
        <w:spacing w:line="250" w:lineRule="auto"/>
        <w:rPr>
          <w:rFonts w:ascii="Arial"/>
          <w:sz w:val="21"/>
        </w:rPr>
      </w:pPr>
    </w:p>
    <w:p w14:paraId="637A19B4">
      <w:pPr>
        <w:spacing w:line="250" w:lineRule="auto"/>
        <w:rPr>
          <w:rFonts w:ascii="Arial"/>
          <w:sz w:val="21"/>
        </w:rPr>
      </w:pPr>
    </w:p>
    <w:p w14:paraId="032C7FC8">
      <w:pPr>
        <w:spacing w:line="251" w:lineRule="auto"/>
        <w:rPr>
          <w:rFonts w:ascii="Arial"/>
          <w:sz w:val="21"/>
        </w:rPr>
      </w:pPr>
    </w:p>
    <w:p w14:paraId="05C288E9">
      <w:pPr>
        <w:spacing w:before="98" w:line="226" w:lineRule="auto"/>
        <w:ind w:left="648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8"/>
          <w:sz w:val="30"/>
          <w:szCs w:val="30"/>
        </w:rPr>
        <w:t>（三）提高绩效目标编制质量，促进绩效管理规范化</w:t>
      </w:r>
    </w:p>
    <w:p w14:paraId="45FD0087">
      <w:pPr>
        <w:pStyle w:val="2"/>
        <w:spacing w:before="248" w:line="290" w:lineRule="auto"/>
        <w:ind w:left="1" w:firstLine="663"/>
        <w:rPr>
          <w:sz w:val="31"/>
          <w:szCs w:val="31"/>
        </w:rPr>
      </w:pPr>
      <w:r>
        <w:rPr>
          <w:spacing w:val="8"/>
          <w:sz w:val="31"/>
          <w:szCs w:val="31"/>
        </w:rPr>
        <w:t>一是强化预算绩效管理，贯彻落实全过程预算绩效管理，</w:t>
      </w:r>
      <w:r>
        <w:rPr>
          <w:spacing w:val="15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>深化</w:t>
      </w:r>
      <w:r>
        <w:rPr>
          <w:spacing w:val="-95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>“事前、事中、事后”</w:t>
      </w:r>
      <w:r>
        <w:rPr>
          <w:spacing w:val="-115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>的绩效管理工作，改变传统的</w:t>
      </w:r>
      <w:r>
        <w:rPr>
          <w:spacing w:val="-105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>“重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支出、轻绩效”</w:t>
      </w:r>
      <w:r>
        <w:rPr>
          <w:spacing w:val="-113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的惯性思维，做优绩效目标，做实绩效监控，</w:t>
      </w:r>
      <w:r>
        <w:rPr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>做真绩效自评，做深外部评价，提高预算绩效管理的质量。</w:t>
      </w:r>
    </w:p>
    <w:p w14:paraId="173F27E2">
      <w:pPr>
        <w:pStyle w:val="2"/>
        <w:spacing w:before="169" w:line="293" w:lineRule="auto"/>
        <w:ind w:firstLine="662"/>
        <w:rPr>
          <w:sz w:val="31"/>
          <w:szCs w:val="31"/>
        </w:rPr>
      </w:pPr>
      <w:r>
        <w:rPr>
          <w:spacing w:val="8"/>
          <w:sz w:val="31"/>
          <w:szCs w:val="31"/>
        </w:rPr>
        <w:t>二是提高绩效目标设置的规范性，细化量化产出与效益指</w:t>
      </w:r>
      <w:r>
        <w:rPr>
          <w:spacing w:val="1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>标。</w:t>
      </w:r>
      <w:r>
        <w:rPr>
          <w:spacing w:val="-5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>目标分解不是简单的分数字、分任务，而是考虑部</w:t>
      </w:r>
      <w:r>
        <w:rPr>
          <w:spacing w:val="5"/>
          <w:sz w:val="31"/>
          <w:szCs w:val="31"/>
        </w:rPr>
        <w:t>门职责</w:t>
      </w:r>
      <w:r>
        <w:rPr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>、资源情况、部门间的联系等因素，用系统的方法进行分解，</w:t>
      </w:r>
      <w:r>
        <w:rPr>
          <w:spacing w:val="16"/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>使下一级目标支撑上一级目标，实现目标间的相互关联。用于</w:t>
      </w:r>
      <w:r>
        <w:rPr>
          <w:spacing w:val="16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>绩效考评的绩效指标不一定是部门（项目）</w:t>
      </w:r>
      <w:r>
        <w:rPr>
          <w:spacing w:val="-60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>目标的全部，但必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须涵盖目标中最重要的部分。</w:t>
      </w:r>
    </w:p>
    <w:p w14:paraId="0900BD4F">
      <w:pPr>
        <w:pStyle w:val="2"/>
        <w:spacing w:before="166" w:line="292" w:lineRule="auto"/>
        <w:ind w:left="10" w:firstLine="658"/>
        <w:jc w:val="both"/>
        <w:rPr>
          <w:sz w:val="31"/>
          <w:szCs w:val="31"/>
        </w:rPr>
      </w:pPr>
      <w:r>
        <w:rPr>
          <w:spacing w:val="8"/>
          <w:sz w:val="31"/>
          <w:szCs w:val="31"/>
        </w:rPr>
        <w:t>三是合理预测资金需求，积极做好项目前期调研评估工作</w:t>
      </w:r>
      <w:r>
        <w:rPr>
          <w:spacing w:val="11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,</w:t>
      </w:r>
      <w:r>
        <w:rPr>
          <w:spacing w:val="11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注重绩效目标编制科学性、合理性，包括绩效评估内容的标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>准化，</w:t>
      </w:r>
      <w:r>
        <w:rPr>
          <w:spacing w:val="-79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>以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“3E”</w:t>
      </w:r>
      <w:r>
        <w:rPr>
          <w:spacing w:val="6"/>
          <w:sz w:val="31"/>
          <w:szCs w:val="31"/>
        </w:rPr>
        <w:t>（经济、效率、效益）为绩效示标建立标准体系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;</w:t>
      </w:r>
      <w:r>
        <w:rPr>
          <w:spacing w:val="11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推进绩效管理程序规范化、绩效评价结果公开及使用的规范</w:t>
      </w:r>
      <w:r>
        <w:rPr>
          <w:sz w:val="31"/>
          <w:szCs w:val="31"/>
        </w:rPr>
        <w:t xml:space="preserve"> </w:t>
      </w:r>
      <w:r>
        <w:rPr>
          <w:spacing w:val="-5"/>
          <w:sz w:val="31"/>
          <w:szCs w:val="31"/>
        </w:rPr>
        <w:t>化。</w:t>
      </w:r>
    </w:p>
    <w:p w14:paraId="5C28DF28">
      <w:pPr>
        <w:spacing w:before="169" w:line="229" w:lineRule="auto"/>
        <w:ind w:left="70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</w:rPr>
        <w:t>(四)</w:t>
      </w:r>
      <w:r>
        <w:rPr>
          <w:rFonts w:ascii="楷体" w:hAnsi="楷体" w:eastAsia="楷体" w:cs="楷体"/>
          <w:spacing w:val="75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4"/>
          <w:sz w:val="31"/>
          <w:szCs w:val="31"/>
        </w:rPr>
        <w:t>进一步强化绩效评价结果应用</w:t>
      </w:r>
    </w:p>
    <w:p w14:paraId="7AFB5C55">
      <w:pPr>
        <w:pStyle w:val="2"/>
        <w:spacing w:before="239" w:line="293" w:lineRule="auto"/>
        <w:ind w:left="212" w:right="146" w:firstLine="704"/>
        <w:jc w:val="both"/>
        <w:rPr>
          <w:sz w:val="31"/>
          <w:szCs w:val="31"/>
        </w:rPr>
      </w:pPr>
      <w:r>
        <w:rPr>
          <w:spacing w:val="19"/>
          <w:sz w:val="31"/>
          <w:szCs w:val="31"/>
        </w:rPr>
        <w:t>一是按照政府信息公开的有关要求，逐步公开财政项</w:t>
      </w:r>
      <w:r>
        <w:rPr>
          <w:sz w:val="31"/>
          <w:szCs w:val="31"/>
        </w:rPr>
        <w:t xml:space="preserve"> </w:t>
      </w:r>
      <w:r>
        <w:rPr>
          <w:spacing w:val="20"/>
          <w:sz w:val="31"/>
          <w:szCs w:val="31"/>
        </w:rPr>
        <w:t>目支出预算及绩效评价结果，加强社会公众对财政资金使</w:t>
      </w:r>
      <w:r>
        <w:rPr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用效益的监督。</w:t>
      </w:r>
      <w:r>
        <w:rPr>
          <w:spacing w:val="-81"/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二是研究建立项目绩效评价结果全面通报</w:t>
      </w:r>
      <w:r>
        <w:rPr>
          <w:sz w:val="31"/>
          <w:szCs w:val="31"/>
        </w:rPr>
        <w:t xml:space="preserve"> </w:t>
      </w:r>
      <w:r>
        <w:rPr>
          <w:spacing w:val="20"/>
          <w:sz w:val="31"/>
          <w:szCs w:val="31"/>
        </w:rPr>
        <w:t>制度，将预算绩效管理纳入政府绩效评估范围，作为行政</w:t>
      </w:r>
      <w:r>
        <w:rPr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问责的重要依据。</w:t>
      </w:r>
      <w:r>
        <w:rPr>
          <w:spacing w:val="-78"/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三是根据评价结果，针对评价过</w:t>
      </w:r>
      <w:r>
        <w:rPr>
          <w:spacing w:val="16"/>
          <w:sz w:val="31"/>
          <w:szCs w:val="31"/>
        </w:rPr>
        <w:t>程中发</w:t>
      </w:r>
      <w:r>
        <w:rPr>
          <w:sz w:val="31"/>
          <w:szCs w:val="31"/>
        </w:rPr>
        <w:t xml:space="preserve"> </w:t>
      </w:r>
      <w:r>
        <w:rPr>
          <w:spacing w:val="20"/>
          <w:sz w:val="31"/>
          <w:szCs w:val="31"/>
        </w:rPr>
        <w:t>现的问题，结合评价报告提出的建议，督促部门、单位制</w:t>
      </w:r>
      <w:r>
        <w:rPr>
          <w:sz w:val="31"/>
          <w:szCs w:val="31"/>
        </w:rPr>
        <w:t xml:space="preserve"> </w:t>
      </w:r>
      <w:r>
        <w:rPr>
          <w:spacing w:val="20"/>
          <w:sz w:val="31"/>
          <w:szCs w:val="31"/>
        </w:rPr>
        <w:t>定可行的整改方案，抓好方案落实情况的监督检查，切实</w:t>
      </w:r>
    </w:p>
    <w:p w14:paraId="6FBCE65C">
      <w:pPr>
        <w:spacing w:line="293" w:lineRule="auto"/>
        <w:rPr>
          <w:sz w:val="31"/>
          <w:szCs w:val="31"/>
        </w:rPr>
        <w:sectPr>
          <w:pgSz w:w="11910" w:h="16830"/>
          <w:pgMar w:top="1430" w:right="1590" w:bottom="0" w:left="1688" w:header="0" w:footer="0" w:gutter="0"/>
          <w:cols w:space="720" w:num="1"/>
        </w:sectPr>
      </w:pPr>
    </w:p>
    <w:p w14:paraId="3434E27F">
      <w:pPr>
        <w:spacing w:line="262" w:lineRule="auto"/>
        <w:rPr>
          <w:rFonts w:ascii="Arial"/>
          <w:sz w:val="21"/>
        </w:rPr>
      </w:pPr>
    </w:p>
    <w:p w14:paraId="1159CD8E">
      <w:pPr>
        <w:spacing w:line="263" w:lineRule="auto"/>
        <w:rPr>
          <w:rFonts w:ascii="Arial"/>
          <w:sz w:val="21"/>
        </w:rPr>
      </w:pPr>
    </w:p>
    <w:p w14:paraId="36540A2C">
      <w:pPr>
        <w:spacing w:line="263" w:lineRule="auto"/>
        <w:rPr>
          <w:rFonts w:ascii="Arial"/>
          <w:sz w:val="21"/>
        </w:rPr>
      </w:pPr>
    </w:p>
    <w:p w14:paraId="6C317425">
      <w:pPr>
        <w:spacing w:line="263" w:lineRule="auto"/>
        <w:rPr>
          <w:rFonts w:ascii="Arial"/>
          <w:sz w:val="21"/>
        </w:rPr>
      </w:pPr>
    </w:p>
    <w:p w14:paraId="4BAD9B64">
      <w:pPr>
        <w:pStyle w:val="2"/>
        <w:spacing w:before="101" w:line="288" w:lineRule="auto"/>
        <w:ind w:left="218" w:right="336" w:firstLine="6"/>
        <w:jc w:val="both"/>
        <w:rPr>
          <w:sz w:val="31"/>
          <w:szCs w:val="31"/>
        </w:rPr>
      </w:pPr>
      <w:r>
        <w:rPr>
          <w:spacing w:val="16"/>
          <w:sz w:val="31"/>
          <w:szCs w:val="31"/>
        </w:rPr>
        <w:t>将整改落到实处。</w:t>
      </w:r>
      <w:r>
        <w:rPr>
          <w:spacing w:val="-60"/>
          <w:sz w:val="31"/>
          <w:szCs w:val="31"/>
        </w:rPr>
        <w:t xml:space="preserve"> </w:t>
      </w:r>
      <w:r>
        <w:rPr>
          <w:spacing w:val="16"/>
          <w:sz w:val="31"/>
          <w:szCs w:val="31"/>
        </w:rPr>
        <w:t>四是完善绩效评价结果与预算安排的有</w:t>
      </w:r>
      <w:r>
        <w:rPr>
          <w:sz w:val="31"/>
          <w:szCs w:val="31"/>
        </w:rPr>
        <w:t xml:space="preserve"> </w:t>
      </w:r>
      <w:r>
        <w:rPr>
          <w:spacing w:val="20"/>
          <w:sz w:val="31"/>
          <w:szCs w:val="31"/>
        </w:rPr>
        <w:t>机结合机制，减少评价结果较差项目的资金安排，取消无</w:t>
      </w:r>
      <w:r>
        <w:rPr>
          <w:spacing w:val="1"/>
          <w:sz w:val="31"/>
          <w:szCs w:val="31"/>
        </w:rPr>
        <w:t xml:space="preserve"> </w:t>
      </w:r>
      <w:r>
        <w:rPr>
          <w:spacing w:val="16"/>
          <w:sz w:val="31"/>
          <w:szCs w:val="31"/>
        </w:rPr>
        <w:t>绩效或低绩效项目。</w:t>
      </w:r>
    </w:p>
    <w:p w14:paraId="0CC6E37B">
      <w:pPr>
        <w:spacing w:line="254" w:lineRule="auto"/>
        <w:rPr>
          <w:rFonts w:ascii="Arial"/>
          <w:sz w:val="21"/>
        </w:rPr>
      </w:pPr>
    </w:p>
    <w:p w14:paraId="781DC5BE">
      <w:pPr>
        <w:spacing w:line="254" w:lineRule="auto"/>
        <w:rPr>
          <w:rFonts w:ascii="Arial"/>
          <w:sz w:val="21"/>
        </w:rPr>
      </w:pPr>
    </w:p>
    <w:p w14:paraId="4D48E6B6">
      <w:pPr>
        <w:spacing w:line="254" w:lineRule="auto"/>
        <w:rPr>
          <w:rFonts w:ascii="Arial"/>
          <w:sz w:val="21"/>
        </w:rPr>
      </w:pPr>
    </w:p>
    <w:p w14:paraId="7A0D36A0">
      <w:pPr>
        <w:spacing w:line="254" w:lineRule="auto"/>
        <w:rPr>
          <w:rFonts w:ascii="Arial"/>
          <w:sz w:val="21"/>
        </w:rPr>
      </w:pPr>
    </w:p>
    <w:p w14:paraId="2AEDCDE6">
      <w:pPr>
        <w:spacing w:line="254" w:lineRule="auto"/>
        <w:rPr>
          <w:rFonts w:ascii="Arial"/>
          <w:sz w:val="21"/>
        </w:rPr>
      </w:pPr>
    </w:p>
    <w:p w14:paraId="27D7241A">
      <w:pPr>
        <w:spacing w:line="254" w:lineRule="auto"/>
        <w:rPr>
          <w:rFonts w:ascii="Arial"/>
          <w:sz w:val="21"/>
        </w:rPr>
      </w:pPr>
    </w:p>
    <w:p w14:paraId="071E74A3">
      <w:pPr>
        <w:spacing w:line="254" w:lineRule="auto"/>
        <w:rPr>
          <w:rFonts w:ascii="Arial"/>
          <w:sz w:val="21"/>
        </w:rPr>
      </w:pPr>
    </w:p>
    <w:p w14:paraId="7E135F96">
      <w:pPr>
        <w:spacing w:line="254" w:lineRule="auto"/>
        <w:rPr>
          <w:rFonts w:ascii="Arial"/>
          <w:sz w:val="21"/>
        </w:rPr>
      </w:pPr>
    </w:p>
    <w:p w14:paraId="5DCED4B4">
      <w:pPr>
        <w:spacing w:line="254" w:lineRule="auto"/>
        <w:rPr>
          <w:rFonts w:ascii="Arial"/>
          <w:sz w:val="21"/>
        </w:rPr>
      </w:pPr>
    </w:p>
    <w:p w14:paraId="0A13AB73">
      <w:pPr>
        <w:spacing w:line="254" w:lineRule="auto"/>
        <w:rPr>
          <w:rFonts w:ascii="Arial"/>
          <w:sz w:val="21"/>
        </w:rPr>
      </w:pPr>
    </w:p>
    <w:p w14:paraId="5FE6358F">
      <w:pPr>
        <w:spacing w:line="254" w:lineRule="auto"/>
        <w:rPr>
          <w:rFonts w:ascii="Arial"/>
          <w:sz w:val="21"/>
        </w:rPr>
      </w:pPr>
    </w:p>
    <w:p w14:paraId="5F01564B">
      <w:pPr>
        <w:spacing w:line="254" w:lineRule="auto"/>
        <w:rPr>
          <w:rFonts w:ascii="Arial"/>
          <w:sz w:val="21"/>
        </w:rPr>
      </w:pPr>
    </w:p>
    <w:p w14:paraId="11FBA3CD">
      <w:pPr>
        <w:spacing w:line="254" w:lineRule="auto"/>
        <w:rPr>
          <w:rFonts w:ascii="Arial"/>
          <w:sz w:val="21"/>
        </w:rPr>
      </w:pPr>
    </w:p>
    <w:p w14:paraId="71875ECD">
      <w:pPr>
        <w:spacing w:line="254" w:lineRule="auto"/>
        <w:rPr>
          <w:rFonts w:ascii="Arial"/>
          <w:sz w:val="21"/>
        </w:rPr>
      </w:pPr>
    </w:p>
    <w:p w14:paraId="1F7EDE17">
      <w:pPr>
        <w:spacing w:line="255" w:lineRule="auto"/>
        <w:rPr>
          <w:rFonts w:ascii="Arial"/>
          <w:sz w:val="21"/>
        </w:rPr>
      </w:pPr>
    </w:p>
    <w:p w14:paraId="0180DCC2">
      <w:pPr>
        <w:spacing w:line="255" w:lineRule="auto"/>
        <w:rPr>
          <w:rFonts w:ascii="Arial"/>
          <w:sz w:val="21"/>
        </w:rPr>
      </w:pPr>
    </w:p>
    <w:p w14:paraId="5569268B">
      <w:pPr>
        <w:pStyle w:val="2"/>
        <w:spacing w:before="91" w:line="351" w:lineRule="auto"/>
        <w:ind w:left="5101" w:right="1542" w:firstLine="225"/>
        <w:rPr>
          <w:sz w:val="28"/>
          <w:szCs w:val="28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3201670</wp:posOffset>
            </wp:positionH>
            <wp:positionV relativeFrom="paragraph">
              <wp:posOffset>-791210</wp:posOffset>
            </wp:positionV>
            <wp:extent cx="1623060" cy="160782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3059" cy="160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38"/>
          <w:sz w:val="28"/>
          <w:szCs w:val="28"/>
        </w:rPr>
        <w:t>宣汉县财政局</w:t>
      </w:r>
      <w:r>
        <w:rPr>
          <w:spacing w:val="4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2</w:t>
      </w:r>
      <w:r>
        <w:rPr>
          <w:spacing w:val="-77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0</w:t>
      </w:r>
      <w:r>
        <w:rPr>
          <w:spacing w:val="-75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2</w:t>
      </w:r>
      <w:r>
        <w:rPr>
          <w:spacing w:val="-77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4</w:t>
      </w:r>
      <w:r>
        <w:rPr>
          <w:spacing w:val="-63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年</w:t>
      </w:r>
      <w:r>
        <w:rPr>
          <w:spacing w:val="-77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2</w:t>
      </w:r>
      <w:r>
        <w:rPr>
          <w:spacing w:val="-57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月</w:t>
      </w:r>
      <w:r>
        <w:rPr>
          <w:spacing w:val="-72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5 日</w:t>
      </w:r>
    </w:p>
    <w:p w14:paraId="51E089A0">
      <w:pPr>
        <w:spacing w:line="246" w:lineRule="auto"/>
        <w:rPr>
          <w:rFonts w:ascii="Arial"/>
          <w:sz w:val="21"/>
        </w:rPr>
      </w:pPr>
    </w:p>
    <w:p w14:paraId="22580841">
      <w:pPr>
        <w:spacing w:line="246" w:lineRule="auto"/>
        <w:rPr>
          <w:rFonts w:ascii="Arial"/>
          <w:sz w:val="21"/>
        </w:rPr>
      </w:pPr>
    </w:p>
    <w:p w14:paraId="588AFE85">
      <w:pPr>
        <w:spacing w:line="246" w:lineRule="auto"/>
        <w:rPr>
          <w:rFonts w:ascii="Arial"/>
          <w:sz w:val="21"/>
        </w:rPr>
      </w:pPr>
    </w:p>
    <w:p w14:paraId="381CC127">
      <w:pPr>
        <w:spacing w:line="246" w:lineRule="auto"/>
        <w:rPr>
          <w:rFonts w:ascii="Arial"/>
          <w:sz w:val="21"/>
        </w:rPr>
      </w:pPr>
    </w:p>
    <w:p w14:paraId="01200184">
      <w:pPr>
        <w:spacing w:line="247" w:lineRule="auto"/>
        <w:rPr>
          <w:rFonts w:ascii="Arial"/>
          <w:sz w:val="21"/>
        </w:rPr>
      </w:pPr>
    </w:p>
    <w:p w14:paraId="3AFD96BB">
      <w:pPr>
        <w:spacing w:line="247" w:lineRule="auto"/>
        <w:rPr>
          <w:rFonts w:ascii="Arial"/>
          <w:sz w:val="21"/>
        </w:rPr>
      </w:pPr>
    </w:p>
    <w:p w14:paraId="0814735E">
      <w:pPr>
        <w:spacing w:line="247" w:lineRule="auto"/>
        <w:rPr>
          <w:rFonts w:ascii="Arial"/>
          <w:sz w:val="21"/>
        </w:rPr>
      </w:pPr>
    </w:p>
    <w:p w14:paraId="3E183FE2">
      <w:pPr>
        <w:spacing w:line="247" w:lineRule="auto"/>
        <w:rPr>
          <w:rFonts w:ascii="Arial"/>
          <w:sz w:val="21"/>
        </w:rPr>
      </w:pPr>
    </w:p>
    <w:p w14:paraId="3453057C">
      <w:pPr>
        <w:spacing w:line="247" w:lineRule="auto"/>
        <w:rPr>
          <w:rFonts w:ascii="Arial"/>
          <w:sz w:val="21"/>
        </w:rPr>
      </w:pPr>
    </w:p>
    <w:p w14:paraId="0EB846ED">
      <w:pPr>
        <w:spacing w:line="247" w:lineRule="auto"/>
        <w:rPr>
          <w:rFonts w:ascii="Arial"/>
          <w:sz w:val="21"/>
        </w:rPr>
      </w:pPr>
    </w:p>
    <w:p w14:paraId="238A99CD">
      <w:pPr>
        <w:spacing w:line="247" w:lineRule="auto"/>
        <w:rPr>
          <w:rFonts w:ascii="Arial"/>
          <w:sz w:val="21"/>
        </w:rPr>
      </w:pPr>
    </w:p>
    <w:p w14:paraId="6D81FA0C">
      <w:pPr>
        <w:spacing w:line="247" w:lineRule="auto"/>
        <w:rPr>
          <w:rFonts w:ascii="Arial"/>
          <w:sz w:val="21"/>
        </w:rPr>
      </w:pPr>
    </w:p>
    <w:p w14:paraId="4EB44829">
      <w:pPr>
        <w:spacing w:line="247" w:lineRule="auto"/>
        <w:rPr>
          <w:rFonts w:ascii="Arial"/>
          <w:sz w:val="21"/>
        </w:rPr>
      </w:pPr>
    </w:p>
    <w:p w14:paraId="4D187BB8">
      <w:pPr>
        <w:spacing w:line="247" w:lineRule="auto"/>
        <w:rPr>
          <w:rFonts w:ascii="Arial"/>
          <w:sz w:val="21"/>
        </w:rPr>
      </w:pPr>
    </w:p>
    <w:p w14:paraId="5E86609F">
      <w:pPr>
        <w:spacing w:line="247" w:lineRule="auto"/>
        <w:rPr>
          <w:rFonts w:ascii="Arial"/>
          <w:sz w:val="21"/>
        </w:rPr>
      </w:pPr>
    </w:p>
    <w:p w14:paraId="1CD2A251">
      <w:pPr>
        <w:spacing w:line="247" w:lineRule="auto"/>
        <w:rPr>
          <w:rFonts w:ascii="Arial"/>
          <w:sz w:val="21"/>
        </w:rPr>
      </w:pPr>
    </w:p>
    <w:p w14:paraId="0F12FE6F">
      <w:pPr>
        <w:spacing w:line="247" w:lineRule="auto"/>
        <w:rPr>
          <w:rFonts w:ascii="Arial"/>
          <w:sz w:val="21"/>
        </w:rPr>
      </w:pPr>
    </w:p>
    <w:p w14:paraId="40FCF431">
      <w:pPr>
        <w:spacing w:line="247" w:lineRule="auto"/>
        <w:rPr>
          <w:rFonts w:ascii="Arial"/>
          <w:sz w:val="21"/>
        </w:rPr>
      </w:pPr>
    </w:p>
    <w:p w14:paraId="5F48E3B6">
      <w:pPr>
        <w:spacing w:line="247" w:lineRule="auto"/>
        <w:rPr>
          <w:rFonts w:ascii="Arial"/>
          <w:sz w:val="21"/>
        </w:rPr>
      </w:pPr>
    </w:p>
    <w:p w14:paraId="440FF0B1">
      <w:pPr>
        <w:spacing w:line="247" w:lineRule="auto"/>
        <w:rPr>
          <w:rFonts w:ascii="Arial"/>
          <w:sz w:val="21"/>
        </w:rPr>
      </w:pPr>
    </w:p>
    <w:p w14:paraId="7D51E72E">
      <w:pPr>
        <w:spacing w:line="247" w:lineRule="auto"/>
        <w:rPr>
          <w:rFonts w:ascii="Arial"/>
          <w:sz w:val="21"/>
        </w:rPr>
      </w:pPr>
    </w:p>
    <w:p w14:paraId="536D279E">
      <w:pPr>
        <w:spacing w:line="247" w:lineRule="auto"/>
        <w:rPr>
          <w:rFonts w:ascii="Arial"/>
          <w:sz w:val="21"/>
        </w:rPr>
      </w:pPr>
    </w:p>
    <w:p w14:paraId="50D4A89F">
      <w:pPr>
        <w:spacing w:line="247" w:lineRule="auto"/>
        <w:rPr>
          <w:rFonts w:ascii="Arial"/>
          <w:sz w:val="21"/>
        </w:rPr>
      </w:pPr>
    </w:p>
    <w:p w14:paraId="37357A93">
      <w:pPr>
        <w:spacing w:line="247" w:lineRule="auto"/>
        <w:rPr>
          <w:rFonts w:ascii="Arial"/>
          <w:sz w:val="21"/>
        </w:rPr>
      </w:pPr>
    </w:p>
    <w:p w14:paraId="1A92CDDE">
      <w:pPr>
        <w:spacing w:line="247" w:lineRule="auto"/>
        <w:rPr>
          <w:rFonts w:ascii="Arial"/>
          <w:sz w:val="2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127635</wp:posOffset>
            </wp:positionV>
            <wp:extent cx="5593080" cy="952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93080" cy="9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F1AE24">
      <w:pPr>
        <w:pStyle w:val="2"/>
        <w:spacing w:before="91" w:line="228" w:lineRule="auto"/>
        <w:ind w:left="135"/>
        <w:rPr>
          <w:sz w:val="28"/>
          <w:szCs w:val="28"/>
        </w:rPr>
      </w:pPr>
      <w:r>
        <w:rPr>
          <w:spacing w:val="8"/>
          <w:sz w:val="28"/>
          <w:szCs w:val="28"/>
        </w:rPr>
        <w:t>宣汉县财政局办公室                        2023年2月5日印发</w:t>
      </w:r>
    </w:p>
    <w:sectPr>
      <w:headerReference r:id="rId5" w:type="default"/>
      <w:pgSz w:w="11910" w:h="16830"/>
      <w:pgMar w:top="400" w:right="1421" w:bottom="0" w:left="16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E055A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DC71A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3658</Words>
  <Characters>3754</Characters>
  <TotalTime>0</TotalTime>
  <ScaleCrop>false</ScaleCrop>
  <LinksUpToDate>false</LinksUpToDate>
  <CharactersWithSpaces>4006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2024-02-03T18:03:00Z</dcterms:created>
  <dc:creator>Kingsoft-PDF</dc:creator>
  <cp:lastModifiedBy>西瓜 车</cp:lastModifiedBy>
  <dcterms:modified xsi:type="dcterms:W3CDTF">2024-09-25T00:39:56Z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2024-09-25T08:39:40Z</vt:filetime>
  </property>
  <property fmtid="{D5CDD505-2E9C-101B-9397-08002B2CF9AE}" pid="4" name="KSOProductBuildVer">
    <vt:lpwstr>2052-12.1.0.17857</vt:lpwstr>
  </property>
  <property fmtid="{D5CDD505-2E9C-101B-9397-08002B2CF9AE}" pid="5" name="ICV">
    <vt:lpwstr>1BBD14D2405549A5A6135123311FD274_13</vt:lpwstr>
  </property>
</Properties>
</file>