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rPr>
          <w:color w:val="000000" w:themeColor="text1"/>
          <w:highlight w:val="none"/>
          <w14:textFill>
            <w14:solidFill>
              <w14:schemeClr w14:val="tx1"/>
            </w14:solidFill>
          </w14:textFill>
        </w:rPr>
      </w:pPr>
      <w:bookmarkStart w:id="0" w:name="_Hlk143245390"/>
      <w:bookmarkEnd w:id="0"/>
    </w:p>
    <w:p>
      <w:pPr>
        <w:pStyle w:val="30"/>
        <w:ind w:firstLine="482"/>
        <w:rPr>
          <w:color w:val="000000" w:themeColor="text1"/>
          <w:highlight w:val="none"/>
          <w14:textFill>
            <w14:solidFill>
              <w14:schemeClr w14:val="tx1"/>
            </w14:solidFill>
          </w14:textFill>
        </w:rPr>
      </w:pPr>
    </w:p>
    <w:p>
      <w:pPr>
        <w:ind w:firstLine="400"/>
        <w:rPr>
          <w:rFonts w:cs="Times New Roman"/>
          <w:color w:val="000000" w:themeColor="text1"/>
          <w:sz w:val="20"/>
          <w:szCs w:val="20"/>
          <w:highlight w:val="none"/>
          <w14:textFill>
            <w14:solidFill>
              <w14:schemeClr w14:val="tx1"/>
            </w14:solidFill>
          </w14:textFill>
        </w:rPr>
      </w:pPr>
    </w:p>
    <w:p>
      <w:pPr>
        <w:ind w:firstLine="400"/>
        <w:rPr>
          <w:rFonts w:cs="Times New Roman"/>
          <w:color w:val="000000" w:themeColor="text1"/>
          <w:sz w:val="20"/>
          <w:szCs w:val="20"/>
          <w:highlight w:val="none"/>
          <w14:textFill>
            <w14:solidFill>
              <w14:schemeClr w14:val="tx1"/>
            </w14:solidFill>
          </w14:textFill>
        </w:rPr>
      </w:pPr>
    </w:p>
    <w:p>
      <w:pPr>
        <w:ind w:firstLine="480"/>
        <w:rPr>
          <w:rFonts w:eastAsia="Times New Roman" w:cs="Times New Roman"/>
          <w:color w:val="000000" w:themeColor="text1"/>
          <w:szCs w:val="24"/>
          <w:highlight w:val="none"/>
          <w14:textFill>
            <w14:solidFill>
              <w14:schemeClr w14:val="tx1"/>
            </w14:solidFill>
          </w14:textFill>
        </w:rPr>
      </w:pPr>
    </w:p>
    <w:p>
      <w:pPr>
        <w:ind w:firstLine="0" w:firstLineChars="0"/>
        <w:jc w:val="center"/>
        <w:rPr>
          <w:rFonts w:eastAsia="黑体" w:cs="Times New Roman"/>
          <w:color w:val="000000" w:themeColor="text1"/>
          <w:spacing w:val="-37"/>
          <w:w w:val="95"/>
          <w:sz w:val="52"/>
          <w:szCs w:val="52"/>
          <w:highlight w:val="none"/>
          <w14:textFill>
            <w14:solidFill>
              <w14:schemeClr w14:val="tx1"/>
            </w14:solidFill>
          </w14:textFill>
        </w:rPr>
      </w:pPr>
      <w:r>
        <w:rPr>
          <w:rFonts w:hint="eastAsia" w:eastAsia="黑体" w:cs="Times New Roman"/>
          <w:color w:val="000000" w:themeColor="text1"/>
          <w:spacing w:val="-37"/>
          <w:w w:val="95"/>
          <w:sz w:val="52"/>
          <w:szCs w:val="52"/>
          <w:highlight w:val="none"/>
          <w14:textFill>
            <w14:solidFill>
              <w14:schemeClr w14:val="tx1"/>
            </w14:solidFill>
          </w14:textFill>
        </w:rPr>
        <w:t>大湾408-3井钻井及试采工程</w:t>
      </w:r>
    </w:p>
    <w:p>
      <w:pPr>
        <w:ind w:firstLine="0" w:firstLineChars="0"/>
        <w:jc w:val="center"/>
        <w:rPr>
          <w:rFonts w:eastAsia="黑体" w:cs="Times New Roman"/>
          <w:color w:val="000000" w:themeColor="text1"/>
          <w:sz w:val="52"/>
          <w:szCs w:val="52"/>
          <w:highlight w:val="none"/>
          <w14:textFill>
            <w14:solidFill>
              <w14:schemeClr w14:val="tx1"/>
            </w14:solidFill>
          </w14:textFill>
        </w:rPr>
      </w:pPr>
      <w:r>
        <w:rPr>
          <w:rFonts w:eastAsia="黑体" w:cs="Times New Roman"/>
          <w:color w:val="000000" w:themeColor="text1"/>
          <w:sz w:val="52"/>
          <w:szCs w:val="52"/>
          <w:highlight w:val="none"/>
          <w14:textFill>
            <w14:solidFill>
              <w14:schemeClr w14:val="tx1"/>
            </w14:solidFill>
          </w14:textFill>
        </w:rPr>
        <w:t>环境影响报告书</w:t>
      </w:r>
    </w:p>
    <w:p>
      <w:pPr>
        <w:ind w:firstLine="0" w:firstLineChars="0"/>
        <w:jc w:val="center"/>
        <w:rPr>
          <w:rFonts w:eastAsia="楷体" w:cs="Times New Roman"/>
          <w:color w:val="000000" w:themeColor="text1"/>
          <w:sz w:val="44"/>
          <w:szCs w:val="44"/>
          <w:highlight w:val="none"/>
          <w14:textFill>
            <w14:solidFill>
              <w14:schemeClr w14:val="tx1"/>
            </w14:solidFill>
          </w14:textFill>
        </w:rPr>
      </w:pPr>
      <w:r>
        <w:rPr>
          <w:rFonts w:eastAsia="楷体" w:cs="Times New Roman"/>
          <w:color w:val="000000" w:themeColor="text1"/>
          <w:sz w:val="44"/>
          <w:szCs w:val="44"/>
          <w:highlight w:val="none"/>
          <w14:textFill>
            <w14:solidFill>
              <w14:schemeClr w14:val="tx1"/>
            </w14:solidFill>
          </w14:textFill>
        </w:rPr>
        <w:t>（</w:t>
      </w:r>
      <w:r>
        <w:rPr>
          <w:rFonts w:hint="eastAsia" w:eastAsia="楷体" w:cs="Times New Roman"/>
          <w:color w:val="000000" w:themeColor="text1"/>
          <w:sz w:val="44"/>
          <w:szCs w:val="44"/>
          <w:highlight w:val="none"/>
          <w:lang w:val="en-US" w:eastAsia="zh-CN"/>
          <w14:textFill>
            <w14:solidFill>
              <w14:schemeClr w14:val="tx1"/>
            </w14:solidFill>
          </w14:textFill>
        </w:rPr>
        <w:t>公示</w:t>
      </w:r>
      <w:r>
        <w:rPr>
          <w:rFonts w:eastAsia="楷体" w:cs="Times New Roman"/>
          <w:color w:val="000000" w:themeColor="text1"/>
          <w:sz w:val="44"/>
          <w:szCs w:val="44"/>
          <w:highlight w:val="none"/>
          <w14:textFill>
            <w14:solidFill>
              <w14:schemeClr w14:val="tx1"/>
            </w14:solidFill>
          </w14:textFill>
        </w:rPr>
        <w:t>本）</w:t>
      </w: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400"/>
        <w:rPr>
          <w:rFonts w:eastAsia="隶书" w:cs="Times New Roman"/>
          <w:color w:val="000000" w:themeColor="text1"/>
          <w:sz w:val="20"/>
          <w:szCs w:val="20"/>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ind w:firstLine="321"/>
        <w:rPr>
          <w:rFonts w:eastAsia="隶书" w:cs="Times New Roman"/>
          <w:b/>
          <w:bCs/>
          <w:color w:val="000000" w:themeColor="text1"/>
          <w:sz w:val="16"/>
          <w:szCs w:val="16"/>
          <w:highlight w:val="none"/>
          <w14:textFill>
            <w14:solidFill>
              <w14:schemeClr w14:val="tx1"/>
            </w14:solidFill>
          </w14:textFill>
        </w:rPr>
      </w:pPr>
    </w:p>
    <w:p>
      <w:pPr>
        <w:tabs>
          <w:tab w:val="left" w:pos="567"/>
        </w:tabs>
        <w:ind w:firstLine="0" w:firstLineChars="0"/>
        <w:jc w:val="left"/>
        <w:rPr>
          <w:rFonts w:eastAsia="黑体" w:cs="Times New Roman"/>
          <w:bCs/>
          <w:color w:val="000000" w:themeColor="text1"/>
          <w:sz w:val="32"/>
          <w:szCs w:val="32"/>
          <w:highlight w:val="none"/>
          <w:u w:val="single"/>
          <w14:textFill>
            <w14:solidFill>
              <w14:schemeClr w14:val="tx1"/>
            </w14:solidFill>
          </w14:textFill>
        </w:rPr>
      </w:pPr>
      <w:r>
        <w:rPr>
          <w:rFonts w:eastAsia="黑体" w:cs="Times New Roman"/>
          <w:bCs/>
          <w:color w:val="000000" w:themeColor="text1"/>
          <w:sz w:val="32"/>
          <w:szCs w:val="32"/>
          <w:highlight w:val="none"/>
          <w:u w:val="single"/>
          <w14:textFill>
            <w14:solidFill>
              <w14:schemeClr w14:val="tx1"/>
            </w14:solidFill>
          </w14:textFill>
        </w:rPr>
        <w:t>建设单位：</w:t>
      </w:r>
      <w:r>
        <w:rPr>
          <w:rFonts w:hint="eastAsia" w:eastAsia="黑体" w:cs="Times New Roman"/>
          <w:bCs/>
          <w:color w:val="000000" w:themeColor="text1"/>
          <w:sz w:val="32"/>
          <w:szCs w:val="32"/>
          <w:highlight w:val="none"/>
          <w:u w:val="single"/>
          <w14:textFill>
            <w14:solidFill>
              <w14:schemeClr w14:val="tx1"/>
            </w14:solidFill>
          </w14:textFill>
        </w:rPr>
        <w:t xml:space="preserve"> </w:t>
      </w:r>
      <w:r>
        <w:rPr>
          <w:rFonts w:eastAsia="黑体" w:cs="Times New Roman"/>
          <w:bCs/>
          <w:color w:val="000000" w:themeColor="text1"/>
          <w:sz w:val="32"/>
          <w:szCs w:val="32"/>
          <w:highlight w:val="none"/>
          <w:u w:val="single"/>
          <w14:textFill>
            <w14:solidFill>
              <w14:schemeClr w14:val="tx1"/>
            </w14:solidFill>
          </w14:textFill>
        </w:rPr>
        <w:t>中国石油化工股份有限公司中原油田</w:t>
      </w:r>
      <w:bookmarkStart w:id="1" w:name="_Hlk107154433"/>
      <w:r>
        <w:rPr>
          <w:rFonts w:eastAsia="黑体" w:cs="Times New Roman"/>
          <w:bCs/>
          <w:color w:val="000000" w:themeColor="text1"/>
          <w:sz w:val="32"/>
          <w:szCs w:val="32"/>
          <w:highlight w:val="none"/>
          <w:u w:val="single"/>
          <w14:textFill>
            <w14:solidFill>
              <w14:schemeClr w14:val="tx1"/>
            </w14:solidFill>
          </w14:textFill>
        </w:rPr>
        <w:t>普光分公司</w:t>
      </w:r>
      <w:bookmarkEnd w:id="1"/>
      <w:r>
        <w:rPr>
          <w:rFonts w:hint="eastAsia" w:eastAsia="黑体" w:cs="Times New Roman"/>
          <w:bCs/>
          <w:color w:val="000000" w:themeColor="text1"/>
          <w:sz w:val="32"/>
          <w:szCs w:val="32"/>
          <w:highlight w:val="none"/>
          <w:u w:val="single"/>
          <w14:textFill>
            <w14:solidFill>
              <w14:schemeClr w14:val="tx1"/>
            </w14:solidFill>
          </w14:textFill>
        </w:rPr>
        <w:t xml:space="preserve"> </w:t>
      </w:r>
    </w:p>
    <w:p>
      <w:pPr>
        <w:ind w:firstLine="0" w:firstLineChars="0"/>
        <w:jc w:val="left"/>
        <w:rPr>
          <w:rFonts w:eastAsia="黑体" w:cs="Times New Roman"/>
          <w:bCs/>
          <w:color w:val="000000" w:themeColor="text1"/>
          <w:sz w:val="32"/>
          <w:szCs w:val="32"/>
          <w:highlight w:val="none"/>
          <w:u w:val="single"/>
          <w14:textFill>
            <w14:solidFill>
              <w14:schemeClr w14:val="tx1"/>
            </w14:solidFill>
          </w14:textFill>
        </w:rPr>
      </w:pPr>
      <w:r>
        <w:rPr>
          <w:rFonts w:eastAsia="黑体" w:cs="Times New Roman"/>
          <w:bCs/>
          <w:color w:val="000000" w:themeColor="text1"/>
          <w:sz w:val="32"/>
          <w:szCs w:val="32"/>
          <w:highlight w:val="none"/>
          <w:u w:val="single"/>
          <w14:textFill>
            <w14:solidFill>
              <w14:schemeClr w14:val="tx1"/>
            </w14:solidFill>
          </w14:textFill>
        </w:rPr>
        <w:t xml:space="preserve">环评单位：      </w:t>
      </w:r>
      <w:r>
        <w:rPr>
          <w:rFonts w:hint="eastAsia" w:eastAsia="黑体" w:cs="Times New Roman"/>
          <w:bCs/>
          <w:color w:val="000000" w:themeColor="text1"/>
          <w:sz w:val="32"/>
          <w:szCs w:val="32"/>
          <w:highlight w:val="none"/>
          <w:u w:val="single"/>
          <w14:textFill>
            <w14:solidFill>
              <w14:schemeClr w14:val="tx1"/>
            </w14:solidFill>
          </w14:textFill>
        </w:rPr>
        <w:t xml:space="preserve">  </w:t>
      </w:r>
      <w:r>
        <w:rPr>
          <w:rFonts w:eastAsia="黑体" w:cs="Times New Roman"/>
          <w:bCs/>
          <w:color w:val="000000" w:themeColor="text1"/>
          <w:sz w:val="32"/>
          <w:szCs w:val="32"/>
          <w:highlight w:val="none"/>
          <w:u w:val="single"/>
          <w14:textFill>
            <w14:solidFill>
              <w14:schemeClr w14:val="tx1"/>
            </w14:solidFill>
          </w14:textFill>
        </w:rPr>
        <w:t xml:space="preserve"> 成都维清环保科技有限公司 </w:t>
      </w:r>
      <w:r>
        <w:rPr>
          <w:rFonts w:hint="eastAsia" w:eastAsia="黑体" w:cs="Times New Roman"/>
          <w:bCs/>
          <w:color w:val="000000" w:themeColor="text1"/>
          <w:sz w:val="32"/>
          <w:szCs w:val="32"/>
          <w:highlight w:val="none"/>
          <w:u w:val="single"/>
          <w14:textFill>
            <w14:solidFill>
              <w14:schemeClr w14:val="tx1"/>
            </w14:solidFill>
          </w14:textFill>
        </w:rPr>
        <w:t xml:space="preserve"> </w:t>
      </w:r>
      <w:r>
        <w:rPr>
          <w:rFonts w:eastAsia="黑体" w:cs="Times New Roman"/>
          <w:bCs/>
          <w:color w:val="000000" w:themeColor="text1"/>
          <w:sz w:val="32"/>
          <w:szCs w:val="32"/>
          <w:highlight w:val="none"/>
          <w:u w:val="single"/>
          <w14:textFill>
            <w14:solidFill>
              <w14:schemeClr w14:val="tx1"/>
            </w14:solidFill>
          </w14:textFill>
        </w:rPr>
        <w:t xml:space="preserve"> </w:t>
      </w:r>
      <w:r>
        <w:rPr>
          <w:rFonts w:hint="eastAsia" w:eastAsia="黑体" w:cs="Times New Roman"/>
          <w:bCs/>
          <w:color w:val="000000" w:themeColor="text1"/>
          <w:sz w:val="32"/>
          <w:szCs w:val="32"/>
          <w:highlight w:val="none"/>
          <w:u w:val="single"/>
          <w14:textFill>
            <w14:solidFill>
              <w14:schemeClr w14:val="tx1"/>
            </w14:solidFill>
          </w14:textFill>
        </w:rPr>
        <w:t xml:space="preserve">        </w:t>
      </w:r>
    </w:p>
    <w:p>
      <w:pPr>
        <w:ind w:firstLine="0" w:firstLineChars="0"/>
        <w:jc w:val="center"/>
        <w:rPr>
          <w:rFonts w:eastAsia="黑体" w:cs="Times New Roman"/>
          <w:bCs/>
          <w:color w:val="000000" w:themeColor="text1"/>
          <w:sz w:val="32"/>
          <w:szCs w:val="32"/>
          <w:highlight w:val="none"/>
          <w14:textFill>
            <w14:solidFill>
              <w14:schemeClr w14:val="tx1"/>
            </w14:solidFill>
          </w14:textFill>
        </w:rPr>
      </w:pPr>
      <w:r>
        <w:rPr>
          <w:rFonts w:eastAsia="黑体" w:cs="Times New Roman"/>
          <w:bCs/>
          <w:color w:val="000000" w:themeColor="text1"/>
          <w:sz w:val="32"/>
          <w:szCs w:val="32"/>
          <w:highlight w:val="none"/>
          <w14:textFill>
            <w14:solidFill>
              <w14:schemeClr w14:val="tx1"/>
            </w14:solidFill>
          </w14:textFill>
        </w:rPr>
        <w:t>二〇二</w:t>
      </w:r>
      <w:r>
        <w:rPr>
          <w:rFonts w:hint="eastAsia" w:eastAsia="黑体" w:cs="Times New Roman"/>
          <w:bCs/>
          <w:color w:val="000000" w:themeColor="text1"/>
          <w:sz w:val="32"/>
          <w:szCs w:val="32"/>
          <w:highlight w:val="none"/>
          <w14:textFill>
            <w14:solidFill>
              <w14:schemeClr w14:val="tx1"/>
            </w14:solidFill>
          </w14:textFill>
        </w:rPr>
        <w:t>五</w:t>
      </w:r>
      <w:r>
        <w:rPr>
          <w:rFonts w:eastAsia="黑体" w:cs="Times New Roman"/>
          <w:bCs/>
          <w:color w:val="000000" w:themeColor="text1"/>
          <w:sz w:val="32"/>
          <w:szCs w:val="32"/>
          <w:highlight w:val="none"/>
          <w14:textFill>
            <w14:solidFill>
              <w14:schemeClr w14:val="tx1"/>
            </w14:solidFill>
          </w14:textFill>
        </w:rPr>
        <w:t>年</w:t>
      </w:r>
      <w:r>
        <w:rPr>
          <w:rFonts w:hint="eastAsia" w:eastAsia="黑体" w:cs="Times New Roman"/>
          <w:bCs/>
          <w:color w:val="000000" w:themeColor="text1"/>
          <w:sz w:val="32"/>
          <w:szCs w:val="32"/>
          <w:highlight w:val="none"/>
          <w14:textFill>
            <w14:solidFill>
              <w14:schemeClr w14:val="tx1"/>
            </w14:solidFill>
          </w14:textFill>
        </w:rPr>
        <w:t>一</w:t>
      </w:r>
      <w:r>
        <w:rPr>
          <w:rFonts w:eastAsia="黑体" w:cs="Times New Roman"/>
          <w:bCs/>
          <w:color w:val="000000" w:themeColor="text1"/>
          <w:sz w:val="32"/>
          <w:szCs w:val="32"/>
          <w:highlight w:val="none"/>
          <w14:textFill>
            <w14:solidFill>
              <w14:schemeClr w14:val="tx1"/>
            </w14:solidFill>
          </w14:textFill>
        </w:rPr>
        <w:t>月</w:t>
      </w: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562"/>
        <w:jc w:val="center"/>
        <w:rPr>
          <w:b/>
          <w:bCs/>
          <w:color w:val="000000" w:themeColor="text1"/>
          <w:sz w:val="28"/>
          <w:szCs w:val="28"/>
          <w:highlight w:val="none"/>
          <w14:textFill>
            <w14:solidFill>
              <w14:schemeClr w14:val="tx1"/>
            </w14:solidFill>
          </w14:textFill>
        </w:rPr>
      </w:pPr>
    </w:p>
    <w:p>
      <w:pPr>
        <w:ind w:firstLine="480"/>
        <w:rPr>
          <w:rFonts w:cs="Times New Roman"/>
          <w:color w:val="000000" w:themeColor="text1"/>
          <w:highlight w:val="none"/>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type w:val="nextColumn"/>
          <w:pgSz w:w="11910" w:h="16840"/>
          <w:pgMar w:top="1440" w:right="1644" w:bottom="1440" w:left="1644" w:header="1020" w:footer="964" w:gutter="0"/>
          <w:pgNumType w:fmt="upperRoman"/>
          <w:cols w:space="720" w:num="1"/>
          <w:docGrid w:linePitch="326" w:charSpace="0"/>
        </w:sectPr>
      </w:pPr>
    </w:p>
    <w:p>
      <w:pPr>
        <w:tabs>
          <w:tab w:val="left" w:pos="583"/>
        </w:tabs>
        <w:spacing w:before="240" w:beforeLines="100"/>
        <w:ind w:firstLine="608"/>
        <w:jc w:val="center"/>
        <w:rPr>
          <w:rFonts w:cs="Times New Roman"/>
          <w:b/>
          <w:bCs/>
          <w:color w:val="000000" w:themeColor="text1"/>
          <w:sz w:val="32"/>
          <w:szCs w:val="32"/>
          <w:highlight w:val="none"/>
          <w14:textFill>
            <w14:solidFill>
              <w14:schemeClr w14:val="tx1"/>
            </w14:solidFill>
          </w14:textFill>
        </w:rPr>
      </w:pPr>
      <w:r>
        <w:rPr>
          <w:rFonts w:cs="Times New Roman"/>
          <w:b/>
          <w:bCs/>
          <w:color w:val="000000" w:themeColor="text1"/>
          <w:w w:val="95"/>
          <w:sz w:val="32"/>
          <w:szCs w:val="32"/>
          <w:highlight w:val="none"/>
          <w14:textFill>
            <w14:solidFill>
              <w14:schemeClr w14:val="tx1"/>
            </w14:solidFill>
          </w14:textFill>
        </w:rPr>
        <w:t>目</w:t>
      </w:r>
      <w:r>
        <w:rPr>
          <w:rFonts w:cs="Times New Roman"/>
          <w:b/>
          <w:bCs/>
          <w:color w:val="000000" w:themeColor="text1"/>
          <w:sz w:val="32"/>
          <w:szCs w:val="32"/>
          <w:highlight w:val="none"/>
          <w14:textFill>
            <w14:solidFill>
              <w14:schemeClr w14:val="tx1"/>
            </w14:solidFill>
          </w14:textFill>
        </w:rPr>
        <w:t>录</w:t>
      </w:r>
    </w:p>
    <w:p>
      <w:pPr>
        <w:pStyle w:val="36"/>
        <w:tabs>
          <w:tab w:val="right" w:leader="dot" w:pos="8310"/>
        </w:tabs>
        <w:ind w:firstLine="480"/>
        <w:rPr>
          <w:color w:val="000000" w:themeColor="text1"/>
          <w:highlight w:val="none"/>
          <w14:textFill>
            <w14:solidFill>
              <w14:schemeClr w14:val="tx1"/>
            </w14:solidFill>
          </w14:textFill>
        </w:rPr>
      </w:pPr>
      <w:r>
        <w:rPr>
          <w:rFonts w:ascii="Times New Roman" w:hAnsi="Times New Roman"/>
          <w:color w:val="000000" w:themeColor="text1"/>
          <w:sz w:val="24"/>
          <w:szCs w:val="24"/>
          <w:highlight w:val="none"/>
          <w14:textFill>
            <w14:solidFill>
              <w14:schemeClr w14:val="tx1"/>
            </w14:solidFill>
          </w14:textFill>
        </w:rPr>
        <w:fldChar w:fldCharType="begin"/>
      </w:r>
      <w:r>
        <w:rPr>
          <w:rFonts w:ascii="Times New Roman" w:hAnsi="Times New Roman"/>
          <w:color w:val="000000" w:themeColor="text1"/>
          <w:sz w:val="24"/>
          <w:szCs w:val="24"/>
          <w:highlight w:val="none"/>
          <w14:textFill>
            <w14:solidFill>
              <w14:schemeClr w14:val="tx1"/>
            </w14:solidFill>
          </w14:textFill>
        </w:rPr>
        <w:instrText xml:space="preserve"> TOC \o "1-2" \h \z \u </w:instrText>
      </w:r>
      <w:r>
        <w:rPr>
          <w:rFonts w:ascii="Times New Roman" w:hAnsi="Times New Roman"/>
          <w:color w:val="000000" w:themeColor="text1"/>
          <w:sz w:val="24"/>
          <w:szCs w:val="24"/>
          <w:highlight w:val="none"/>
          <w14:textFill>
            <w14:solidFill>
              <w14:schemeClr w14:val="tx1"/>
            </w14:solidFill>
          </w14:textFill>
        </w:rPr>
        <w:fldChar w:fldCharType="separate"/>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"_Toc1461"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 xml:space="preserve">1、 </w:t>
      </w:r>
      <w:r>
        <w:rPr>
          <w:color w:val="000000" w:themeColor="text1"/>
          <w:highlight w:val="none"/>
          <w14:textFill>
            <w14:solidFill>
              <w14:schemeClr w14:val="tx1"/>
            </w14:solidFill>
          </w14:textFill>
        </w:rPr>
        <w:t>概述</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_Toc1461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"_Toc16252"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 xml:space="preserve">1.1 </w:t>
      </w:r>
      <w:r>
        <w:rPr>
          <w:color w:val="000000" w:themeColor="text1"/>
          <w:highlight w:val="none"/>
          <w14:textFill>
            <w14:solidFill>
              <w14:schemeClr w14:val="tx1"/>
            </w14:solidFill>
          </w14:textFill>
        </w:rPr>
        <w:t>项目背景</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_Toc16252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"_Toc3398"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 xml:space="preserve">1.2 </w:t>
      </w:r>
      <w:r>
        <w:rPr>
          <w:color w:val="000000" w:themeColor="text1"/>
          <w:highlight w:val="none"/>
          <w14:textFill>
            <w14:solidFill>
              <w14:schemeClr w14:val="tx1"/>
            </w14:solidFill>
          </w14:textFill>
        </w:rPr>
        <w:t>建设项目特点</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_Toc3398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"_Toc8893" </w:instrText>
      </w:r>
      <w:r>
        <w:rPr>
          <w:color w:val="000000" w:themeColor="text1"/>
          <w:highlight w:val="none"/>
          <w14:textFill>
            <w14:solidFill>
              <w14:schemeClr w14:val="tx1"/>
            </w14:solidFill>
          </w14:textFill>
        </w:rPr>
        <w:fldChar w:fldCharType="separate"/>
      </w:r>
      <w:r>
        <w:rPr>
          <w:rFonts w:hint="eastAsia"/>
          <w:color w:val="000000" w:themeColor="text1"/>
          <w:szCs w:val="24"/>
          <w:highlight w:val="none"/>
          <w:lang w:eastAsia="zh-CN"/>
          <w14:textFill>
            <w14:solidFill>
              <w14:schemeClr w14:val="tx1"/>
            </w14:solidFill>
          </w14:textFill>
        </w:rPr>
        <w:t xml:space="preserve">1.3 </w:t>
      </w:r>
      <w:r>
        <w:rPr>
          <w:color w:val="000000" w:themeColor="text1"/>
          <w:highlight w:val="none"/>
          <w:lang w:eastAsia="zh-CN"/>
          <w14:textFill>
            <w14:solidFill>
              <w14:schemeClr w14:val="tx1"/>
            </w14:solidFill>
          </w14:textFill>
        </w:rPr>
        <w:t>环境影响评价的工作过程</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_Toc8893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"_Toc21833"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1.4 </w:t>
      </w:r>
      <w:r>
        <w:rPr>
          <w:color w:val="000000" w:themeColor="text1"/>
          <w:highlight w:val="none"/>
          <w:lang w:eastAsia="zh-CN"/>
          <w14:textFill>
            <w14:solidFill>
              <w14:schemeClr w14:val="tx1"/>
            </w14:solidFill>
          </w14:textFill>
        </w:rPr>
        <w:t>分析判定相关情况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_Toc21833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"_Toc22146"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1.5 </w:t>
      </w:r>
      <w:r>
        <w:rPr>
          <w:color w:val="000000" w:themeColor="text1"/>
          <w:highlight w:val="none"/>
          <w:lang w:eastAsia="zh-CN"/>
          <w14:textFill>
            <w14:solidFill>
              <w14:schemeClr w14:val="tx1"/>
            </w14:solidFill>
          </w14:textFill>
        </w:rPr>
        <w:t>关注的主要环境问题</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_Toc22146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"_Toc29485"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1.6 </w:t>
      </w:r>
      <w:r>
        <w:rPr>
          <w:color w:val="000000" w:themeColor="text1"/>
          <w:highlight w:val="none"/>
          <w:lang w:eastAsia="zh-CN"/>
          <w14:textFill>
            <w14:solidFill>
              <w14:schemeClr w14:val="tx1"/>
            </w14:solidFill>
          </w14:textFill>
        </w:rPr>
        <w:t>环境影响评价的主要结论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_Toc29485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"_Toc15195"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 xml:space="preserve">2、 </w:t>
      </w:r>
      <w:r>
        <w:rPr>
          <w:color w:val="000000" w:themeColor="text1"/>
          <w:highlight w:val="none"/>
          <w14:textFill>
            <w14:solidFill>
              <w14:schemeClr w14:val="tx1"/>
            </w14:solidFill>
          </w14:textFill>
        </w:rPr>
        <w:t>总则</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_Toc15195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"_Toc19127"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2.1 </w:t>
      </w:r>
      <w:r>
        <w:rPr>
          <w:color w:val="000000" w:themeColor="text1"/>
          <w:highlight w:val="none"/>
          <w:lang w:eastAsia="zh-CN"/>
          <w14:textFill>
            <w14:solidFill>
              <w14:schemeClr w14:val="tx1"/>
            </w14:solidFill>
          </w14:textFill>
        </w:rPr>
        <w:t>评价目的</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_Toc19127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"_Toc23967"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2.2 </w:t>
      </w:r>
      <w:r>
        <w:rPr>
          <w:color w:val="000000" w:themeColor="text1"/>
          <w:highlight w:val="none"/>
          <w:lang w:eastAsia="zh-CN"/>
          <w14:textFill>
            <w14:solidFill>
              <w14:schemeClr w14:val="tx1"/>
            </w14:solidFill>
          </w14:textFill>
        </w:rPr>
        <w:t>评价原则</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_Toc23967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"_Toc14305"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2.3 </w:t>
      </w:r>
      <w:r>
        <w:rPr>
          <w:color w:val="000000" w:themeColor="text1"/>
          <w:highlight w:val="none"/>
          <w:lang w:eastAsia="zh-CN"/>
          <w14:textFill>
            <w14:solidFill>
              <w14:schemeClr w14:val="tx1"/>
            </w14:solidFill>
          </w14:textFill>
        </w:rPr>
        <w:t>编制依据</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_Toc14305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"_Toc11870"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2.4 </w:t>
      </w:r>
      <w:r>
        <w:rPr>
          <w:color w:val="000000" w:themeColor="text1"/>
          <w:highlight w:val="none"/>
          <w:lang w:eastAsia="zh-CN"/>
          <w14:textFill>
            <w14:solidFill>
              <w14:schemeClr w14:val="tx1"/>
            </w14:solidFill>
          </w14:textFill>
        </w:rPr>
        <w:t>环境影响识别与评价因子筛选</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_Toc11870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"_Toc16527"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2.5 </w:t>
      </w:r>
      <w:r>
        <w:rPr>
          <w:color w:val="000000" w:themeColor="text1"/>
          <w:highlight w:val="none"/>
          <w:lang w:eastAsia="zh-CN"/>
          <w14:textFill>
            <w14:solidFill>
              <w14:schemeClr w14:val="tx1"/>
            </w14:solidFill>
          </w14:textFill>
        </w:rPr>
        <w:t>环境功能区划与评价标准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_Toc16527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"_Toc22707"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2.6 </w:t>
      </w:r>
      <w:r>
        <w:rPr>
          <w:color w:val="000000" w:themeColor="text1"/>
          <w:highlight w:val="none"/>
          <w:lang w:eastAsia="zh-CN"/>
          <w14:textFill>
            <w14:solidFill>
              <w14:schemeClr w14:val="tx1"/>
            </w14:solidFill>
          </w14:textFill>
        </w:rPr>
        <w:t>评价工作等级和评价范围</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_Toc22707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"_Toc21775"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2.7 </w:t>
      </w:r>
      <w:r>
        <w:rPr>
          <w:color w:val="000000" w:themeColor="text1"/>
          <w:highlight w:val="none"/>
          <w:lang w:eastAsia="zh-CN"/>
          <w14:textFill>
            <w14:solidFill>
              <w14:schemeClr w14:val="tx1"/>
            </w14:solidFill>
          </w14:textFill>
        </w:rPr>
        <w:t>相关政策、规范符合性分析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_Toc21775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"_Toc16080" </w:instrText>
      </w:r>
      <w:r>
        <w:rPr>
          <w:color w:val="000000" w:themeColor="text1"/>
          <w:highlight w:val="none"/>
          <w14:textFill>
            <w14:solidFill>
              <w14:schemeClr w14:val="tx1"/>
            </w14:solidFill>
          </w14:textFill>
        </w:rPr>
        <w:fldChar w:fldCharType="separate"/>
      </w:r>
      <w:r>
        <w:rPr>
          <w:rFonts w:hint="eastAsia"/>
          <w:color w:val="000000" w:themeColor="text1"/>
          <w:szCs w:val="26"/>
          <w:highlight w:val="none"/>
          <w:lang w:eastAsia="zh-CN"/>
          <w14:textFill>
            <w14:solidFill>
              <w14:schemeClr w14:val="tx1"/>
            </w14:solidFill>
          </w14:textFill>
        </w:rPr>
        <w:t xml:space="preserve">2.8 </w:t>
      </w:r>
      <w:r>
        <w:rPr>
          <w:color w:val="000000" w:themeColor="text1"/>
          <w:highlight w:val="none"/>
          <w:lang w:eastAsia="zh-CN"/>
          <w14:textFill>
            <w14:solidFill>
              <w14:schemeClr w14:val="tx1"/>
            </w14:solidFill>
          </w14:textFill>
        </w:rPr>
        <w:t>评价内容及时段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_Toc16080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"_Toc7555"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2.9 </w:t>
      </w:r>
      <w:r>
        <w:rPr>
          <w:color w:val="000000" w:themeColor="text1"/>
          <w:highlight w:val="none"/>
          <w:lang w:eastAsia="zh-CN"/>
          <w14:textFill>
            <w14:solidFill>
              <w14:schemeClr w14:val="tx1"/>
            </w14:solidFill>
          </w14:textFill>
        </w:rPr>
        <w:t>环境保护目标</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_Toc7555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"_Toc17463"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2.10 </w:t>
      </w:r>
      <w:r>
        <w:rPr>
          <w:color w:val="000000" w:themeColor="text1"/>
          <w:highlight w:val="none"/>
          <w:lang w:eastAsia="zh-CN"/>
          <w14:textFill>
            <w14:solidFill>
              <w14:schemeClr w14:val="tx1"/>
            </w14:solidFill>
          </w14:textFill>
        </w:rPr>
        <w:t>工程方案的合理性分析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_Toc17463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"_Toc929"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3、 </w:t>
      </w:r>
      <w:r>
        <w:rPr>
          <w:color w:val="000000" w:themeColor="text1"/>
          <w:highlight w:val="none"/>
          <w:lang w:eastAsia="zh-CN"/>
          <w14:textFill>
            <w14:solidFill>
              <w14:schemeClr w14:val="tx1"/>
            </w14:solidFill>
          </w14:textFill>
        </w:rPr>
        <w:t>工程分析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_Toc929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"_Toc30466" </w:instrText>
      </w:r>
      <w:r>
        <w:rPr>
          <w:color w:val="000000" w:themeColor="text1"/>
          <w:highlight w:val="none"/>
          <w14:textFill>
            <w14:solidFill>
              <w14:schemeClr w14:val="tx1"/>
            </w14:solidFill>
          </w14:textFill>
        </w:rPr>
        <w:fldChar w:fldCharType="separate"/>
      </w:r>
      <w:r>
        <w:rPr>
          <w:rFonts w:hint="eastAsia"/>
          <w:color w:val="000000" w:themeColor="text1"/>
          <w:szCs w:val="24"/>
          <w:highlight w:val="none"/>
          <w:lang w:eastAsia="zh-CN"/>
          <w14:textFill>
            <w14:solidFill>
              <w14:schemeClr w14:val="tx1"/>
            </w14:solidFill>
          </w14:textFill>
        </w:rPr>
        <w:t>3.1 依托</w:t>
      </w:r>
      <w:r>
        <w:rPr>
          <w:color w:val="000000" w:themeColor="text1"/>
          <w:szCs w:val="24"/>
          <w:highlight w:val="none"/>
          <w:lang w:eastAsia="zh-CN"/>
          <w14:textFill>
            <w14:solidFill>
              <w14:schemeClr w14:val="tx1"/>
            </w14:solidFill>
          </w14:textFill>
        </w:rPr>
        <w:t>工程建设情况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_Toc30466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"_Toc25455"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3.2 </w:t>
      </w:r>
      <w:r>
        <w:rPr>
          <w:color w:val="000000" w:themeColor="text1"/>
          <w:highlight w:val="none"/>
          <w:lang w:eastAsia="zh-CN"/>
          <w14:textFill>
            <w14:solidFill>
              <w14:schemeClr w14:val="tx1"/>
            </w14:solidFill>
          </w14:textFill>
        </w:rPr>
        <w:t>项目概况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_Toc25455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"_Toc30763"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3.3 </w:t>
      </w:r>
      <w:r>
        <w:rPr>
          <w:color w:val="000000" w:themeColor="text1"/>
          <w:highlight w:val="none"/>
          <w:lang w:eastAsia="zh-CN"/>
          <w14:textFill>
            <w14:solidFill>
              <w14:schemeClr w14:val="tx1"/>
            </w14:solidFill>
          </w14:textFill>
        </w:rPr>
        <w:t>建设项目工程分析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_Toc30763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"_Toc25315"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3.4 </w:t>
      </w:r>
      <w:r>
        <w:rPr>
          <w:color w:val="000000" w:themeColor="text1"/>
          <w:highlight w:val="none"/>
          <w:lang w:eastAsia="zh-CN"/>
          <w14:textFill>
            <w14:solidFill>
              <w14:schemeClr w14:val="tx1"/>
            </w14:solidFill>
          </w14:textFill>
        </w:rPr>
        <w:t>污染源源强核算</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_Toc25315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175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"_Toc12182"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4、 </w:t>
      </w:r>
      <w:r>
        <w:rPr>
          <w:color w:val="000000" w:themeColor="text1"/>
          <w:highlight w:val="none"/>
          <w:lang w:eastAsia="zh-CN"/>
          <w14:textFill>
            <w14:solidFill>
              <w14:schemeClr w14:val="tx1"/>
            </w14:solidFill>
          </w14:textFill>
        </w:rPr>
        <w:t>环境现状调查与评价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_Toc12182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197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"_Toc14159"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4.1 </w:t>
      </w:r>
      <w:r>
        <w:rPr>
          <w:color w:val="000000" w:themeColor="text1"/>
          <w:highlight w:val="none"/>
          <w:lang w:eastAsia="zh-CN"/>
          <w14:textFill>
            <w14:solidFill>
              <w14:schemeClr w14:val="tx1"/>
            </w14:solidFill>
          </w14:textFill>
        </w:rPr>
        <w:t>自然环境现状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_Toc14159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197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"_Toc6884"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4.2 </w:t>
      </w:r>
      <w:r>
        <w:rPr>
          <w:color w:val="000000" w:themeColor="text1"/>
          <w:highlight w:val="none"/>
          <w:lang w:eastAsia="zh-CN"/>
          <w14:textFill>
            <w14:solidFill>
              <w14:schemeClr w14:val="tx1"/>
            </w14:solidFill>
          </w14:textFill>
        </w:rPr>
        <w:t>环境质量现状评价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_Toc6884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201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"_Toc6675"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4.3 </w:t>
      </w:r>
      <w:r>
        <w:rPr>
          <w:color w:val="000000" w:themeColor="text1"/>
          <w:highlight w:val="none"/>
          <w:lang w:eastAsia="zh-CN"/>
          <w14:textFill>
            <w14:solidFill>
              <w14:schemeClr w14:val="tx1"/>
            </w14:solidFill>
          </w14:textFill>
        </w:rPr>
        <w:t>生态环境调查与评价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_Toc6675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215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"_Toc4142"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5、 </w:t>
      </w:r>
      <w:r>
        <w:rPr>
          <w:color w:val="000000" w:themeColor="text1"/>
          <w:highlight w:val="none"/>
          <w:lang w:eastAsia="zh-CN"/>
          <w14:textFill>
            <w14:solidFill>
              <w14:schemeClr w14:val="tx1"/>
            </w14:solidFill>
          </w14:textFill>
        </w:rPr>
        <w:t>环境影响预测与评价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_Toc4142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"_Toc16022"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5.1 </w:t>
      </w:r>
      <w:r>
        <w:rPr>
          <w:color w:val="000000" w:themeColor="text1"/>
          <w:highlight w:val="none"/>
          <w:lang w:eastAsia="zh-CN"/>
          <w14:textFill>
            <w14:solidFill>
              <w14:schemeClr w14:val="tx1"/>
            </w14:solidFill>
          </w14:textFill>
        </w:rPr>
        <w:t>施工期环境影响分析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_Toc16022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"_Toc32288"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5.2 </w:t>
      </w:r>
      <w:r>
        <w:rPr>
          <w:color w:val="000000" w:themeColor="text1"/>
          <w:highlight w:val="none"/>
          <w:lang w:eastAsia="zh-CN"/>
          <w14:textFill>
            <w14:solidFill>
              <w14:schemeClr w14:val="tx1"/>
            </w14:solidFill>
          </w14:textFill>
        </w:rPr>
        <w:t>试采期环境影响分析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_Toc32288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282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"_Toc10354"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5.3 </w:t>
      </w:r>
      <w:r>
        <w:rPr>
          <w:color w:val="000000" w:themeColor="text1"/>
          <w:highlight w:val="none"/>
          <w:lang w:eastAsia="zh-CN"/>
          <w14:textFill>
            <w14:solidFill>
              <w14:schemeClr w14:val="tx1"/>
            </w14:solidFill>
          </w14:textFill>
        </w:rPr>
        <w:t>地下水环境影响分析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_Toc10354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289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"_Toc26840"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6、 </w:t>
      </w:r>
      <w:r>
        <w:rPr>
          <w:color w:val="000000" w:themeColor="text1"/>
          <w:highlight w:val="none"/>
          <w:lang w:eastAsia="zh-CN"/>
          <w14:textFill>
            <w14:solidFill>
              <w14:schemeClr w14:val="tx1"/>
            </w14:solidFill>
          </w14:textFill>
        </w:rPr>
        <w:t>环境</w:t>
      </w:r>
      <w:r>
        <w:rPr>
          <w:rFonts w:hint="eastAsia"/>
          <w:color w:val="000000" w:themeColor="text1"/>
          <w:highlight w:val="none"/>
          <w:lang w:val="en-US" w:eastAsia="zh-CN"/>
          <w14:textFill>
            <w14:solidFill>
              <w14:schemeClr w14:val="tx1"/>
            </w14:solidFill>
          </w14:textFill>
        </w:rPr>
        <w:t>风险评价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_Toc26840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"_Toc28251"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6.1 </w:t>
      </w:r>
      <w:r>
        <w:rPr>
          <w:color w:val="000000" w:themeColor="text1"/>
          <w:highlight w:val="none"/>
          <w:lang w:eastAsia="zh-CN"/>
          <w14:textFill>
            <w14:solidFill>
              <w14:schemeClr w14:val="tx1"/>
            </w14:solidFill>
          </w14:textFill>
        </w:rPr>
        <w:t>评价依据</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_Toc28251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309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"_Toc12796"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6.2 </w:t>
      </w:r>
      <w:r>
        <w:rPr>
          <w:color w:val="000000" w:themeColor="text1"/>
          <w:highlight w:val="none"/>
          <w:lang w:eastAsia="zh-CN"/>
          <w14:textFill>
            <w14:solidFill>
              <w14:schemeClr w14:val="tx1"/>
            </w14:solidFill>
          </w14:textFill>
        </w:rPr>
        <w:t>环境敏感目标概况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_Toc12796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"_Toc12809"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6.3 </w:t>
      </w:r>
      <w:r>
        <w:rPr>
          <w:color w:val="000000" w:themeColor="text1"/>
          <w:highlight w:val="none"/>
          <w:lang w:eastAsia="zh-CN"/>
          <w14:textFill>
            <w14:solidFill>
              <w14:schemeClr w14:val="tx1"/>
            </w14:solidFill>
          </w14:textFill>
        </w:rPr>
        <w:t>环境风险识别</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_Toc12809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"_Toc15047"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6.4 </w:t>
      </w:r>
      <w:r>
        <w:rPr>
          <w:color w:val="000000" w:themeColor="text1"/>
          <w:highlight w:val="none"/>
          <w:lang w:eastAsia="zh-CN"/>
          <w14:textFill>
            <w14:solidFill>
              <w14:schemeClr w14:val="tx1"/>
            </w14:solidFill>
          </w14:textFill>
        </w:rPr>
        <w:t>环境风险分析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_Toc15047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"_Toc2256"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6.5 </w:t>
      </w:r>
      <w:r>
        <w:rPr>
          <w:color w:val="000000" w:themeColor="text1"/>
          <w:highlight w:val="none"/>
          <w:lang w:eastAsia="zh-CN"/>
          <w14:textFill>
            <w14:solidFill>
              <w14:schemeClr w14:val="tx1"/>
            </w14:solidFill>
          </w14:textFill>
        </w:rPr>
        <w:t>环境风险防范措施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_Toc2256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"_Toc7448"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6.6 </w:t>
      </w:r>
      <w:r>
        <w:rPr>
          <w:color w:val="000000" w:themeColor="text1"/>
          <w:highlight w:val="none"/>
          <w:lang w:eastAsia="zh-CN"/>
          <w14:textFill>
            <w14:solidFill>
              <w14:schemeClr w14:val="tx1"/>
            </w14:solidFill>
          </w14:textFill>
        </w:rPr>
        <w:t>应急措施</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_Toc7448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"_Toc32644"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6.7 </w:t>
      </w:r>
      <w:r>
        <w:rPr>
          <w:color w:val="000000" w:themeColor="text1"/>
          <w:highlight w:val="none"/>
          <w:lang w:eastAsia="zh-CN"/>
          <w14:textFill>
            <w14:solidFill>
              <w14:schemeClr w14:val="tx1"/>
            </w14:solidFill>
          </w14:textFill>
        </w:rPr>
        <w:t>分析结论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_Toc32644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"_Toc27428"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7、 </w:t>
      </w:r>
      <w:r>
        <w:rPr>
          <w:color w:val="000000" w:themeColor="text1"/>
          <w:highlight w:val="none"/>
          <w:lang w:eastAsia="zh-CN"/>
          <w14:textFill>
            <w14:solidFill>
              <w14:schemeClr w14:val="tx1"/>
            </w14:solidFill>
          </w14:textFill>
        </w:rPr>
        <w:t>环境保护措施及其可行性论证</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_Toc27428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"_Toc23947"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7.1 </w:t>
      </w:r>
      <w:r>
        <w:rPr>
          <w:color w:val="000000" w:themeColor="text1"/>
          <w:highlight w:val="none"/>
          <w:lang w:eastAsia="zh-CN"/>
          <w14:textFill>
            <w14:solidFill>
              <w14:schemeClr w14:val="tx1"/>
            </w14:solidFill>
          </w14:textFill>
        </w:rPr>
        <w:t>施工期环境保护措施及可行性分析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_Toc23947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377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"_Toc23726"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7.2 </w:t>
      </w:r>
      <w:r>
        <w:rPr>
          <w:color w:val="000000" w:themeColor="text1"/>
          <w:highlight w:val="none"/>
          <w:lang w:eastAsia="zh-CN"/>
          <w14:textFill>
            <w14:solidFill>
              <w14:schemeClr w14:val="tx1"/>
            </w14:solidFill>
          </w14:textFill>
        </w:rPr>
        <w:t>试采期环境保护措施及可行性分析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_Toc23726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414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"_Toc14763"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7.3 项目完工及试采结束</w:t>
      </w:r>
      <w:r>
        <w:rPr>
          <w:color w:val="000000" w:themeColor="text1"/>
          <w:highlight w:val="none"/>
          <w:lang w:eastAsia="zh-CN"/>
          <w14:textFill>
            <w14:solidFill>
              <w14:schemeClr w14:val="tx1"/>
            </w14:solidFill>
          </w14:textFill>
        </w:rPr>
        <w:t>后环境保护措施及可行性分析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_Toc14763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417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"_Toc13844"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8、 </w:t>
      </w:r>
      <w:r>
        <w:rPr>
          <w:color w:val="000000" w:themeColor="text1"/>
          <w:highlight w:val="none"/>
          <w:lang w:eastAsia="zh-CN"/>
          <w14:textFill>
            <w14:solidFill>
              <w14:schemeClr w14:val="tx1"/>
            </w14:solidFill>
          </w14:textFill>
        </w:rPr>
        <w:t>环境影响经济损益分析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_Toc13844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419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"_Toc11322"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8.1 </w:t>
      </w:r>
      <w:r>
        <w:rPr>
          <w:color w:val="000000" w:themeColor="text1"/>
          <w:highlight w:val="none"/>
          <w:lang w:eastAsia="zh-CN"/>
          <w14:textFill>
            <w14:solidFill>
              <w14:schemeClr w14:val="tx1"/>
            </w14:solidFill>
          </w14:textFill>
        </w:rPr>
        <w:t>环保投资估算</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_Toc11322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419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"_Toc9691"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8.2 “三效益”</w:t>
      </w:r>
      <w:r>
        <w:rPr>
          <w:color w:val="000000" w:themeColor="text1"/>
          <w:highlight w:val="none"/>
          <w:lang w:eastAsia="zh-CN"/>
          <w14:textFill>
            <w14:solidFill>
              <w14:schemeClr w14:val="tx1"/>
            </w14:solidFill>
          </w14:textFill>
        </w:rPr>
        <w:t>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_Toc9691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"_Toc13164"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8.3 </w:t>
      </w:r>
      <w:r>
        <w:rPr>
          <w:color w:val="000000" w:themeColor="text1"/>
          <w:highlight w:val="none"/>
          <w:lang w:eastAsia="zh-CN"/>
          <w14:textFill>
            <w14:solidFill>
              <w14:schemeClr w14:val="tx1"/>
            </w14:solidFill>
          </w14:textFill>
        </w:rPr>
        <w:t>环境经济损益分析结论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_Toc13164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"_Toc21023"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9、 </w:t>
      </w:r>
      <w:r>
        <w:rPr>
          <w:color w:val="000000" w:themeColor="text1"/>
          <w:highlight w:val="none"/>
          <w:lang w:eastAsia="zh-CN"/>
          <w14:textFill>
            <w14:solidFill>
              <w14:schemeClr w14:val="tx1"/>
            </w14:solidFill>
          </w14:textFill>
        </w:rPr>
        <w:t>清洁生产</w:t>
      </w:r>
      <w:r>
        <w:rPr>
          <w:rFonts w:hint="eastAsia"/>
          <w:color w:val="000000" w:themeColor="text1"/>
          <w:highlight w:val="none"/>
          <w:lang w:eastAsia="zh-CN"/>
          <w14:textFill>
            <w14:solidFill>
              <w14:schemeClr w14:val="tx1"/>
            </w14:solidFill>
          </w14:textFill>
        </w:rPr>
        <w:t>、</w:t>
      </w:r>
      <w:r>
        <w:rPr>
          <w:color w:val="000000" w:themeColor="text1"/>
          <w:highlight w:val="none"/>
          <w:lang w:eastAsia="zh-CN"/>
          <w14:textFill>
            <w14:solidFill>
              <w14:schemeClr w14:val="tx1"/>
            </w14:solidFill>
          </w14:textFill>
        </w:rPr>
        <w:t>总量控制</w:t>
      </w:r>
      <w:r>
        <w:rPr>
          <w:rFonts w:hint="eastAsia"/>
          <w:color w:val="000000" w:themeColor="text1"/>
          <w:highlight w:val="none"/>
          <w14:textFill>
            <w14:solidFill>
              <w14:schemeClr w14:val="tx1"/>
            </w14:solidFill>
          </w14:textFill>
        </w:rPr>
        <w:t>及碳排放</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_Toc21023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"_Toc22968"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9.1 </w:t>
      </w:r>
      <w:r>
        <w:rPr>
          <w:color w:val="000000" w:themeColor="text1"/>
          <w:highlight w:val="none"/>
          <w:lang w:eastAsia="zh-CN"/>
          <w14:textFill>
            <w14:solidFill>
              <w14:schemeClr w14:val="tx1"/>
            </w14:solidFill>
          </w14:textFill>
        </w:rPr>
        <w:t>清洁生产分析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_Toc22968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"_Toc6259"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9.2 </w:t>
      </w:r>
      <w:r>
        <w:rPr>
          <w:color w:val="000000" w:themeColor="text1"/>
          <w:highlight w:val="none"/>
          <w:lang w:eastAsia="zh-CN"/>
          <w14:textFill>
            <w14:solidFill>
              <w14:schemeClr w14:val="tx1"/>
            </w14:solidFill>
          </w14:textFill>
        </w:rPr>
        <w:t>总量控制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_Toc6259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"_Toc10909"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9.3 碳排放建议</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_Toc10909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"_Toc23613"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10、 </w:t>
      </w:r>
      <w:r>
        <w:rPr>
          <w:color w:val="000000" w:themeColor="text1"/>
          <w:highlight w:val="none"/>
          <w:lang w:eastAsia="zh-CN"/>
          <w14:textFill>
            <w14:solidFill>
              <w14:schemeClr w14:val="tx1"/>
            </w14:solidFill>
          </w14:textFill>
        </w:rPr>
        <w:t>环境管理与环境监测</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_Toc23613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"_Toc21873"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10.1 </w:t>
      </w:r>
      <w:r>
        <w:rPr>
          <w:color w:val="000000" w:themeColor="text1"/>
          <w:highlight w:val="none"/>
          <w:lang w:eastAsia="zh-CN"/>
          <w14:textFill>
            <w14:solidFill>
              <w14:schemeClr w14:val="tx1"/>
            </w14:solidFill>
          </w14:textFill>
        </w:rPr>
        <w:t>环境管理</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_Toc21873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"_Toc11338"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10.2 </w:t>
      </w:r>
      <w:r>
        <w:rPr>
          <w:color w:val="000000" w:themeColor="text1"/>
          <w:highlight w:val="none"/>
          <w:lang w:eastAsia="zh-CN"/>
          <w14:textFill>
            <w14:solidFill>
              <w14:schemeClr w14:val="tx1"/>
            </w14:solidFill>
          </w14:textFill>
        </w:rPr>
        <w:t>污染物排放清单</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_Toc11338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"_Toc2757"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10.3 </w:t>
      </w:r>
      <w:r>
        <w:rPr>
          <w:color w:val="000000" w:themeColor="text1"/>
          <w:highlight w:val="none"/>
          <w:lang w:eastAsia="zh-CN"/>
          <w14:textFill>
            <w14:solidFill>
              <w14:schemeClr w14:val="tx1"/>
            </w14:solidFill>
          </w14:textFill>
        </w:rPr>
        <w:t>环境监测</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_Toc2757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"_Toc4934"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10.4 </w:t>
      </w:r>
      <w:r>
        <w:rPr>
          <w:color w:val="000000" w:themeColor="text1"/>
          <w:highlight w:val="none"/>
          <w:lang w:eastAsia="zh-CN"/>
          <w14:textFill>
            <w14:solidFill>
              <w14:schemeClr w14:val="tx1"/>
            </w14:solidFill>
          </w14:textFill>
        </w:rPr>
        <w:t>排污许可申请</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_Toc4934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"_Toc4038"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10.5 </w:t>
      </w:r>
      <w:r>
        <w:rPr>
          <w:color w:val="000000" w:themeColor="text1"/>
          <w:highlight w:val="none"/>
          <w:lang w:eastAsia="zh-CN"/>
          <w14:textFill>
            <w14:solidFill>
              <w14:schemeClr w14:val="tx1"/>
            </w14:solidFill>
          </w14:textFill>
        </w:rPr>
        <w:t>竣工</w:t>
      </w:r>
      <w:r>
        <w:rPr>
          <w:rFonts w:hint="eastAsia"/>
          <w:color w:val="000000" w:themeColor="text1"/>
          <w:highlight w:val="none"/>
          <w:lang w:eastAsia="zh-CN"/>
          <w14:textFill>
            <w14:solidFill>
              <w14:schemeClr w14:val="tx1"/>
            </w14:solidFill>
          </w14:textFill>
        </w:rPr>
        <w:t>环境保护</w:t>
      </w:r>
      <w:r>
        <w:rPr>
          <w:color w:val="000000" w:themeColor="text1"/>
          <w:highlight w:val="none"/>
          <w:lang w:eastAsia="zh-CN"/>
          <w14:textFill>
            <w14:solidFill>
              <w14:schemeClr w14:val="tx1"/>
            </w14:solidFill>
          </w14:textFill>
        </w:rPr>
        <w:t>验收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_Toc4038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36"/>
        <w:tabs>
          <w:tab w:val="right" w:leader="dot" w:pos="8310"/>
        </w:tabs>
        <w:ind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"_Toc23884"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 </w:t>
      </w:r>
      <w:r>
        <w:rPr>
          <w:color w:val="000000" w:themeColor="text1"/>
          <w:highlight w:val="none"/>
          <w:lang w:eastAsia="zh-CN"/>
          <w14:textFill>
            <w14:solidFill>
              <w14:schemeClr w14:val="tx1"/>
            </w14:solidFill>
          </w14:textFill>
        </w:rPr>
        <w:t>结论与建议</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_Toc23884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"_Toc12359"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11.1 </w:t>
      </w:r>
      <w:r>
        <w:rPr>
          <w:color w:val="000000" w:themeColor="text1"/>
          <w:highlight w:val="none"/>
          <w:lang w:eastAsia="zh-CN"/>
          <w14:textFill>
            <w14:solidFill>
              <w14:schemeClr w14:val="tx1"/>
            </w14:solidFill>
          </w14:textFill>
        </w:rPr>
        <w:t>项目概况</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_Toc12359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"_Toc22591"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11.2 </w:t>
      </w:r>
      <w:r>
        <w:rPr>
          <w:color w:val="000000" w:themeColor="text1"/>
          <w:highlight w:val="none"/>
          <w:lang w:eastAsia="zh-CN"/>
          <w14:textFill>
            <w14:solidFill>
              <w14:schemeClr w14:val="tx1"/>
            </w14:solidFill>
          </w14:textFill>
        </w:rPr>
        <w:t>环境质量现状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_Toc22591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"_Toc7568"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11.3 </w:t>
      </w:r>
      <w:r>
        <w:rPr>
          <w:color w:val="000000" w:themeColor="text1"/>
          <w:highlight w:val="none"/>
          <w:lang w:eastAsia="zh-CN"/>
          <w14:textFill>
            <w14:solidFill>
              <w14:schemeClr w14:val="tx1"/>
            </w14:solidFill>
          </w14:textFill>
        </w:rPr>
        <w:t>项目产业政策符合性分析与选址合理性分析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_Toc7568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"_Toc30239"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11.4 </w:t>
      </w:r>
      <w:r>
        <w:rPr>
          <w:color w:val="000000" w:themeColor="text1"/>
          <w:highlight w:val="none"/>
          <w:lang w:eastAsia="zh-CN"/>
          <w14:textFill>
            <w14:solidFill>
              <w14:schemeClr w14:val="tx1"/>
            </w14:solidFill>
          </w14:textFill>
        </w:rPr>
        <w:t>环境影响评价结论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_Toc30239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"_Toc4702"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11.5 </w:t>
      </w:r>
      <w:r>
        <w:rPr>
          <w:color w:val="000000" w:themeColor="text1"/>
          <w:highlight w:val="none"/>
          <w:lang w:eastAsia="zh-CN"/>
          <w14:textFill>
            <w14:solidFill>
              <w14:schemeClr w14:val="tx1"/>
            </w14:solidFill>
          </w14:textFill>
        </w:rPr>
        <w:t>环境风险分析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_Toc4702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441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"_Toc11660"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11.6 </w:t>
      </w:r>
      <w:r>
        <w:rPr>
          <w:color w:val="000000" w:themeColor="text1"/>
          <w:highlight w:val="none"/>
          <w:lang w:eastAsia="zh-CN"/>
          <w14:textFill>
            <w14:solidFill>
              <w14:schemeClr w14:val="tx1"/>
            </w14:solidFill>
          </w14:textFill>
        </w:rPr>
        <w:t>清洁生产和总量控制</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_Toc11660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441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"_Toc10035"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11.7 </w:t>
      </w:r>
      <w:r>
        <w:rPr>
          <w:color w:val="000000" w:themeColor="text1"/>
          <w:highlight w:val="none"/>
          <w:lang w:eastAsia="zh-CN"/>
          <w14:textFill>
            <w14:solidFill>
              <w14:schemeClr w14:val="tx1"/>
            </w14:solidFill>
          </w14:textFill>
        </w:rPr>
        <w:t>环境经济损益分析</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_Toc10035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441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"_Toc18391"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11.8 </w:t>
      </w:r>
      <w:r>
        <w:rPr>
          <w:color w:val="000000" w:themeColor="text1"/>
          <w:highlight w:val="none"/>
          <w:lang w:eastAsia="zh-CN"/>
          <w14:textFill>
            <w14:solidFill>
              <w14:schemeClr w14:val="tx1"/>
            </w14:solidFill>
          </w14:textFill>
        </w:rPr>
        <w:t>公众参与调查结论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_Toc18391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441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"_Toc12175"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11.9 </w:t>
      </w:r>
      <w:r>
        <w:rPr>
          <w:color w:val="000000" w:themeColor="text1"/>
          <w:highlight w:val="none"/>
          <w:lang w:eastAsia="zh-CN"/>
          <w14:textFill>
            <w14:solidFill>
              <w14:schemeClr w14:val="tx1"/>
            </w14:solidFill>
          </w14:textFill>
        </w:rPr>
        <w:t>评价总结论</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_Toc12175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pStyle w:val="44"/>
        <w:tabs>
          <w:tab w:val="right" w:leader="dot" w:pos="8310"/>
        </w:tabs>
        <w:ind w:left="480" w:firstLine="44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\l "_Toc1070" </w:instrText>
      </w:r>
      <w:r>
        <w:rPr>
          <w:color w:val="000000" w:themeColor="text1"/>
          <w:highlight w:val="none"/>
          <w14:textFill>
            <w14:solidFill>
              <w14:schemeClr w14:val="tx1"/>
            </w14:solidFill>
          </w14:textFill>
        </w:rPr>
        <w:fldChar w:fldCharType="separate"/>
      </w:r>
      <w:r>
        <w:rPr>
          <w:rFonts w:hint="eastAsia"/>
          <w:color w:val="000000" w:themeColor="text1"/>
          <w:highlight w:val="none"/>
          <w:lang w:eastAsia="zh-CN"/>
          <w14:textFill>
            <w14:solidFill>
              <w14:schemeClr w14:val="tx1"/>
            </w14:solidFill>
          </w14:textFill>
        </w:rPr>
        <w:t xml:space="preserve">11.10 </w:t>
      </w:r>
      <w:r>
        <w:rPr>
          <w:color w:val="000000" w:themeColor="text1"/>
          <w:highlight w:val="none"/>
          <w:lang w:eastAsia="zh-CN"/>
          <w14:textFill>
            <w14:solidFill>
              <w14:schemeClr w14:val="tx1"/>
            </w14:solidFill>
          </w14:textFill>
        </w:rPr>
        <w:t>建议</w:t>
      </w:r>
      <w:r>
        <w:rPr>
          <w:color w:val="000000" w:themeColor="text1"/>
          <w:highlight w:val="none"/>
          <w14:textFill>
            <w14:solidFill>
              <w14:schemeClr w14:val="tx1"/>
            </w14:solidFill>
          </w14:textFill>
        </w:rPr>
        <w:tab/>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PAGEREF _Toc1070 \h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fldChar w:fldCharType="end"/>
      </w:r>
    </w:p>
    <w:p>
      <w:pPr>
        <w:tabs>
          <w:tab w:val="left" w:pos="583"/>
        </w:tabs>
        <w:ind w:firstLine="480"/>
        <w:rPr>
          <w:rFonts w:eastAsia="黑体"/>
          <w:color w:val="000000" w:themeColor="text1"/>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fldChar w:fldCharType="end"/>
      </w:r>
      <w:bookmarkStart w:id="2" w:name="_Toc41290497"/>
      <w:bookmarkStart w:id="3" w:name="_Hlk51679438"/>
      <w:r>
        <w:rPr>
          <w:rFonts w:eastAsia="黑体"/>
          <w:color w:val="000000" w:themeColor="text1"/>
          <w:highlight w:val="none"/>
          <w14:textFill>
            <w14:solidFill>
              <w14:schemeClr w14:val="tx1"/>
            </w14:solidFill>
          </w14:textFill>
        </w:rPr>
        <w:t>附表</w:t>
      </w:r>
      <w:bookmarkEnd w:id="2"/>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bookmarkStart w:id="4" w:name="_Toc41290498"/>
      <w:r>
        <w:rPr>
          <w:rFonts w:ascii="Times New Roman" w:hAnsi="Times New Roman"/>
          <w:color w:val="000000" w:themeColor="text1"/>
          <w:highlight w:val="none"/>
          <w:lang w:eastAsia="zh-CN"/>
          <w14:textFill>
            <w14:solidFill>
              <w14:schemeClr w14:val="tx1"/>
            </w14:solidFill>
          </w14:textFill>
        </w:rPr>
        <w:t>附表</w:t>
      </w:r>
      <w:r>
        <w:rPr>
          <w:rFonts w:hint="eastAsia" w:ascii="Times New Roman" w:hAnsi="Times New Roman"/>
          <w:color w:val="000000" w:themeColor="text1"/>
          <w:highlight w:val="none"/>
          <w:lang w:eastAsia="zh-CN"/>
          <w14:textFill>
            <w14:solidFill>
              <w14:schemeClr w14:val="tx1"/>
            </w14:solidFill>
          </w14:textFill>
        </w:rPr>
        <w:t>1</w:t>
      </w:r>
      <w:r>
        <w:rPr>
          <w:rFonts w:ascii="Times New Roman" w:hAnsi="Times New Roman"/>
          <w:color w:val="000000" w:themeColor="text1"/>
          <w:highlight w:val="none"/>
          <w:lang w:eastAsia="zh-CN"/>
          <w14:textFill>
            <w14:solidFill>
              <w14:schemeClr w14:val="tx1"/>
            </w14:solidFill>
          </w14:textFill>
        </w:rPr>
        <w:t>大气环境影响评价自查表</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附表2 地表水环境影响评价自查表</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附表3 土壤环境影响评价自查表</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附表4 环境风险评价自查表</w:t>
      </w:r>
      <w:r>
        <w:rPr>
          <w:rFonts w:hint="eastAsia" w:ascii="Times New Roman" w:hAnsi="Times New Roman"/>
          <w:color w:val="000000" w:themeColor="text1"/>
          <w:highlight w:val="none"/>
          <w:lang w:eastAsia="zh-CN"/>
          <w14:textFill>
            <w14:solidFill>
              <w14:schemeClr w14:val="tx1"/>
            </w14:solidFill>
          </w14:textFill>
        </w:rPr>
        <w:t>“</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附表</w:t>
      </w:r>
      <w:r>
        <w:rPr>
          <w:rFonts w:hint="eastAsia" w:ascii="Times New Roman" w:hAnsi="Times New Roman"/>
          <w:color w:val="000000" w:themeColor="text1"/>
          <w:highlight w:val="none"/>
          <w:lang w:eastAsia="zh-CN"/>
          <w14:textFill>
            <w14:solidFill>
              <w14:schemeClr w14:val="tx1"/>
            </w14:solidFill>
          </w14:textFill>
        </w:rPr>
        <w:t>5</w:t>
      </w:r>
      <w:r>
        <w:rPr>
          <w:rFonts w:ascii="Times New Roman" w:hAnsi="Times New Roman"/>
          <w:color w:val="000000" w:themeColor="text1"/>
          <w:highlight w:val="none"/>
          <w:lang w:eastAsia="zh-CN"/>
          <w14:textFill>
            <w14:solidFill>
              <w14:schemeClr w14:val="tx1"/>
            </w14:solidFill>
          </w14:textFill>
        </w:rPr>
        <w:t xml:space="preserve"> 声环境影响评价自查表</w:t>
      </w:r>
      <w:r>
        <w:rPr>
          <w:rFonts w:hint="eastAsia" w:ascii="Times New Roman" w:hAnsi="Times New Roman"/>
          <w:color w:val="000000" w:themeColor="text1"/>
          <w:highlight w:val="none"/>
          <w:lang w:eastAsia="zh-CN"/>
          <w14:textFill>
            <w14:solidFill>
              <w14:schemeClr w14:val="tx1"/>
            </w14:solidFill>
          </w14:textFill>
        </w:rPr>
        <w:t>：</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附表</w:t>
      </w:r>
      <w:r>
        <w:rPr>
          <w:rFonts w:hint="eastAsia" w:ascii="Times New Roman" w:hAnsi="Times New Roman"/>
          <w:color w:val="000000" w:themeColor="text1"/>
          <w:highlight w:val="none"/>
          <w:lang w:eastAsia="zh-CN"/>
          <w14:textFill>
            <w14:solidFill>
              <w14:schemeClr w14:val="tx1"/>
            </w14:solidFill>
          </w14:textFill>
        </w:rPr>
        <w:t>6</w:t>
      </w:r>
      <w:r>
        <w:rPr>
          <w:rFonts w:ascii="Times New Roman" w:hAnsi="Times New Roman"/>
          <w:color w:val="000000" w:themeColor="text1"/>
          <w:highlight w:val="none"/>
          <w:lang w:eastAsia="zh-CN"/>
          <w14:textFill>
            <w14:solidFill>
              <w14:schemeClr w14:val="tx1"/>
            </w14:solidFill>
          </w14:textFill>
        </w:rPr>
        <w:t>生态影响评价自查表</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附表7 项目评价范围植物名录</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附表8 项目评价范围陆生野生动物名录</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附表</w:t>
      </w:r>
      <w:r>
        <w:rPr>
          <w:rFonts w:hint="eastAsia" w:ascii="Times New Roman" w:hAnsi="Times New Roman"/>
          <w:color w:val="000000" w:themeColor="text1"/>
          <w:highlight w:val="none"/>
          <w:lang w:eastAsia="zh-CN"/>
          <w14:textFill>
            <w14:solidFill>
              <w14:schemeClr w14:val="tx1"/>
            </w14:solidFill>
          </w14:textFill>
        </w:rPr>
        <w:t>9</w:t>
      </w:r>
      <w:r>
        <w:rPr>
          <w:rFonts w:ascii="Times New Roman" w:hAnsi="Times New Roman"/>
          <w:color w:val="000000" w:themeColor="text1"/>
          <w:highlight w:val="none"/>
          <w:lang w:eastAsia="zh-CN"/>
          <w14:textFill>
            <w14:solidFill>
              <w14:schemeClr w14:val="tx1"/>
            </w14:solidFill>
          </w14:textFill>
        </w:rPr>
        <w:t xml:space="preserve"> 审批基础信息表</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p>
    <w:p>
      <w:pPr>
        <w:pStyle w:val="21"/>
        <w:spacing w:before="0" w:line="312" w:lineRule="auto"/>
        <w:ind w:left="0" w:firstLine="480"/>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附图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附图1项目地理位置图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附图2项目周边外环境关系图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附图3-1 项目监测布点图（大气、土壤、噪声监测布点图）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附图3-2 项目监测布点图（地下水监测布点图）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附图3-3 项目监测布点图（地下水水位调查布点图）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附图4 项目钻井期总平面布置及分区防渗图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附图5 项目试采期总平面布置及分区防渗图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附图6 项区域水文地质图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附图7项目与基本农田、宣汉县城镇开发边界位置关系图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附图8 项目与生态红线位置关系图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附图9 项目生态图件（项目评价范围内景观拼块图、</w:t>
      </w:r>
      <w:r>
        <w:rPr>
          <w:rFonts w:hint="eastAsia"/>
          <w:color w:val="000000" w:themeColor="text1"/>
          <w:highlight w:val="none"/>
          <w:lang w:eastAsia="zh-CN"/>
          <w14:textFill>
            <w14:solidFill>
              <w14:schemeClr w14:val="tx1"/>
            </w14:solidFill>
          </w14:textFill>
        </w:rPr>
        <w:t>项目评价范围内陆生生态样方样线分</w:t>
      </w:r>
      <w:r>
        <w:rPr>
          <w:rFonts w:ascii="Times New Roman" w:hAnsi="Times New Roman"/>
          <w:color w:val="000000" w:themeColor="text1"/>
          <w:highlight w:val="none"/>
          <w:lang w:eastAsia="zh-CN"/>
          <w14:textFill>
            <w14:solidFill>
              <w14:schemeClr w14:val="tx1"/>
            </w14:solidFill>
          </w14:textFill>
        </w:rPr>
        <w:t>布图、项目评价范围内生态保护措施布局图、项目评价范围内生态监测布点图、项目评价范围内</w:t>
      </w:r>
      <w:bookmarkStart w:id="5" w:name="_Hlk153364897"/>
      <w:r>
        <w:rPr>
          <w:rFonts w:ascii="Times New Roman" w:hAnsi="Times New Roman"/>
          <w:color w:val="000000" w:themeColor="text1"/>
          <w:highlight w:val="none"/>
          <w:lang w:eastAsia="zh-CN"/>
          <w14:textFill>
            <w14:solidFill>
              <w14:schemeClr w14:val="tx1"/>
            </w14:solidFill>
          </w14:textFill>
        </w:rPr>
        <w:t>生态系统类型图</w:t>
      </w:r>
      <w:bookmarkEnd w:id="5"/>
      <w:r>
        <w:rPr>
          <w:rFonts w:ascii="Times New Roman" w:hAnsi="Times New Roman"/>
          <w:color w:val="000000" w:themeColor="text1"/>
          <w:highlight w:val="none"/>
          <w:lang w:eastAsia="zh-CN"/>
          <w14:textFill>
            <w14:solidFill>
              <w14:schemeClr w14:val="tx1"/>
            </w14:solidFill>
          </w14:textFill>
        </w:rPr>
        <w:t>、项目评价范围内</w:t>
      </w:r>
      <w:bookmarkStart w:id="6" w:name="_Hlk153364905"/>
      <w:r>
        <w:rPr>
          <w:rFonts w:ascii="Times New Roman" w:hAnsi="Times New Roman"/>
          <w:color w:val="000000" w:themeColor="text1"/>
          <w:highlight w:val="none"/>
          <w:lang w:eastAsia="zh-CN"/>
          <w14:textFill>
            <w14:solidFill>
              <w14:schemeClr w14:val="tx1"/>
            </w14:solidFill>
          </w14:textFill>
        </w:rPr>
        <w:t>土地利用现状图</w:t>
      </w:r>
      <w:bookmarkEnd w:id="6"/>
      <w:r>
        <w:rPr>
          <w:rFonts w:ascii="Times New Roman" w:hAnsi="Times New Roman"/>
          <w:color w:val="000000" w:themeColor="text1"/>
          <w:highlight w:val="none"/>
          <w:lang w:eastAsia="zh-CN"/>
          <w14:textFill>
            <w14:solidFill>
              <w14:schemeClr w14:val="tx1"/>
            </w14:solidFill>
          </w14:textFill>
        </w:rPr>
        <w:t>、项目评价范围内</w:t>
      </w:r>
      <w:bookmarkStart w:id="7" w:name="_Hlk153364920"/>
      <w:r>
        <w:rPr>
          <w:rFonts w:ascii="Times New Roman" w:hAnsi="Times New Roman"/>
          <w:color w:val="000000" w:themeColor="text1"/>
          <w:highlight w:val="none"/>
          <w:lang w:eastAsia="zh-CN"/>
          <w14:textFill>
            <w14:solidFill>
              <w14:schemeClr w14:val="tx1"/>
            </w14:solidFill>
          </w14:textFill>
        </w:rPr>
        <w:t>植被覆盖度图</w:t>
      </w:r>
      <w:bookmarkEnd w:id="7"/>
      <w:r>
        <w:rPr>
          <w:rFonts w:ascii="Times New Roman" w:hAnsi="Times New Roman"/>
          <w:color w:val="000000" w:themeColor="text1"/>
          <w:highlight w:val="none"/>
          <w:lang w:eastAsia="zh-CN"/>
          <w14:textFill>
            <w14:solidFill>
              <w14:schemeClr w14:val="tx1"/>
            </w14:solidFill>
          </w14:textFill>
        </w:rPr>
        <w:t>、</w:t>
      </w:r>
      <w:bookmarkStart w:id="8" w:name="_Hlk153365008"/>
      <w:r>
        <w:rPr>
          <w:rFonts w:ascii="Times New Roman" w:hAnsi="Times New Roman"/>
          <w:color w:val="000000" w:themeColor="text1"/>
          <w:highlight w:val="none"/>
          <w:lang w:eastAsia="zh-CN"/>
          <w14:textFill>
            <w14:solidFill>
              <w14:schemeClr w14:val="tx1"/>
            </w14:solidFill>
          </w14:textFill>
        </w:rPr>
        <w:t>项目评价范围内植被类型图</w:t>
      </w:r>
      <w:bookmarkEnd w:id="8"/>
      <w:r>
        <w:rPr>
          <w:rFonts w:ascii="Times New Roman" w:hAnsi="Times New Roman"/>
          <w:color w:val="000000" w:themeColor="text1"/>
          <w:highlight w:val="none"/>
          <w:lang w:eastAsia="zh-CN"/>
          <w14:textFill>
            <w14:solidFill>
              <w14:schemeClr w14:val="tx1"/>
            </w14:solidFill>
          </w14:textFill>
        </w:rPr>
        <w:t>等）</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附图1</w:t>
      </w:r>
      <w:r>
        <w:rPr>
          <w:rFonts w:hint="eastAsia" w:ascii="Times New Roman" w:hAnsi="Times New Roman"/>
          <w:color w:val="000000" w:themeColor="text1"/>
          <w:highlight w:val="none"/>
          <w:lang w:eastAsia="zh-CN"/>
          <w14:textFill>
            <w14:solidFill>
              <w14:schemeClr w14:val="tx1"/>
            </w14:solidFill>
          </w14:textFill>
        </w:rPr>
        <w:t>0</w:t>
      </w:r>
      <w:r>
        <w:rPr>
          <w:rFonts w:ascii="Times New Roman" w:hAnsi="Times New Roman"/>
          <w:color w:val="000000" w:themeColor="text1"/>
          <w:highlight w:val="none"/>
          <w:lang w:eastAsia="zh-CN"/>
          <w14:textFill>
            <w14:solidFill>
              <w14:schemeClr w14:val="tx1"/>
            </w14:solidFill>
          </w14:textFill>
        </w:rPr>
        <w:t xml:space="preserve"> 项目与宣汉县水土保持重点防治区位置关系图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附图1</w:t>
      </w:r>
      <w:r>
        <w:rPr>
          <w:rFonts w:hint="eastAsia" w:ascii="Times New Roman" w:hAnsi="Times New Roman"/>
          <w:color w:val="000000" w:themeColor="text1"/>
          <w:highlight w:val="none"/>
          <w:lang w:eastAsia="zh-CN"/>
          <w14:textFill>
            <w14:solidFill>
              <w14:schemeClr w14:val="tx1"/>
            </w14:solidFill>
          </w14:textFill>
        </w:rPr>
        <w:t>1</w:t>
      </w:r>
      <w:r>
        <w:rPr>
          <w:rFonts w:ascii="Times New Roman" w:hAnsi="Times New Roman"/>
          <w:color w:val="000000" w:themeColor="text1"/>
          <w:highlight w:val="none"/>
          <w:lang w:eastAsia="zh-CN"/>
          <w14:textFill>
            <w14:solidFill>
              <w14:schemeClr w14:val="tx1"/>
            </w14:solidFill>
          </w14:textFill>
        </w:rPr>
        <w:t xml:space="preserve"> 项目所在区域水系图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附图1</w:t>
      </w:r>
      <w:r>
        <w:rPr>
          <w:rFonts w:hint="eastAsia" w:ascii="Times New Roman" w:hAnsi="Times New Roman"/>
          <w:color w:val="000000" w:themeColor="text1"/>
          <w:highlight w:val="none"/>
          <w:lang w:eastAsia="zh-CN"/>
          <w14:textFill>
            <w14:solidFill>
              <w14:schemeClr w14:val="tx1"/>
            </w14:solidFill>
          </w14:textFill>
        </w:rPr>
        <w:t>2</w:t>
      </w:r>
      <w:r>
        <w:rPr>
          <w:rFonts w:ascii="Times New Roman" w:hAnsi="Times New Roman"/>
          <w:color w:val="000000" w:themeColor="text1"/>
          <w:highlight w:val="none"/>
          <w:lang w:eastAsia="zh-CN"/>
          <w14:textFill>
            <w14:solidFill>
              <w14:schemeClr w14:val="tx1"/>
            </w14:solidFill>
          </w14:textFill>
        </w:rPr>
        <w:t xml:space="preserve"> </w:t>
      </w:r>
      <w:r>
        <w:rPr>
          <w:rFonts w:hint="eastAsia" w:ascii="Times New Roman" w:hAnsi="Times New Roman"/>
          <w:color w:val="000000" w:themeColor="text1"/>
          <w:highlight w:val="none"/>
          <w:lang w:eastAsia="zh-CN"/>
          <w14:textFill>
            <w14:solidFill>
              <w14:schemeClr w14:val="tx1"/>
            </w14:solidFill>
          </w14:textFill>
        </w:rPr>
        <w:t>项目与周边公益林位置关系图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附图13 项目与周边天然林位置关系图</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p>
    <w:p>
      <w:pPr>
        <w:ind w:firstLine="480"/>
        <w:rPr>
          <w:color w:val="000000" w:themeColor="text1"/>
          <w:highlight w:val="none"/>
          <w14:textFill>
            <w14:solidFill>
              <w14:schemeClr w14:val="tx1"/>
            </w14:solidFill>
          </w14:textFill>
        </w:rPr>
      </w:pPr>
    </w:p>
    <w:p>
      <w:pPr>
        <w:pStyle w:val="21"/>
        <w:spacing w:before="0" w:line="312" w:lineRule="auto"/>
        <w:ind w:left="0" w:firstLine="480"/>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附件</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附件1项目委托书</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附件2 中原油分投资〔2024〕176号中原油田分公司关于大湾408-3井钻井及试采工程可行性研究报告的批复</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附件3-1 1号气田水处理站（赵家坝污水处理站）改造工程环评批复</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附件3-2 1号气田水处理站（赵家坝污水处理站）改造工程验收意见</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附件4-1 普光3井回注工程环评批复</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附件4-2 普光3井回注工程环保验收批复</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附件5 大湾408井台钻井及试采工程批复</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附件6-1 大湾408-3井钻井及试采工程环境质量现状监测报告</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附件6-2 大湾408-3井钻井及试采工程-土壤理化性质调查表</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附件6-3 引用地下水水位调查报告-大湾408井台钻井及试采工程</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附件6-4 引用-大湾408井台钻井及试采工程验收监测报告（地下水、土壤）</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附件7达州市水土流失重点防治区划分表</w:t>
      </w:r>
    </w:p>
    <w:p>
      <w:pPr>
        <w:pStyle w:val="21"/>
        <w:spacing w:before="0" w:line="312" w:lineRule="auto"/>
        <w:ind w:left="0" w:firstLine="480"/>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附件8 大湾408井台临时用地批复</w:t>
      </w:r>
    </w:p>
    <w:bookmarkEnd w:id="3"/>
    <w:bookmarkEnd w:id="4"/>
    <w:p>
      <w:pPr>
        <w:ind w:firstLine="40"/>
        <w:rPr>
          <w:rFonts w:cs="Times New Roman"/>
          <w:color w:val="000000" w:themeColor="text1"/>
          <w:sz w:val="2"/>
          <w:szCs w:val="2"/>
          <w:highlight w:val="none"/>
          <w14:textFill>
            <w14:solidFill>
              <w14:schemeClr w14:val="tx1"/>
            </w14:solidFill>
          </w14:textFill>
        </w:rPr>
      </w:pPr>
      <w:r>
        <w:rPr>
          <w:rFonts w:cs="Times New Roman"/>
          <w:color w:val="000000" w:themeColor="text1"/>
          <w:sz w:val="2"/>
          <w:szCs w:val="2"/>
          <w:highlight w:val="none"/>
          <w14:textFill>
            <w14:solidFill>
              <w14:schemeClr w14:val="tx1"/>
            </w14:solidFill>
          </w14:textFill>
        </w:rPr>
        <w:br w:type="page"/>
      </w:r>
    </w:p>
    <w:p>
      <w:pPr>
        <w:ind w:firstLine="40"/>
        <w:rPr>
          <w:rFonts w:cs="Times New Roman"/>
          <w:color w:val="000000" w:themeColor="text1"/>
          <w:sz w:val="2"/>
          <w:szCs w:val="2"/>
          <w:highlight w:val="none"/>
          <w14:textFill>
            <w14:solidFill>
              <w14:schemeClr w14:val="tx1"/>
            </w14:solidFill>
          </w14:textFill>
        </w:rPr>
      </w:pPr>
    </w:p>
    <w:p>
      <w:pPr>
        <w:ind w:firstLine="40"/>
        <w:rPr>
          <w:rFonts w:cs="Times New Roman"/>
          <w:color w:val="000000" w:themeColor="text1"/>
          <w:sz w:val="2"/>
          <w:szCs w:val="2"/>
          <w:highlight w:val="none"/>
          <w14:textFill>
            <w14:solidFill>
              <w14:schemeClr w14:val="tx1"/>
            </w14:solidFill>
          </w14:textFill>
        </w:rPr>
      </w:pPr>
    </w:p>
    <w:p>
      <w:pPr>
        <w:pStyle w:val="2"/>
        <w:rPr>
          <w:b/>
          <w:color w:val="000000" w:themeColor="text1"/>
          <w:highlight w:val="none"/>
          <w14:textFill>
            <w14:solidFill>
              <w14:schemeClr w14:val="tx1"/>
            </w14:solidFill>
          </w14:textFill>
        </w:rPr>
      </w:pPr>
      <w:bookmarkStart w:id="9" w:name="_Toc1461"/>
      <w:r>
        <w:rPr>
          <w:color w:val="000000" w:themeColor="text1"/>
          <w:highlight w:val="none"/>
          <w14:textFill>
            <w14:solidFill>
              <w14:schemeClr w14:val="tx1"/>
            </w14:solidFill>
          </w14:textFill>
        </w:rPr>
        <w:t>概述</w:t>
      </w:r>
      <w:bookmarkEnd w:id="9"/>
    </w:p>
    <w:p>
      <w:pPr>
        <w:pStyle w:val="3"/>
        <w:pBdr>
          <w:bottom w:val="dotted" w:color="auto" w:sz="24" w:space="0"/>
        </w:pBdr>
        <w:spacing w:before="120"/>
        <w:rPr>
          <w:color w:val="000000" w:themeColor="text1"/>
          <w:highlight w:val="none"/>
          <w14:textFill>
            <w14:solidFill>
              <w14:schemeClr w14:val="tx1"/>
            </w14:solidFill>
          </w14:textFill>
        </w:rPr>
      </w:pPr>
      <w:bookmarkStart w:id="10" w:name="_Toc16252"/>
      <w:r>
        <w:rPr>
          <w:color w:val="000000" w:themeColor="text1"/>
          <w:highlight w:val="none"/>
          <w14:textFill>
            <w14:solidFill>
              <w14:schemeClr w14:val="tx1"/>
            </w14:solidFill>
          </w14:textFill>
        </w:rPr>
        <w:t>项目背景</w:t>
      </w:r>
      <w:bookmarkEnd w:id="10"/>
    </w:p>
    <w:p>
      <w:pPr>
        <w:pStyle w:val="125"/>
        <w:ind w:firstLine="482"/>
        <w:jc w:val="left"/>
        <w:rPr>
          <w:b/>
          <w:bCs/>
          <w:color w:val="000000" w:themeColor="text1"/>
          <w:highlight w:val="none"/>
          <w14:textFill>
            <w14:solidFill>
              <w14:schemeClr w14:val="tx1"/>
            </w14:solidFill>
          </w14:textFill>
        </w:rPr>
      </w:pPr>
      <w:bookmarkStart w:id="11" w:name="_Hlk80477079"/>
      <w:bookmarkStart w:id="12" w:name="_Hlk89782517"/>
      <w:r>
        <w:rPr>
          <w:b/>
          <w:bCs/>
          <w:color w:val="000000" w:themeColor="text1"/>
          <w:highlight w:val="none"/>
          <w14:textFill>
            <w14:solidFill>
              <w14:schemeClr w14:val="tx1"/>
            </w14:solidFill>
          </w14:textFill>
        </w:rPr>
        <w:t>由于</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区块前期</w:t>
      </w:r>
      <w:r>
        <w:rPr>
          <w:b/>
          <w:bCs/>
          <w:color w:val="000000" w:themeColor="text1"/>
          <w:highlight w:val="none"/>
          <w14:textFill>
            <w14:solidFill>
              <w14:schemeClr w14:val="tx1"/>
            </w14:solidFill>
          </w14:textFill>
        </w:rPr>
        <w:t>已完钻井数量较少，</w:t>
      </w:r>
      <w:r>
        <w:rPr>
          <w:rFonts w:hint="eastAsia"/>
          <w:b/>
          <w:bCs/>
          <w:color w:val="000000" w:themeColor="text1"/>
          <w:highlight w:val="none"/>
          <w14:textFill>
            <w14:solidFill>
              <w14:schemeClr w14:val="tx1"/>
            </w14:solidFill>
          </w14:textFill>
        </w:rPr>
        <w:t>特别是通过先期实施的大湾408-1井、大湾408-2井后，对</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区域</w:t>
      </w:r>
      <w:r>
        <w:rPr>
          <w:b/>
          <w:bCs/>
          <w:color w:val="000000" w:themeColor="text1"/>
          <w:highlight w:val="none"/>
          <w14:textFill>
            <w14:solidFill>
              <w14:schemeClr w14:val="tx1"/>
            </w14:solidFill>
          </w14:textFill>
        </w:rPr>
        <w:t>内断裂系统</w:t>
      </w:r>
      <w:r>
        <w:rPr>
          <w:rFonts w:hint="eastAsia"/>
          <w:b/>
          <w:bCs/>
          <w:color w:val="000000" w:themeColor="text1"/>
          <w:highlight w:val="none"/>
          <w14:textFill>
            <w14:solidFill>
              <w14:schemeClr w14:val="tx1"/>
            </w14:solidFill>
          </w14:textFill>
        </w:rPr>
        <w:t>和储层情况有了新的认识，为了进一步加深对</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构造区</w:t>
      </w:r>
      <w:r>
        <w:rPr>
          <w:b/>
          <w:bCs/>
          <w:color w:val="000000" w:themeColor="text1"/>
          <w:highlight w:val="none"/>
          <w14:textFill>
            <w14:solidFill>
              <w14:schemeClr w14:val="tx1"/>
            </w14:solidFill>
          </w14:textFill>
        </w:rPr>
        <w:t>东</w:t>
      </w:r>
      <w:r>
        <w:rPr>
          <w:rFonts w:hint="eastAsia"/>
          <w:b/>
          <w:bCs/>
          <w:color w:val="000000" w:themeColor="text1"/>
          <w:highlight w:val="none"/>
          <w14:textFill>
            <w14:solidFill>
              <w14:schemeClr w14:val="tx1"/>
            </w14:solidFill>
          </w14:textFill>
        </w:rPr>
        <w:t>侧</w:t>
      </w:r>
      <w:r>
        <w:rPr>
          <w:b/>
          <w:bCs/>
          <w:color w:val="000000" w:themeColor="text1"/>
          <w:highlight w:val="none"/>
          <w14:textFill>
            <w14:solidFill>
              <w14:schemeClr w14:val="tx1"/>
            </w14:solidFill>
          </w14:textFill>
        </w:rPr>
        <w:t>复杂带</w:t>
      </w:r>
      <w:r>
        <w:rPr>
          <w:rFonts w:hint="eastAsia"/>
          <w:b/>
          <w:bCs/>
          <w:color w:val="000000" w:themeColor="text1"/>
          <w:highlight w:val="none"/>
          <w14:textFill>
            <w14:solidFill>
              <w14:schemeClr w14:val="tx1"/>
            </w14:solidFill>
          </w14:textFill>
        </w:rPr>
        <w:t>（断块2～断块3之间）</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的</w:t>
      </w:r>
      <w:r>
        <w:rPr>
          <w:rFonts w:hint="eastAsia"/>
          <w:b/>
          <w:bCs/>
          <w:color w:val="000000" w:themeColor="text1"/>
          <w:highlight w:val="none"/>
          <w14:textFill>
            <w14:solidFill>
              <w14:schemeClr w14:val="tx1"/>
            </w14:solidFill>
          </w14:textFill>
        </w:rPr>
        <w:fldChar w:fldCharType="begin"/>
      </w:r>
      <w:r>
        <w:rPr>
          <w:rFonts w:hint="eastAsia"/>
          <w:b/>
          <w:bCs/>
          <w:color w:val="000000" w:themeColor="text1"/>
          <w:highlight w:val="none"/>
          <w14:textFill>
            <w14:solidFill>
              <w14:schemeClr w14:val="tx1"/>
            </w14:solidFill>
          </w14:textFill>
        </w:rPr>
        <w:instrText xml:space="preserve"> = 2 \* ROMAN \* MERGEFORMAT </w:instrText>
      </w:r>
      <w:r>
        <w:rPr>
          <w:rFonts w:hint="eastAsia"/>
          <w:b/>
          <w:bCs/>
          <w:color w:val="000000" w:themeColor="text1"/>
          <w:highlight w:val="none"/>
          <w14:textFill>
            <w14:solidFill>
              <w14:schemeClr w14:val="tx1"/>
            </w14:solidFill>
          </w14:textFill>
        </w:rPr>
        <w:fldChar w:fldCharType="separate"/>
      </w:r>
      <w:r>
        <w:rPr>
          <w:rFonts w:hint="eastAsia"/>
          <w:b/>
          <w:bCs/>
          <w:color w:val="000000" w:themeColor="text1"/>
          <w:highlight w:val="none"/>
          <w14:textFill>
            <w14:solidFill>
              <w14:schemeClr w14:val="tx1"/>
            </w14:solidFill>
          </w14:textFill>
        </w:rPr>
        <w:t>II</w:t>
      </w:r>
      <w:r>
        <w:rPr>
          <w:rFonts w:hint="eastAsia"/>
          <w:b/>
          <w:bCs/>
          <w:color w:val="000000" w:themeColor="text1"/>
          <w:highlight w:val="none"/>
          <w14:textFill>
            <w14:solidFill>
              <w14:schemeClr w14:val="tx1"/>
            </w14:solidFill>
          </w14:textFill>
        </w:rPr>
        <w:fldChar w:fldCharType="end"/>
      </w:r>
      <w:r>
        <w:rPr>
          <w:rFonts w:hint="eastAsia"/>
          <w:b/>
          <w:bCs/>
          <w:color w:val="000000" w:themeColor="text1"/>
          <w:highlight w:val="none"/>
          <w14:textFill>
            <w14:solidFill>
              <w14:schemeClr w14:val="tx1"/>
            </w14:solidFill>
          </w14:textFill>
        </w:rPr>
        <w:t>类气层的储量问题研究</w:t>
      </w:r>
      <w:bookmarkStart w:id="13" w:name="OLE_LINK262"/>
      <w:bookmarkStart w:id="14" w:name="OLE_LINK267"/>
      <w:r>
        <w:rPr>
          <w:rFonts w:hint="eastAsia"/>
          <w:b/>
          <w:bCs/>
          <w:color w:val="000000" w:themeColor="text1"/>
          <w:highlight w:val="none"/>
          <w14:textFill>
            <w14:solidFill>
              <w14:schemeClr w14:val="tx1"/>
            </w14:solidFill>
          </w14:textFill>
        </w:rPr>
        <w:t>，中国石</w:t>
      </w:r>
      <w:r>
        <w:rPr>
          <w:b/>
          <w:bCs/>
          <w:color w:val="000000" w:themeColor="text1"/>
          <w:highlight w:val="none"/>
          <w14:textFill>
            <w14:solidFill>
              <w14:schemeClr w14:val="tx1"/>
            </w14:solidFill>
          </w14:textFill>
        </w:rPr>
        <w:t>油化工股份有限公司中原油田普光分公司拟实施建设大湾408</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井钻井及试采工程项目</w:t>
      </w:r>
      <w:bookmarkEnd w:id="13"/>
      <w:bookmarkEnd w:id="14"/>
      <w:r>
        <w:rPr>
          <w:b/>
          <w:bCs/>
          <w:color w:val="000000" w:themeColor="text1"/>
          <w:highlight w:val="none"/>
          <w14:textFill>
            <w14:solidFill>
              <w14:schemeClr w14:val="tx1"/>
            </w14:solidFill>
          </w14:textFill>
        </w:rPr>
        <w:t>。拟通过大湾408</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井台的实施，从地层、构造、沉积、储层、含气性、气水关系、储层改造条件等多个方面对</w:t>
      </w:r>
      <w:r>
        <w:rPr>
          <w:rFonts w:hint="eastAsia"/>
          <w:b/>
          <w:bCs/>
          <w:color w:val="000000" w:themeColor="text1"/>
          <w:highlight w:val="none"/>
          <w:lang w:eastAsia="zh-CN"/>
          <w14:textFill>
            <w14:solidFill>
              <w14:schemeClr w14:val="tx1"/>
            </w14:solidFill>
          </w14:textFill>
        </w:rPr>
        <w:t>***</w:t>
      </w:r>
      <w:r>
        <w:rPr>
          <w:rFonts w:hint="eastAsia"/>
          <w:b/>
          <w:bCs/>
          <w:color w:val="000000" w:themeColor="text1"/>
          <w:highlight w:val="none"/>
          <w14:textFill>
            <w14:solidFill>
              <w14:schemeClr w14:val="tx1"/>
            </w14:solidFill>
          </w14:textFill>
        </w:rPr>
        <w:t>区块</w:t>
      </w:r>
      <w:r>
        <w:rPr>
          <w:b/>
          <w:bCs/>
          <w:color w:val="000000" w:themeColor="text1"/>
          <w:highlight w:val="none"/>
          <w14:textFill>
            <w14:solidFill>
              <w14:schemeClr w14:val="tx1"/>
            </w14:solidFill>
          </w14:textFill>
        </w:rPr>
        <w:t>开展深入研究。</w:t>
      </w:r>
    </w:p>
    <w:p>
      <w:pPr>
        <w:ind w:firstLine="480"/>
        <w:rPr>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因普光气田属于高含硫气田，其地质结构较为复杂，且目前对区域产能储量仍未探明，暂不具备区块开发条件</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因此，在该区域部署探井</w:t>
      </w:r>
      <w:r>
        <w:rPr>
          <w:rFonts w:hint="eastAsia" w:cs="Times New Roman"/>
          <w:color w:val="000000" w:themeColor="text1"/>
          <w:szCs w:val="24"/>
          <w:highlight w:val="none"/>
          <w14:textFill>
            <w14:solidFill>
              <w14:schemeClr w14:val="tx1"/>
            </w14:solidFill>
          </w14:textFill>
        </w:rPr>
        <w:t>一口</w:t>
      </w:r>
      <w:r>
        <w:rPr>
          <w:rFonts w:cs="Times New Roman"/>
          <w:color w:val="000000" w:themeColor="text1"/>
          <w:szCs w:val="24"/>
          <w:highlight w:val="none"/>
          <w14:textFill>
            <w14:solidFill>
              <w14:schemeClr w14:val="tx1"/>
            </w14:solidFill>
          </w14:textFill>
        </w:rPr>
        <w:t>进行试采。本项目试采期2年，探明后为下一步普光主体区块开发做准备。</w:t>
      </w:r>
      <w:r>
        <w:rPr>
          <w:rFonts w:cs="Times New Roman"/>
          <w:b/>
          <w:bCs/>
          <w:color w:val="000000" w:themeColor="text1"/>
          <w:szCs w:val="24"/>
          <w:highlight w:val="none"/>
          <w14:textFill>
            <w14:solidFill>
              <w14:schemeClr w14:val="tx1"/>
            </w14:solidFill>
          </w14:textFill>
        </w:rPr>
        <w:t>本项目试采期结束后，若能够满足后期普光主体区块开发需要，则现有设施设备继续服务于普光主体区块开发，并需按照区块开发相关要求另行办理</w:t>
      </w:r>
      <w:r>
        <w:rPr>
          <w:rFonts w:hint="eastAsia" w:cs="Times New Roman"/>
          <w:b/>
          <w:bCs/>
          <w:color w:val="000000" w:themeColor="text1"/>
          <w:szCs w:val="24"/>
          <w:highlight w:val="none"/>
          <w14:textFill>
            <w14:solidFill>
              <w14:schemeClr w14:val="tx1"/>
            </w14:solidFill>
          </w14:textFill>
        </w:rPr>
        <w:t>相关环保</w:t>
      </w:r>
      <w:r>
        <w:rPr>
          <w:rFonts w:cs="Times New Roman"/>
          <w:b/>
          <w:bCs/>
          <w:color w:val="000000" w:themeColor="text1"/>
          <w:szCs w:val="24"/>
          <w:highlight w:val="none"/>
          <w14:textFill>
            <w14:solidFill>
              <w14:schemeClr w14:val="tx1"/>
            </w14:solidFill>
          </w14:textFill>
        </w:rPr>
        <w:t>手续</w:t>
      </w:r>
      <w:r>
        <w:rPr>
          <w:rFonts w:hint="eastAsia" w:cs="Times New Roman"/>
          <w:b/>
          <w:bCs/>
          <w:color w:val="000000" w:themeColor="text1"/>
          <w:szCs w:val="24"/>
          <w:highlight w:val="none"/>
          <w14:textFill>
            <w14:solidFill>
              <w14:schemeClr w14:val="tx1"/>
            </w14:solidFill>
          </w14:textFill>
        </w:rPr>
        <w:t>。</w:t>
      </w:r>
    </w:p>
    <w:bookmarkEnd w:id="11"/>
    <w:p>
      <w:pPr>
        <w:ind w:firstLine="480"/>
        <w:rPr>
          <w:rFonts w:cs="Times New Roman"/>
          <w:color w:val="000000" w:themeColor="text1"/>
          <w:szCs w:val="24"/>
          <w:highlight w:val="none"/>
          <w14:textFill>
            <w14:solidFill>
              <w14:schemeClr w14:val="tx1"/>
            </w14:solidFill>
          </w14:textFill>
        </w:rPr>
      </w:pPr>
      <w:bookmarkStart w:id="15" w:name="OLE_LINK232"/>
      <w:bookmarkStart w:id="16" w:name="OLE_LINK313"/>
      <w:bookmarkStart w:id="17" w:name="OLE_LINK300"/>
      <w:bookmarkStart w:id="18" w:name="OLE_LINK248"/>
      <w:r>
        <w:rPr>
          <w:rFonts w:hint="eastAsia" w:cs="Times New Roman"/>
          <w:color w:val="000000" w:themeColor="text1"/>
          <w:szCs w:val="24"/>
          <w:highlight w:val="none"/>
          <w14:textFill>
            <w14:solidFill>
              <w14:schemeClr w14:val="tx1"/>
            </w14:solidFill>
          </w14:textFill>
        </w:rPr>
        <w:t>大湾408-3井钻井及试采工程为</w:t>
      </w:r>
      <w:r>
        <w:rPr>
          <w:rFonts w:cs="Times New Roman"/>
          <w:color w:val="000000" w:themeColor="text1"/>
          <w:szCs w:val="24"/>
          <w:highlight w:val="none"/>
          <w14:textFill>
            <w14:solidFill>
              <w14:schemeClr w14:val="tx1"/>
            </w14:solidFill>
          </w14:textFill>
        </w:rPr>
        <w:t>新建，</w:t>
      </w:r>
      <w:r>
        <w:rPr>
          <w:rFonts w:hint="eastAsia" w:cs="Times New Roman"/>
          <w:color w:val="000000" w:themeColor="text1"/>
          <w:szCs w:val="24"/>
          <w:highlight w:val="none"/>
          <w14:textFill>
            <w14:solidFill>
              <w14:schemeClr w14:val="tx1"/>
            </w14:solidFill>
          </w14:textFill>
        </w:rPr>
        <w:t>为含硫天然气井，根据</w:t>
      </w:r>
      <w:r>
        <w:rPr>
          <w:rFonts w:cs="Times New Roman"/>
          <w:color w:val="000000" w:themeColor="text1"/>
          <w:szCs w:val="24"/>
          <w:highlight w:val="none"/>
          <w14:textFill>
            <w14:solidFill>
              <w14:schemeClr w14:val="tx1"/>
            </w14:solidFill>
          </w14:textFill>
        </w:rPr>
        <w:t>普光分公司天然气技术管理部提供的相关资料，参考周边已建的目的层为</w:t>
      </w:r>
      <w:r>
        <w:rPr>
          <w:rFonts w:hint="eastAsia"/>
          <w:color w:val="000000" w:themeColor="text1"/>
          <w:highlight w:val="none"/>
          <w14:textFill>
            <w14:solidFill>
              <w14:schemeClr w14:val="tx1"/>
            </w14:solidFill>
          </w14:textFill>
        </w:rPr>
        <w:t>大湾408-3井</w:t>
      </w:r>
      <w:r>
        <w:rPr>
          <w:rFonts w:hint="eastAsia"/>
          <w:bCs/>
          <w:color w:val="000000" w:themeColor="text1"/>
          <w:highlight w:val="none"/>
          <w14:textFill>
            <w14:solidFill>
              <w14:schemeClr w14:val="tx1"/>
            </w14:solidFill>
          </w14:textFill>
        </w:rPr>
        <w:t>等井</w:t>
      </w:r>
      <w:r>
        <w:rPr>
          <w:rFonts w:cs="Times New Roman"/>
          <w:color w:val="000000" w:themeColor="text1"/>
          <w:szCs w:val="24"/>
          <w:highlight w:val="none"/>
          <w14:textFill>
            <w14:solidFill>
              <w14:schemeClr w14:val="tx1"/>
            </w14:solidFill>
          </w14:textFill>
        </w:rPr>
        <w:t>的气质组成及物性</w:t>
      </w:r>
      <w:r>
        <w:rPr>
          <w:rFonts w:hint="eastAsia" w:cs="Times New Roman"/>
          <w:color w:val="000000" w:themeColor="text1"/>
          <w:szCs w:val="24"/>
          <w:highlight w:val="none"/>
          <w14:textFill>
            <w14:solidFill>
              <w14:schemeClr w14:val="tx1"/>
            </w14:solidFill>
          </w14:textFill>
        </w:rPr>
        <w:t>，本项目天然气含硫化氢，</w:t>
      </w:r>
      <w:r>
        <w:rPr>
          <w:rFonts w:cs="Times New Roman"/>
          <w:color w:val="000000" w:themeColor="text1"/>
          <w:szCs w:val="24"/>
          <w:highlight w:val="none"/>
          <w14:textFill>
            <w14:solidFill>
              <w14:schemeClr w14:val="tx1"/>
            </w14:solidFill>
          </w14:textFill>
        </w:rPr>
        <w:t>具体建设内容为：</w:t>
      </w:r>
      <w:bookmarkEnd w:id="15"/>
      <w:bookmarkEnd w:id="16"/>
      <w:bookmarkEnd w:id="17"/>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（1）钻前工程</w:t>
      </w:r>
    </w:p>
    <w:p>
      <w:pPr>
        <w:widowControl/>
        <w:ind w:firstLine="480"/>
        <w:rPr>
          <w:color w:val="000000" w:themeColor="text1"/>
          <w:highlight w:val="none"/>
          <w14:textFill>
            <w14:solidFill>
              <w14:schemeClr w14:val="tx1"/>
            </w14:solidFill>
          </w14:textFill>
        </w:rPr>
      </w:pPr>
      <w:bookmarkStart w:id="19" w:name="OLE_LINK37"/>
      <w:bookmarkStart w:id="20" w:name="OLE_LINK90"/>
      <w:bookmarkStart w:id="21" w:name="OLE_LINK91"/>
      <w:r>
        <w:rPr>
          <w:rFonts w:hint="eastAsia"/>
          <w:color w:val="000000" w:themeColor="text1"/>
          <w:highlight w:val="none"/>
          <w14:textFill>
            <w14:solidFill>
              <w14:schemeClr w14:val="tx1"/>
            </w14:solidFill>
          </w14:textFill>
        </w:rPr>
        <w:t>新建井场1座，配套建设方井、放喷池各1座，利旧清水池、放喷池各1座，并新建井架、泥浆泵、发电机房、循环罐、储备罐等设备基础各1套，同时建设井场配套设施、边坡支护工程等。</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（2）钻井工程</w:t>
      </w:r>
    </w:p>
    <w:p>
      <w:pPr>
        <w:widowControl/>
        <w:ind w:firstLine="480"/>
        <w:rPr>
          <w:color w:val="000000" w:themeColor="text1"/>
          <w:highlight w:val="none"/>
          <w14:textFill>
            <w14:solidFill>
              <w14:schemeClr w14:val="tx1"/>
            </w14:solidFill>
          </w14:textFill>
        </w:rPr>
      </w:pPr>
      <w:bookmarkStart w:id="22" w:name="_Hlk156337346"/>
      <w:r>
        <w:rPr>
          <w:rFonts w:hint="eastAsia"/>
          <w:color w:val="000000" w:themeColor="text1"/>
          <w:highlight w:val="none"/>
          <w14:textFill>
            <w14:solidFill>
              <w14:schemeClr w14:val="tx1"/>
            </w14:solidFill>
          </w14:textFill>
        </w:rPr>
        <w:t>新钻井1口（大湾408-3井），设计井型为定向井，井深</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米，水平位移</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米，造斜点</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米，进尺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 xml:space="preserve"> 米。采用导管+三开井身结构：导管</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毫米下深50米；一开钻至井深</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米，下</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毫米套管；二开钻至井深3267米，下入</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毫米套管至</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以下50米中完，</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盐膏层及其上下50米采用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毫米外加厚套管；三开采用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毫米钻头钻至</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米，换</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毫米钻头钻至设计完钻井深，下入</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毫米套管至</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盐膏层及其上下50米采用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 xml:space="preserve">毫米外加厚套管。 </w:t>
      </w:r>
    </w:p>
    <w:p>
      <w:pPr>
        <w:widowControl/>
        <w:ind w:firstLine="480"/>
        <w:rPr>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泥浆体系：导管采用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，一开采用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钻井液体系，二开采用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，三开采用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钻井液（若三开钻遇特地层，则采用油基钻井液）。</w:t>
      </w:r>
      <w:r>
        <w:rPr>
          <w:rFonts w:hint="eastAsia"/>
          <w:b/>
          <w:bCs/>
          <w:color w:val="000000" w:themeColor="text1"/>
          <w:highlight w:val="none"/>
          <w14:textFill>
            <w14:solidFill>
              <w14:schemeClr w14:val="tx1"/>
            </w14:solidFill>
          </w14:textFill>
        </w:rPr>
        <w:t>测录井除常规项目外，进入飞四段地层增加元素录井，完井增加电成像测井。</w:t>
      </w:r>
    </w:p>
    <w:bookmarkEnd w:id="19"/>
    <w:bookmarkEnd w:id="20"/>
    <w:bookmarkEnd w:id="21"/>
    <w:bookmarkEnd w:id="22"/>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（3）</w:t>
      </w:r>
      <w:bookmarkStart w:id="23" w:name="_Hlk152579043"/>
      <w:r>
        <w:rPr>
          <w:rFonts w:hint="eastAsia" w:cs="Times New Roman"/>
          <w:color w:val="000000" w:themeColor="text1"/>
          <w:szCs w:val="24"/>
          <w:highlight w:val="none"/>
          <w14:textFill>
            <w14:solidFill>
              <w14:schemeClr w14:val="tx1"/>
            </w14:solidFill>
          </w14:textFill>
        </w:rPr>
        <w:t>储层改造</w:t>
      </w:r>
      <w:r>
        <w:rPr>
          <w:rFonts w:cs="Times New Roman"/>
          <w:color w:val="000000" w:themeColor="text1"/>
          <w:szCs w:val="24"/>
          <w:highlight w:val="none"/>
          <w14:textFill>
            <w14:solidFill>
              <w14:schemeClr w14:val="tx1"/>
            </w14:solidFill>
          </w14:textFill>
        </w:rPr>
        <w:t>工程</w:t>
      </w:r>
      <w:bookmarkEnd w:id="23"/>
    </w:p>
    <w:p>
      <w:pPr>
        <w:widowControl/>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采用“钻采一体化”投产模式，分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一体化完井管柱两趟下入。施工排量为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/分钟，预测井口最高压力为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帕，分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，总液量为1250方。全井采用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毫米油管，悬挂封隔器以上采用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油管，</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质完井工具；悬挂封隔器及以下采用110SS材质油管和完井工具。采用HH级</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帕采气井口，配套</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帕地面控制系统。</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（4）</w:t>
      </w:r>
      <w:r>
        <w:rPr>
          <w:rFonts w:hint="eastAsia" w:cs="Times New Roman"/>
          <w:color w:val="000000" w:themeColor="text1"/>
          <w:highlight w:val="none"/>
          <w14:textFill>
            <w14:solidFill>
              <w14:schemeClr w14:val="tx1"/>
            </w14:solidFill>
          </w14:textFill>
        </w:rPr>
        <w:t>油气集输工程</w:t>
      </w:r>
      <w:bookmarkStart w:id="24" w:name="_Hlk151024029"/>
      <w:bookmarkStart w:id="25" w:name="_Hlk150179431"/>
    </w:p>
    <w:p>
      <w:pPr>
        <w:widowControl/>
        <w:ind w:firstLine="480"/>
        <w:rPr>
          <w:color w:val="000000" w:themeColor="text1"/>
          <w:highlight w:val="none"/>
          <w14:textFill>
            <w14:solidFill>
              <w14:schemeClr w14:val="tx1"/>
            </w14:solidFill>
          </w14:textFill>
        </w:rPr>
      </w:pPr>
      <w:bookmarkStart w:id="26" w:name="_Hlk154236201"/>
      <w:bookmarkStart w:id="27" w:name="_Hlk156337380"/>
      <w:r>
        <w:rPr>
          <w:rFonts w:cs="Times New Roman"/>
          <w:color w:val="000000" w:themeColor="text1"/>
          <w:highlight w:val="none"/>
          <w14:textFill>
            <w14:solidFill>
              <w14:schemeClr w14:val="tx1"/>
            </w14:solidFill>
          </w14:textFill>
        </w:rPr>
        <w:t>钻井</w:t>
      </w:r>
      <w:r>
        <w:rPr>
          <w:rFonts w:cs="Times New Roman"/>
          <w:color w:val="000000" w:themeColor="text1"/>
          <w:szCs w:val="24"/>
          <w:highlight w:val="none"/>
          <w14:textFill>
            <w14:solidFill>
              <w14:schemeClr w14:val="tx1"/>
            </w14:solidFill>
          </w14:textFill>
        </w:rPr>
        <w:t>完毕后，通过测试并获得天然气产量后，</w:t>
      </w:r>
      <w:r>
        <w:rPr>
          <w:rFonts w:hint="eastAsia" w:cs="Times New Roman"/>
          <w:color w:val="000000" w:themeColor="text1"/>
          <w:szCs w:val="24"/>
          <w:highlight w:val="none"/>
          <w14:textFill>
            <w14:solidFill>
              <w14:schemeClr w14:val="tx1"/>
            </w14:solidFill>
          </w14:textFill>
        </w:rPr>
        <w:t>进行油气集输工程建设，本次</w:t>
      </w:r>
      <w:r>
        <w:rPr>
          <w:rFonts w:hint="eastAsia"/>
          <w:color w:val="000000" w:themeColor="text1"/>
          <w:highlight w:val="none"/>
          <w14:textFill>
            <w14:solidFill>
              <w14:schemeClr w14:val="tx1"/>
            </w14:solidFill>
          </w14:textFill>
        </w:rPr>
        <w:t>新建大湾408-3采气井场，采用湿气混输工艺，井口来气经采气树一级节流后就近接入大湾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，依托大湾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内加热节流、计量分离后，依托其建设的</w:t>
      </w:r>
      <w:r>
        <w:rPr>
          <w:color w:val="000000" w:themeColor="text1"/>
          <w:highlight w:val="none"/>
          <w14:textFill>
            <w14:solidFill>
              <w14:schemeClr w14:val="tx1"/>
            </w14:solidFill>
          </w14:textFill>
        </w:rPr>
        <w:t>酸气管道</w:t>
      </w:r>
      <w:r>
        <w:rPr>
          <w:rFonts w:hint="eastAsia"/>
          <w:color w:val="000000" w:themeColor="text1"/>
          <w:highlight w:val="none"/>
          <w14:textFill>
            <w14:solidFill>
              <w14:schemeClr w14:val="tx1"/>
            </w14:solidFill>
          </w14:textFill>
        </w:rPr>
        <w:t>实现外输，最终</w:t>
      </w:r>
      <w:r>
        <w:rPr>
          <w:color w:val="000000" w:themeColor="text1"/>
          <w:highlight w:val="none"/>
          <w14:textFill>
            <w14:solidFill>
              <w14:schemeClr w14:val="tx1"/>
            </w14:solidFill>
          </w14:textFill>
        </w:rPr>
        <w:t>通过</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#线输至净化厂处理</w:t>
      </w:r>
      <w:r>
        <w:rPr>
          <w:rFonts w:cs="Times New Roman"/>
          <w:color w:val="000000" w:themeColor="text1"/>
          <w:kern w:val="0"/>
          <w:highlight w:val="none"/>
          <w14:textFill>
            <w14:solidFill>
              <w14:schemeClr w14:val="tx1"/>
            </w14:solidFill>
          </w14:textFill>
        </w:rPr>
        <w:t>。</w:t>
      </w:r>
      <w:r>
        <w:rPr>
          <w:color w:val="000000" w:themeColor="text1"/>
          <w:highlight w:val="none"/>
          <w14:textFill>
            <w14:solidFill>
              <w14:schemeClr w14:val="tx1"/>
            </w14:solidFill>
          </w14:textFill>
        </w:rPr>
        <w:t>分离器</w:t>
      </w:r>
      <w:r>
        <w:rPr>
          <w:rFonts w:hint="eastAsia"/>
          <w:color w:val="000000" w:themeColor="text1"/>
          <w:highlight w:val="none"/>
          <w14:textFill>
            <w14:solidFill>
              <w14:schemeClr w14:val="tx1"/>
            </w14:solidFill>
          </w14:textFill>
        </w:rPr>
        <w:t>产出的</w:t>
      </w:r>
      <w:r>
        <w:rPr>
          <w:color w:val="000000" w:themeColor="text1"/>
          <w:highlight w:val="none"/>
          <w14:textFill>
            <w14:solidFill>
              <w14:schemeClr w14:val="tx1"/>
            </w14:solidFill>
          </w14:textFill>
        </w:rPr>
        <w:t>气田水</w:t>
      </w:r>
      <w:r>
        <w:rPr>
          <w:rFonts w:hint="eastAsia"/>
          <w:color w:val="000000" w:themeColor="text1"/>
          <w:highlight w:val="none"/>
          <w14:textFill>
            <w14:solidFill>
              <w14:schemeClr w14:val="tx1"/>
            </w14:solidFill>
          </w14:textFill>
        </w:rPr>
        <w:t>依托大湾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内</w:t>
      </w:r>
      <w:r>
        <w:rPr>
          <w:rFonts w:hint="eastAsia"/>
          <w:color w:val="000000" w:themeColor="text1"/>
          <w:highlight w:val="none"/>
          <w14:textFill>
            <w14:solidFill>
              <w14:schemeClr w14:val="tx1"/>
            </w14:solidFill>
          </w14:textFill>
        </w:rPr>
        <w:t>已建的</w:t>
      </w:r>
      <w:r>
        <w:rPr>
          <w:color w:val="000000" w:themeColor="text1"/>
          <w:highlight w:val="none"/>
          <w14:textFill>
            <w14:solidFill>
              <w14:schemeClr w14:val="tx1"/>
            </w14:solidFill>
          </w14:textFill>
        </w:rPr>
        <w:t>火炬分液罐</w:t>
      </w:r>
      <w:r>
        <w:rPr>
          <w:rFonts w:hint="eastAsia"/>
          <w:color w:val="000000" w:themeColor="text1"/>
          <w:highlight w:val="none"/>
          <w14:textFill>
            <w14:solidFill>
              <w14:schemeClr w14:val="tx1"/>
            </w14:solidFill>
          </w14:textFill>
        </w:rPr>
        <w:t>暂存</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定期由密闭罐车</w:t>
      </w:r>
      <w:r>
        <w:rPr>
          <w:color w:val="000000" w:themeColor="text1"/>
          <w:highlight w:val="none"/>
          <w14:textFill>
            <w14:solidFill>
              <w14:schemeClr w14:val="tx1"/>
            </w14:solidFill>
          </w14:textFill>
        </w:rPr>
        <w:t>统一拉运至赵家坝污水处理站。</w:t>
      </w:r>
      <w:r>
        <w:rPr>
          <w:rFonts w:hint="eastAsia" w:cs="Times New Roman"/>
          <w:color w:val="000000" w:themeColor="text1"/>
          <w:kern w:val="0"/>
          <w:highlight w:val="none"/>
          <w14:textFill>
            <w14:solidFill>
              <w14:schemeClr w14:val="tx1"/>
            </w14:solidFill>
          </w14:textFill>
        </w:rPr>
        <w:t>本次</w:t>
      </w:r>
      <w:r>
        <w:rPr>
          <w:rFonts w:hint="eastAsia"/>
          <w:color w:val="000000" w:themeColor="text1"/>
          <w:highlight w:val="none"/>
          <w14:textFill>
            <w14:solidFill>
              <w14:schemeClr w14:val="tx1"/>
            </w14:solidFill>
          </w14:textFill>
        </w:rPr>
        <w:t>新建采气管道200米，并配套电力、通信、自控等设施。</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项目投产后，总配产15万立方米</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天，试采期为2年。</w:t>
      </w:r>
    </w:p>
    <w:bookmarkEnd w:id="18"/>
    <w:bookmarkEnd w:id="24"/>
    <w:bookmarkEnd w:id="25"/>
    <w:bookmarkEnd w:id="26"/>
    <w:bookmarkEnd w:id="27"/>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本项目</w:t>
      </w:r>
      <w:r>
        <w:rPr>
          <w:rFonts w:cs="Times New Roman"/>
          <w:color w:val="000000" w:themeColor="text1"/>
          <w:highlight w:val="none"/>
          <w14:textFill>
            <w14:solidFill>
              <w14:schemeClr w14:val="tx1"/>
            </w14:solidFill>
          </w14:textFill>
        </w:rPr>
        <w:t>总投资</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万元</w:t>
      </w:r>
      <w:r>
        <w:rPr>
          <w:rFonts w:cs="Times New Roman"/>
          <w:color w:val="000000" w:themeColor="text1"/>
          <w:highlight w:val="none"/>
          <w14:textFill>
            <w14:solidFill>
              <w14:schemeClr w14:val="tx1"/>
            </w14:solidFill>
          </w14:textFill>
        </w:rPr>
        <w:t>，其中</w:t>
      </w:r>
      <w:r>
        <w:rPr>
          <w:rFonts w:hint="eastAsia" w:cs="Times New Roman"/>
          <w:color w:val="000000" w:themeColor="text1"/>
          <w:highlight w:val="none"/>
          <w14:textFill>
            <w14:solidFill>
              <w14:schemeClr w14:val="tx1"/>
            </w14:solidFill>
          </w14:textFill>
        </w:rPr>
        <w:t>环保投资</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万元，环保投资占总投资5.76%</w:t>
      </w:r>
      <w:r>
        <w:rPr>
          <w:rFonts w:cs="Times New Roman"/>
          <w:color w:val="000000" w:themeColor="text1"/>
          <w:highlight w:val="none"/>
          <w14:textFill>
            <w14:solidFill>
              <w14:schemeClr w14:val="tx1"/>
            </w14:solidFill>
          </w14:textFill>
        </w:rPr>
        <w:t>。</w:t>
      </w:r>
    </w:p>
    <w:p>
      <w:pPr>
        <w:ind w:firstLine="480"/>
        <w:rPr>
          <w:rFonts w:cs="Times New Roman"/>
          <w:color w:val="000000" w:themeColor="text1"/>
          <w:kern w:val="0"/>
          <w:highlight w:val="none"/>
          <w14:textFill>
            <w14:solidFill>
              <w14:schemeClr w14:val="tx1"/>
            </w14:solidFill>
          </w14:textFill>
        </w:rPr>
      </w:pPr>
      <w:r>
        <w:rPr>
          <w:rFonts w:cs="Times New Roman"/>
          <w:color w:val="000000" w:themeColor="text1"/>
          <w:kern w:val="0"/>
          <w:highlight w:val="none"/>
          <w14:textFill>
            <w14:solidFill>
              <w14:schemeClr w14:val="tx1"/>
            </w14:solidFill>
          </w14:textFill>
        </w:rPr>
        <w:t>本项目位于达州市</w:t>
      </w:r>
      <w:r>
        <w:rPr>
          <w:rFonts w:hint="eastAsia" w:cs="Times New Roman"/>
          <w:color w:val="000000" w:themeColor="text1"/>
          <w:kern w:val="0"/>
          <w:highlight w:val="none"/>
          <w14:textFill>
            <w14:solidFill>
              <w14:schemeClr w14:val="tx1"/>
            </w14:solidFill>
          </w14:textFill>
        </w:rPr>
        <w:t>宣汉县</w:t>
      </w:r>
      <w:r>
        <w:rPr>
          <w:rFonts w:hint="eastAsia" w:cs="Times New Roman"/>
          <w:color w:val="000000" w:themeColor="text1"/>
          <w:kern w:val="0"/>
          <w:highlight w:val="none"/>
          <w:lang w:eastAsia="zh-CN"/>
          <w14:textFill>
            <w14:solidFill>
              <w14:schemeClr w14:val="tx1"/>
            </w14:solidFill>
          </w14:textFill>
        </w:rPr>
        <w:t>***</w:t>
      </w:r>
      <w:r>
        <w:rPr>
          <w:rFonts w:cs="Times New Roman"/>
          <w:color w:val="000000" w:themeColor="text1"/>
          <w:kern w:val="0"/>
          <w:highlight w:val="none"/>
          <w14:textFill>
            <w14:solidFill>
              <w14:schemeClr w14:val="tx1"/>
            </w14:solidFill>
          </w14:textFill>
        </w:rPr>
        <w:t>，根据水利部办公厅关于印发《全国水土保持规划国家级水土流失重点预防区和重点治理区复核划分成果》（办水保〔2013〕188号）的通知，本项目</w:t>
      </w:r>
      <w:r>
        <w:rPr>
          <w:rFonts w:hint="eastAsia" w:cs="Times New Roman"/>
          <w:color w:val="000000" w:themeColor="text1"/>
          <w:kern w:val="0"/>
          <w:highlight w:val="none"/>
          <w14:textFill>
            <w14:solidFill>
              <w14:schemeClr w14:val="tx1"/>
            </w14:solidFill>
          </w14:textFill>
        </w:rPr>
        <w:t>所在地</w:t>
      </w:r>
      <w:r>
        <w:rPr>
          <w:rFonts w:cs="Times New Roman"/>
          <w:color w:val="000000" w:themeColor="text1"/>
          <w:kern w:val="0"/>
          <w:highlight w:val="none"/>
          <w14:textFill>
            <w14:solidFill>
              <w14:schemeClr w14:val="tx1"/>
            </w14:solidFill>
          </w14:textFill>
        </w:rPr>
        <w:t>属于四川省国家级水土流失重点治理区名单中所列区县，详见下表。</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四川省国家级水土流失重点治理区名单</w:t>
      </w:r>
    </w:p>
    <w:tbl>
      <w:tblPr>
        <w:tblStyle w:val="5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3"/>
        <w:gridCol w:w="6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0" w:type="dxa"/>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重点治理区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嘉陵江及沱江中下游国家级水土流失重点治理区</w:t>
            </w:r>
          </w:p>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GII2</w:t>
            </w:r>
          </w:p>
        </w:tc>
        <w:tc>
          <w:tcPr>
            <w:tcW w:w="6747"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巴中市：巴州区、恩阳区、平昌县；成都市：金堂县、简阳市；达州市：达川区、大竹县、开江县、渠县、通川区、</w:t>
            </w:r>
            <w:r>
              <w:rPr>
                <w:b/>
                <w:bCs/>
                <w:color w:val="000000" w:themeColor="text1"/>
                <w:highlight w:val="none"/>
                <w14:textFill>
                  <w14:solidFill>
                    <w14:schemeClr w14:val="tx1"/>
                  </w14:solidFill>
                </w14:textFill>
              </w:rPr>
              <w:t>宣汉县</w:t>
            </w:r>
            <w:r>
              <w:rPr>
                <w:color w:val="000000" w:themeColor="text1"/>
                <w:highlight w:val="none"/>
                <w14:textFill>
                  <w14:solidFill>
                    <w14:schemeClr w14:val="tx1"/>
                  </w14:solidFill>
                </w14:textFill>
              </w:rPr>
              <w:t>；德阳市：中江县；广元市：苍溪县、剑阁县；乐山市：犍为县、井研县；眉山市：仁寿县；绵阳市：三台县、盐亭县、梓潼县；内江市：威远县、资中县；南充市：阆中市、仪陇县、营山县；遂宁市：大英县；宜宾市：宜宾县；资阳市：安岳县、乐至县、雁江区；自贡市；柴县（31）</w:t>
            </w:r>
          </w:p>
        </w:tc>
      </w:tr>
    </w:tbl>
    <w:p>
      <w:pPr>
        <w:spacing w:before="120" w:beforeLines="50"/>
        <w:ind w:firstLine="480"/>
        <w:rPr>
          <w:rFonts w:cs="Times New Roman"/>
          <w:color w:val="000000" w:themeColor="text1"/>
          <w:kern w:val="0"/>
          <w:highlight w:val="none"/>
          <w14:textFill>
            <w14:solidFill>
              <w14:schemeClr w14:val="tx1"/>
            </w14:solidFill>
          </w14:textFill>
        </w:rPr>
      </w:pPr>
      <w:r>
        <w:rPr>
          <w:rFonts w:cs="Times New Roman"/>
          <w:color w:val="000000" w:themeColor="text1"/>
          <w:kern w:val="0"/>
          <w:highlight w:val="none"/>
          <w14:textFill>
            <w14:solidFill>
              <w14:schemeClr w14:val="tx1"/>
            </w14:solidFill>
          </w14:textFill>
        </w:rPr>
        <w:t>同时，</w:t>
      </w:r>
      <w:r>
        <w:rPr>
          <w:rFonts w:ascii="宋体" w:hAnsi="宋体" w:cs="Times New Roman"/>
          <w:color w:val="000000" w:themeColor="text1"/>
          <w:kern w:val="0"/>
          <w:highlight w:val="none"/>
          <w14:textFill>
            <w14:solidFill>
              <w14:schemeClr w14:val="tx1"/>
            </w14:solidFill>
          </w14:textFill>
        </w:rPr>
        <w:t>根据达州市水利局《关于水土保持“两区”划分的公告》“以下称《公告》”</w:t>
      </w:r>
      <w:r>
        <w:rPr>
          <w:rFonts w:cs="Times New Roman"/>
          <w:color w:val="000000" w:themeColor="text1"/>
          <w:kern w:val="0"/>
          <w:highlight w:val="none"/>
          <w14:textFill>
            <w14:solidFill>
              <w14:schemeClr w14:val="tx1"/>
            </w14:solidFill>
          </w14:textFill>
        </w:rPr>
        <w:t>（详见附件</w:t>
      </w:r>
      <w:r>
        <w:rPr>
          <w:rFonts w:hint="eastAsia" w:cs="Times New Roman"/>
          <w:color w:val="000000" w:themeColor="text1"/>
          <w:kern w:val="0"/>
          <w:highlight w:val="none"/>
          <w14:textFill>
            <w14:solidFill>
              <w14:schemeClr w14:val="tx1"/>
            </w14:solidFill>
          </w14:textFill>
        </w:rPr>
        <w:t>7</w:t>
      </w:r>
      <w:r>
        <w:rPr>
          <w:rFonts w:cs="Times New Roman"/>
          <w:color w:val="000000" w:themeColor="text1"/>
          <w:kern w:val="0"/>
          <w:highlight w:val="none"/>
          <w14:textFill>
            <w14:solidFill>
              <w14:schemeClr w14:val="tx1"/>
            </w14:solidFill>
          </w14:textFill>
        </w:rPr>
        <w:t>），涉及《公告》中</w:t>
      </w:r>
      <w:r>
        <w:rPr>
          <w:rFonts w:ascii="宋体" w:hAnsi="宋体" w:cs="Times New Roman"/>
          <w:color w:val="000000" w:themeColor="text1"/>
          <w:kern w:val="0"/>
          <w:highlight w:val="none"/>
          <w14:textFill>
            <w14:solidFill>
              <w14:schemeClr w14:val="tx1"/>
            </w14:solidFill>
          </w14:textFill>
        </w:rPr>
        <w:t>“附件1达州市水土流失重点防治区划分表”中所列生态分区中“</w:t>
      </w:r>
      <w:r>
        <w:rPr>
          <w:rFonts w:cs="Times New Roman"/>
          <w:color w:val="000000" w:themeColor="text1"/>
          <w:kern w:val="0"/>
          <w:highlight w:val="none"/>
          <w14:textFill>
            <w14:solidFill>
              <w14:schemeClr w14:val="tx1"/>
            </w14:solidFill>
          </w14:textFill>
        </w:rPr>
        <w:t>Ⅱ区-重点治理区</w:t>
      </w:r>
      <w:r>
        <w:rPr>
          <w:rFonts w:ascii="宋体" w:hAnsi="宋体" w:cs="Times New Roman"/>
          <w:color w:val="000000" w:themeColor="text1"/>
          <w:kern w:val="0"/>
          <w:highlight w:val="none"/>
          <w14:textFill>
            <w14:solidFill>
              <w14:schemeClr w14:val="tx1"/>
            </w14:solidFill>
          </w14:textFill>
        </w:rPr>
        <w:t>”</w:t>
      </w:r>
      <w:r>
        <w:rPr>
          <w:rFonts w:cs="Times New Roman"/>
          <w:color w:val="000000" w:themeColor="text1"/>
          <w:kern w:val="0"/>
          <w:highlight w:val="none"/>
          <w14:textFill>
            <w14:solidFill>
              <w14:schemeClr w14:val="tx1"/>
            </w14:solidFill>
          </w14:textFill>
        </w:rPr>
        <w:t>，具体详见下表。</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达州市水土流失重点防治区划分表</w:t>
      </w:r>
    </w:p>
    <w:tbl>
      <w:tblPr>
        <w:tblStyle w:val="5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1417"/>
        <w:gridCol w:w="5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生态分区</w:t>
            </w:r>
          </w:p>
        </w:tc>
        <w:tc>
          <w:tcPr>
            <w:tcW w:w="141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治理分区</w:t>
            </w:r>
          </w:p>
        </w:tc>
        <w:tc>
          <w:tcPr>
            <w:tcW w:w="575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乡镇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II区</w:t>
            </w:r>
          </w:p>
        </w:tc>
        <w:tc>
          <w:tcPr>
            <w:tcW w:w="141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重点预防区</w:t>
            </w:r>
          </w:p>
        </w:tc>
        <w:tc>
          <w:tcPr>
            <w:tcW w:w="5751"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宣汉县：龙泉乡、渡口乡、三墩乡、白马乡、大成镇、东乡镇、柳池乡、清溪镇、普光镇、桃花乡、双河镇、七里乡、柏树镇、天生镇、石铁乡、新华镇、厂溪乡、风鸣乡、红峰乡（19）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2" w:type="dxa"/>
            <w:vMerge w:val="continue"/>
            <w:vAlign w:val="center"/>
          </w:tcPr>
          <w:p>
            <w:pPr>
              <w:pStyle w:val="297"/>
              <w:rPr>
                <w:color w:val="000000" w:themeColor="text1"/>
                <w:highlight w:val="none"/>
                <w14:textFill>
                  <w14:solidFill>
                    <w14:schemeClr w14:val="tx1"/>
                  </w14:solidFill>
                </w14:textFill>
              </w:rPr>
            </w:pPr>
          </w:p>
        </w:tc>
        <w:tc>
          <w:tcPr>
            <w:tcW w:w="141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重点治理区</w:t>
            </w:r>
          </w:p>
        </w:tc>
        <w:tc>
          <w:tcPr>
            <w:tcW w:w="5751"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宣汉县：三墩乡、土黄镇、樊哙镇、漆碑乡、华景镇、白马乡、庆云乡、马渡乡、隘口乡、清溪镇、老君乡、普光镇、峰城镇、凤林乡、五宝镇、天台乡、三河乡、君塘镇、明月乡、东乡镇、红岭乡、大成镇、柳池乡、东林乡、庙安乡、天宝乡、柏树镇、黄金镇、</w:t>
            </w:r>
            <w:r>
              <w:rPr>
                <w:rFonts w:hint="eastAsia"/>
                <w:b/>
                <w:bCs/>
                <w:color w:val="000000" w:themeColor="text1"/>
                <w:highlight w:val="none"/>
                <w14:textFill>
                  <w14:solidFill>
                    <w14:schemeClr w14:val="tx1"/>
                  </w14:solidFill>
                </w14:textFill>
              </w:rPr>
              <w:t>毛坝镇、</w:t>
            </w:r>
            <w:r>
              <w:rPr>
                <w:rFonts w:hint="eastAsia"/>
                <w:color w:val="000000" w:themeColor="text1"/>
                <w:highlight w:val="none"/>
                <w14:textFill>
                  <w14:solidFill>
                    <w14:schemeClr w14:val="tx1"/>
                  </w14:solidFill>
                </w14:textFill>
              </w:rPr>
              <w:t>普光镇</w:t>
            </w:r>
            <w:r>
              <w:rPr>
                <w:color w:val="000000" w:themeColor="text1"/>
                <w:highlight w:val="none"/>
                <w14:textFill>
                  <w14:solidFill>
                    <w14:schemeClr w14:val="tx1"/>
                  </w14:solidFill>
                </w14:textFill>
              </w:rPr>
              <w:t>、胡家镇、花池乡、土主乡、南坪乡、观山乡（34）</w:t>
            </w:r>
          </w:p>
        </w:tc>
      </w:tr>
    </w:tbl>
    <w:p>
      <w:pPr>
        <w:pStyle w:val="252"/>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由上表可知，</w:t>
      </w:r>
      <w:r>
        <w:rPr>
          <w:color w:val="000000" w:themeColor="text1"/>
          <w:highlight w:val="none"/>
          <w14:textFill>
            <w14:solidFill>
              <w14:schemeClr w14:val="tx1"/>
            </w14:solidFill>
          </w14:textFill>
        </w:rPr>
        <w:t>本项目涉及水土流失重点治理区</w:t>
      </w:r>
      <w:r>
        <w:rPr>
          <w:rFonts w:hint="eastAsia"/>
          <w:color w:val="000000" w:themeColor="text1"/>
          <w:highlight w:val="none"/>
          <w14:textFill>
            <w14:solidFill>
              <w14:schemeClr w14:val="tx1"/>
            </w14:solidFill>
          </w14:textFill>
        </w:rPr>
        <w:t>，此外，根据后文分析，本项目还涉及部分永久基本农田占用（利旧清水池、利旧主放喷池临时占用基本农田）</w:t>
      </w:r>
      <w:r>
        <w:rPr>
          <w:color w:val="000000" w:themeColor="text1"/>
          <w:highlight w:val="none"/>
          <w14:textFill>
            <w14:solidFill>
              <w14:schemeClr w14:val="tx1"/>
            </w14:solidFill>
          </w14:textFill>
        </w:rPr>
        <w:t>。</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highlight w:val="none"/>
          <w14:textFill>
            <w14:solidFill>
              <w14:schemeClr w14:val="tx1"/>
            </w14:solidFill>
          </w14:textFill>
        </w:rPr>
        <w:t>根据《中华人民共和国环境保护法》（2015年1月1日实施）、《中华人民共和国环境影响评价法》（2018年12月29日实施）、《建设项目环境影响评价分类管理名录》（2021年版）等的有关规定，建设过程中或者建成投产后可能对环境产生影响的新建、扩建、改建、迁建项目及区域开发建设项目，必须执行环境影响评价制度。根据</w:t>
      </w:r>
      <w:r>
        <w:rPr>
          <w:rFonts w:hint="eastAsia" w:cs="Times New Roman"/>
          <w:color w:val="000000" w:themeColor="text1"/>
          <w:kern w:val="0"/>
          <w:highlight w:val="none"/>
          <w14:textFill>
            <w14:solidFill>
              <w14:schemeClr w14:val="tx1"/>
            </w14:solidFill>
          </w14:textFill>
        </w:rPr>
        <w:t>生态环境部</w:t>
      </w:r>
      <w:r>
        <w:rPr>
          <w:rFonts w:cs="Times New Roman"/>
          <w:color w:val="000000" w:themeColor="text1"/>
          <w:kern w:val="0"/>
          <w:highlight w:val="none"/>
          <w14:textFill>
            <w14:solidFill>
              <w14:schemeClr w14:val="tx1"/>
            </w14:solidFill>
          </w14:textFill>
        </w:rPr>
        <w:t>制定的《建设项目环境影响评价分类管理名录》（2021年版）中的相关要求，</w:t>
      </w:r>
      <w:r>
        <w:rPr>
          <w:rFonts w:hint="eastAsia" w:cs="Times New Roman"/>
          <w:color w:val="000000" w:themeColor="text1"/>
          <w:kern w:val="0"/>
          <w:highlight w:val="none"/>
          <w14:textFill>
            <w14:solidFill>
              <w14:schemeClr w14:val="tx1"/>
            </w14:solidFill>
          </w14:textFill>
        </w:rPr>
        <w:t>本项目为含硫天然气试验性勘探井的钻井及试采工程项目，虽然拟实施的一口试验勘探井属于探井工程，但后续试采部分的工艺及产排污与开采工程类似，</w:t>
      </w:r>
      <w:r>
        <w:rPr>
          <w:rFonts w:cs="Times New Roman"/>
          <w:color w:val="000000" w:themeColor="text1"/>
          <w:kern w:val="0"/>
          <w:highlight w:val="none"/>
          <w14:textFill>
            <w14:solidFill>
              <w14:schemeClr w14:val="tx1"/>
            </w14:solidFill>
          </w14:textFill>
        </w:rPr>
        <w:t>属于</w:t>
      </w:r>
      <w:r>
        <w:rPr>
          <w:rFonts w:ascii="宋体" w:hAnsi="宋体" w:cs="Times New Roman"/>
          <w:color w:val="000000" w:themeColor="text1"/>
          <w:kern w:val="0"/>
          <w:highlight w:val="none"/>
          <w14:textFill>
            <w14:solidFill>
              <w14:schemeClr w14:val="tx1"/>
            </w14:solidFill>
          </w14:textFill>
        </w:rPr>
        <w:t>“</w:t>
      </w:r>
      <w:r>
        <w:rPr>
          <w:rFonts w:cs="Times New Roman"/>
          <w:color w:val="000000" w:themeColor="text1"/>
          <w:kern w:val="0"/>
          <w:highlight w:val="none"/>
          <w14:textFill>
            <w14:solidFill>
              <w14:schemeClr w14:val="tx1"/>
            </w14:solidFill>
          </w14:textFill>
        </w:rPr>
        <w:t>五、石油和天然气开采业07-8、陆地天然气开采0721-新区块开发；年生产能力1亿立方米及以上的煤层气开采；涉及环境敏感区的（含内部集输管线建设）（</w:t>
      </w:r>
      <w:r>
        <w:rPr>
          <w:rFonts w:hint="eastAsia" w:cs="Times New Roman"/>
          <w:color w:val="000000" w:themeColor="text1"/>
          <w:kern w:val="0"/>
          <w:highlight w:val="none"/>
          <w14:textFill>
            <w14:solidFill>
              <w14:schemeClr w14:val="tx1"/>
            </w14:solidFill>
          </w14:textFill>
        </w:rPr>
        <w:t>本项目涉及水土流失重点治理区及永久基本农田</w:t>
      </w:r>
      <w:r>
        <w:rPr>
          <w:rFonts w:cs="Times New Roman"/>
          <w:color w:val="000000" w:themeColor="text1"/>
          <w:kern w:val="0"/>
          <w:highlight w:val="none"/>
          <w14:textFill>
            <w14:solidFill>
              <w14:schemeClr w14:val="tx1"/>
            </w14:solidFill>
          </w14:textFill>
        </w:rPr>
        <w:t>）</w:t>
      </w:r>
      <w:r>
        <w:rPr>
          <w:rFonts w:ascii="宋体" w:hAnsi="宋体" w:cs="Times New Roman"/>
          <w:color w:val="000000" w:themeColor="text1"/>
          <w:kern w:val="0"/>
          <w:highlight w:val="none"/>
          <w14:textFill>
            <w14:solidFill>
              <w14:schemeClr w14:val="tx1"/>
            </w14:solidFill>
          </w14:textFill>
        </w:rPr>
        <w:t>”</w:t>
      </w:r>
      <w:r>
        <w:rPr>
          <w:rFonts w:cs="Times New Roman"/>
          <w:color w:val="000000" w:themeColor="text1"/>
          <w:kern w:val="0"/>
          <w:highlight w:val="none"/>
          <w14:textFill>
            <w14:solidFill>
              <w14:schemeClr w14:val="tx1"/>
            </w14:solidFill>
          </w14:textFill>
        </w:rPr>
        <w:t>的建设项目</w:t>
      </w:r>
      <w:r>
        <w:rPr>
          <w:rFonts w:hint="eastAsia" w:cs="Times New Roman"/>
          <w:color w:val="000000" w:themeColor="text1"/>
          <w:kern w:val="0"/>
          <w:highlight w:val="none"/>
          <w14:textFill>
            <w14:solidFill>
              <w14:schemeClr w14:val="tx1"/>
            </w14:solidFill>
          </w14:textFill>
        </w:rPr>
        <w:t>。因此，项目整体按照天然气开采工程确定本项目环评报告的报告形式</w:t>
      </w:r>
      <w:r>
        <w:rPr>
          <w:rFonts w:cs="Times New Roman"/>
          <w:color w:val="000000" w:themeColor="text1"/>
          <w:kern w:val="0"/>
          <w:highlight w:val="none"/>
          <w14:textFill>
            <w14:solidFill>
              <w14:schemeClr w14:val="tx1"/>
            </w14:solidFill>
          </w14:textFill>
        </w:rPr>
        <w:t>，环评类别为编制环境影响报告书。</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中国石油化工股份有限公司中原油田普光分公司委托成都维清环保科技有限公司承担本项目环境影响评价工作（见附件</w:t>
      </w:r>
      <w:r>
        <w:rPr>
          <w:rFonts w:hint="eastAsia" w:cs="Times New Roman"/>
          <w:color w:val="000000" w:themeColor="text1"/>
          <w:kern w:val="0"/>
          <w:szCs w:val="20"/>
          <w:highlight w:val="none"/>
          <w14:textFill>
            <w14:solidFill>
              <w14:schemeClr w14:val="tx1"/>
            </w14:solidFill>
          </w14:textFill>
        </w:rPr>
        <w:t>1</w:t>
      </w:r>
      <w:r>
        <w:rPr>
          <w:rFonts w:cs="Times New Roman"/>
          <w:color w:val="000000" w:themeColor="text1"/>
          <w:kern w:val="0"/>
          <w:szCs w:val="20"/>
          <w:highlight w:val="none"/>
          <w14:textFill>
            <w14:solidFill>
              <w14:schemeClr w14:val="tx1"/>
            </w14:solidFill>
          </w14:textFill>
        </w:rPr>
        <w:t>）。成都维清环保科技有限公司接受委托后，成立项目组，并随即对该项目</w:t>
      </w:r>
      <w:r>
        <w:rPr>
          <w:rFonts w:hint="eastAsia" w:cs="Times New Roman"/>
          <w:color w:val="000000" w:themeColor="text1"/>
          <w:kern w:val="0"/>
          <w:szCs w:val="20"/>
          <w:highlight w:val="none"/>
          <w14:textFill>
            <w14:solidFill>
              <w14:schemeClr w14:val="tx1"/>
            </w14:solidFill>
          </w14:textFill>
        </w:rPr>
        <w:t>拟建地</w:t>
      </w:r>
      <w:r>
        <w:rPr>
          <w:rFonts w:cs="Times New Roman"/>
          <w:color w:val="000000" w:themeColor="text1"/>
          <w:kern w:val="0"/>
          <w:szCs w:val="20"/>
          <w:highlight w:val="none"/>
          <w14:textFill>
            <w14:solidFill>
              <w14:schemeClr w14:val="tx1"/>
            </w14:solidFill>
          </w14:textFill>
        </w:rPr>
        <w:t>周边的自然环境进行踏勘调查，并收集了与项目有关的建设及技术资料，根据建设项目环境影响评价导则、规范及要求</w:t>
      </w:r>
      <w:r>
        <w:rPr>
          <w:rFonts w:hint="eastAsia" w:cs="Times New Roman"/>
          <w:color w:val="000000" w:themeColor="text1"/>
          <w:kern w:val="0"/>
          <w:szCs w:val="20"/>
          <w:highlight w:val="none"/>
          <w14:textFill>
            <w14:solidFill>
              <w14:schemeClr w14:val="tx1"/>
            </w14:solidFill>
          </w14:textFill>
        </w:rPr>
        <w:t>，并结合建设单位提供的《</w:t>
      </w:r>
      <w:r>
        <w:rPr>
          <w:rFonts w:hint="eastAsia"/>
          <w:color w:val="000000" w:themeColor="text1"/>
          <w:highlight w:val="none"/>
          <w14:textFill>
            <w14:solidFill>
              <w14:schemeClr w14:val="tx1"/>
            </w14:solidFill>
          </w14:textFill>
        </w:rPr>
        <w:t>普光气田大湾408-3井场产能建设可行性研究报告》中的工程建设内容</w:t>
      </w:r>
      <w:r>
        <w:rPr>
          <w:rFonts w:cs="Times New Roman"/>
          <w:color w:val="000000" w:themeColor="text1"/>
          <w:kern w:val="0"/>
          <w:szCs w:val="20"/>
          <w:highlight w:val="none"/>
          <w14:textFill>
            <w14:solidFill>
              <w14:schemeClr w14:val="tx1"/>
            </w14:solidFill>
          </w14:textFill>
        </w:rPr>
        <w:t>，编制《</w:t>
      </w:r>
      <w:r>
        <w:rPr>
          <w:rFonts w:hint="eastAsia" w:cs="Times New Roman"/>
          <w:color w:val="000000" w:themeColor="text1"/>
          <w:kern w:val="0"/>
          <w:szCs w:val="20"/>
          <w:highlight w:val="none"/>
          <w14:textFill>
            <w14:solidFill>
              <w14:schemeClr w14:val="tx1"/>
            </w14:solidFill>
          </w14:textFill>
        </w:rPr>
        <w:t>大湾408-3井钻井及试采工程</w:t>
      </w:r>
      <w:r>
        <w:rPr>
          <w:rFonts w:cs="Times New Roman"/>
          <w:color w:val="000000" w:themeColor="text1"/>
          <w:kern w:val="0"/>
          <w:szCs w:val="20"/>
          <w:highlight w:val="none"/>
          <w14:textFill>
            <w14:solidFill>
              <w14:schemeClr w14:val="tx1"/>
            </w14:solidFill>
          </w14:textFill>
        </w:rPr>
        <w:t>环境影响报告书》。</w:t>
      </w:r>
    </w:p>
    <w:bookmarkEnd w:id="12"/>
    <w:p>
      <w:pPr>
        <w:pStyle w:val="3"/>
        <w:spacing w:before="120"/>
        <w:rPr>
          <w:color w:val="000000" w:themeColor="text1"/>
          <w:highlight w:val="none"/>
          <w14:textFill>
            <w14:solidFill>
              <w14:schemeClr w14:val="tx1"/>
            </w14:solidFill>
          </w14:textFill>
        </w:rPr>
      </w:pPr>
      <w:bookmarkStart w:id="28" w:name="_Toc3398"/>
      <w:r>
        <w:rPr>
          <w:color w:val="000000" w:themeColor="text1"/>
          <w:highlight w:val="none"/>
          <w14:textFill>
            <w14:solidFill>
              <w14:schemeClr w14:val="tx1"/>
            </w14:solidFill>
          </w14:textFill>
        </w:rPr>
        <w:t>建设项目特点</w:t>
      </w:r>
      <w:bookmarkEnd w:id="28"/>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本项目为天然气勘探井及</w:t>
      </w:r>
      <w:r>
        <w:rPr>
          <w:rFonts w:hint="eastAsia" w:cs="Times New Roman"/>
          <w:color w:val="000000" w:themeColor="text1"/>
          <w:kern w:val="0"/>
          <w:szCs w:val="20"/>
          <w:highlight w:val="none"/>
          <w14:textFill>
            <w14:solidFill>
              <w14:schemeClr w14:val="tx1"/>
            </w14:solidFill>
          </w14:textFill>
        </w:rPr>
        <w:t>天然气勘探及试采工程</w:t>
      </w:r>
      <w:r>
        <w:rPr>
          <w:rFonts w:cs="Times New Roman"/>
          <w:color w:val="000000" w:themeColor="text1"/>
          <w:kern w:val="0"/>
          <w:szCs w:val="20"/>
          <w:highlight w:val="none"/>
          <w14:textFill>
            <w14:solidFill>
              <w14:schemeClr w14:val="tx1"/>
            </w14:solidFill>
          </w14:textFill>
        </w:rPr>
        <w:t>，</w:t>
      </w:r>
      <w:r>
        <w:rPr>
          <w:rFonts w:hint="eastAsia" w:cs="Times New Roman"/>
          <w:color w:val="000000" w:themeColor="text1"/>
          <w:kern w:val="0"/>
          <w:szCs w:val="20"/>
          <w:highlight w:val="none"/>
          <w14:textFill>
            <w14:solidFill>
              <w14:schemeClr w14:val="tx1"/>
            </w14:solidFill>
          </w14:textFill>
        </w:rPr>
        <w:t>施工期（</w:t>
      </w:r>
      <w:r>
        <w:rPr>
          <w:rFonts w:cs="Times New Roman"/>
          <w:color w:val="000000" w:themeColor="text1"/>
          <w:kern w:val="0"/>
          <w:szCs w:val="20"/>
          <w:highlight w:val="none"/>
          <w14:textFill>
            <w14:solidFill>
              <w14:schemeClr w14:val="tx1"/>
            </w14:solidFill>
          </w14:textFill>
        </w:rPr>
        <w:t>天然气</w:t>
      </w:r>
      <w:r>
        <w:rPr>
          <w:rFonts w:hint="eastAsia" w:cs="Times New Roman"/>
          <w:color w:val="000000" w:themeColor="text1"/>
          <w:kern w:val="0"/>
          <w:szCs w:val="20"/>
          <w:highlight w:val="none"/>
          <w14:textFill>
            <w14:solidFill>
              <w14:schemeClr w14:val="tx1"/>
            </w14:solidFill>
          </w14:textFill>
        </w:rPr>
        <w:t>井的钻井施工）</w:t>
      </w:r>
      <w:r>
        <w:rPr>
          <w:rFonts w:cs="Times New Roman"/>
          <w:color w:val="000000" w:themeColor="text1"/>
          <w:kern w:val="0"/>
          <w:szCs w:val="20"/>
          <w:highlight w:val="none"/>
          <w14:textFill>
            <w14:solidFill>
              <w14:schemeClr w14:val="tx1"/>
            </w14:solidFill>
          </w14:textFill>
        </w:rPr>
        <w:t>及</w:t>
      </w:r>
      <w:r>
        <w:rPr>
          <w:rFonts w:hint="eastAsia" w:cs="Times New Roman"/>
          <w:color w:val="000000" w:themeColor="text1"/>
          <w:kern w:val="0"/>
          <w:szCs w:val="20"/>
          <w:highlight w:val="none"/>
          <w14:textFill>
            <w14:solidFill>
              <w14:schemeClr w14:val="tx1"/>
            </w14:solidFill>
          </w14:textFill>
        </w:rPr>
        <w:t>试采期（</w:t>
      </w:r>
      <w:r>
        <w:rPr>
          <w:rFonts w:cs="Times New Roman"/>
          <w:color w:val="000000" w:themeColor="text1"/>
          <w:kern w:val="0"/>
          <w:szCs w:val="20"/>
          <w:highlight w:val="none"/>
          <w14:textFill>
            <w14:solidFill>
              <w14:schemeClr w14:val="tx1"/>
            </w14:solidFill>
          </w14:textFill>
        </w:rPr>
        <w:t>天然气试采</w:t>
      </w:r>
      <w:r>
        <w:rPr>
          <w:rFonts w:hint="eastAsia" w:cs="Times New Roman"/>
          <w:color w:val="000000" w:themeColor="text1"/>
          <w:kern w:val="0"/>
          <w:szCs w:val="20"/>
          <w:highlight w:val="none"/>
          <w14:textFill>
            <w14:solidFill>
              <w14:schemeClr w14:val="tx1"/>
            </w14:solidFill>
          </w14:textFill>
        </w:rPr>
        <w:t>生产）两部分。</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（1）施工期</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本项目施工期主要为天然气井的钻井施工，包含钻前工程施工、钻井工程施工、储层改造工程及油气集输工程（试采站+管网）的建设等部分，针对施工期，具备以下特点：</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fldChar w:fldCharType="begin"/>
      </w:r>
      <w:r>
        <w:rPr>
          <w:rFonts w:hint="eastAsia" w:cs="Times New Roman"/>
          <w:color w:val="000000" w:themeColor="text1"/>
          <w:kern w:val="0"/>
          <w:szCs w:val="20"/>
          <w:highlight w:val="none"/>
          <w14:textFill>
            <w14:solidFill>
              <w14:schemeClr w14:val="tx1"/>
            </w14:solidFill>
          </w14:textFill>
        </w:rPr>
        <w:instrText xml:space="preserve"> = 1 \* GB3 \* MERGEFORMAT </w:instrText>
      </w:r>
      <w:r>
        <w:rPr>
          <w:rFonts w:hint="eastAsia" w:cs="Times New Roman"/>
          <w:color w:val="000000" w:themeColor="text1"/>
          <w:kern w:val="0"/>
          <w:szCs w:val="20"/>
          <w:highlight w:val="none"/>
          <w14:textFill>
            <w14:solidFill>
              <w14:schemeClr w14:val="tx1"/>
            </w14:solidFill>
          </w14:textFill>
        </w:rPr>
        <w:fldChar w:fldCharType="separate"/>
      </w:r>
      <w:r>
        <w:rPr>
          <w:rFonts w:hint="eastAsia" w:cs="Times New Roman"/>
          <w:color w:val="000000" w:themeColor="text1"/>
          <w:kern w:val="0"/>
          <w:szCs w:val="20"/>
          <w:highlight w:val="none"/>
          <w14:textFill>
            <w14:solidFill>
              <w14:schemeClr w14:val="tx1"/>
            </w14:solidFill>
          </w14:textFill>
        </w:rPr>
        <w:t>①</w:t>
      </w:r>
      <w:r>
        <w:rPr>
          <w:rFonts w:hint="eastAsia" w:cs="Times New Roman"/>
          <w:color w:val="000000" w:themeColor="text1"/>
          <w:kern w:val="0"/>
          <w:szCs w:val="20"/>
          <w:highlight w:val="none"/>
          <w14:textFill>
            <w14:solidFill>
              <w14:schemeClr w14:val="tx1"/>
            </w14:solidFill>
          </w14:textFill>
        </w:rPr>
        <w:fldChar w:fldCharType="end"/>
      </w:r>
      <w:r>
        <w:rPr>
          <w:rFonts w:hint="eastAsia" w:cs="Times New Roman"/>
          <w:color w:val="000000" w:themeColor="text1"/>
          <w:kern w:val="0"/>
          <w:szCs w:val="20"/>
          <w:highlight w:val="none"/>
          <w14:textFill>
            <w14:solidFill>
              <w14:schemeClr w14:val="tx1"/>
            </w14:solidFill>
          </w14:textFill>
        </w:rPr>
        <w:t>天然气钻井工程项目兼具生态影响和污染影响的特点，钻前工程量小，施工时间短，故其生态影响较小。本项目的环境影响以后续钻井工程、储层改造工程及油气集输工程等产生的污染影响为主。</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fldChar w:fldCharType="begin"/>
      </w:r>
      <w:r>
        <w:rPr>
          <w:rFonts w:hint="eastAsia" w:cs="Times New Roman"/>
          <w:color w:val="000000" w:themeColor="text1"/>
          <w:kern w:val="0"/>
          <w:szCs w:val="20"/>
          <w:highlight w:val="none"/>
          <w14:textFill>
            <w14:solidFill>
              <w14:schemeClr w14:val="tx1"/>
            </w14:solidFill>
          </w14:textFill>
        </w:rPr>
        <w:instrText xml:space="preserve"> = 2 \* GB3 \* MERGEFORMAT </w:instrText>
      </w:r>
      <w:r>
        <w:rPr>
          <w:rFonts w:hint="eastAsia" w:cs="Times New Roman"/>
          <w:color w:val="000000" w:themeColor="text1"/>
          <w:kern w:val="0"/>
          <w:szCs w:val="20"/>
          <w:highlight w:val="none"/>
          <w14:textFill>
            <w14:solidFill>
              <w14:schemeClr w14:val="tx1"/>
            </w14:solidFill>
          </w14:textFill>
        </w:rPr>
        <w:fldChar w:fldCharType="separate"/>
      </w:r>
      <w:r>
        <w:rPr>
          <w:rFonts w:hint="eastAsia" w:cs="Times New Roman"/>
          <w:color w:val="000000" w:themeColor="text1"/>
          <w:kern w:val="0"/>
          <w:szCs w:val="20"/>
          <w:highlight w:val="none"/>
          <w14:textFill>
            <w14:solidFill>
              <w14:schemeClr w14:val="tx1"/>
            </w14:solidFill>
          </w14:textFill>
        </w:rPr>
        <w:t>②</w:t>
      </w:r>
      <w:r>
        <w:rPr>
          <w:rFonts w:hint="eastAsia" w:cs="Times New Roman"/>
          <w:color w:val="000000" w:themeColor="text1"/>
          <w:kern w:val="0"/>
          <w:szCs w:val="20"/>
          <w:highlight w:val="none"/>
          <w14:textFill>
            <w14:solidFill>
              <w14:schemeClr w14:val="tx1"/>
            </w14:solidFill>
          </w14:textFill>
        </w:rPr>
        <w:fldChar w:fldCharType="end"/>
      </w:r>
      <w:r>
        <w:rPr>
          <w:rFonts w:cs="Times New Roman"/>
          <w:color w:val="000000" w:themeColor="text1"/>
          <w:kern w:val="0"/>
          <w:szCs w:val="20"/>
          <w:highlight w:val="none"/>
          <w14:textFill>
            <w14:solidFill>
              <w14:schemeClr w14:val="tx1"/>
            </w14:solidFill>
          </w14:textFill>
        </w:rPr>
        <w:t>本工程采用常规钻井工艺进行钻井，</w:t>
      </w:r>
      <w:r>
        <w:rPr>
          <w:rFonts w:hint="eastAsia" w:cs="Times New Roman"/>
          <w:color w:val="000000" w:themeColor="text1"/>
          <w:kern w:val="0"/>
          <w:szCs w:val="20"/>
          <w:highlight w:val="none"/>
          <w14:textFill>
            <w14:solidFill>
              <w14:schemeClr w14:val="tx1"/>
            </w14:solidFill>
          </w14:textFill>
        </w:rPr>
        <w:t>钻井液优先采用清水或含封堵性聚合物的水基钻井液体系，仅三开若钻遇特地层，则采用油基钻井液。</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fldChar w:fldCharType="begin"/>
      </w:r>
      <w:r>
        <w:rPr>
          <w:rFonts w:hint="eastAsia" w:cs="Times New Roman"/>
          <w:color w:val="000000" w:themeColor="text1"/>
          <w:kern w:val="0"/>
          <w:szCs w:val="20"/>
          <w:highlight w:val="none"/>
          <w14:textFill>
            <w14:solidFill>
              <w14:schemeClr w14:val="tx1"/>
            </w14:solidFill>
          </w14:textFill>
        </w:rPr>
        <w:instrText xml:space="preserve"> = 3 \* GB3 \* MERGEFORMAT </w:instrText>
      </w:r>
      <w:r>
        <w:rPr>
          <w:rFonts w:hint="eastAsia" w:cs="Times New Roman"/>
          <w:color w:val="000000" w:themeColor="text1"/>
          <w:kern w:val="0"/>
          <w:szCs w:val="20"/>
          <w:highlight w:val="none"/>
          <w14:textFill>
            <w14:solidFill>
              <w14:schemeClr w14:val="tx1"/>
            </w14:solidFill>
          </w14:textFill>
        </w:rPr>
        <w:fldChar w:fldCharType="separate"/>
      </w:r>
      <w:r>
        <w:rPr>
          <w:rFonts w:hint="eastAsia" w:cs="Times New Roman"/>
          <w:color w:val="000000" w:themeColor="text1"/>
          <w:kern w:val="0"/>
          <w:szCs w:val="20"/>
          <w:highlight w:val="none"/>
          <w14:textFill>
            <w14:solidFill>
              <w14:schemeClr w14:val="tx1"/>
            </w14:solidFill>
          </w14:textFill>
        </w:rPr>
        <w:t>③</w:t>
      </w:r>
      <w:r>
        <w:rPr>
          <w:rFonts w:hint="eastAsia" w:cs="Times New Roman"/>
          <w:color w:val="000000" w:themeColor="text1"/>
          <w:kern w:val="0"/>
          <w:szCs w:val="20"/>
          <w:highlight w:val="none"/>
          <w14:textFill>
            <w14:solidFill>
              <w14:schemeClr w14:val="tx1"/>
            </w14:solidFill>
          </w14:textFill>
        </w:rPr>
        <w:fldChar w:fldCharType="end"/>
      </w:r>
      <w:r>
        <w:rPr>
          <w:rFonts w:hint="eastAsia" w:cs="Times New Roman"/>
          <w:color w:val="000000" w:themeColor="text1"/>
          <w:kern w:val="0"/>
          <w:szCs w:val="20"/>
          <w:highlight w:val="none"/>
          <w14:textFill>
            <w14:solidFill>
              <w14:schemeClr w14:val="tx1"/>
            </w14:solidFill>
          </w14:textFill>
        </w:rPr>
        <w:t>为尽可能减小噪声影响，本项目优先采用网电钻井；</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fldChar w:fldCharType="begin"/>
      </w:r>
      <w:r>
        <w:rPr>
          <w:rFonts w:hint="eastAsia" w:cs="Times New Roman"/>
          <w:color w:val="000000" w:themeColor="text1"/>
          <w:kern w:val="0"/>
          <w:szCs w:val="20"/>
          <w:highlight w:val="none"/>
          <w14:textFill>
            <w14:solidFill>
              <w14:schemeClr w14:val="tx1"/>
            </w14:solidFill>
          </w14:textFill>
        </w:rPr>
        <w:instrText xml:space="preserve"> = 4 \* GB3 \* MERGEFORMAT </w:instrText>
      </w:r>
      <w:r>
        <w:rPr>
          <w:rFonts w:hint="eastAsia" w:cs="Times New Roman"/>
          <w:color w:val="000000" w:themeColor="text1"/>
          <w:kern w:val="0"/>
          <w:szCs w:val="20"/>
          <w:highlight w:val="none"/>
          <w14:textFill>
            <w14:solidFill>
              <w14:schemeClr w14:val="tx1"/>
            </w14:solidFill>
          </w14:textFill>
        </w:rPr>
        <w:fldChar w:fldCharType="separate"/>
      </w:r>
      <w:r>
        <w:rPr>
          <w:rFonts w:hint="eastAsia" w:cs="Times New Roman"/>
          <w:color w:val="000000" w:themeColor="text1"/>
          <w:kern w:val="0"/>
          <w:szCs w:val="20"/>
          <w:highlight w:val="none"/>
          <w14:textFill>
            <w14:solidFill>
              <w14:schemeClr w14:val="tx1"/>
            </w14:solidFill>
          </w14:textFill>
        </w:rPr>
        <w:t>④</w:t>
      </w:r>
      <w:r>
        <w:rPr>
          <w:rFonts w:hint="eastAsia" w:cs="Times New Roman"/>
          <w:color w:val="000000" w:themeColor="text1"/>
          <w:kern w:val="0"/>
          <w:szCs w:val="20"/>
          <w:highlight w:val="none"/>
          <w14:textFill>
            <w14:solidFill>
              <w14:schemeClr w14:val="tx1"/>
            </w14:solidFill>
          </w14:textFill>
        </w:rPr>
        <w:fldChar w:fldCharType="end"/>
      </w:r>
      <w:r>
        <w:rPr>
          <w:rFonts w:hint="eastAsia" w:cs="Times New Roman"/>
          <w:color w:val="000000" w:themeColor="text1"/>
          <w:kern w:val="0"/>
          <w:szCs w:val="20"/>
          <w:highlight w:val="none"/>
          <w14:textFill>
            <w14:solidFill>
              <w14:schemeClr w14:val="tx1"/>
            </w14:solidFill>
          </w14:textFill>
        </w:rPr>
        <w:t>针对钻井工程、储层改造工程产生的钻井废水、洗井废水、场地初期雨水、压裂返排液等拟采取“减量化、资源化循环利用、无害化”的原则实施清洁生产，做到本项目产生的钻井废水、洗井废水、场地雨水、压裂返排液等均尽量回用，不能回用部分均由密闭罐车定期拉运至赵家坝污水处理站</w:t>
      </w:r>
      <w:r>
        <w:rPr>
          <w:rFonts w:cs="Times New Roman"/>
          <w:color w:val="000000" w:themeColor="text1"/>
          <w:kern w:val="0"/>
          <w:szCs w:val="20"/>
          <w:highlight w:val="none"/>
          <w14:textFill>
            <w14:solidFill>
              <w14:schemeClr w14:val="tx1"/>
            </w14:solidFill>
          </w14:textFill>
        </w:rPr>
        <w:t>达标后管输至</w:t>
      </w:r>
      <w:r>
        <w:rPr>
          <w:rFonts w:hint="eastAsia" w:cs="Times New Roman"/>
          <w:color w:val="000000" w:themeColor="text1"/>
          <w:kern w:val="0"/>
          <w:szCs w:val="20"/>
          <w:highlight w:val="none"/>
          <w14:textFill>
            <w14:solidFill>
              <w14:schemeClr w14:val="tx1"/>
            </w14:solidFill>
          </w14:textFill>
        </w:rPr>
        <w:t>普光3井回注站回注，不外排。不向周边水体排污。</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fldChar w:fldCharType="begin"/>
      </w:r>
      <w:r>
        <w:rPr>
          <w:rFonts w:hint="eastAsia" w:cs="Times New Roman"/>
          <w:color w:val="000000" w:themeColor="text1"/>
          <w:kern w:val="0"/>
          <w:szCs w:val="20"/>
          <w:highlight w:val="none"/>
          <w14:textFill>
            <w14:solidFill>
              <w14:schemeClr w14:val="tx1"/>
            </w14:solidFill>
          </w14:textFill>
        </w:rPr>
        <w:instrText xml:space="preserve"> = 5 \* GB3 \* MERGEFORMAT </w:instrText>
      </w:r>
      <w:r>
        <w:rPr>
          <w:rFonts w:hint="eastAsia" w:cs="Times New Roman"/>
          <w:color w:val="000000" w:themeColor="text1"/>
          <w:kern w:val="0"/>
          <w:szCs w:val="20"/>
          <w:highlight w:val="none"/>
          <w14:textFill>
            <w14:solidFill>
              <w14:schemeClr w14:val="tx1"/>
            </w14:solidFill>
          </w14:textFill>
        </w:rPr>
        <w:fldChar w:fldCharType="separate"/>
      </w:r>
      <w:r>
        <w:rPr>
          <w:rFonts w:hint="eastAsia" w:cs="Times New Roman"/>
          <w:color w:val="000000" w:themeColor="text1"/>
          <w:kern w:val="0"/>
          <w:szCs w:val="20"/>
          <w:highlight w:val="none"/>
          <w14:textFill>
            <w14:solidFill>
              <w14:schemeClr w14:val="tx1"/>
            </w14:solidFill>
          </w14:textFill>
        </w:rPr>
        <w:t>⑤</w:t>
      </w:r>
      <w:r>
        <w:rPr>
          <w:rFonts w:hint="eastAsia" w:cs="Times New Roman"/>
          <w:color w:val="000000" w:themeColor="text1"/>
          <w:kern w:val="0"/>
          <w:szCs w:val="20"/>
          <w:highlight w:val="none"/>
          <w14:textFill>
            <w14:solidFill>
              <w14:schemeClr w14:val="tx1"/>
            </w14:solidFill>
          </w14:textFill>
        </w:rPr>
        <w:fldChar w:fldCharType="end"/>
      </w:r>
      <w:r>
        <w:rPr>
          <w:rFonts w:hint="eastAsia" w:cs="Times New Roman"/>
          <w:color w:val="000000" w:themeColor="text1"/>
          <w:kern w:val="0"/>
          <w:szCs w:val="20"/>
          <w:highlight w:val="none"/>
          <w14:textFill>
            <w14:solidFill>
              <w14:schemeClr w14:val="tx1"/>
            </w14:solidFill>
          </w14:textFill>
        </w:rPr>
        <w:t>针对油气集输工程阶段的施工建设，本项目新建集输管线，将天然气（含采出水）外输至西侧大湾</w:t>
      </w:r>
      <w:r>
        <w:rPr>
          <w:rFonts w:hint="eastAsia" w:cs="Times New Roman"/>
          <w:color w:val="000000" w:themeColor="text1"/>
          <w:kern w:val="0"/>
          <w:szCs w:val="20"/>
          <w:highlight w:val="none"/>
          <w:lang w:eastAsia="zh-CN"/>
          <w14:textFill>
            <w14:solidFill>
              <w14:schemeClr w14:val="tx1"/>
            </w14:solidFill>
          </w14:textFill>
        </w:rPr>
        <w:t>408试采站</w:t>
      </w:r>
      <w:r>
        <w:rPr>
          <w:rFonts w:hint="eastAsia" w:cs="Times New Roman"/>
          <w:color w:val="000000" w:themeColor="text1"/>
          <w:kern w:val="0"/>
          <w:szCs w:val="20"/>
          <w:highlight w:val="none"/>
          <w14:textFill>
            <w14:solidFill>
              <w14:schemeClr w14:val="tx1"/>
            </w14:solidFill>
          </w14:textFill>
        </w:rPr>
        <w:t>再依托大湾</w:t>
      </w:r>
      <w:r>
        <w:rPr>
          <w:rFonts w:hint="eastAsia" w:cs="Times New Roman"/>
          <w:color w:val="000000" w:themeColor="text1"/>
          <w:kern w:val="0"/>
          <w:szCs w:val="20"/>
          <w:highlight w:val="none"/>
          <w:lang w:eastAsia="zh-CN"/>
          <w14:textFill>
            <w14:solidFill>
              <w14:schemeClr w14:val="tx1"/>
            </w14:solidFill>
          </w14:textFill>
        </w:rPr>
        <w:t>408试采站</w:t>
      </w:r>
      <w:r>
        <w:rPr>
          <w:rFonts w:hint="eastAsia" w:cs="Times New Roman"/>
          <w:color w:val="000000" w:themeColor="text1"/>
          <w:kern w:val="0"/>
          <w:szCs w:val="20"/>
          <w:highlight w:val="none"/>
          <w14:textFill>
            <w14:solidFill>
              <w14:schemeClr w14:val="tx1"/>
            </w14:solidFill>
          </w14:textFill>
        </w:rPr>
        <w:t>进一步处理外输或外运，因此集输管线工程建设主要影响为施工期临时占地对生态的影响。</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（2）试采期</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本项目试采期主要对所产天然气进行生产和外输。本项目试采期限为2年，针对试采工程，具备以下特点：</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（1）</w:t>
      </w:r>
      <w:r>
        <w:rPr>
          <w:rFonts w:cs="Times New Roman"/>
          <w:color w:val="000000" w:themeColor="text1"/>
          <w:kern w:val="0"/>
          <w:szCs w:val="20"/>
          <w:highlight w:val="none"/>
          <w14:textFill>
            <w14:solidFill>
              <w14:schemeClr w14:val="tx1"/>
            </w14:solidFill>
          </w14:textFill>
        </w:rPr>
        <w:t>本项目开采原料及输送介质为</w:t>
      </w:r>
      <w:r>
        <w:rPr>
          <w:rFonts w:hint="eastAsia" w:cs="Times New Roman"/>
          <w:color w:val="000000" w:themeColor="text1"/>
          <w:kern w:val="0"/>
          <w:szCs w:val="20"/>
          <w:highlight w:val="none"/>
          <w14:textFill>
            <w14:solidFill>
              <w14:schemeClr w14:val="tx1"/>
            </w14:solidFill>
          </w14:textFill>
        </w:rPr>
        <w:t>含硫天然气</w:t>
      </w:r>
      <w:r>
        <w:rPr>
          <w:rFonts w:cs="Times New Roman"/>
          <w:color w:val="000000" w:themeColor="text1"/>
          <w:kern w:val="0"/>
          <w:szCs w:val="20"/>
          <w:highlight w:val="none"/>
          <w14:textFill>
            <w14:solidFill>
              <w14:schemeClr w14:val="tx1"/>
            </w14:solidFill>
          </w14:textFill>
        </w:rPr>
        <w:t>，</w:t>
      </w:r>
      <w:r>
        <w:rPr>
          <w:rFonts w:hint="eastAsia" w:cs="Times New Roman"/>
          <w:color w:val="000000" w:themeColor="text1"/>
          <w:kern w:val="0"/>
          <w:szCs w:val="20"/>
          <w:highlight w:val="none"/>
          <w14:textFill>
            <w14:solidFill>
              <w14:schemeClr w14:val="tx1"/>
            </w14:solidFill>
          </w14:textFill>
        </w:rPr>
        <w:t>通过新建管线外输至依托西侧已建的大湾</w:t>
      </w:r>
      <w:r>
        <w:rPr>
          <w:rFonts w:hint="eastAsia" w:cs="Times New Roman"/>
          <w:color w:val="000000" w:themeColor="text1"/>
          <w:kern w:val="0"/>
          <w:szCs w:val="20"/>
          <w:highlight w:val="none"/>
          <w:lang w:eastAsia="zh-CN"/>
          <w14:textFill>
            <w14:solidFill>
              <w14:schemeClr w14:val="tx1"/>
            </w14:solidFill>
          </w14:textFill>
        </w:rPr>
        <w:t>408试采站</w:t>
      </w:r>
      <w:r>
        <w:rPr>
          <w:rFonts w:hint="eastAsia" w:cs="Times New Roman"/>
          <w:color w:val="000000" w:themeColor="text1"/>
          <w:kern w:val="0"/>
          <w:szCs w:val="20"/>
          <w:highlight w:val="none"/>
          <w14:textFill>
            <w14:solidFill>
              <w14:schemeClr w14:val="tx1"/>
            </w14:solidFill>
          </w14:textFill>
        </w:rPr>
        <w:t>，天然气并最终</w:t>
      </w:r>
      <w:r>
        <w:rPr>
          <w:rFonts w:cs="Times New Roman"/>
          <w:color w:val="000000" w:themeColor="text1"/>
          <w:kern w:val="0"/>
          <w:szCs w:val="20"/>
          <w:highlight w:val="none"/>
          <w14:textFill>
            <w14:solidFill>
              <w14:schemeClr w14:val="tx1"/>
            </w14:solidFill>
          </w14:textFill>
        </w:rPr>
        <w:t>依托已建</w:t>
      </w:r>
      <w:r>
        <w:rPr>
          <w:rFonts w:hint="eastAsia" w:cs="Times New Roman"/>
          <w:color w:val="000000" w:themeColor="text1"/>
          <w:kern w:val="0"/>
          <w:szCs w:val="20"/>
          <w:highlight w:val="none"/>
          <w14:textFill>
            <w14:solidFill>
              <w14:schemeClr w14:val="tx1"/>
            </w14:solidFill>
          </w14:textFill>
        </w:rPr>
        <w:t>外输</w:t>
      </w:r>
      <w:r>
        <w:rPr>
          <w:rFonts w:cs="Times New Roman"/>
          <w:color w:val="000000" w:themeColor="text1"/>
          <w:kern w:val="0"/>
          <w:szCs w:val="20"/>
          <w:highlight w:val="none"/>
          <w14:textFill>
            <w14:solidFill>
              <w14:schemeClr w14:val="tx1"/>
            </w14:solidFill>
          </w14:textFill>
        </w:rPr>
        <w:t>管道进行外输</w:t>
      </w:r>
      <w:r>
        <w:rPr>
          <w:rFonts w:hint="eastAsia" w:cs="Times New Roman"/>
          <w:color w:val="000000" w:themeColor="text1"/>
          <w:kern w:val="0"/>
          <w:szCs w:val="20"/>
          <w:highlight w:val="none"/>
          <w14:textFill>
            <w14:solidFill>
              <w14:schemeClr w14:val="tx1"/>
            </w14:solidFill>
          </w14:textFill>
        </w:rPr>
        <w:t>，采出水采用罐车外运处理。本项目产气为含硫天然气</w:t>
      </w:r>
      <w:r>
        <w:rPr>
          <w:rFonts w:cs="Times New Roman"/>
          <w:color w:val="000000" w:themeColor="text1"/>
          <w:kern w:val="0"/>
          <w:szCs w:val="20"/>
          <w:highlight w:val="none"/>
          <w14:textFill>
            <w14:solidFill>
              <w14:schemeClr w14:val="tx1"/>
            </w14:solidFill>
          </w14:textFill>
        </w:rPr>
        <w:t>，</w:t>
      </w:r>
      <w:r>
        <w:rPr>
          <w:rFonts w:hint="eastAsia" w:cs="Times New Roman"/>
          <w:color w:val="000000" w:themeColor="text1"/>
          <w:kern w:val="0"/>
          <w:szCs w:val="20"/>
          <w:highlight w:val="none"/>
          <w14:textFill>
            <w14:solidFill>
              <w14:schemeClr w14:val="tx1"/>
            </w14:solidFill>
          </w14:textFill>
        </w:rPr>
        <w:t>主要设施（</w:t>
      </w:r>
      <w:r>
        <w:rPr>
          <w:rFonts w:hint="eastAsia"/>
          <w:color w:val="000000" w:themeColor="text1"/>
          <w:highlight w:val="none"/>
          <w14:textFill>
            <w14:solidFill>
              <w14:schemeClr w14:val="tx1"/>
            </w14:solidFill>
          </w14:textFill>
        </w:rPr>
        <w:t>加热节流、计量分离及后端的脱硫等工艺均依托既有设施），本项目</w:t>
      </w:r>
      <w:r>
        <w:rPr>
          <w:rFonts w:hint="eastAsia" w:cs="Times New Roman"/>
          <w:color w:val="000000" w:themeColor="text1"/>
          <w:kern w:val="0"/>
          <w:szCs w:val="20"/>
          <w:highlight w:val="none"/>
          <w14:textFill>
            <w14:solidFill>
              <w14:schemeClr w14:val="tx1"/>
            </w14:solidFill>
          </w14:textFill>
        </w:rPr>
        <w:t>试采期井站建设的工艺简单，不涉及</w:t>
      </w:r>
      <w:r>
        <w:rPr>
          <w:rFonts w:hint="eastAsia"/>
          <w:color w:val="000000" w:themeColor="text1"/>
          <w:highlight w:val="none"/>
          <w14:textFill>
            <w14:solidFill>
              <w14:schemeClr w14:val="tx1"/>
            </w14:solidFill>
          </w14:textFill>
        </w:rPr>
        <w:t>加热节流、计量分离及后端的脱硫</w:t>
      </w:r>
      <w:r>
        <w:rPr>
          <w:rFonts w:hint="eastAsia" w:cs="Times New Roman"/>
          <w:color w:val="000000" w:themeColor="text1"/>
          <w:kern w:val="0"/>
          <w:szCs w:val="20"/>
          <w:highlight w:val="none"/>
          <w14:textFill>
            <w14:solidFill>
              <w14:schemeClr w14:val="tx1"/>
            </w14:solidFill>
          </w14:textFill>
        </w:rPr>
        <w:t>等设施的建设。</w:t>
      </w:r>
    </w:p>
    <w:p>
      <w:pPr>
        <w:ind w:firstLine="480"/>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（2）试采期原辅材料消耗较少，产生的三废均得到妥善处置，可有效减少对区域环境质量产生的不利影响。</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w:t>
      </w:r>
      <w:r>
        <w:rPr>
          <w:rFonts w:hint="eastAsia" w:cs="Times New Roman"/>
          <w:color w:val="000000" w:themeColor="text1"/>
          <w:kern w:val="0"/>
          <w:szCs w:val="20"/>
          <w:highlight w:val="none"/>
          <w14:textFill>
            <w14:solidFill>
              <w14:schemeClr w14:val="tx1"/>
            </w14:solidFill>
          </w14:textFill>
        </w:rPr>
        <w:t>3</w:t>
      </w:r>
      <w:r>
        <w:rPr>
          <w:rFonts w:cs="Times New Roman"/>
          <w:color w:val="000000" w:themeColor="text1"/>
          <w:kern w:val="0"/>
          <w:szCs w:val="20"/>
          <w:highlight w:val="none"/>
          <w14:textFill>
            <w14:solidFill>
              <w14:schemeClr w14:val="tx1"/>
            </w14:solidFill>
          </w14:textFill>
        </w:rPr>
        <w:t>）本项目输送介质为</w:t>
      </w:r>
      <w:r>
        <w:rPr>
          <w:rFonts w:hint="eastAsia" w:cs="Times New Roman"/>
          <w:color w:val="000000" w:themeColor="text1"/>
          <w:kern w:val="0"/>
          <w:szCs w:val="20"/>
          <w:highlight w:val="none"/>
          <w14:textFill>
            <w14:solidFill>
              <w14:schemeClr w14:val="tx1"/>
            </w14:solidFill>
          </w14:textFill>
        </w:rPr>
        <w:t>含硫天然气</w:t>
      </w:r>
      <w:r>
        <w:rPr>
          <w:rFonts w:cs="Times New Roman"/>
          <w:color w:val="000000" w:themeColor="text1"/>
          <w:kern w:val="0"/>
          <w:szCs w:val="20"/>
          <w:highlight w:val="none"/>
          <w14:textFill>
            <w14:solidFill>
              <w14:schemeClr w14:val="tx1"/>
            </w14:solidFill>
          </w14:textFill>
        </w:rPr>
        <w:t>，需</w:t>
      </w:r>
      <w:r>
        <w:rPr>
          <w:rFonts w:hint="eastAsia" w:cs="Times New Roman"/>
          <w:color w:val="000000" w:themeColor="text1"/>
          <w:kern w:val="0"/>
          <w:szCs w:val="20"/>
          <w:highlight w:val="none"/>
          <w14:textFill>
            <w14:solidFill>
              <w14:schemeClr w14:val="tx1"/>
            </w14:solidFill>
          </w14:textFill>
        </w:rPr>
        <w:t>考虑项目的</w:t>
      </w:r>
      <w:r>
        <w:rPr>
          <w:rFonts w:cs="Times New Roman"/>
          <w:color w:val="000000" w:themeColor="text1"/>
          <w:kern w:val="0"/>
          <w:szCs w:val="20"/>
          <w:highlight w:val="none"/>
          <w14:textFill>
            <w14:solidFill>
              <w14:schemeClr w14:val="tx1"/>
            </w14:solidFill>
          </w14:textFill>
        </w:rPr>
        <w:t>环境风险影响。</w:t>
      </w:r>
    </w:p>
    <w:p>
      <w:pPr>
        <w:pStyle w:val="3"/>
        <w:spacing w:before="0" w:beforeLines="0"/>
        <w:rPr>
          <w:color w:val="000000" w:themeColor="text1"/>
          <w:szCs w:val="24"/>
          <w:highlight w:val="none"/>
          <w:lang w:eastAsia="zh-CN"/>
          <w14:textFill>
            <w14:solidFill>
              <w14:schemeClr w14:val="tx1"/>
            </w14:solidFill>
          </w14:textFill>
        </w:rPr>
      </w:pPr>
      <w:bookmarkStart w:id="29" w:name="_Toc8893"/>
      <w:r>
        <w:rPr>
          <w:color w:val="000000" w:themeColor="text1"/>
          <w:highlight w:val="none"/>
          <w:lang w:eastAsia="zh-CN"/>
          <w14:textFill>
            <w14:solidFill>
              <w14:schemeClr w14:val="tx1"/>
            </w14:solidFill>
          </w14:textFill>
        </w:rPr>
        <w:t>环境影响评价的工作过程</w:t>
      </w:r>
      <w:bookmarkEnd w:id="29"/>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主要评价工作过程如下：</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（1）研究国家和地方有关环境保护的法律法规、政策、标准及相关规划等，依据相关规定确定本项目环境影响评价文件类型；</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（2）收集和研究项目相关技术文件和其他相关文件，进行初步工程分析，明确本项目的工程组成，根据工程特点确定产排污环节和主要污染物；</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（3）结合初步工程分析结果和环境现状资料，识别建设项目的环境影响因素，筛选主要的环境影响评价因子，明确评价重点，确定评价工作等级、评价范围及评价标准；</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4）制定工作方案，在进行充分的环境现状调查、监测的基础上开展环境质量现状评价，并进行进一步的工程分析，根据工程分析确定的污染源强以及结合项目区环境特征，采用模型计算和类比调查的方式预测、分析或评价项目建设对环境的影响范围以及引起的环境质量变化情况，从环境保护角度分析论证建设工程的可行性；</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（5）在对建设项目实施后可能造成的环境影响进行分析、预测的基础上，提出预防或者减轻不良环境影响的对策和措施，从环境保护的角度提出项目建设的可行性结论，完成环境影响报告书编制。</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本项目环境影响评价过程见下图：</w:t>
      </w: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5146040" cy="4907915"/>
            <wp:effectExtent l="0" t="0" r="6985" b="6985"/>
            <wp:docPr id="5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6.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146040" cy="4907915"/>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环境影响评价程序</w:t>
      </w:r>
    </w:p>
    <w:p>
      <w:pPr>
        <w:pStyle w:val="3"/>
        <w:spacing w:before="0" w:beforeLines="0"/>
        <w:rPr>
          <w:color w:val="000000" w:themeColor="text1"/>
          <w:highlight w:val="none"/>
          <w:lang w:eastAsia="zh-CN"/>
          <w14:textFill>
            <w14:solidFill>
              <w14:schemeClr w14:val="tx1"/>
            </w14:solidFill>
          </w14:textFill>
        </w:rPr>
      </w:pPr>
      <w:bookmarkStart w:id="30" w:name="_Toc21833"/>
      <w:r>
        <w:rPr>
          <w:color w:val="000000" w:themeColor="text1"/>
          <w:highlight w:val="none"/>
          <w:lang w:eastAsia="zh-CN"/>
          <w14:textFill>
            <w14:solidFill>
              <w14:schemeClr w14:val="tx1"/>
            </w14:solidFill>
          </w14:textFill>
        </w:rPr>
        <w:t>分析判定相关情况</w:t>
      </w:r>
      <w:bookmarkEnd w:id="30"/>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本项目符合《产业结构调整指导目录（20</w:t>
      </w:r>
      <w:r>
        <w:rPr>
          <w:rFonts w:hint="eastAsia" w:cs="Times New Roman"/>
          <w:color w:val="000000" w:themeColor="text1"/>
          <w:kern w:val="0"/>
          <w:szCs w:val="20"/>
          <w:highlight w:val="none"/>
          <w14:textFill>
            <w14:solidFill>
              <w14:schemeClr w14:val="tx1"/>
            </w14:solidFill>
          </w14:textFill>
        </w:rPr>
        <w:t>24</w:t>
      </w:r>
      <w:r>
        <w:rPr>
          <w:rFonts w:cs="Times New Roman"/>
          <w:color w:val="000000" w:themeColor="text1"/>
          <w:kern w:val="0"/>
          <w:szCs w:val="20"/>
          <w:highlight w:val="none"/>
          <w14:textFill>
            <w14:solidFill>
              <w14:schemeClr w14:val="tx1"/>
            </w14:solidFill>
          </w14:textFill>
        </w:rPr>
        <w:t>年本）》及相关环保政策要求。</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本项目</w:t>
      </w:r>
      <w:r>
        <w:rPr>
          <w:rFonts w:hint="eastAsia" w:cs="Times New Roman"/>
          <w:color w:val="000000" w:themeColor="text1"/>
          <w:kern w:val="0"/>
          <w:szCs w:val="20"/>
          <w:highlight w:val="none"/>
          <w14:textFill>
            <w14:solidFill>
              <w14:schemeClr w14:val="tx1"/>
            </w14:solidFill>
          </w14:textFill>
        </w:rPr>
        <w:t>不</w:t>
      </w:r>
      <w:r>
        <w:rPr>
          <w:rFonts w:cs="Times New Roman"/>
          <w:color w:val="000000" w:themeColor="text1"/>
          <w:kern w:val="0"/>
          <w:szCs w:val="20"/>
          <w:highlight w:val="none"/>
          <w14:textFill>
            <w14:solidFill>
              <w14:schemeClr w14:val="tx1"/>
            </w14:solidFill>
          </w14:textFill>
        </w:rPr>
        <w:t>位于四川省达州市划定的生态保护红线区域内，与</w:t>
      </w:r>
      <w:r>
        <w:rPr>
          <w:rFonts w:hint="eastAsia" w:cs="Times New Roman"/>
          <w:color w:val="000000" w:themeColor="text1"/>
          <w:kern w:val="0"/>
          <w:szCs w:val="20"/>
          <w:highlight w:val="none"/>
          <w14:textFill>
            <w14:solidFill>
              <w14:schemeClr w14:val="tx1"/>
            </w14:solidFill>
          </w14:textFill>
        </w:rPr>
        <w:t>达州市</w:t>
      </w:r>
      <w:r>
        <w:rPr>
          <w:rFonts w:cs="Times New Roman"/>
          <w:color w:val="000000" w:themeColor="text1"/>
          <w:kern w:val="0"/>
          <w:szCs w:val="20"/>
          <w:highlight w:val="none"/>
          <w14:textFill>
            <w14:solidFill>
              <w14:schemeClr w14:val="tx1"/>
            </w14:solidFill>
          </w14:textFill>
        </w:rPr>
        <w:t>“</w:t>
      </w:r>
      <w:r>
        <w:rPr>
          <w:rFonts w:hint="eastAsia" w:cs="Times New Roman"/>
          <w:color w:val="000000" w:themeColor="text1"/>
          <w:kern w:val="0"/>
          <w:szCs w:val="20"/>
          <w:highlight w:val="none"/>
          <w14:textFill>
            <w14:solidFill>
              <w14:schemeClr w14:val="tx1"/>
            </w14:solidFill>
          </w14:textFill>
        </w:rPr>
        <w:t>生态环境分区管控</w:t>
      </w:r>
      <w:r>
        <w:rPr>
          <w:rFonts w:cs="Times New Roman"/>
          <w:color w:val="000000" w:themeColor="text1"/>
          <w:kern w:val="0"/>
          <w:szCs w:val="20"/>
          <w:highlight w:val="none"/>
          <w14:textFill>
            <w14:solidFill>
              <w14:schemeClr w14:val="tx1"/>
            </w14:solidFill>
          </w14:textFill>
        </w:rPr>
        <w:t>”不冲突；本项目未位于自然保护区、森林公园、风景名胜区等生态敏感区范围内，拟建井场</w:t>
      </w:r>
      <w:r>
        <w:rPr>
          <w:rFonts w:hint="eastAsia" w:cs="Times New Roman"/>
          <w:color w:val="000000" w:themeColor="text1"/>
          <w:kern w:val="0"/>
          <w:szCs w:val="20"/>
          <w:highlight w:val="none"/>
          <w14:textFill>
            <w14:solidFill>
              <w14:schemeClr w14:val="tx1"/>
            </w14:solidFill>
          </w14:textFill>
        </w:rPr>
        <w:t>和集输管线均</w:t>
      </w:r>
      <w:r>
        <w:rPr>
          <w:rFonts w:cs="Times New Roman"/>
          <w:color w:val="000000" w:themeColor="text1"/>
          <w:kern w:val="0"/>
          <w:szCs w:val="20"/>
          <w:highlight w:val="none"/>
          <w14:textFill>
            <w14:solidFill>
              <w14:schemeClr w14:val="tx1"/>
            </w14:solidFill>
          </w14:textFill>
        </w:rPr>
        <w:t>不涉及集中式饮用水源保护区。</w:t>
      </w:r>
    </w:p>
    <w:p>
      <w:pPr>
        <w:pStyle w:val="3"/>
        <w:spacing w:before="0" w:beforeLines="0"/>
        <w:rPr>
          <w:color w:val="000000" w:themeColor="text1"/>
          <w:highlight w:val="none"/>
          <w:lang w:eastAsia="zh-CN"/>
          <w14:textFill>
            <w14:solidFill>
              <w14:schemeClr w14:val="tx1"/>
            </w14:solidFill>
          </w14:textFill>
        </w:rPr>
      </w:pPr>
      <w:bookmarkStart w:id="31" w:name="_Toc22146"/>
      <w:r>
        <w:rPr>
          <w:color w:val="000000" w:themeColor="text1"/>
          <w:highlight w:val="none"/>
          <w:lang w:eastAsia="zh-CN"/>
          <w14:textFill>
            <w14:solidFill>
              <w14:schemeClr w14:val="tx1"/>
            </w14:solidFill>
          </w14:textFill>
        </w:rPr>
        <w:t>关注的主要环境问题</w:t>
      </w:r>
      <w:bookmarkEnd w:id="31"/>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根据本项目特点及周边外环境情况，本次环境影响评价过程中需重点关注的环境问题及环境影响如下：</w:t>
      </w:r>
    </w:p>
    <w:p>
      <w:pPr>
        <w:numPr>
          <w:ilvl w:val="0"/>
          <w:numId w:val="4"/>
        </w:num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本项目选址</w:t>
      </w:r>
      <w:r>
        <w:rPr>
          <w:rFonts w:cs="Times New Roman"/>
          <w:bCs/>
          <w:color w:val="000000" w:themeColor="text1"/>
          <w:szCs w:val="24"/>
          <w:highlight w:val="none"/>
          <w14:textFill>
            <w14:solidFill>
              <w14:schemeClr w14:val="tx1"/>
            </w14:solidFill>
          </w14:textFill>
        </w:rPr>
        <w:t>不涉及国家公园、自然保护区、世界自然遗产、重要生境、湿地、饮用水源保护区、重点生态功能保护区、沙化土地封禁保护区等敏感</w:t>
      </w:r>
      <w:r>
        <w:rPr>
          <w:rFonts w:hint="eastAsia" w:cs="Times New Roman"/>
          <w:bCs/>
          <w:color w:val="000000" w:themeColor="text1"/>
          <w:szCs w:val="24"/>
          <w:highlight w:val="none"/>
          <w14:textFill>
            <w14:solidFill>
              <w14:schemeClr w14:val="tx1"/>
            </w14:solidFill>
          </w14:textFill>
        </w:rPr>
        <w:t>区域，但涉及</w:t>
      </w:r>
      <w:r>
        <w:rPr>
          <w:rFonts w:cs="Times New Roman"/>
          <w:bCs/>
          <w:color w:val="000000" w:themeColor="text1"/>
          <w:szCs w:val="24"/>
          <w:highlight w:val="none"/>
          <w14:textFill>
            <w14:solidFill>
              <w14:schemeClr w14:val="tx1"/>
            </w14:solidFill>
          </w14:textFill>
        </w:rPr>
        <w:t>水土流失重点治理区</w:t>
      </w:r>
      <w:r>
        <w:rPr>
          <w:rFonts w:hint="eastAsia" w:cs="Times New Roman"/>
          <w:bCs/>
          <w:color w:val="000000" w:themeColor="text1"/>
          <w:szCs w:val="24"/>
          <w:highlight w:val="none"/>
          <w14:textFill>
            <w14:solidFill>
              <w14:schemeClr w14:val="tx1"/>
            </w14:solidFill>
          </w14:textFill>
        </w:rPr>
        <w:t>，同时项目占用永久基本农田（仅利旧的放喷池、清水池占用）。因此，本次评价重点关注项目的水土流失影响的影响分析。</w:t>
      </w:r>
    </w:p>
    <w:p>
      <w:pPr>
        <w:widowControl/>
        <w:numPr>
          <w:ilvl w:val="0"/>
          <w:numId w:val="4"/>
        </w:numPr>
        <w:ind w:firstLine="480"/>
        <w:jc w:val="left"/>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重点关注钻井工程、储层改造工程及油气集输工程等产生的污染影响。主要体现为重点关注废水（</w:t>
      </w:r>
      <w:r>
        <w:rPr>
          <w:rFonts w:cs="Times New Roman"/>
          <w:bCs/>
          <w:color w:val="000000" w:themeColor="text1"/>
          <w:szCs w:val="24"/>
          <w:highlight w:val="none"/>
          <w14:textFill>
            <w14:solidFill>
              <w14:schemeClr w14:val="tx1"/>
            </w14:solidFill>
          </w14:textFill>
        </w:rPr>
        <w:t>钻井废水、洗井废水、压裂返排液、场地</w:t>
      </w:r>
      <w:r>
        <w:rPr>
          <w:rFonts w:hint="eastAsia" w:cs="Times New Roman"/>
          <w:bCs/>
          <w:color w:val="000000" w:themeColor="text1"/>
          <w:szCs w:val="24"/>
          <w:highlight w:val="none"/>
          <w14:textFill>
            <w14:solidFill>
              <w14:schemeClr w14:val="tx1"/>
            </w14:solidFill>
          </w14:textFill>
        </w:rPr>
        <w:t>初期</w:t>
      </w:r>
      <w:r>
        <w:rPr>
          <w:rFonts w:cs="Times New Roman"/>
          <w:bCs/>
          <w:color w:val="000000" w:themeColor="text1"/>
          <w:szCs w:val="24"/>
          <w:highlight w:val="none"/>
          <w14:textFill>
            <w14:solidFill>
              <w14:schemeClr w14:val="tx1"/>
            </w14:solidFill>
          </w14:textFill>
        </w:rPr>
        <w:t>雨水以及施工人员生活污水</w:t>
      </w:r>
      <w:r>
        <w:rPr>
          <w:rFonts w:hint="eastAsia" w:cs="Times New Roman"/>
          <w:bCs/>
          <w:color w:val="000000" w:themeColor="text1"/>
          <w:szCs w:val="24"/>
          <w:highlight w:val="none"/>
          <w14:textFill>
            <w14:solidFill>
              <w14:schemeClr w14:val="tx1"/>
            </w14:solidFill>
          </w14:textFill>
        </w:rPr>
        <w:t>）的</w:t>
      </w:r>
      <w:r>
        <w:rPr>
          <w:rFonts w:cs="Times New Roman"/>
          <w:bCs/>
          <w:color w:val="000000" w:themeColor="text1"/>
          <w:szCs w:val="24"/>
          <w:highlight w:val="none"/>
          <w14:textFill>
            <w14:solidFill>
              <w14:schemeClr w14:val="tx1"/>
            </w14:solidFill>
          </w14:textFill>
        </w:rPr>
        <w:t>处理</w:t>
      </w:r>
      <w:r>
        <w:rPr>
          <w:rFonts w:hint="eastAsia" w:cs="Times New Roman"/>
          <w:bCs/>
          <w:color w:val="000000" w:themeColor="text1"/>
          <w:szCs w:val="24"/>
          <w:highlight w:val="none"/>
          <w14:textFill>
            <w14:solidFill>
              <w14:schemeClr w14:val="tx1"/>
            </w14:solidFill>
          </w14:textFill>
        </w:rPr>
        <w:t>方式及其</w:t>
      </w:r>
      <w:r>
        <w:rPr>
          <w:rFonts w:cs="Times New Roman"/>
          <w:bCs/>
          <w:color w:val="000000" w:themeColor="text1"/>
          <w:szCs w:val="24"/>
          <w:highlight w:val="none"/>
          <w14:textFill>
            <w14:solidFill>
              <w14:schemeClr w14:val="tx1"/>
            </w14:solidFill>
          </w14:textFill>
        </w:rPr>
        <w:t>可行性和可靠性论证</w:t>
      </w:r>
      <w:r>
        <w:rPr>
          <w:rFonts w:hint="eastAsia" w:cs="Times New Roman"/>
          <w:bCs/>
          <w:color w:val="000000" w:themeColor="text1"/>
          <w:szCs w:val="24"/>
          <w:highlight w:val="none"/>
          <w14:textFill>
            <w14:solidFill>
              <w14:schemeClr w14:val="tx1"/>
            </w14:solidFill>
          </w14:textFill>
        </w:rPr>
        <w:t>；固废（</w:t>
      </w:r>
      <w:r>
        <w:rPr>
          <w:rFonts w:hint="eastAsia" w:ascii="宋体" w:hAnsi="宋体" w:cs="宋体"/>
          <w:color w:val="000000" w:themeColor="text1"/>
          <w:kern w:val="0"/>
          <w:szCs w:val="24"/>
          <w:highlight w:val="none"/>
          <w:lang w:bidi="ar"/>
          <w14:textFill>
            <w14:solidFill>
              <w14:schemeClr w14:val="tx1"/>
            </w14:solidFill>
          </w14:textFill>
        </w:rPr>
        <w:t>水基钻井固废、油基钻井固废、废油等）的</w:t>
      </w:r>
      <w:r>
        <w:rPr>
          <w:rFonts w:cs="Times New Roman"/>
          <w:bCs/>
          <w:color w:val="000000" w:themeColor="text1"/>
          <w:szCs w:val="24"/>
          <w:highlight w:val="none"/>
          <w14:textFill>
            <w14:solidFill>
              <w14:schemeClr w14:val="tx1"/>
            </w14:solidFill>
          </w14:textFill>
        </w:rPr>
        <w:t>处理</w:t>
      </w:r>
      <w:r>
        <w:rPr>
          <w:rFonts w:hint="eastAsia" w:cs="Times New Roman"/>
          <w:bCs/>
          <w:color w:val="000000" w:themeColor="text1"/>
          <w:szCs w:val="24"/>
          <w:highlight w:val="none"/>
          <w14:textFill>
            <w14:solidFill>
              <w14:schemeClr w14:val="tx1"/>
            </w14:solidFill>
          </w14:textFill>
        </w:rPr>
        <w:t>方式及其</w:t>
      </w:r>
      <w:r>
        <w:rPr>
          <w:rFonts w:cs="Times New Roman"/>
          <w:bCs/>
          <w:color w:val="000000" w:themeColor="text1"/>
          <w:szCs w:val="24"/>
          <w:highlight w:val="none"/>
          <w14:textFill>
            <w14:solidFill>
              <w14:schemeClr w14:val="tx1"/>
            </w14:solidFill>
          </w14:textFill>
        </w:rPr>
        <w:t>可行性和可靠性论证</w:t>
      </w:r>
      <w:r>
        <w:rPr>
          <w:rFonts w:hint="eastAsia" w:cs="Times New Roman"/>
          <w:bCs/>
          <w:color w:val="000000" w:themeColor="text1"/>
          <w:szCs w:val="24"/>
          <w:highlight w:val="none"/>
          <w14:textFill>
            <w14:solidFill>
              <w14:schemeClr w14:val="tx1"/>
            </w14:solidFill>
          </w14:textFill>
        </w:rPr>
        <w:t>，尤其注重危险废物（油基钻井固废）的收集、处置措施的可行性和可靠性论证。</w:t>
      </w:r>
    </w:p>
    <w:p>
      <w:pPr>
        <w:widowControl/>
        <w:numPr>
          <w:ilvl w:val="0"/>
          <w:numId w:val="4"/>
        </w:numPr>
        <w:ind w:firstLine="480"/>
        <w:jc w:val="left"/>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重点关注项目产生的噪声影响，</w:t>
      </w:r>
      <w:r>
        <w:rPr>
          <w:rFonts w:cs="Times New Roman"/>
          <w:bCs/>
          <w:color w:val="000000" w:themeColor="text1"/>
          <w:szCs w:val="24"/>
          <w:highlight w:val="none"/>
          <w14:textFill>
            <w14:solidFill>
              <w14:schemeClr w14:val="tx1"/>
            </w14:solidFill>
          </w14:textFill>
        </w:rPr>
        <w:t>环评中注重</w:t>
      </w:r>
      <w:r>
        <w:rPr>
          <w:rFonts w:hint="eastAsia" w:cs="Times New Roman"/>
          <w:bCs/>
          <w:color w:val="000000" w:themeColor="text1"/>
          <w:szCs w:val="24"/>
          <w:highlight w:val="none"/>
          <w14:textFill>
            <w14:solidFill>
              <w14:schemeClr w14:val="tx1"/>
            </w14:solidFill>
          </w14:textFill>
        </w:rPr>
        <w:t>分析项目各阶段（钻井、储层改造等）</w:t>
      </w:r>
      <w:r>
        <w:rPr>
          <w:rFonts w:cs="Times New Roman"/>
          <w:bCs/>
          <w:color w:val="000000" w:themeColor="text1"/>
          <w:szCs w:val="24"/>
          <w:highlight w:val="none"/>
          <w14:textFill>
            <w14:solidFill>
              <w14:schemeClr w14:val="tx1"/>
            </w14:solidFill>
          </w14:textFill>
        </w:rPr>
        <w:t>噪声控制措施的可行性论证</w:t>
      </w:r>
      <w:r>
        <w:rPr>
          <w:rFonts w:hint="eastAsia" w:cs="Times New Roman"/>
          <w:bCs/>
          <w:color w:val="000000" w:themeColor="text1"/>
          <w:szCs w:val="24"/>
          <w:highlight w:val="none"/>
          <w14:textFill>
            <w14:solidFill>
              <w14:schemeClr w14:val="tx1"/>
            </w14:solidFill>
          </w14:textFill>
        </w:rPr>
        <w:t>。</w:t>
      </w:r>
    </w:p>
    <w:p>
      <w:pPr>
        <w:widowControl/>
        <w:numPr>
          <w:ilvl w:val="0"/>
          <w:numId w:val="4"/>
        </w:numPr>
        <w:ind w:firstLine="480"/>
        <w:jc w:val="left"/>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本项目试采期主要依托旁边大湾</w:t>
      </w:r>
      <w:r>
        <w:rPr>
          <w:rFonts w:hint="eastAsia" w:cs="Times New Roman"/>
          <w:bCs/>
          <w:color w:val="000000" w:themeColor="text1"/>
          <w:szCs w:val="24"/>
          <w:highlight w:val="none"/>
          <w:lang w:eastAsia="zh-CN"/>
          <w14:textFill>
            <w14:solidFill>
              <w14:schemeClr w14:val="tx1"/>
            </w14:solidFill>
          </w14:textFill>
        </w:rPr>
        <w:t>408试采站</w:t>
      </w:r>
      <w:r>
        <w:rPr>
          <w:rFonts w:hint="eastAsia" w:cs="Times New Roman"/>
          <w:bCs/>
          <w:color w:val="000000" w:themeColor="text1"/>
          <w:szCs w:val="24"/>
          <w:highlight w:val="none"/>
          <w14:textFill>
            <w14:solidFill>
              <w14:schemeClr w14:val="tx1"/>
            </w14:solidFill>
          </w14:textFill>
        </w:rPr>
        <w:t>内新建设施和部分辅助设施实现天然气生产、外输和采出水的转运，因此试采期重点关注新增设施的环境影响和依托设施依托可行性分析，同时还需重点关注试采期主要为水套加热炉废气、长明灯燃烧废气、非正常工况下的放空废气的环境影响以及试采期试采生产</w:t>
      </w:r>
      <w:r>
        <w:rPr>
          <w:rFonts w:cs="Times New Roman"/>
          <w:bCs/>
          <w:color w:val="000000" w:themeColor="text1"/>
          <w:szCs w:val="24"/>
          <w:highlight w:val="none"/>
          <w14:textFill>
            <w14:solidFill>
              <w14:schemeClr w14:val="tx1"/>
            </w14:solidFill>
          </w14:textFill>
        </w:rPr>
        <w:t>产生的</w:t>
      </w:r>
      <w:r>
        <w:rPr>
          <w:rFonts w:hint="eastAsia" w:cs="Times New Roman"/>
          <w:bCs/>
          <w:color w:val="000000" w:themeColor="text1"/>
          <w:szCs w:val="24"/>
          <w:highlight w:val="none"/>
          <w14:textFill>
            <w14:solidFill>
              <w14:schemeClr w14:val="tx1"/>
            </w14:solidFill>
          </w14:textFill>
        </w:rPr>
        <w:t>采出水的</w:t>
      </w:r>
      <w:r>
        <w:rPr>
          <w:rFonts w:cs="Times New Roman"/>
          <w:bCs/>
          <w:color w:val="000000" w:themeColor="text1"/>
          <w:szCs w:val="24"/>
          <w:highlight w:val="none"/>
          <w14:textFill>
            <w14:solidFill>
              <w14:schemeClr w14:val="tx1"/>
            </w14:solidFill>
          </w14:textFill>
        </w:rPr>
        <w:t>处理</w:t>
      </w:r>
      <w:r>
        <w:rPr>
          <w:rFonts w:hint="eastAsia" w:cs="Times New Roman"/>
          <w:bCs/>
          <w:color w:val="000000" w:themeColor="text1"/>
          <w:szCs w:val="24"/>
          <w:highlight w:val="none"/>
          <w14:textFill>
            <w14:solidFill>
              <w14:schemeClr w14:val="tx1"/>
            </w14:solidFill>
          </w14:textFill>
        </w:rPr>
        <w:t>方式及其</w:t>
      </w:r>
      <w:r>
        <w:rPr>
          <w:rFonts w:cs="Times New Roman"/>
          <w:bCs/>
          <w:color w:val="000000" w:themeColor="text1"/>
          <w:szCs w:val="24"/>
          <w:highlight w:val="none"/>
          <w14:textFill>
            <w14:solidFill>
              <w14:schemeClr w14:val="tx1"/>
            </w14:solidFill>
          </w14:textFill>
        </w:rPr>
        <w:t>可行性和可靠性论证</w:t>
      </w:r>
      <w:r>
        <w:rPr>
          <w:rFonts w:hint="eastAsia" w:cs="Times New Roman"/>
          <w:bCs/>
          <w:color w:val="000000" w:themeColor="text1"/>
          <w:szCs w:val="24"/>
          <w:highlight w:val="none"/>
          <w14:textFill>
            <w14:solidFill>
              <w14:schemeClr w14:val="tx1"/>
            </w14:solidFill>
          </w14:textFill>
        </w:rPr>
        <w:t>。</w:t>
      </w:r>
    </w:p>
    <w:p>
      <w:pPr>
        <w:widowControl/>
        <w:numPr>
          <w:ilvl w:val="0"/>
          <w:numId w:val="4"/>
        </w:numPr>
        <w:ind w:firstLine="480"/>
        <w:jc w:val="left"/>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本项目为天然气开采，目的层气质组分中含硫化氢，需重点关注暂存设施、</w:t>
      </w:r>
      <w:r>
        <w:rPr>
          <w:rFonts w:cs="Times New Roman"/>
          <w:bCs/>
          <w:color w:val="000000" w:themeColor="text1"/>
          <w:szCs w:val="24"/>
          <w:highlight w:val="none"/>
          <w14:textFill>
            <w14:solidFill>
              <w14:schemeClr w14:val="tx1"/>
            </w14:solidFill>
          </w14:textFill>
        </w:rPr>
        <w:t>设备</w:t>
      </w:r>
      <w:r>
        <w:rPr>
          <w:rFonts w:hint="eastAsia" w:cs="Times New Roman"/>
          <w:bCs/>
          <w:color w:val="000000" w:themeColor="text1"/>
          <w:szCs w:val="24"/>
          <w:highlight w:val="none"/>
          <w14:textFill>
            <w14:solidFill>
              <w14:schemeClr w14:val="tx1"/>
            </w14:solidFill>
          </w14:textFill>
        </w:rPr>
        <w:t>、集输管道</w:t>
      </w:r>
      <w:r>
        <w:rPr>
          <w:rFonts w:cs="Times New Roman"/>
          <w:bCs/>
          <w:color w:val="000000" w:themeColor="text1"/>
          <w:szCs w:val="24"/>
          <w:highlight w:val="none"/>
          <w14:textFill>
            <w14:solidFill>
              <w14:schemeClr w14:val="tx1"/>
            </w14:solidFill>
          </w14:textFill>
        </w:rPr>
        <w:t>等</w:t>
      </w:r>
      <w:r>
        <w:rPr>
          <w:rFonts w:hint="eastAsia" w:cs="Times New Roman"/>
          <w:bCs/>
          <w:color w:val="000000" w:themeColor="text1"/>
          <w:szCs w:val="24"/>
          <w:highlight w:val="none"/>
          <w14:textFill>
            <w14:solidFill>
              <w14:schemeClr w14:val="tx1"/>
            </w14:solidFill>
          </w14:textFill>
        </w:rPr>
        <w:t>发</w:t>
      </w:r>
      <w:r>
        <w:rPr>
          <w:rFonts w:cs="Times New Roman"/>
          <w:bCs/>
          <w:color w:val="000000" w:themeColor="text1"/>
          <w:szCs w:val="24"/>
          <w:highlight w:val="none"/>
          <w14:textFill>
            <w14:solidFill>
              <w14:schemeClr w14:val="tx1"/>
            </w14:solidFill>
          </w14:textFill>
        </w:rPr>
        <w:t>生泄漏</w:t>
      </w:r>
      <w:r>
        <w:rPr>
          <w:rFonts w:hint="eastAsia" w:cs="Times New Roman"/>
          <w:bCs/>
          <w:color w:val="000000" w:themeColor="text1"/>
          <w:szCs w:val="24"/>
          <w:highlight w:val="none"/>
          <w14:textFill>
            <w14:solidFill>
              <w14:schemeClr w14:val="tx1"/>
            </w14:solidFill>
          </w14:textFill>
        </w:rPr>
        <w:t>事故</w:t>
      </w:r>
      <w:r>
        <w:rPr>
          <w:rFonts w:cs="Times New Roman"/>
          <w:bCs/>
          <w:color w:val="000000" w:themeColor="text1"/>
          <w:szCs w:val="24"/>
          <w:highlight w:val="none"/>
          <w14:textFill>
            <w14:solidFill>
              <w14:schemeClr w14:val="tx1"/>
            </w14:solidFill>
          </w14:textFill>
        </w:rPr>
        <w:t>以及钻井工程井喷事故的环境风险</w:t>
      </w:r>
      <w:r>
        <w:rPr>
          <w:rFonts w:hint="eastAsia" w:cs="Times New Roman"/>
          <w:bCs/>
          <w:color w:val="000000" w:themeColor="text1"/>
          <w:szCs w:val="24"/>
          <w:highlight w:val="none"/>
          <w14:textFill>
            <w14:solidFill>
              <w14:schemeClr w14:val="tx1"/>
            </w14:solidFill>
          </w14:textFill>
        </w:rPr>
        <w:t>问题，评价过程中需对项目可能产生的环境风险进行重点评价分析；同时还需重点关注非正常工况下的检修废气和事故放空废气的环境影响。</w:t>
      </w:r>
    </w:p>
    <w:p>
      <w:pPr>
        <w:widowControl/>
        <w:ind w:firstLine="480"/>
        <w:jc w:val="left"/>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（6）本项目涉及现有工程，评价需关注现有工程的生态环境遗留问题，以及是否涉及“以新带老”措施和其落实情况。</w:t>
      </w:r>
    </w:p>
    <w:p>
      <w:pPr>
        <w:pStyle w:val="3"/>
        <w:spacing w:before="0" w:beforeLines="0"/>
        <w:rPr>
          <w:color w:val="000000" w:themeColor="text1"/>
          <w:highlight w:val="none"/>
          <w:lang w:eastAsia="zh-CN"/>
          <w14:textFill>
            <w14:solidFill>
              <w14:schemeClr w14:val="tx1"/>
            </w14:solidFill>
          </w14:textFill>
        </w:rPr>
      </w:pPr>
      <w:bookmarkStart w:id="32" w:name="_Toc29485"/>
      <w:r>
        <w:rPr>
          <w:color w:val="000000" w:themeColor="text1"/>
          <w:highlight w:val="none"/>
          <w:lang w:eastAsia="zh-CN"/>
          <w14:textFill>
            <w14:solidFill>
              <w14:schemeClr w14:val="tx1"/>
            </w14:solidFill>
          </w14:textFill>
        </w:rPr>
        <w:t>环境影响评价的主要结论</w:t>
      </w:r>
      <w:bookmarkEnd w:id="32"/>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ascii="宋体" w:hAnsi="宋体" w:cs="宋体"/>
          <w:color w:val="000000" w:themeColor="text1"/>
          <w:kern w:val="0"/>
          <w:szCs w:val="24"/>
          <w:highlight w:val="none"/>
          <w:lang w:bidi="ar"/>
          <w14:textFill>
            <w14:solidFill>
              <w14:schemeClr w14:val="tx1"/>
            </w14:solidFill>
          </w14:textFill>
        </w:rPr>
        <w:t>本项目属于清洁能源开发项目，其对于区域能源结构调整和环境质量改善具有明显的正面环境效益。</w:t>
      </w:r>
      <w:r>
        <w:rPr>
          <w:rFonts w:cs="Times New Roman"/>
          <w:bCs/>
          <w:color w:val="000000" w:themeColor="text1"/>
          <w:szCs w:val="24"/>
          <w:highlight w:val="none"/>
          <w14:textFill>
            <w14:solidFill>
              <w14:schemeClr w14:val="tx1"/>
            </w14:solidFill>
          </w14:textFill>
        </w:rPr>
        <w:t>本项目符合国家产业政策，与当地规划相容，符合石油天然气发展规划；所在区域环境空气质量现状较好；建设期间对生态环境、地表水、地下水、大气、土壤、声环境影响</w:t>
      </w:r>
      <w:r>
        <w:rPr>
          <w:rFonts w:hint="eastAsia" w:cs="Times New Roman"/>
          <w:bCs/>
          <w:color w:val="000000" w:themeColor="text1"/>
          <w:szCs w:val="24"/>
          <w:highlight w:val="none"/>
          <w14:textFill>
            <w14:solidFill>
              <w14:schemeClr w14:val="tx1"/>
            </w14:solidFill>
          </w14:textFill>
        </w:rPr>
        <w:t>较</w:t>
      </w:r>
      <w:r>
        <w:rPr>
          <w:rFonts w:cs="Times New Roman"/>
          <w:bCs/>
          <w:color w:val="000000" w:themeColor="text1"/>
          <w:szCs w:val="24"/>
          <w:highlight w:val="none"/>
          <w14:textFill>
            <w14:solidFill>
              <w14:schemeClr w14:val="tx1"/>
            </w14:solidFill>
          </w14:textFill>
        </w:rPr>
        <w:t>小，不改变区域的环境功能；该项目达到清洁生产国内先进水平，采用的环保措施可行，社会、经济效益十分显著；建设项目环境可行，选址选线合理；该工程采取的环境风险措施可靠，在落实风险防范措施后，环境风险达到可接受水平；所采取的废水、固体废物和噪声防治措施以及水土保持措施可行有效，在建设过程中认真落实报告提出的各项污染防治</w:t>
      </w:r>
      <w:r>
        <w:rPr>
          <w:rFonts w:hint="eastAsia" w:cs="Times New Roman"/>
          <w:bCs/>
          <w:color w:val="000000" w:themeColor="text1"/>
          <w:szCs w:val="24"/>
          <w:highlight w:val="none"/>
          <w14:textFill>
            <w14:solidFill>
              <w14:schemeClr w14:val="tx1"/>
            </w14:solidFill>
          </w14:textFill>
        </w:rPr>
        <w:t>及生态保护</w:t>
      </w:r>
      <w:r>
        <w:rPr>
          <w:rFonts w:cs="Times New Roman"/>
          <w:bCs/>
          <w:color w:val="000000" w:themeColor="text1"/>
          <w:szCs w:val="24"/>
          <w:highlight w:val="none"/>
          <w14:textFill>
            <w14:solidFill>
              <w14:schemeClr w14:val="tx1"/>
            </w14:solidFill>
          </w14:textFill>
        </w:rPr>
        <w:t>措施</w:t>
      </w:r>
      <w:r>
        <w:rPr>
          <w:rFonts w:hint="eastAsia" w:cs="Times New Roman"/>
          <w:bCs/>
          <w:color w:val="000000" w:themeColor="text1"/>
          <w:szCs w:val="24"/>
          <w:highlight w:val="none"/>
          <w14:textFill>
            <w14:solidFill>
              <w14:schemeClr w14:val="tx1"/>
            </w14:solidFill>
          </w14:textFill>
        </w:rPr>
        <w:t>和应急预案</w:t>
      </w:r>
      <w:r>
        <w:rPr>
          <w:rFonts w:cs="Times New Roman"/>
          <w:bCs/>
          <w:color w:val="000000" w:themeColor="text1"/>
          <w:szCs w:val="24"/>
          <w:highlight w:val="none"/>
          <w14:textFill>
            <w14:solidFill>
              <w14:schemeClr w14:val="tx1"/>
            </w14:solidFill>
          </w14:textFill>
        </w:rPr>
        <w:t>后，对周围环境影响</w:t>
      </w:r>
      <w:r>
        <w:rPr>
          <w:rFonts w:hint="eastAsia" w:cs="Times New Roman"/>
          <w:bCs/>
          <w:color w:val="000000" w:themeColor="text1"/>
          <w:szCs w:val="24"/>
          <w:highlight w:val="none"/>
          <w14:textFill>
            <w14:solidFill>
              <w14:schemeClr w14:val="tx1"/>
            </w14:solidFill>
          </w14:textFill>
        </w:rPr>
        <w:t>较小</w:t>
      </w:r>
      <w:r>
        <w:rPr>
          <w:rFonts w:cs="Times New Roman"/>
          <w:bCs/>
          <w:color w:val="000000" w:themeColor="text1"/>
          <w:szCs w:val="24"/>
          <w:highlight w:val="none"/>
          <w14:textFill>
            <w14:solidFill>
              <w14:schemeClr w14:val="tx1"/>
            </w14:solidFill>
          </w14:textFill>
        </w:rPr>
        <w:t>。从环境角度而言，无明显制约项目建设的环境因素，本项目</w:t>
      </w:r>
      <w:r>
        <w:rPr>
          <w:rFonts w:hint="eastAsia" w:cs="Times New Roman"/>
          <w:bCs/>
          <w:color w:val="000000" w:themeColor="text1"/>
          <w:szCs w:val="24"/>
          <w:highlight w:val="none"/>
          <w14:textFill>
            <w14:solidFill>
              <w14:schemeClr w14:val="tx1"/>
            </w14:solidFill>
          </w14:textFill>
        </w:rPr>
        <w:t>的</w:t>
      </w:r>
      <w:r>
        <w:rPr>
          <w:bCs/>
          <w:color w:val="000000" w:themeColor="text1"/>
          <w:szCs w:val="24"/>
          <w:highlight w:val="none"/>
          <w14:textFill>
            <w14:solidFill>
              <w14:schemeClr w14:val="tx1"/>
            </w14:solidFill>
          </w14:textFill>
        </w:rPr>
        <w:t>选址</w:t>
      </w:r>
      <w:r>
        <w:rPr>
          <w:rFonts w:cs="Times New Roman"/>
          <w:bCs/>
          <w:color w:val="000000" w:themeColor="text1"/>
          <w:szCs w:val="24"/>
          <w:highlight w:val="none"/>
          <w14:textFill>
            <w14:solidFill>
              <w14:schemeClr w14:val="tx1"/>
            </w14:solidFill>
          </w14:textFill>
        </w:rPr>
        <w:t>是可行的。</w:t>
      </w:r>
    </w:p>
    <w:p>
      <w:pPr>
        <w:tabs>
          <w:tab w:val="left" w:pos="0"/>
        </w:tabs>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综上，项目建设无明显制约的环境因素，建设过程中认真落实报告提出的各项污染防治、生态保护措施和应急预案后，从环境保护角度而言，本项目建设是可行的。</w:t>
      </w:r>
    </w:p>
    <w:p>
      <w:pPr>
        <w:ind w:firstLine="480"/>
        <w:rPr>
          <w:rFonts w:cs="Times New Roman"/>
          <w:color w:val="000000" w:themeColor="text1"/>
          <w:highlight w:val="none"/>
          <w14:textFill>
            <w14:solidFill>
              <w14:schemeClr w14:val="tx1"/>
            </w14:solidFill>
          </w14:textFill>
        </w:rPr>
        <w:sectPr>
          <w:headerReference r:id="rId11" w:type="default"/>
          <w:footerReference r:id="rId12" w:type="default"/>
          <w:footerReference r:id="rId13" w:type="even"/>
          <w:type w:val="nextColumn"/>
          <w:pgSz w:w="11910" w:h="16840"/>
          <w:pgMar w:top="1440" w:right="1800" w:bottom="1440" w:left="1800" w:header="964" w:footer="964" w:gutter="0"/>
          <w:pgNumType w:start="1"/>
          <w:cols w:space="720" w:num="1"/>
          <w:docGrid w:linePitch="326" w:charSpace="0"/>
        </w:sectPr>
      </w:pPr>
    </w:p>
    <w:p>
      <w:pPr>
        <w:pStyle w:val="2"/>
        <w:rPr>
          <w:color w:val="000000" w:themeColor="text1"/>
          <w:highlight w:val="none"/>
          <w14:textFill>
            <w14:solidFill>
              <w14:schemeClr w14:val="tx1"/>
            </w14:solidFill>
          </w14:textFill>
        </w:rPr>
      </w:pPr>
      <w:bookmarkStart w:id="33" w:name="_Toc15195"/>
      <w:r>
        <w:rPr>
          <w:color w:val="000000" w:themeColor="text1"/>
          <w:highlight w:val="none"/>
          <w14:textFill>
            <w14:solidFill>
              <w14:schemeClr w14:val="tx1"/>
            </w14:solidFill>
          </w14:textFill>
        </w:rPr>
        <w:t>总则</w:t>
      </w:r>
      <w:bookmarkEnd w:id="33"/>
    </w:p>
    <w:p>
      <w:pPr>
        <w:pStyle w:val="3"/>
        <w:spacing w:before="0" w:beforeLines="0"/>
        <w:rPr>
          <w:color w:val="000000" w:themeColor="text1"/>
          <w:highlight w:val="none"/>
          <w:lang w:eastAsia="zh-CN"/>
          <w14:textFill>
            <w14:solidFill>
              <w14:schemeClr w14:val="tx1"/>
            </w14:solidFill>
          </w14:textFill>
        </w:rPr>
      </w:pPr>
      <w:bookmarkStart w:id="34" w:name="_Toc19127"/>
      <w:r>
        <w:rPr>
          <w:color w:val="000000" w:themeColor="text1"/>
          <w:highlight w:val="none"/>
          <w:lang w:eastAsia="zh-CN"/>
          <w14:textFill>
            <w14:solidFill>
              <w14:schemeClr w14:val="tx1"/>
            </w14:solidFill>
          </w14:textFill>
        </w:rPr>
        <w:t>评价目的</w:t>
      </w:r>
      <w:bookmarkEnd w:id="34"/>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通过对区域现状环境质量、自然生态等的调查，在现状调查和工程分析的基础上，对项目及区域的主要环境影响因子进行分析、预测、评价，确定项目对区域生态、</w:t>
      </w:r>
      <w:r>
        <w:rPr>
          <w:rFonts w:hint="eastAsia" w:cs="Times New Roman"/>
          <w:bCs/>
          <w:color w:val="000000" w:themeColor="text1"/>
          <w:szCs w:val="24"/>
          <w:highlight w:val="none"/>
          <w14:textFill>
            <w14:solidFill>
              <w14:schemeClr w14:val="tx1"/>
            </w14:solidFill>
          </w14:textFill>
        </w:rPr>
        <w:t>大气、</w:t>
      </w:r>
      <w:r>
        <w:rPr>
          <w:rFonts w:cs="Times New Roman"/>
          <w:bCs/>
          <w:color w:val="000000" w:themeColor="text1"/>
          <w:szCs w:val="24"/>
          <w:highlight w:val="none"/>
          <w14:textFill>
            <w14:solidFill>
              <w14:schemeClr w14:val="tx1"/>
            </w14:solidFill>
          </w14:textFill>
        </w:rPr>
        <w:t>水、声</w:t>
      </w:r>
      <w:r>
        <w:rPr>
          <w:rFonts w:hint="eastAsia" w:cs="Times New Roman"/>
          <w:bCs/>
          <w:color w:val="000000" w:themeColor="text1"/>
          <w:szCs w:val="24"/>
          <w:highlight w:val="none"/>
          <w14:textFill>
            <w14:solidFill>
              <w14:schemeClr w14:val="tx1"/>
            </w14:solidFill>
          </w14:textFill>
        </w:rPr>
        <w:t>、土壤</w:t>
      </w:r>
      <w:r>
        <w:rPr>
          <w:rFonts w:cs="Times New Roman"/>
          <w:bCs/>
          <w:color w:val="000000" w:themeColor="text1"/>
          <w:szCs w:val="24"/>
          <w:highlight w:val="none"/>
          <w14:textFill>
            <w14:solidFill>
              <w14:schemeClr w14:val="tx1"/>
            </w14:solidFill>
          </w14:textFill>
        </w:rPr>
        <w:t>等环境影响的程度及范围，分析可能存在的环境风险。同时，从环保角度提出工程拟采取的污染治理措施</w:t>
      </w:r>
      <w:r>
        <w:rPr>
          <w:rFonts w:hint="eastAsia" w:cs="Times New Roman"/>
          <w:bCs/>
          <w:color w:val="000000" w:themeColor="text1"/>
          <w:szCs w:val="24"/>
          <w:highlight w:val="none"/>
          <w14:textFill>
            <w14:solidFill>
              <w14:schemeClr w14:val="tx1"/>
            </w14:solidFill>
          </w14:textFill>
        </w:rPr>
        <w:t>及生态保护措施，</w:t>
      </w:r>
      <w:r>
        <w:rPr>
          <w:rFonts w:cs="Times New Roman"/>
          <w:bCs/>
          <w:color w:val="000000" w:themeColor="text1"/>
          <w:szCs w:val="24"/>
          <w:highlight w:val="none"/>
          <w14:textFill>
            <w14:solidFill>
              <w14:schemeClr w14:val="tx1"/>
            </w14:solidFill>
          </w14:textFill>
        </w:rPr>
        <w:t>并论证环保措施的可行性；分析污染物总量控制要求</w:t>
      </w:r>
      <w:r>
        <w:rPr>
          <w:rFonts w:hint="eastAsia" w:cs="Times New Roman"/>
          <w:bCs/>
          <w:color w:val="000000" w:themeColor="text1"/>
          <w:szCs w:val="24"/>
          <w:highlight w:val="none"/>
          <w14:textFill>
            <w14:solidFill>
              <w14:schemeClr w14:val="tx1"/>
            </w14:solidFill>
          </w14:textFill>
        </w:rPr>
        <w:t>，论证项目的选址合理性。</w:t>
      </w:r>
      <w:r>
        <w:rPr>
          <w:rFonts w:cs="Times New Roman"/>
          <w:bCs/>
          <w:color w:val="000000" w:themeColor="text1"/>
          <w:szCs w:val="24"/>
          <w:highlight w:val="none"/>
          <w14:textFill>
            <w14:solidFill>
              <w14:schemeClr w14:val="tx1"/>
            </w14:solidFill>
          </w14:textFill>
        </w:rPr>
        <w:t>并就项目建设环境可行性做出结论，为环境保护</w:t>
      </w:r>
      <w:r>
        <w:rPr>
          <w:rFonts w:hint="eastAsia" w:cs="Times New Roman"/>
          <w:bCs/>
          <w:color w:val="000000" w:themeColor="text1"/>
          <w:szCs w:val="24"/>
          <w:highlight w:val="none"/>
          <w14:textFill>
            <w14:solidFill>
              <w14:schemeClr w14:val="tx1"/>
            </w14:solidFill>
          </w14:textFill>
        </w:rPr>
        <w:t>管理</w:t>
      </w:r>
      <w:r>
        <w:rPr>
          <w:rFonts w:cs="Times New Roman"/>
          <w:bCs/>
          <w:color w:val="000000" w:themeColor="text1"/>
          <w:szCs w:val="24"/>
          <w:highlight w:val="none"/>
          <w14:textFill>
            <w14:solidFill>
              <w14:schemeClr w14:val="tx1"/>
            </w14:solidFill>
          </w14:textFill>
        </w:rPr>
        <w:t>部门提供可靠的决策依据，为建设单位环境管理提供科学依据，达到保护好区域环境的目的。</w:t>
      </w:r>
    </w:p>
    <w:p>
      <w:pPr>
        <w:pStyle w:val="3"/>
        <w:spacing w:before="0" w:beforeLines="0"/>
        <w:rPr>
          <w:color w:val="000000" w:themeColor="text1"/>
          <w:highlight w:val="none"/>
          <w:lang w:eastAsia="zh-CN"/>
          <w14:textFill>
            <w14:solidFill>
              <w14:schemeClr w14:val="tx1"/>
            </w14:solidFill>
          </w14:textFill>
        </w:rPr>
      </w:pPr>
      <w:bookmarkStart w:id="35" w:name="_Toc23967"/>
      <w:r>
        <w:rPr>
          <w:color w:val="000000" w:themeColor="text1"/>
          <w:highlight w:val="none"/>
          <w:lang w:eastAsia="zh-CN"/>
          <w14:textFill>
            <w14:solidFill>
              <w14:schemeClr w14:val="tx1"/>
            </w14:solidFill>
          </w14:textFill>
        </w:rPr>
        <w:t>评价原则</w:t>
      </w:r>
      <w:bookmarkEnd w:id="35"/>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突出环境影响评价的源头预防作用，坚持保护和改善环境质量。</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（1）依法评价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贯彻执行我国环境保护相关法律法规、标准、政策和规划等，优化项目建设，服务环境管理。</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（2）科学评价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规范环境影响评价方法，科学分析项目建设对环境质量的影响。</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（3）突出重点</w:t>
      </w:r>
    </w:p>
    <w:p>
      <w:pPr>
        <w:tabs>
          <w:tab w:val="left" w:pos="0"/>
        </w:tabs>
        <w:ind w:firstLine="480"/>
        <w:rPr>
          <w:rFonts w:cs="Times New Roman"/>
          <w:b/>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根据建设项目的工程内容及其特点，明确与环境要素间的作用效应关系，充分利用符合时效的数据资料及成果，对建设项目主要环境影响予以重点分析和评价。</w:t>
      </w:r>
    </w:p>
    <w:p>
      <w:pPr>
        <w:pStyle w:val="3"/>
        <w:spacing w:before="0" w:beforeLines="0"/>
        <w:rPr>
          <w:color w:val="000000" w:themeColor="text1"/>
          <w:highlight w:val="none"/>
          <w:lang w:eastAsia="zh-CN"/>
          <w14:textFill>
            <w14:solidFill>
              <w14:schemeClr w14:val="tx1"/>
            </w14:solidFill>
          </w14:textFill>
        </w:rPr>
      </w:pPr>
      <w:bookmarkStart w:id="36" w:name="_Toc14305"/>
      <w:r>
        <w:rPr>
          <w:color w:val="000000" w:themeColor="text1"/>
          <w:highlight w:val="none"/>
          <w:lang w:eastAsia="zh-CN"/>
          <w14:textFill>
            <w14:solidFill>
              <w14:schemeClr w14:val="tx1"/>
            </w14:solidFill>
          </w14:textFill>
        </w:rPr>
        <w:t>编制依据</w:t>
      </w:r>
      <w:bookmarkEnd w:id="36"/>
    </w:p>
    <w:p>
      <w:pPr>
        <w:pStyle w:val="4"/>
        <w:spacing w:before="0" w:beforeLines="0"/>
        <w:ind w:firstLine="480"/>
        <w:rPr>
          <w:b/>
          <w:color w:val="000000" w:themeColor="text1"/>
          <w:highlight w:val="none"/>
          <w:lang w:eastAsia="zh-CN"/>
          <w14:textFill>
            <w14:solidFill>
              <w14:schemeClr w14:val="tx1"/>
            </w14:solidFill>
          </w14:textFill>
        </w:rPr>
      </w:pPr>
      <w:bookmarkStart w:id="37" w:name="_Toc120173054"/>
      <w:r>
        <w:rPr>
          <w:color w:val="000000" w:themeColor="text1"/>
          <w:highlight w:val="none"/>
          <w:lang w:eastAsia="zh-CN"/>
          <w14:textFill>
            <w14:solidFill>
              <w14:schemeClr w14:val="tx1"/>
            </w14:solidFill>
          </w14:textFill>
        </w:rPr>
        <w:t>法律、法规</w:t>
      </w:r>
      <w:bookmarkEnd w:id="37"/>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（1）《中华人民共和国环境保护法》（2015.1.1）；</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（2）《中华人民共和国环境影响评价法》（2018.12.29修正）。</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（3）《中华人民共和国环境噪声污染防治法》（2021.12.24修订）；</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（4）《中华人民共和国森林法》（2019.12.28修订，2020.7.1实施）；</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（5）《中华人民共和国水法》（</w:t>
      </w:r>
      <w:r>
        <w:rPr>
          <w:rFonts w:ascii="Times New Roman" w:hAnsi="Times New Roman"/>
          <w:color w:val="000000" w:themeColor="text1"/>
          <w:spacing w:val="-6"/>
          <w:highlight w:val="none"/>
          <w:lang w:eastAsia="zh-CN"/>
          <w14:textFill>
            <w14:solidFill>
              <w14:schemeClr w14:val="tx1"/>
            </w14:solidFill>
          </w14:textFill>
        </w:rPr>
        <w:t>2002年10月1日起施行</w:t>
      </w:r>
      <w:r>
        <w:rPr>
          <w:rFonts w:hint="eastAsia" w:ascii="Times New Roman" w:hAnsi="Times New Roman"/>
          <w:color w:val="000000" w:themeColor="text1"/>
          <w:spacing w:val="-6"/>
          <w:highlight w:val="none"/>
          <w:lang w:eastAsia="zh-CN"/>
          <w14:textFill>
            <w14:solidFill>
              <w14:schemeClr w14:val="tx1"/>
            </w14:solidFill>
          </w14:textFill>
        </w:rPr>
        <w:t>）；</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（6）《中华人民共和国土地管理法》（2019.8.26修订，2020.1.1实施）；</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（7）《中华人民共和国节约能源法》（2018年10月）；</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（8）《中华人民共和国野生动物保护法》（2018年10月）；</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（9）《中华人民共和国农业法》（2012.12.28修订，2013.1.1实施）</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（10）《中华人民共和国循环经济促进法》（2018.10修订）；</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（11）《中华人民共和国水土保持法》（2011.3）；</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（12）《中华人民共和国清洁生产促进法》（修正），2012.7.1施行；</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（13）《中华人民共和国固体废物污染环境防治法》（2020.4.29修订，2020.9.1实施）；</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（14）《中华人民共和国水污染防治法》（2017.6.27修订，2018.1.1实施）；</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（15）《中华人民共和国大气污染防治法》（2018.10.26修订）；</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（16）《中华人民共和国文物保护法》（2017.11.4修订，2017.11.5实施）；</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（17）《中华人民共和国石油天然气管道保护法》（2010.10.1实施）；</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（18）《中华人民共和国长江保护法》（2020年12月26日第十三届全国人民代表大会常务委员会第二十四次会议通过，2021年3月1日施行）；</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（19）《中华人民共和国渔业法》（2013年12月）；</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（20）《地下水管理条例》（2021年12月1日实施）；</w:t>
      </w:r>
    </w:p>
    <w:p>
      <w:pPr>
        <w:pStyle w:val="21"/>
        <w:spacing w:before="0"/>
        <w:ind w:left="0" w:firstLine="456"/>
        <w:rPr>
          <w:rFonts w:ascii="Times New Roman" w:hAnsi="Times New Roman"/>
          <w:color w:val="000000" w:themeColor="text1"/>
          <w:spacing w:val="-6"/>
          <w:highlight w:val="none"/>
          <w:lang w:eastAsia="zh-CN"/>
          <w14:textFill>
            <w14:solidFill>
              <w14:schemeClr w14:val="tx1"/>
            </w14:solidFill>
          </w14:textFill>
        </w:rPr>
      </w:pPr>
      <w:r>
        <w:rPr>
          <w:rFonts w:hint="eastAsia" w:ascii="Times New Roman" w:hAnsi="Times New Roman"/>
          <w:color w:val="000000" w:themeColor="text1"/>
          <w:spacing w:val="-6"/>
          <w:highlight w:val="none"/>
          <w:lang w:eastAsia="zh-CN"/>
          <w14:textFill>
            <w14:solidFill>
              <w14:schemeClr w14:val="tx1"/>
            </w14:solidFill>
          </w14:textFill>
        </w:rPr>
        <w:t>（21）《危险废物转移管理办法》（2022年1月1日起施行）。</w:t>
      </w:r>
    </w:p>
    <w:p>
      <w:pPr>
        <w:pStyle w:val="4"/>
        <w:spacing w:before="0" w:beforeLines="0"/>
        <w:ind w:firstLine="480"/>
        <w:rPr>
          <w:b/>
          <w:color w:val="000000" w:themeColor="text1"/>
          <w:highlight w:val="none"/>
          <w:lang w:eastAsia="zh-CN"/>
          <w14:textFill>
            <w14:solidFill>
              <w14:schemeClr w14:val="tx1"/>
            </w14:solidFill>
          </w14:textFill>
        </w:rPr>
      </w:pPr>
      <w:bookmarkStart w:id="38" w:name="_Toc120173055"/>
      <w:r>
        <w:rPr>
          <w:color w:val="000000" w:themeColor="text1"/>
          <w:highlight w:val="none"/>
          <w:lang w:eastAsia="zh-CN"/>
          <w14:textFill>
            <w14:solidFill>
              <w14:schemeClr w14:val="tx1"/>
            </w14:solidFill>
          </w14:textFill>
        </w:rPr>
        <w:t>行政法规</w:t>
      </w:r>
      <w:bookmarkEnd w:id="38"/>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（1）《国务院关于环境保护若干问题的决定》（国发〔1996〕31号，1996.8）；</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（2）《建设项目环境保护管理条例》（国务院令682号，2017.7）；</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（3）《全国生态环境保护纲要》（国发〔2000〕38号，2000.12.6）；</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（4）《国务院办公厅转发发展改革委等部门关于加快推进清洁生产意见的通知》（国发〔2003〕100号，2003.12.17）；</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（5）《中华人民共和国自然保护区条例》（2017.10.7修订）；</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（6）《国务院关于印发节能减排综合性工作方案的通知》（国发〔2007〕15号，2007.5.23）；</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（7）《永久基本农田保护条例》（2011.1.8修订）；</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（8）《土地复垦条例》（国务院令592号，2011.2.22）；</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（9）《大气污染防治行动计划》（国发〔2013〕37号），2013.9.10；</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（10）《全国生态保护与建设规划》（2013~2020年），2013.10；</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（11）《水污染防治行动计划》（国发〔2015〕17号），2015.4.2；</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（12）《土壤污染防治行动计划》（国发〔2016〕31号），2016.5.28</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（13）《中华人民共和国陆生野生动物保护实施条例》（2016.2.6修订）；</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（14）《中华人民共和国野生植物保护条例》（2017.10.7修订）；</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（15）《中华人民共和国河道管理条例》，2017年10月1日修订；</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（16）《碳排放权交易管理办法（试行）》（生态环境部令第19号，2021年2月1日起施行）；</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（17）《关于进一步加强生物多样性保护的意见》（中共中央办公厅、 国务院办公厅）；</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（18）《中共中央办公厅国务院办公厅关于印发〈天然林保护修复制度方案〉的通知》（厅字〔2019〕39号）；</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（19）《关于印发“十四五”土壤、地下水和农村生态环境保护规划的通知》（环土壤〔2021〕120号）；</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（20）《关于印发〈“十四五”生态保护监管规划〉的通知》（环生态〔2022〕15号）；</w:t>
      </w:r>
    </w:p>
    <w:p>
      <w:pPr>
        <w:pStyle w:val="21"/>
        <w:spacing w:before="0"/>
        <w:ind w:left="0" w:firstLine="464"/>
        <w:jc w:val="both"/>
        <w:rPr>
          <w:rFonts w:ascii="Times New Roman" w:hAnsi="Times New Roman"/>
          <w:color w:val="000000" w:themeColor="text1"/>
          <w:spacing w:val="-4"/>
          <w:highlight w:val="none"/>
          <w:lang w:eastAsia="zh-CN"/>
          <w14:textFill>
            <w14:solidFill>
              <w14:schemeClr w14:val="tx1"/>
            </w14:solidFill>
          </w14:textFill>
        </w:rPr>
      </w:pPr>
      <w:r>
        <w:rPr>
          <w:rFonts w:hint="eastAsia" w:ascii="Times New Roman" w:hAnsi="Times New Roman"/>
          <w:color w:val="000000" w:themeColor="text1"/>
          <w:spacing w:val="-4"/>
          <w:highlight w:val="none"/>
          <w:lang w:eastAsia="zh-CN"/>
          <w14:textFill>
            <w14:solidFill>
              <w14:schemeClr w14:val="tx1"/>
            </w14:solidFill>
          </w14:textFill>
        </w:rPr>
        <w:t>（21）《空气质量持续改善行动计划》（国发〔2023〕24号）。</w:t>
      </w:r>
    </w:p>
    <w:p>
      <w:pPr>
        <w:pStyle w:val="4"/>
        <w:spacing w:before="0" w:beforeLines="0"/>
        <w:ind w:firstLine="480"/>
        <w:rPr>
          <w:b/>
          <w:color w:val="000000" w:themeColor="text1"/>
          <w:highlight w:val="none"/>
          <w:lang w:eastAsia="zh-CN"/>
          <w14:textFill>
            <w14:solidFill>
              <w14:schemeClr w14:val="tx1"/>
            </w14:solidFill>
          </w14:textFill>
        </w:rPr>
      </w:pPr>
      <w:bookmarkStart w:id="39" w:name="_Toc120173056"/>
      <w:r>
        <w:rPr>
          <w:color w:val="000000" w:themeColor="text1"/>
          <w:highlight w:val="none"/>
          <w:lang w:eastAsia="zh-CN"/>
          <w14:textFill>
            <w14:solidFill>
              <w14:schemeClr w14:val="tx1"/>
            </w14:solidFill>
          </w14:textFill>
        </w:rPr>
        <w:t>部门规章</w:t>
      </w:r>
      <w:bookmarkEnd w:id="39"/>
    </w:p>
    <w:p>
      <w:pPr>
        <w:pStyle w:val="607"/>
        <w:numPr>
          <w:ilvl w:val="0"/>
          <w:numId w:val="5"/>
        </w:numPr>
        <w:ind w:firstLine="480"/>
        <w:rPr>
          <w:color w:val="000000" w:themeColor="text1"/>
          <w:highlight w:val="none"/>
          <w14:textFill>
            <w14:solidFill>
              <w14:schemeClr w14:val="tx1"/>
            </w14:solidFill>
          </w14:textFill>
        </w:rPr>
      </w:pPr>
      <w:bookmarkStart w:id="40" w:name="_Hlk144279669"/>
      <w:bookmarkStart w:id="41" w:name="_Toc120173057"/>
      <w:r>
        <w:rPr>
          <w:rFonts w:hint="eastAsia"/>
          <w:color w:val="000000" w:themeColor="text1"/>
          <w:highlight w:val="none"/>
          <w14:textFill>
            <w14:solidFill>
              <w14:schemeClr w14:val="tx1"/>
            </w14:solidFill>
          </w14:textFill>
        </w:rPr>
        <w:t>《自然资源部关于进一步做好用地用海要素保障的通知》（自然资发〔2023〕89号）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《自然资源部 农业农村部关于加强和改进永久基本农田保护工作的通知》（自然资规﹝2019﹞1号）；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《自然资源部关于做好占用永久基本农田重大建设项目用地预审的通知》（自然资规〔2018〕3号）；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《自然资源部 农业农村部 国家林业和草原局关于严格耕地用途管制有关问题的通知》（自然资发〔2021〕166号）</w:t>
      </w:r>
      <w:bookmarkEnd w:id="40"/>
      <w:r>
        <w:rPr>
          <w:rFonts w:hint="eastAsia"/>
          <w:color w:val="000000" w:themeColor="text1"/>
          <w:highlight w:val="none"/>
          <w14:textFill>
            <w14:solidFill>
              <w14:schemeClr w14:val="tx1"/>
            </w14:solidFill>
          </w14:textFill>
        </w:rPr>
        <w:t>；</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《环境影响评价公众参与办法》（2018年7月16日）；</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《突发环境事件应急管理办法》（部令第34号，2015.6.5）；</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《关于进一步加强环境影响评价管理防范环境风险的通知》（环发〔2012〕77号，2012.7.3）；</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《关于切实加强风险防范严格环境影响评价管理的通知》（环发〔2012〕98号，2012.8.8）；</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《石油天然气开采业污染防治技术政策》（环保部公告2012年第18号，2012.03.07实施；</w:t>
      </w:r>
    </w:p>
    <w:p>
      <w:pPr>
        <w:pStyle w:val="607"/>
        <w:numPr>
          <w:ilvl w:val="0"/>
          <w:numId w:val="5"/>
        </w:num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《产业结构调整指导目录（2024年本）》（</w:t>
      </w:r>
      <w:r>
        <w:rPr>
          <w:rFonts w:hint="eastAsia"/>
          <w:color w:val="000000" w:themeColor="text1"/>
          <w:highlight w:val="none"/>
          <w14:textFill>
            <w14:solidFill>
              <w14:schemeClr w14:val="tx1"/>
            </w14:solidFill>
          </w14:textFill>
        </w:rPr>
        <w:t>中华人民共和国国家发展和改革委员会令第7号</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《打赢蓝天保卫战三年行动计划》，国务院，国发〔2018〕22号，2018.6.27；</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《关于进一步加强环境保护信息公开工作的通知》（环办〔2013〕103号）；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《关于推进环境保护公众参与的指导意见》（环办〔2014〕48号）；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《关于落实大气污染防治行动计划严格环境影响评价准入的通知》（环办〔2014〕30号）；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《建设项目环境影响评价分类管理名录》（生态环境部令第16号，2021.1.1起施行）；</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《国家危险废物名录》（环境保护部令第15号，2021.1.1起施行）；</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《关于划定并严守生态保护红线的若干意见》（中共中央办公厅、国务院办公厅，2017.2.7）；</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《全国生态环境保护纲要》（国发〔2000〕38号）；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《国家重点生态功能保护区规划纲要》（环发〔2007〕165号）；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《全国生态功能区划（修编版）》（环境保护部、中国科学院公告2015年第61号）；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《关于加强国家重点生态功能区环境保护和管理的意见》（环发〔2013〕16号）；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《关于推进污水资源化利用的指导意见》（发改环资〔2021〕13号）；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《水利部办公厅关于印发〈全国水土保持规划国家级水土流失重点预防区和重点治理区符合划分成果〉的通知》（办水保〔2013〕188号）；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《国家重点保护野生动物名录》（2021.2.5）；</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《国家重点保护野生植物名录》（国家林业和草原局 农业农村部公告2021年第15号）；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《自然资源部关于规范临时用地管理的通知》（自然资规〔2021〕2号）；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《排污许可证申请与核发技术规范 工业固体废物》（试行）（HJ1200—2021）；</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《国家林业局关于严格保护天然林的通知》（林资发〔2015〕181号）；</w:t>
      </w:r>
    </w:p>
    <w:p>
      <w:pPr>
        <w:pStyle w:val="607"/>
        <w:numPr>
          <w:ilvl w:val="0"/>
          <w:numId w:val="5"/>
        </w:numPr>
        <w:ind w:firstLine="480"/>
        <w:rPr>
          <w:color w:val="000000" w:themeColor="text1"/>
          <w:highlight w:val="none"/>
          <w14:textFill>
            <w14:solidFill>
              <w14:schemeClr w14:val="tx1"/>
            </w14:solidFill>
          </w14:textFill>
        </w:rPr>
      </w:pPr>
      <w:bookmarkStart w:id="42" w:name="_Hlk110955610"/>
      <w:r>
        <w:rPr>
          <w:rFonts w:hint="eastAsia"/>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"https://www.mee.gov.cn/ywgz/fgbz/bz/bzwb/pwxk/202205/W020220517396099928041.pdf"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排污单位自行监测技术指南 陆上石油天然气开采工业（HJ 1248—2022）</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w:t>
      </w:r>
      <w:bookmarkEnd w:id="42"/>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《关于进一步加强石油天然气行业环境影响评价管理的通知》（环办环评函〔2019〕910号）；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《关于进一步加强建设项目环境保护管理工作的通知》（环发﹝2001﹞19号，2001.2.21）；</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《危险废物环境管理指南 陆上石油天然气开采》（生态环境部公告2021年第74号）；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《危险废物转移管理办法》（部令第23号）；</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kern w:val="21"/>
          <w:highlight w:val="none"/>
          <w14:textFill>
            <w14:solidFill>
              <w14:schemeClr w14:val="tx1"/>
            </w14:solidFill>
          </w14:textFill>
        </w:rPr>
        <w:t>《甲烷排放控制行动方案》，</w:t>
      </w:r>
      <w:r>
        <w:rPr>
          <w:color w:val="000000" w:themeColor="text1"/>
          <w:kern w:val="21"/>
          <w:highlight w:val="none"/>
          <w14:textFill>
            <w14:solidFill>
              <w14:schemeClr w14:val="tx1"/>
            </w14:solidFill>
          </w14:textFill>
        </w:rPr>
        <w:t>2023年11月7日印发实施</w:t>
      </w:r>
      <w:r>
        <w:rPr>
          <w:rFonts w:hint="eastAsia"/>
          <w:color w:val="000000" w:themeColor="text1"/>
          <w:kern w:val="21"/>
          <w:highlight w:val="none"/>
          <w14:textFill>
            <w14:solidFill>
              <w14:schemeClr w14:val="tx1"/>
            </w14:solidFill>
          </w14:textFill>
        </w:rPr>
        <w:t>；</w:t>
      </w:r>
    </w:p>
    <w:p>
      <w:pPr>
        <w:pStyle w:val="607"/>
        <w:numPr>
          <w:ilvl w:val="0"/>
          <w:numId w:val="5"/>
        </w:num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《低噪声施工设备指导名录(2024年版）》，</w:t>
      </w:r>
      <w:r>
        <w:rPr>
          <w:color w:val="000000" w:themeColor="text1"/>
          <w:kern w:val="21"/>
          <w:highlight w:val="none"/>
          <w14:textFill>
            <w14:solidFill>
              <w14:schemeClr w14:val="tx1"/>
            </w14:solidFill>
          </w14:textFill>
        </w:rPr>
        <w:t>202</w:t>
      </w:r>
      <w:r>
        <w:rPr>
          <w:rFonts w:hint="eastAsia"/>
          <w:color w:val="000000" w:themeColor="text1"/>
          <w:kern w:val="21"/>
          <w:highlight w:val="none"/>
          <w14:textFill>
            <w14:solidFill>
              <w14:schemeClr w14:val="tx1"/>
            </w14:solidFill>
          </w14:textFill>
        </w:rPr>
        <w:t>4</w:t>
      </w:r>
      <w:r>
        <w:rPr>
          <w:color w:val="000000" w:themeColor="text1"/>
          <w:kern w:val="21"/>
          <w:highlight w:val="none"/>
          <w14:textFill>
            <w14:solidFill>
              <w14:schemeClr w14:val="tx1"/>
            </w14:solidFill>
          </w14:textFill>
        </w:rPr>
        <w:t>年1</w:t>
      </w:r>
      <w:r>
        <w:rPr>
          <w:rFonts w:hint="eastAsia"/>
          <w:color w:val="000000" w:themeColor="text1"/>
          <w:kern w:val="21"/>
          <w:highlight w:val="none"/>
          <w14:textFill>
            <w14:solidFill>
              <w14:schemeClr w14:val="tx1"/>
            </w14:solidFill>
          </w14:textFill>
        </w:rPr>
        <w:t>2</w:t>
      </w:r>
      <w:r>
        <w:rPr>
          <w:color w:val="000000" w:themeColor="text1"/>
          <w:kern w:val="21"/>
          <w:highlight w:val="none"/>
          <w14:textFill>
            <w14:solidFill>
              <w14:schemeClr w14:val="tx1"/>
            </w14:solidFill>
          </w14:textFill>
        </w:rPr>
        <w:t>月</w:t>
      </w:r>
      <w:r>
        <w:rPr>
          <w:rFonts w:hint="eastAsia"/>
          <w:color w:val="000000" w:themeColor="text1"/>
          <w:kern w:val="21"/>
          <w:highlight w:val="none"/>
          <w14:textFill>
            <w14:solidFill>
              <w14:schemeClr w14:val="tx1"/>
            </w14:solidFill>
          </w14:textFill>
        </w:rPr>
        <w:t>1</w:t>
      </w:r>
      <w:r>
        <w:rPr>
          <w:color w:val="000000" w:themeColor="text1"/>
          <w:kern w:val="21"/>
          <w:highlight w:val="none"/>
          <w14:textFill>
            <w14:solidFill>
              <w14:schemeClr w14:val="tx1"/>
            </w14:solidFill>
          </w14:textFill>
        </w:rPr>
        <w:t>7日印发实施</w:t>
      </w:r>
      <w:r>
        <w:rPr>
          <w:rFonts w:hint="eastAsia"/>
          <w:color w:val="000000" w:themeColor="text1"/>
          <w:highlight w:val="none"/>
          <w14:textFill>
            <w14:solidFill>
              <w14:schemeClr w14:val="tx1"/>
            </w14:solidFill>
          </w14:textFill>
        </w:rPr>
        <w:t>。</w:t>
      </w:r>
    </w:p>
    <w:p>
      <w:pPr>
        <w:pStyle w:val="4"/>
        <w:spacing w:before="0" w:beforeLines="0"/>
        <w:ind w:firstLine="480"/>
        <w:rPr>
          <w:b/>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地方性法规及规范性文件</w:t>
      </w:r>
      <w:bookmarkEnd w:id="41"/>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《四川省重点保护野生动物名录》（川府发〔</w:t>
      </w:r>
      <w:r>
        <w:rPr>
          <w:rFonts w:hint="eastAsia" w:cs="Times New Roman"/>
          <w:color w:val="000000" w:themeColor="text1"/>
          <w:szCs w:val="24"/>
          <w:highlight w:val="none"/>
          <w14:textFill>
            <w14:solidFill>
              <w14:schemeClr w14:val="tx1"/>
            </w14:solidFill>
          </w14:textFill>
        </w:rPr>
        <w:t>2024</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14</w:t>
      </w:r>
      <w:r>
        <w:rPr>
          <w:rFonts w:cs="Times New Roman"/>
          <w:color w:val="000000" w:themeColor="text1"/>
          <w:szCs w:val="24"/>
          <w:highlight w:val="none"/>
          <w14:textFill>
            <w14:solidFill>
              <w14:schemeClr w14:val="tx1"/>
            </w14:solidFill>
          </w14:textFill>
        </w:rPr>
        <w:t>号）</w:t>
      </w:r>
      <w:r>
        <w:rPr>
          <w:rFonts w:hint="eastAsia" w:cs="Times New Roman"/>
          <w:color w:val="000000" w:themeColor="text1"/>
          <w:szCs w:val="24"/>
          <w:highlight w:val="none"/>
          <w14:textFill>
            <w14:solidFill>
              <w14:schemeClr w14:val="tx1"/>
            </w14:solidFill>
          </w14:textFill>
        </w:rPr>
        <w:t>；</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《四川省永久基本农田保护实施细则》（1996.2.29）；</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《四川省环境保护条例》（2017年9月22日修订）；</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《四川省危险废物污染环境防治办法》（2004.1.1）；</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《四川省固体废物污染环境防治条例》（2</w:t>
      </w:r>
      <w:r>
        <w:rPr>
          <w:rFonts w:cs="Times New Roman"/>
          <w:color w:val="000000" w:themeColor="text1"/>
          <w:szCs w:val="24"/>
          <w:highlight w:val="none"/>
          <w14:textFill>
            <w14:solidFill>
              <w14:schemeClr w14:val="tx1"/>
            </w14:solidFill>
          </w14:textFill>
        </w:rPr>
        <w:t>022.6.9</w:t>
      </w:r>
      <w:r>
        <w:rPr>
          <w:rFonts w:hint="eastAsia" w:cs="Times New Roman"/>
          <w:color w:val="000000" w:themeColor="text1"/>
          <w:szCs w:val="24"/>
          <w:highlight w:val="none"/>
          <w14:textFill>
            <w14:solidFill>
              <w14:schemeClr w14:val="tx1"/>
            </w14:solidFill>
          </w14:textFill>
        </w:rPr>
        <w:t>）</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《四川省生态功能区划》（2010年）；</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《关于进一步加强我省农村饮用水水源保护区环境保护工作的通知》（川环办发〔2011〕98号）；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《四川省〈中华人民共和国野生动物保护法〉实施办法》（2012.7.27）；</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中华人民共和国水土保持法</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实施办法》（2012.12.1）；</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《四川省人民政府办公厅关于加强灰霾污染防治的通知》（川办发〔2013〕32号）；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《四川省灰霾污染防治实施方案》（川环发〔2013〕78号）；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《中共四川省委关于制定四川省国民经济和社会发展第十四个五年规划和二〇三五年远景目标的建议》（2020年12月4日）；</w:t>
      </w:r>
    </w:p>
    <w:p>
      <w:pPr>
        <w:numPr>
          <w:ilvl w:val="0"/>
          <w:numId w:val="3"/>
        </w:numPr>
        <w:ind w:left="0" w:firstLine="480"/>
        <w:rPr>
          <w:rFonts w:cs="Times New Roman"/>
          <w:color w:val="000000" w:themeColor="text1"/>
          <w:szCs w:val="24"/>
          <w:highlight w:val="none"/>
          <w14:textFill>
            <w14:solidFill>
              <w14:schemeClr w14:val="tx1"/>
            </w14:solidFill>
          </w14:textFill>
        </w:rPr>
      </w:pPr>
      <w:bookmarkStart w:id="43" w:name="_Hlk148693102"/>
      <w:r>
        <w:rPr>
          <w:rFonts w:cs="Times New Roman"/>
          <w:color w:val="000000" w:themeColor="text1"/>
          <w:szCs w:val="24"/>
          <w:highlight w:val="none"/>
          <w14:textFill>
            <w14:solidFill>
              <w14:schemeClr w14:val="tx1"/>
            </w14:solidFill>
          </w14:textFill>
        </w:rPr>
        <w:t>《四川省</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十四五</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生态环境保护规划》（2022.1.17）</w:t>
      </w:r>
      <w:bookmarkEnd w:id="43"/>
      <w:r>
        <w:rPr>
          <w:rFonts w:cs="Times New Roman"/>
          <w:color w:val="000000" w:themeColor="text1"/>
          <w:szCs w:val="24"/>
          <w:highlight w:val="none"/>
          <w14:textFill>
            <w14:solidFill>
              <w14:schemeClr w14:val="tx1"/>
            </w14:solidFill>
          </w14:textFill>
        </w:rPr>
        <w:t>；</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《四川省自然保护区管理条例》（2018.9.30修订）；</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《四川省生态保护红线实施意见》（2016.9.30）；</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《关于印发四川省生态保护红线方案的通知》（川府发〔2018〕24号）；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《四川省人民政府关于落实生态保护红线、环境质量底线、资源利用上线制定生态环境准入清单实施生态环境分区管控的通知》（川府发〔2020〕9号）。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《四川省自然资源厅关于加强重大项目用地保障工作的通知》（川自然资规〔2019〕4号）；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《四川省饮用水</w:t>
      </w:r>
      <w:r>
        <w:rPr>
          <w:rFonts w:hint="eastAsia" w:cs="Times New Roman"/>
          <w:color w:val="000000" w:themeColor="text1"/>
          <w:szCs w:val="24"/>
          <w:highlight w:val="none"/>
          <w14:textFill>
            <w14:solidFill>
              <w14:schemeClr w14:val="tx1"/>
            </w14:solidFill>
          </w14:textFill>
        </w:rPr>
        <w:t>水</w:t>
      </w:r>
      <w:r>
        <w:rPr>
          <w:rFonts w:cs="Times New Roman"/>
          <w:color w:val="000000" w:themeColor="text1"/>
          <w:szCs w:val="24"/>
          <w:highlight w:val="none"/>
          <w14:textFill>
            <w14:solidFill>
              <w14:schemeClr w14:val="tx1"/>
            </w14:solidFill>
          </w14:textFill>
        </w:rPr>
        <w:t>源保护管理条例》（2019年修订）；</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《四川省水利厅关于印发四川省省级水土流失重点预防区和重点治理区划分成果的通知》（川水函〔2017〕482号）</w:t>
      </w:r>
      <w:r>
        <w:rPr>
          <w:rFonts w:hint="eastAsia" w:cs="Times New Roman"/>
          <w:color w:val="000000" w:themeColor="text1"/>
          <w:szCs w:val="24"/>
          <w:highlight w:val="none"/>
          <w14:textFill>
            <w14:solidFill>
              <w14:schemeClr w14:val="tx1"/>
            </w14:solidFill>
          </w14:textFill>
        </w:rPr>
        <w:t>；</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《四川省长江经济带发展负面清单实施细则（试行）》（川长江办〔2019〕8号）；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《四川省人民政府关于公布四川省重点保护野生植物名录的通知》 （川府函〔2016〕27号）；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《四川省人民政府办公厅关于进一步加强天然林保护的通知》（川办函〔2016〕91号）；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《四川省沱江流域水环境保护条例》（2019年）；</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《四川省天然林保护修复制度实施方案》（川林规发〔2020〕22号）；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《关于石油天然气钻井及配套设施用地有关问题的通知》（川国土资发〔</w:t>
      </w:r>
      <w:r>
        <w:rPr>
          <w:rFonts w:cs="Times New Roman"/>
          <w:color w:val="000000" w:themeColor="text1"/>
          <w:szCs w:val="24"/>
          <w:highlight w:val="none"/>
          <w14:textFill>
            <w14:solidFill>
              <w14:schemeClr w14:val="tx1"/>
            </w14:solidFill>
          </w14:textFill>
        </w:rPr>
        <w:t>2012</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105</w:t>
      </w:r>
      <w:r>
        <w:rPr>
          <w:rFonts w:hint="eastAsia" w:cs="Times New Roman"/>
          <w:color w:val="000000" w:themeColor="text1"/>
          <w:szCs w:val="24"/>
          <w:highlight w:val="none"/>
          <w14:textFill>
            <w14:solidFill>
              <w14:schemeClr w14:val="tx1"/>
            </w14:solidFill>
          </w14:textFill>
        </w:rPr>
        <w:t>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《关于石油天然气钻井及配套设施用地有关问题的通知》（川国土资发〔</w:t>
      </w:r>
      <w:r>
        <w:rPr>
          <w:rFonts w:cs="Times New Roman"/>
          <w:color w:val="000000" w:themeColor="text1"/>
          <w:szCs w:val="24"/>
          <w:highlight w:val="none"/>
          <w14:textFill>
            <w14:solidFill>
              <w14:schemeClr w14:val="tx1"/>
            </w14:solidFill>
          </w14:textFill>
        </w:rPr>
        <w:t>2012</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105</w:t>
      </w:r>
      <w:r>
        <w:rPr>
          <w:rFonts w:hint="eastAsia" w:cs="Times New Roman"/>
          <w:color w:val="000000" w:themeColor="text1"/>
          <w:szCs w:val="24"/>
          <w:highlight w:val="none"/>
          <w14:textFill>
            <w14:solidFill>
              <w14:schemeClr w14:val="tx1"/>
            </w14:solidFill>
          </w14:textFill>
        </w:rPr>
        <w:t>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《关于解决油气勘探开发用地问题的复函》（川自然资函﹝</w:t>
      </w:r>
      <w:r>
        <w:rPr>
          <w:rFonts w:cs="Times New Roman"/>
          <w:color w:val="000000" w:themeColor="text1"/>
          <w:szCs w:val="24"/>
          <w:highlight w:val="none"/>
          <w14:textFill>
            <w14:solidFill>
              <w14:schemeClr w14:val="tx1"/>
            </w14:solidFill>
          </w14:textFill>
        </w:rPr>
        <w:t>2019</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197</w:t>
      </w:r>
      <w:r>
        <w:rPr>
          <w:rFonts w:hint="eastAsia" w:cs="Times New Roman"/>
          <w:color w:val="000000" w:themeColor="text1"/>
          <w:szCs w:val="24"/>
          <w:highlight w:val="none"/>
          <w14:textFill>
            <w14:solidFill>
              <w14:schemeClr w14:val="tx1"/>
            </w14:solidFill>
          </w14:textFill>
        </w:rPr>
        <w:t>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《四川省生态环境厅办公室关于印发《产业园区规划环评“三线一单”符合性分析技术要点（试行）》和《项目环评“三线一单”符合性分析技术要点（试行）》的通知》（川环办函〔2021〕469号）；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《关于进一步加强固体废物污染防治工作的通知》（达市环办发〔2021〕24号）；</w:t>
      </w:r>
      <w:bookmarkStart w:id="44" w:name="_Hlk152591470"/>
    </w:p>
    <w:p>
      <w:pPr>
        <w:numPr>
          <w:ilvl w:val="0"/>
          <w:numId w:val="3"/>
        </w:numPr>
        <w:ind w:left="0" w:firstLine="480"/>
        <w:rPr>
          <w:rFonts w:cs="Times New Roman"/>
          <w:color w:val="000000" w:themeColor="text1"/>
          <w:kern w:val="21"/>
          <w:szCs w:val="24"/>
          <w:highlight w:val="none"/>
          <w14:textFill>
            <w14:solidFill>
              <w14:schemeClr w14:val="tx1"/>
            </w14:solidFill>
          </w14:textFill>
        </w:rPr>
      </w:pPr>
      <w:r>
        <w:rPr>
          <w:rFonts w:hint="eastAsia" w:cs="Times New Roman"/>
          <w:color w:val="000000" w:themeColor="text1"/>
          <w:kern w:val="21"/>
          <w:szCs w:val="24"/>
          <w:highlight w:val="none"/>
          <w14:textFill>
            <w14:solidFill>
              <w14:schemeClr w14:val="tx1"/>
            </w14:solidFill>
          </w14:textFill>
        </w:rPr>
        <w:t>《四川省土壤污染防治条例》，2023年7月1日起施行；</w:t>
      </w:r>
    </w:p>
    <w:p>
      <w:pPr>
        <w:numPr>
          <w:ilvl w:val="0"/>
          <w:numId w:val="3"/>
        </w:numPr>
        <w:ind w:left="0" w:firstLine="480"/>
        <w:rPr>
          <w:rFonts w:cs="Times New Roman"/>
          <w:color w:val="000000" w:themeColor="text1"/>
          <w:kern w:val="21"/>
          <w:szCs w:val="24"/>
          <w:highlight w:val="none"/>
          <w14:textFill>
            <w14:solidFill>
              <w14:schemeClr w14:val="tx1"/>
            </w14:solidFill>
          </w14:textFill>
        </w:rPr>
      </w:pPr>
      <w:r>
        <w:rPr>
          <w:rFonts w:hint="eastAsia" w:cs="Times New Roman"/>
          <w:color w:val="000000" w:themeColor="text1"/>
          <w:kern w:val="21"/>
          <w:szCs w:val="24"/>
          <w:highlight w:val="none"/>
          <w14:textFill>
            <w14:solidFill>
              <w14:schemeClr w14:val="tx1"/>
            </w14:solidFill>
          </w14:textFill>
        </w:rPr>
        <w:t>《四川省工矿用地土壤环境管理办法》（川环规〔2023〕7号）；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达州市人民政府《关于落实生态保护红线、环境质量底线、资源利用上线制定生态环境准入清单实施生态环境分区管控的通知》达市府发〔2021〕17号；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达州市人民政府《关于宣汉县调整划定老君乡、普光镇集中式饮用水水源地保护区的批复》（达市府函〔2023〕112号）；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《达州市集中式饮用水水源保护管理条例》（2020年修正）；</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《达州市人民政府办公室关于加强生态环境分区管控的通知》（达市府办函〔2024〕31号）；</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《宣汉县人民政府办公室关于印发宣汉县声环境功能区划分及适用标准规定的通知》（宣府办〔2022〕106号）；</w:t>
      </w:r>
      <w:bookmarkEnd w:id="44"/>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《达州市生态环境局办公室关于加强固体废物污染防治工作的通知》（达市环办发〔2019〕49号）文件要求；</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《宣汉县矿产资源总体规划（2021-2025年）》；</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《石油天然气项目土地复垦与生态修复技术规范》（GB/T 4396-2024）；</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《一般固体废物分类与代码》（GB/T39198-2020）；</w:t>
      </w:r>
    </w:p>
    <w:p>
      <w:pPr>
        <w:numPr>
          <w:ilvl w:val="0"/>
          <w:numId w:val="3"/>
        </w:numPr>
        <w:ind w:left="0"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关于印发《生态环境分区管控管理暂行规定》的通知（环环评〔2024〕41号）。</w:t>
      </w:r>
    </w:p>
    <w:p>
      <w:pPr>
        <w:pStyle w:val="4"/>
        <w:spacing w:before="0" w:beforeLines="0"/>
        <w:ind w:firstLine="480"/>
        <w:rPr>
          <w:b/>
          <w:color w:val="000000" w:themeColor="text1"/>
          <w:highlight w:val="none"/>
          <w:lang w:eastAsia="zh-CN"/>
          <w14:textFill>
            <w14:solidFill>
              <w14:schemeClr w14:val="tx1"/>
            </w14:solidFill>
          </w14:textFill>
        </w:rPr>
      </w:pPr>
      <w:bookmarkStart w:id="45" w:name="_Toc120173058"/>
      <w:r>
        <w:rPr>
          <w:color w:val="000000" w:themeColor="text1"/>
          <w:highlight w:val="none"/>
          <w:lang w:eastAsia="zh-CN"/>
          <w14:textFill>
            <w14:solidFill>
              <w14:schemeClr w14:val="tx1"/>
            </w14:solidFill>
          </w14:textFill>
        </w:rPr>
        <w:t>评价技术导则及规范</w:t>
      </w:r>
      <w:bookmarkEnd w:id="45"/>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（1）《建设项目环境影响评价技术导则 总纲》（HJ2.1-2016）；</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（2）《环境影响评价技术导则 地表水环境》（HJ2.3-2018）；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（3）《环境影响评价技术导则 声环境》（HJ2.4-2021）；</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（4）《环境影响评价技术导则 地下水环境》（HJ610-2016）；</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（5）《环境影响评价技术导则 大气环境》（HJ2.2-2018）；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（6）《环境影响评价技术导则 生态影响》（HJ19-2022）；</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（7）《环境影响评价技术导则 土壤环境（试行）》（HJ964-2018）；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（8）《建设项目环境风险评价技术导则》（HJ169-2018）；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（9）</w:t>
      </w:r>
      <w:r>
        <w:rPr>
          <w:rFonts w:hint="eastAsia" w:cs="Times New Roman"/>
          <w:bCs/>
          <w:color w:val="000000" w:themeColor="text1"/>
          <w:szCs w:val="24"/>
          <w:highlight w:val="none"/>
          <w14:textFill>
            <w14:solidFill>
              <w14:schemeClr w14:val="tx1"/>
            </w14:solidFill>
          </w14:textFill>
        </w:rPr>
        <w:t>《环境影响评价技术导则 陆地石油天然气开发建设项目》（HJ349-2023）</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（10）《建设项目危险废物环境影响评价指南》（环境保护部公告〔2017</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第43号）；</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（11）《</w:t>
      </w:r>
      <w:r>
        <w:rPr>
          <w:rFonts w:hint="eastAsia"/>
          <w:color w:val="000000" w:themeColor="text1"/>
          <w:highlight w:val="none"/>
          <w14:textFill>
            <w14:solidFill>
              <w14:schemeClr w14:val="tx1"/>
            </w14:solidFill>
          </w14:textFill>
        </w:rPr>
        <w:t>危险废物转移管理办法</w:t>
      </w:r>
      <w:r>
        <w:rPr>
          <w:rFonts w:cs="Times New Roman"/>
          <w:bCs/>
          <w:color w:val="000000" w:themeColor="text1"/>
          <w:szCs w:val="24"/>
          <w:highlight w:val="none"/>
          <w14:textFill>
            <w14:solidFill>
              <w14:schemeClr w14:val="tx1"/>
            </w14:solidFill>
          </w14:textFill>
        </w:rPr>
        <w:t>》（部令第23号，</w:t>
      </w:r>
      <w:r>
        <w:rPr>
          <w:rFonts w:hint="eastAsia" w:cs="Times New Roman"/>
          <w:bCs/>
          <w:color w:val="000000" w:themeColor="text1"/>
          <w:szCs w:val="24"/>
          <w:highlight w:val="none"/>
          <w14:textFill>
            <w14:solidFill>
              <w14:schemeClr w14:val="tx1"/>
            </w14:solidFill>
          </w14:textFill>
        </w:rPr>
        <w:t>2022</w:t>
      </w:r>
      <w:r>
        <w:rPr>
          <w:rFonts w:cs="Times New Roman"/>
          <w:bCs/>
          <w:color w:val="000000" w:themeColor="text1"/>
          <w:szCs w:val="24"/>
          <w:highlight w:val="none"/>
          <w14:textFill>
            <w14:solidFill>
              <w14:schemeClr w14:val="tx1"/>
            </w14:solidFill>
          </w14:textFill>
        </w:rPr>
        <w:t>年1月1日起施行）</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《危险废物贮存污染控制标准》（GB18597-2023）</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《危险废物收集贮存 运输技术规范》（HJ2025</w:t>
      </w:r>
      <w:r>
        <w:rPr>
          <w:rFonts w:hint="eastAsia" w:cs="Times New Roman"/>
          <w:bCs/>
          <w:color w:val="000000" w:themeColor="text1"/>
          <w:szCs w:val="24"/>
          <w:highlight w:val="none"/>
          <w14:textFill>
            <w14:solidFill>
              <w14:schemeClr w14:val="tx1"/>
            </w14:solidFill>
          </w14:textFill>
        </w:rPr>
        <w:t>-2012</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危险废物识别标志设置技术规范</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HJ</w:t>
      </w:r>
      <w:r>
        <w:rPr>
          <w:rFonts w:cs="Times New Roman"/>
          <w:bCs/>
          <w:color w:val="000000" w:themeColor="text1"/>
          <w:szCs w:val="24"/>
          <w:highlight w:val="none"/>
          <w14:textFill>
            <w14:solidFill>
              <w14:schemeClr w14:val="tx1"/>
            </w14:solidFill>
          </w14:textFill>
        </w:rPr>
        <w:t xml:space="preserve"> 1276-2022）</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5</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《一般工业固体废物贮存和填埋污染控制标准》（GB18599-2020）。</w:t>
      </w:r>
    </w:p>
    <w:p>
      <w:pPr>
        <w:pStyle w:val="4"/>
        <w:spacing w:before="0" w:beforeLines="0"/>
        <w:ind w:firstLine="480"/>
        <w:rPr>
          <w:b/>
          <w:color w:val="000000" w:themeColor="text1"/>
          <w:highlight w:val="none"/>
          <w:lang w:eastAsia="zh-CN"/>
          <w14:textFill>
            <w14:solidFill>
              <w14:schemeClr w14:val="tx1"/>
            </w14:solidFill>
          </w14:textFill>
        </w:rPr>
      </w:pPr>
      <w:bookmarkStart w:id="46" w:name="_Toc120173059"/>
      <w:r>
        <w:rPr>
          <w:color w:val="000000" w:themeColor="text1"/>
          <w:highlight w:val="none"/>
          <w:lang w:eastAsia="zh-CN"/>
          <w14:textFill>
            <w14:solidFill>
              <w14:schemeClr w14:val="tx1"/>
            </w14:solidFill>
          </w14:textFill>
        </w:rPr>
        <w:t>石油天然气行业技术规范</w:t>
      </w:r>
      <w:bookmarkEnd w:id="46"/>
    </w:p>
    <w:p>
      <w:pPr>
        <w:tabs>
          <w:tab w:val="left" w:pos="0"/>
        </w:tabs>
        <w:ind w:firstLine="480"/>
        <w:rPr>
          <w:bCs/>
          <w:color w:val="000000" w:themeColor="text1"/>
          <w:szCs w:val="24"/>
          <w:highlight w:val="none"/>
          <w14:textFill>
            <w14:solidFill>
              <w14:schemeClr w14:val="tx1"/>
            </w14:solidFill>
          </w14:textFill>
        </w:rPr>
      </w:pPr>
      <w:bookmarkStart w:id="47" w:name="_Hlk153366072"/>
      <w:r>
        <w:rPr>
          <w:bCs/>
          <w:color w:val="000000" w:themeColor="text1"/>
          <w:szCs w:val="24"/>
          <w:highlight w:val="none"/>
          <w14:textFill>
            <w14:solidFill>
              <w14:schemeClr w14:val="tx1"/>
            </w14:solidFill>
          </w14:textFill>
        </w:rPr>
        <w:t>（1）《</w:t>
      </w:r>
      <w:r>
        <w:rPr>
          <w:rFonts w:hint="eastAsia"/>
          <w:bCs/>
          <w:color w:val="000000" w:themeColor="text1"/>
          <w:szCs w:val="24"/>
          <w:highlight w:val="none"/>
          <w14:textFill>
            <w14:solidFill>
              <w14:schemeClr w14:val="tx1"/>
            </w14:solidFill>
          </w14:textFill>
        </w:rPr>
        <w:t>石油天然气工业健康、安全与环境管理体系</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SY/T 6276-2014</w:t>
      </w:r>
      <w:r>
        <w:rPr>
          <w:bCs/>
          <w:color w:val="000000" w:themeColor="text1"/>
          <w:szCs w:val="24"/>
          <w:highlight w:val="none"/>
          <w14:textFill>
            <w14:solidFill>
              <w14:schemeClr w14:val="tx1"/>
            </w14:solidFill>
          </w14:textFill>
        </w:rPr>
        <w:t>）；</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（2）《石油天然气设计防火规范》（GB50183-2004）；</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（4）《钻井井控技术规程》（SY/T6426-2005）；</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（5）《石油天然气安全规程》（AQ2012-2007）；</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（6）《石油天然气井控技术规范》（GB/T31033-2014）；</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（7）《井下作业安全规程》（SY5727-2014）；</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（8）《气井试气、采气及动态监测工艺规程》（SYT6125-2013）；</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（9）《油气井井喷着火抢险作法》（SYT6203-2014）；</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（10）《碎屑岩油藏注水水质推荐指标及分析方法》（SY/T5329）；</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w:t>
      </w:r>
      <w:r>
        <w:rPr>
          <w:rFonts w:hint="eastAsia"/>
          <w:bCs/>
          <w:color w:val="000000" w:themeColor="text1"/>
          <w:szCs w:val="24"/>
          <w:highlight w:val="none"/>
          <w:lang w:val="en-US" w:eastAsia="zh-CN"/>
          <w14:textFill>
            <w14:solidFill>
              <w14:schemeClr w14:val="tx1"/>
            </w14:solidFill>
          </w14:textFill>
        </w:rPr>
        <w:t>1</w:t>
      </w:r>
      <w:r>
        <w:rPr>
          <w:bCs/>
          <w:color w:val="000000" w:themeColor="text1"/>
          <w:szCs w:val="24"/>
          <w:highlight w:val="none"/>
          <w14:textFill>
            <w14:solidFill>
              <w14:schemeClr w14:val="tx1"/>
            </w14:solidFill>
          </w14:textFill>
        </w:rPr>
        <w:t>）《油井井下作业防喷技术规程》（SYT5974-2014）；</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w:t>
      </w:r>
      <w:r>
        <w:rPr>
          <w:rFonts w:hint="eastAsia"/>
          <w:bCs/>
          <w:color w:val="000000" w:themeColor="text1"/>
          <w:szCs w:val="24"/>
          <w:highlight w:val="none"/>
          <w:lang w:val="en-US" w:eastAsia="zh-CN"/>
          <w14:textFill>
            <w14:solidFill>
              <w14:schemeClr w14:val="tx1"/>
            </w14:solidFill>
          </w14:textFill>
        </w:rPr>
        <w:t>2</w:t>
      </w:r>
      <w:r>
        <w:rPr>
          <w:bCs/>
          <w:color w:val="000000" w:themeColor="text1"/>
          <w:szCs w:val="24"/>
          <w:highlight w:val="none"/>
          <w14:textFill>
            <w14:solidFill>
              <w14:schemeClr w14:val="tx1"/>
            </w14:solidFill>
          </w14:textFill>
        </w:rPr>
        <w:t>）《石油天然气钻井、开发、储运防火防爆安全生产技术规程》（SY_T5225-2019）；</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w:t>
      </w:r>
      <w:r>
        <w:rPr>
          <w:rFonts w:hint="eastAsia"/>
          <w:bCs/>
          <w:color w:val="000000" w:themeColor="text1"/>
          <w:szCs w:val="24"/>
          <w:highlight w:val="none"/>
          <w:lang w:val="en-US" w:eastAsia="zh-CN"/>
          <w14:textFill>
            <w14:solidFill>
              <w14:schemeClr w14:val="tx1"/>
            </w14:solidFill>
          </w14:textFill>
        </w:rPr>
        <w:t>3</w:t>
      </w:r>
      <w:r>
        <w:rPr>
          <w:bCs/>
          <w:color w:val="000000" w:themeColor="text1"/>
          <w:szCs w:val="24"/>
          <w:highlight w:val="none"/>
          <w14:textFill>
            <w14:solidFill>
              <w14:schemeClr w14:val="tx1"/>
            </w14:solidFill>
          </w14:textFill>
        </w:rPr>
        <w:t>）《钻井井场、设备、作业安全技术规程》（SYT 5974-2014）；</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w:t>
      </w:r>
      <w:r>
        <w:rPr>
          <w:rFonts w:hint="eastAsia"/>
          <w:bCs/>
          <w:color w:val="000000" w:themeColor="text1"/>
          <w:szCs w:val="24"/>
          <w:highlight w:val="none"/>
          <w:lang w:val="en-US" w:eastAsia="zh-CN"/>
          <w14:textFill>
            <w14:solidFill>
              <w14:schemeClr w14:val="tx1"/>
            </w14:solidFill>
          </w14:textFill>
        </w:rPr>
        <w:t>4</w:t>
      </w:r>
      <w:r>
        <w:rPr>
          <w:bCs/>
          <w:color w:val="000000" w:themeColor="text1"/>
          <w:szCs w:val="24"/>
          <w:highlight w:val="none"/>
          <w14:textFill>
            <w14:solidFill>
              <w14:schemeClr w14:val="tx1"/>
            </w14:solidFill>
          </w14:textFill>
        </w:rPr>
        <w:t>）《输气管道工程设计规范》（GB50251-2015）；</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w:t>
      </w:r>
      <w:r>
        <w:rPr>
          <w:rFonts w:hint="eastAsia"/>
          <w:bCs/>
          <w:color w:val="000000" w:themeColor="text1"/>
          <w:szCs w:val="24"/>
          <w:highlight w:val="none"/>
          <w:lang w:val="en-US" w:eastAsia="zh-CN"/>
          <w14:textFill>
            <w14:solidFill>
              <w14:schemeClr w14:val="tx1"/>
            </w14:solidFill>
          </w14:textFill>
        </w:rPr>
        <w:t>5</w:t>
      </w:r>
      <w:r>
        <w:rPr>
          <w:bCs/>
          <w:color w:val="000000" w:themeColor="text1"/>
          <w:szCs w:val="24"/>
          <w:highlight w:val="none"/>
          <w14:textFill>
            <w14:solidFill>
              <w14:schemeClr w14:val="tx1"/>
            </w14:solidFill>
          </w14:textFill>
        </w:rPr>
        <w:t>）《气田集输设计规范》（GB50349-2015）；</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w:t>
      </w:r>
      <w:r>
        <w:rPr>
          <w:rFonts w:hint="eastAsia"/>
          <w:bCs/>
          <w:color w:val="000000" w:themeColor="text1"/>
          <w:szCs w:val="24"/>
          <w:highlight w:val="none"/>
          <w:lang w:val="en-US" w:eastAsia="zh-CN"/>
          <w14:textFill>
            <w14:solidFill>
              <w14:schemeClr w14:val="tx1"/>
            </w14:solidFill>
          </w14:textFill>
        </w:rPr>
        <w:t>6</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注入技术要求》（SY/T 6596-2016）；</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w:t>
      </w:r>
      <w:r>
        <w:rPr>
          <w:rFonts w:hint="eastAsia"/>
          <w:bCs/>
          <w:color w:val="000000" w:themeColor="text1"/>
          <w:szCs w:val="24"/>
          <w:highlight w:val="none"/>
          <w:lang w:val="en-US" w:eastAsia="zh-CN"/>
          <w14:textFill>
            <w14:solidFill>
              <w14:schemeClr w14:val="tx1"/>
            </w14:solidFill>
          </w14:textFill>
        </w:rPr>
        <w:t>7</w:t>
      </w:r>
      <w:r>
        <w:rPr>
          <w:bCs/>
          <w:color w:val="000000" w:themeColor="text1"/>
          <w:szCs w:val="24"/>
          <w:highlight w:val="none"/>
          <w14:textFill>
            <w14:solidFill>
              <w14:schemeClr w14:val="tx1"/>
            </w14:solidFill>
          </w14:textFill>
        </w:rPr>
        <w:t>）《钻前工程及井场布置技术要求》（SYT 5466-2013）；</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w:t>
      </w:r>
      <w:r>
        <w:rPr>
          <w:rFonts w:hint="eastAsia"/>
          <w:bCs/>
          <w:color w:val="000000" w:themeColor="text1"/>
          <w:szCs w:val="24"/>
          <w:highlight w:val="none"/>
          <w:lang w:val="en-US" w:eastAsia="zh-CN"/>
          <w14:textFill>
            <w14:solidFill>
              <w14:schemeClr w14:val="tx1"/>
            </w14:solidFill>
          </w14:textFill>
        </w:rPr>
        <w:t>18</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注入技术要求》（SY/T6596-2016）；</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w:t>
      </w:r>
      <w:r>
        <w:rPr>
          <w:rFonts w:hint="eastAsia"/>
          <w:bCs/>
          <w:color w:val="000000" w:themeColor="text1"/>
          <w:szCs w:val="24"/>
          <w:highlight w:val="none"/>
          <w:lang w:val="en-US" w:eastAsia="zh-CN"/>
          <w14:textFill>
            <w14:solidFill>
              <w14:schemeClr w14:val="tx1"/>
            </w14:solidFill>
          </w14:textFill>
        </w:rPr>
        <w:t>19</w:t>
      </w:r>
      <w:r>
        <w:rPr>
          <w:bCs/>
          <w:color w:val="000000" w:themeColor="text1"/>
          <w:szCs w:val="24"/>
          <w:highlight w:val="none"/>
          <w14:textFill>
            <w14:solidFill>
              <w14:schemeClr w14:val="tx1"/>
            </w14:solidFill>
          </w14:textFill>
        </w:rPr>
        <w:t>）《油气输送管道穿越工程设计规范》（GB50423-2015）；</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w:t>
      </w:r>
      <w:r>
        <w:rPr>
          <w:rFonts w:hint="eastAsia"/>
          <w:bCs/>
          <w:color w:val="000000" w:themeColor="text1"/>
          <w:szCs w:val="24"/>
          <w:highlight w:val="none"/>
          <w:lang w:val="en-US" w:eastAsia="zh-CN"/>
          <w14:textFill>
            <w14:solidFill>
              <w14:schemeClr w14:val="tx1"/>
            </w14:solidFill>
          </w14:textFill>
        </w:rPr>
        <w:t>0</w:t>
      </w:r>
      <w:r>
        <w:rPr>
          <w:bCs/>
          <w:color w:val="000000" w:themeColor="text1"/>
          <w:szCs w:val="24"/>
          <w:highlight w:val="none"/>
          <w14:textFill>
            <w14:solidFill>
              <w14:schemeClr w14:val="tx1"/>
            </w14:solidFill>
          </w14:textFill>
        </w:rPr>
        <w:t>）《原油和天然气输送管道穿跨越工程设计规范穿越工程》（SY/T0015.1-98）；</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w:t>
      </w:r>
      <w:r>
        <w:rPr>
          <w:rFonts w:hint="eastAsia"/>
          <w:bCs/>
          <w:color w:val="000000" w:themeColor="text1"/>
          <w:szCs w:val="24"/>
          <w:highlight w:val="none"/>
          <w:lang w:val="en-US" w:eastAsia="zh-CN"/>
          <w14:textFill>
            <w14:solidFill>
              <w14:schemeClr w14:val="tx1"/>
            </w14:solidFill>
          </w14:textFill>
        </w:rPr>
        <w:t>1</w:t>
      </w:r>
      <w:r>
        <w:rPr>
          <w:bCs/>
          <w:color w:val="000000" w:themeColor="text1"/>
          <w:szCs w:val="24"/>
          <w:highlight w:val="none"/>
          <w14:textFill>
            <w14:solidFill>
              <w14:schemeClr w14:val="tx1"/>
            </w14:solidFill>
          </w14:textFill>
        </w:rPr>
        <w:t>）《埋地钢质管道阴极保护技术规范》（GB/T21448-2017）；</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w:t>
      </w:r>
      <w:r>
        <w:rPr>
          <w:rFonts w:hint="eastAsia"/>
          <w:bCs/>
          <w:color w:val="000000" w:themeColor="text1"/>
          <w:szCs w:val="24"/>
          <w:highlight w:val="none"/>
          <w:lang w:val="en-US" w:eastAsia="zh-CN"/>
          <w14:textFill>
            <w14:solidFill>
              <w14:schemeClr w14:val="tx1"/>
            </w14:solidFill>
          </w14:textFill>
        </w:rPr>
        <w:t>2</w:t>
      </w:r>
      <w:r>
        <w:rPr>
          <w:bCs/>
          <w:color w:val="000000" w:themeColor="text1"/>
          <w:szCs w:val="24"/>
          <w:highlight w:val="none"/>
          <w14:textFill>
            <w14:solidFill>
              <w14:schemeClr w14:val="tx1"/>
            </w14:solidFill>
          </w14:textFill>
        </w:rPr>
        <w:t>）《天然气管道运行规范》（SY/T5922-2003）；</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w:t>
      </w:r>
      <w:r>
        <w:rPr>
          <w:rFonts w:hint="eastAsia"/>
          <w:bCs/>
          <w:color w:val="000000" w:themeColor="text1"/>
          <w:szCs w:val="24"/>
          <w:highlight w:val="none"/>
          <w:lang w:val="en-US" w:eastAsia="zh-CN"/>
          <w14:textFill>
            <w14:solidFill>
              <w14:schemeClr w14:val="tx1"/>
            </w14:solidFill>
          </w14:textFill>
        </w:rPr>
        <w:t>3</w:t>
      </w:r>
      <w:r>
        <w:rPr>
          <w:bCs/>
          <w:color w:val="000000" w:themeColor="text1"/>
          <w:szCs w:val="24"/>
          <w:highlight w:val="none"/>
          <w14:textFill>
            <w14:solidFill>
              <w14:schemeClr w14:val="tx1"/>
            </w14:solidFill>
          </w14:textFill>
        </w:rPr>
        <w:t>）《建筑设计防火规范》（GB50016-2014）；</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w:t>
      </w:r>
      <w:r>
        <w:rPr>
          <w:rFonts w:hint="eastAsia"/>
          <w:bCs/>
          <w:color w:val="000000" w:themeColor="text1"/>
          <w:szCs w:val="24"/>
          <w:highlight w:val="none"/>
          <w:lang w:val="en-US" w:eastAsia="zh-CN"/>
          <w14:textFill>
            <w14:solidFill>
              <w14:schemeClr w14:val="tx1"/>
            </w14:solidFill>
          </w14:textFill>
        </w:rPr>
        <w:t>4</w:t>
      </w:r>
      <w:r>
        <w:rPr>
          <w:bCs/>
          <w:color w:val="000000" w:themeColor="text1"/>
          <w:szCs w:val="24"/>
          <w:highlight w:val="none"/>
          <w14:textFill>
            <w14:solidFill>
              <w14:schemeClr w14:val="tx1"/>
            </w14:solidFill>
          </w14:textFill>
        </w:rPr>
        <w:t>）《陆上石油天然气集输环境保护推荐作法》（SY/T7294-2016）；</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w:t>
      </w:r>
      <w:r>
        <w:rPr>
          <w:rFonts w:hint="eastAsia"/>
          <w:bCs/>
          <w:color w:val="000000" w:themeColor="text1"/>
          <w:szCs w:val="24"/>
          <w:highlight w:val="none"/>
          <w:lang w:val="en-US" w:eastAsia="zh-CN"/>
          <w14:textFill>
            <w14:solidFill>
              <w14:schemeClr w14:val="tx1"/>
            </w14:solidFill>
          </w14:textFill>
        </w:rPr>
        <w:t>5</w:t>
      </w:r>
      <w:r>
        <w:rPr>
          <w:bCs/>
          <w:color w:val="000000" w:themeColor="text1"/>
          <w:szCs w:val="24"/>
          <w:highlight w:val="none"/>
          <w14:textFill>
            <w14:solidFill>
              <w14:schemeClr w14:val="tx1"/>
            </w14:solidFill>
          </w14:textFill>
        </w:rPr>
        <w:t>）《陆上石油天然气开采含油污泥处理处置及污染控制技术规范》（SY/T 7300-2016）</w:t>
      </w:r>
      <w:r>
        <w:rPr>
          <w:rFonts w:hint="eastAsia"/>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w:t>
      </w:r>
      <w:r>
        <w:rPr>
          <w:rFonts w:hint="eastAsia" w:cs="Times New Roman"/>
          <w:bCs/>
          <w:color w:val="000000" w:themeColor="text1"/>
          <w:szCs w:val="24"/>
          <w:highlight w:val="none"/>
          <w:lang w:val="en-US" w:eastAsia="zh-CN"/>
          <w14:textFill>
            <w14:solidFill>
              <w14:schemeClr w14:val="tx1"/>
            </w14:solidFill>
          </w14:textFill>
        </w:rPr>
        <w:t>6</w:t>
      </w:r>
      <w:r>
        <w:rPr>
          <w:rFonts w:cs="Times New Roman"/>
          <w:bCs/>
          <w:color w:val="000000" w:themeColor="text1"/>
          <w:szCs w:val="24"/>
          <w:highlight w:val="none"/>
          <w14:textFill>
            <w14:solidFill>
              <w14:schemeClr w14:val="tx1"/>
            </w14:solidFill>
          </w14:textFill>
        </w:rPr>
        <w:t>）《高含硫气田水处理及回注工程设计规范》（SY/T6881-2012）；</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w:t>
      </w:r>
      <w:r>
        <w:rPr>
          <w:rFonts w:hint="eastAsia" w:cs="Times New Roman"/>
          <w:bCs/>
          <w:color w:val="000000" w:themeColor="text1"/>
          <w:szCs w:val="24"/>
          <w:highlight w:val="none"/>
          <w:lang w:val="en-US" w:eastAsia="zh-CN"/>
          <w14:textFill>
            <w14:solidFill>
              <w14:schemeClr w14:val="tx1"/>
            </w14:solidFill>
          </w14:textFill>
        </w:rPr>
        <w:t>7</w:t>
      </w:r>
      <w:r>
        <w:rPr>
          <w:rFonts w:cs="Times New Roman"/>
          <w:bCs/>
          <w:color w:val="000000" w:themeColor="text1"/>
          <w:szCs w:val="24"/>
          <w:highlight w:val="none"/>
          <w14:textFill>
            <w14:solidFill>
              <w14:schemeClr w14:val="tx1"/>
            </w14:solidFill>
          </w14:textFill>
        </w:rPr>
        <w:t>）《高含硫化氢气田地面集输系统设计规范》（SY/T0612-2014）；</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w:t>
      </w:r>
      <w:r>
        <w:rPr>
          <w:rFonts w:hint="eastAsia" w:cs="Times New Roman"/>
          <w:bCs/>
          <w:color w:val="000000" w:themeColor="text1"/>
          <w:szCs w:val="24"/>
          <w:highlight w:val="none"/>
          <w:lang w:val="en-US" w:eastAsia="zh-CN"/>
          <w14:textFill>
            <w14:solidFill>
              <w14:schemeClr w14:val="tx1"/>
            </w14:solidFill>
          </w14:textFill>
        </w:rPr>
        <w:t>8</w:t>
      </w:r>
      <w:r>
        <w:rPr>
          <w:rFonts w:cs="Times New Roman"/>
          <w:bCs/>
          <w:color w:val="000000" w:themeColor="text1"/>
          <w:szCs w:val="24"/>
          <w:highlight w:val="none"/>
          <w14:textFill>
            <w14:solidFill>
              <w14:schemeClr w14:val="tx1"/>
            </w14:solidFill>
          </w14:textFill>
        </w:rPr>
        <w:t>）《陆上石油天然气开采含油污泥处理处置及污染控制技术规范》（SY/T 7300-2016）；</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lang w:val="en-US" w:eastAsia="zh-CN"/>
          <w14:textFill>
            <w14:solidFill>
              <w14:schemeClr w14:val="tx1"/>
            </w14:solidFill>
          </w14:textFill>
        </w:rPr>
        <w:t>29</w:t>
      </w:r>
      <w:r>
        <w:rPr>
          <w:rFonts w:cs="Times New Roman"/>
          <w:bCs/>
          <w:color w:val="000000" w:themeColor="text1"/>
          <w:szCs w:val="24"/>
          <w:highlight w:val="none"/>
          <w14:textFill>
            <w14:solidFill>
              <w14:schemeClr w14:val="tx1"/>
            </w14:solidFill>
          </w14:textFill>
        </w:rPr>
        <w:t>）《含硫化氢天然气井公众安全防护距离》（AQ2018-2008）；</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w:t>
      </w:r>
      <w:r>
        <w:rPr>
          <w:rFonts w:hint="eastAsia" w:cs="Times New Roman"/>
          <w:bCs/>
          <w:color w:val="000000" w:themeColor="text1"/>
          <w:szCs w:val="24"/>
          <w:highlight w:val="none"/>
          <w:lang w:val="en-US" w:eastAsia="zh-CN"/>
          <w14:textFill>
            <w14:solidFill>
              <w14:schemeClr w14:val="tx1"/>
            </w14:solidFill>
          </w14:textFill>
        </w:rPr>
        <w:t>0</w:t>
      </w:r>
      <w:r>
        <w:rPr>
          <w:rFonts w:cs="Times New Roman"/>
          <w:bCs/>
          <w:color w:val="000000" w:themeColor="text1"/>
          <w:szCs w:val="24"/>
          <w:highlight w:val="none"/>
          <w14:textFill>
            <w14:solidFill>
              <w14:schemeClr w14:val="tx1"/>
            </w14:solidFill>
          </w14:textFill>
        </w:rPr>
        <w:t>）《含硫化氢油气井安全钻井推荐作法》（SY/T5081-2017）</w:t>
      </w:r>
      <w:r>
        <w:rPr>
          <w:bCs/>
          <w:color w:val="000000" w:themeColor="text1"/>
          <w:szCs w:val="24"/>
          <w:highlight w:val="none"/>
          <w14:textFill>
            <w14:solidFill>
              <w14:schemeClr w14:val="tx1"/>
            </w14:solidFill>
          </w14:textFill>
        </w:rPr>
        <w:t>。</w:t>
      </w:r>
    </w:p>
    <w:bookmarkEnd w:id="47"/>
    <w:p>
      <w:pPr>
        <w:pStyle w:val="4"/>
        <w:spacing w:before="0" w:beforeLines="0"/>
        <w:ind w:firstLine="480"/>
        <w:rPr>
          <w:color w:val="000000" w:themeColor="text1"/>
          <w:highlight w:val="none"/>
          <w14:textFill>
            <w14:solidFill>
              <w14:schemeClr w14:val="tx1"/>
            </w14:solidFill>
          </w14:textFill>
        </w:rPr>
      </w:pPr>
      <w:bookmarkStart w:id="48" w:name="_Toc143681838"/>
      <w:bookmarkStart w:id="49" w:name="_Toc140495516"/>
      <w:r>
        <w:rPr>
          <w:rFonts w:hint="eastAsia"/>
          <w:color w:val="000000" w:themeColor="text1"/>
          <w:highlight w:val="none"/>
          <w14:textFill>
            <w14:solidFill>
              <w14:schemeClr w14:val="tx1"/>
            </w14:solidFill>
          </w14:textFill>
        </w:rPr>
        <w:t>相关</w:t>
      </w:r>
      <w:r>
        <w:rPr>
          <w:color w:val="000000" w:themeColor="text1"/>
          <w:highlight w:val="none"/>
          <w14:textFill>
            <w14:solidFill>
              <w14:schemeClr w14:val="tx1"/>
            </w14:solidFill>
          </w14:textFill>
        </w:rPr>
        <w:t>标准</w:t>
      </w:r>
      <w:bookmarkEnd w:id="48"/>
      <w:bookmarkEnd w:id="49"/>
    </w:p>
    <w:p>
      <w:pPr>
        <w:pStyle w:val="607"/>
        <w:numPr>
          <w:ilvl w:val="0"/>
          <w:numId w:val="6"/>
        </w:numPr>
        <w:ind w:left="0" w:firstLine="480" w:firstLineChars="200"/>
        <w:rPr>
          <w:color w:val="000000" w:themeColor="text1"/>
          <w:highlight w:val="none"/>
          <w14:textFill>
            <w14:solidFill>
              <w14:schemeClr w14:val="tx1"/>
            </w14:solidFill>
          </w14:textFill>
        </w:rPr>
      </w:pPr>
      <w:bookmarkStart w:id="50" w:name="_Hlk153366108"/>
      <w:r>
        <w:rPr>
          <w:color w:val="000000" w:themeColor="text1"/>
          <w:highlight w:val="none"/>
          <w14:textFill>
            <w14:solidFill>
              <w14:schemeClr w14:val="tx1"/>
            </w14:solidFill>
          </w14:textFill>
        </w:rPr>
        <w:t>《环境空气质量标准》（GB 3095-2012）；</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《地表水环境质量标准》（GB 3838-2002）；</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《地下水质量标准》（GB/T 14848-2017）；</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《声环境质量标准》（GB 3096-2008）； </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《土壤环境质量建设用地土壤污染风险管控标准（试行）》（GB 36600-2018）；</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《土壤环境质量农用地土壤污染风险管控标准（试行）》（GB 15618-2018）；</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《大气污染物综合排放标准》（GB 16297-1996）；</w:t>
      </w:r>
    </w:p>
    <w:p>
      <w:pPr>
        <w:pStyle w:val="607"/>
        <w:numPr>
          <w:ilvl w:val="0"/>
          <w:numId w:val="6"/>
        </w:numPr>
        <w:ind w:left="0" w:firstLine="48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《锅炉大气污染物排放标准》（GB 13271-2014）；</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《土地复垦质量控制标准》（TD/T 1036-2013）；</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《工业企业厂界环境噪声排放标准》（GB 12348-2008）；</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一般工业固体废物贮存和填埋污染控制标准</w:t>
      </w:r>
      <w:r>
        <w:rPr>
          <w:color w:val="000000" w:themeColor="text1"/>
          <w:highlight w:val="none"/>
          <w14:textFill>
            <w14:solidFill>
              <w14:schemeClr w14:val="tx1"/>
            </w14:solidFill>
          </w14:textFill>
        </w:rPr>
        <w:t>》（GB 18599-2020）</w:t>
      </w:r>
      <w:r>
        <w:rPr>
          <w:rFonts w:hint="eastAsia"/>
          <w:color w:val="000000" w:themeColor="text1"/>
          <w:highlight w:val="none"/>
          <w14:textFill>
            <w14:solidFill>
              <w14:schemeClr w14:val="tx1"/>
            </w14:solidFill>
          </w14:textFill>
        </w:rPr>
        <w:t>；</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《危险废物贮存污染控制标准》（GB 18597-2023）</w:t>
      </w:r>
      <w:r>
        <w:rPr>
          <w:rFonts w:hint="eastAsia"/>
          <w:color w:val="000000" w:themeColor="text1"/>
          <w:highlight w:val="none"/>
          <w14:textFill>
            <w14:solidFill>
              <w14:schemeClr w14:val="tx1"/>
            </w14:solidFill>
          </w14:textFill>
        </w:rPr>
        <w:t>；</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《土壤侵蚀分类分级标准》（SL 190-2007）</w:t>
      </w:r>
      <w:r>
        <w:rPr>
          <w:rFonts w:hint="eastAsia"/>
          <w:color w:val="000000" w:themeColor="text1"/>
          <w:highlight w:val="none"/>
          <w14:textFill>
            <w14:solidFill>
              <w14:schemeClr w14:val="tx1"/>
            </w14:solidFill>
          </w14:textFill>
        </w:rPr>
        <w:t>；</w:t>
      </w:r>
    </w:p>
    <w:p>
      <w:pPr>
        <w:pStyle w:val="607"/>
        <w:numPr>
          <w:ilvl w:val="0"/>
          <w:numId w:val="6"/>
        </w:numPr>
        <w:ind w:left="0" w:firstLine="48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生产</w:t>
      </w:r>
      <w:r>
        <w:rPr>
          <w:color w:val="000000" w:themeColor="text1"/>
          <w:highlight w:val="none"/>
          <w14:textFill>
            <w14:solidFill>
              <w14:schemeClr w14:val="tx1"/>
            </w14:solidFill>
          </w14:textFill>
        </w:rPr>
        <w:t>建设项目水土流失防治标准》（GB 50434-2018）</w:t>
      </w:r>
      <w:r>
        <w:rPr>
          <w:rFonts w:hint="eastAsia"/>
          <w:color w:val="000000" w:themeColor="text1"/>
          <w:highlight w:val="none"/>
          <w14:textFill>
            <w14:solidFill>
              <w14:schemeClr w14:val="tx1"/>
            </w14:solidFill>
          </w14:textFill>
        </w:rPr>
        <w:t>；</w:t>
      </w:r>
    </w:p>
    <w:p>
      <w:pPr>
        <w:pStyle w:val="607"/>
        <w:numPr>
          <w:ilvl w:val="0"/>
          <w:numId w:val="6"/>
        </w:numPr>
        <w:tabs>
          <w:tab w:val="left" w:pos="0"/>
        </w:tabs>
        <w:ind w:left="0" w:firstLine="480" w:firstLineChars="200"/>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《陆上石油天然气开采工业大气污染物排放标准》（G</w:t>
      </w:r>
      <w:r>
        <w:rPr>
          <w:color w:val="000000" w:themeColor="text1"/>
          <w:highlight w:val="none"/>
          <w14:textFill>
            <w14:solidFill>
              <w14:schemeClr w14:val="tx1"/>
            </w14:solidFill>
          </w14:textFill>
        </w:rPr>
        <w:t>B 39728</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2020</w:t>
      </w:r>
      <w:r>
        <w:rPr>
          <w:rFonts w:hint="eastAsia"/>
          <w:color w:val="000000" w:themeColor="text1"/>
          <w:highlight w:val="none"/>
          <w14:textFill>
            <w14:solidFill>
              <w14:schemeClr w14:val="tx1"/>
            </w14:solidFill>
          </w14:textFill>
        </w:rPr>
        <w:t>）；</w:t>
      </w:r>
    </w:p>
    <w:p>
      <w:pPr>
        <w:pStyle w:val="607"/>
        <w:numPr>
          <w:ilvl w:val="0"/>
          <w:numId w:val="6"/>
        </w:numPr>
        <w:tabs>
          <w:tab w:val="left" w:pos="0"/>
        </w:tabs>
        <w:ind w:left="0" w:firstLine="480" w:firstLineChars="200"/>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《四川省施工场地扬尘排放标准》（DB512682-2020）</w:t>
      </w:r>
      <w:bookmarkEnd w:id="50"/>
      <w:r>
        <w:rPr>
          <w:rFonts w:hint="eastAsia"/>
          <w:color w:val="000000" w:themeColor="text1"/>
          <w:highlight w:val="none"/>
          <w14:textFill>
            <w14:solidFill>
              <w14:schemeClr w14:val="tx1"/>
            </w14:solidFill>
          </w14:textFill>
        </w:rPr>
        <w:t>；</w:t>
      </w:r>
    </w:p>
    <w:p>
      <w:pPr>
        <w:pStyle w:val="607"/>
        <w:numPr>
          <w:ilvl w:val="0"/>
          <w:numId w:val="6"/>
        </w:numPr>
        <w:tabs>
          <w:tab w:val="left" w:pos="0"/>
        </w:tabs>
        <w:ind w:left="0" w:firstLine="480" w:firstLineChars="200"/>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《四川省建设用地土壤污染风险管控标准》（DB51/2978-2023）。</w:t>
      </w:r>
    </w:p>
    <w:p>
      <w:pPr>
        <w:pStyle w:val="4"/>
        <w:spacing w:before="0" w:beforeLines="0"/>
        <w:ind w:firstLine="480"/>
        <w:rPr>
          <w:b/>
          <w:color w:val="000000" w:themeColor="text1"/>
          <w:highlight w:val="none"/>
          <w:lang w:eastAsia="zh-CN"/>
          <w14:textFill>
            <w14:solidFill>
              <w14:schemeClr w14:val="tx1"/>
            </w14:solidFill>
          </w14:textFill>
        </w:rPr>
      </w:pPr>
      <w:bookmarkStart w:id="51" w:name="_Toc120173060"/>
      <w:bookmarkStart w:id="52" w:name="_Hlk153366122"/>
      <w:r>
        <w:rPr>
          <w:color w:val="000000" w:themeColor="text1"/>
          <w:highlight w:val="none"/>
          <w:lang w:eastAsia="zh-CN"/>
          <w14:textFill>
            <w14:solidFill>
              <w14:schemeClr w14:val="tx1"/>
            </w14:solidFill>
          </w14:textFill>
        </w:rPr>
        <w:t>相关技术及工作文件</w:t>
      </w:r>
      <w:bookmarkEnd w:id="51"/>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（1）环境影响评价委托书；</w:t>
      </w:r>
    </w:p>
    <w:p>
      <w:pPr>
        <w:pStyle w:val="252"/>
        <w:ind w:firstLine="480"/>
        <w:rPr>
          <w:color w:val="000000" w:themeColor="text1"/>
          <w:highlight w:val="none"/>
          <w14:textFill>
            <w14:solidFill>
              <w14:schemeClr w14:val="tx1"/>
            </w14:solidFill>
          </w14:textFill>
        </w:rPr>
      </w:pPr>
      <w:bookmarkStart w:id="53" w:name="_Hlk56956483"/>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大湾408-3井钻井及试采工程</w:t>
      </w:r>
      <w:r>
        <w:rPr>
          <w:color w:val="000000" w:themeColor="text1"/>
          <w:highlight w:val="none"/>
          <w14:textFill>
            <w14:solidFill>
              <w14:schemeClr w14:val="tx1"/>
            </w14:solidFill>
          </w14:textFill>
        </w:rPr>
        <w:t>可行性研究报告》</w:t>
      </w:r>
      <w:r>
        <w:rPr>
          <w:rFonts w:hint="eastAsia"/>
          <w:color w:val="000000" w:themeColor="text1"/>
          <w:highlight w:val="none"/>
          <w14:textFill>
            <w14:solidFill>
              <w14:schemeClr w14:val="tx1"/>
            </w14:solidFill>
          </w14:textFill>
        </w:rPr>
        <w:t>及批复（中原油分投资〔2024〕176号）</w:t>
      </w:r>
      <w:r>
        <w:rPr>
          <w:color w:val="000000" w:themeColor="text1"/>
          <w:highlight w:val="none"/>
          <w14:textFill>
            <w14:solidFill>
              <w14:schemeClr w14:val="tx1"/>
            </w14:solidFill>
          </w14:textFill>
        </w:rPr>
        <w:t>；</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（3）《环境质量监测报告》；</w:t>
      </w:r>
    </w:p>
    <w:bookmarkEnd w:id="53"/>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（4）项目</w:t>
      </w:r>
      <w:r>
        <w:rPr>
          <w:rFonts w:hint="eastAsia"/>
          <w:color w:val="000000" w:themeColor="text1"/>
          <w:highlight w:val="none"/>
          <w14:textFill>
            <w14:solidFill>
              <w14:schemeClr w14:val="tx1"/>
            </w14:solidFill>
          </w14:textFill>
        </w:rPr>
        <w:t>所在地的</w:t>
      </w:r>
      <w:r>
        <w:rPr>
          <w:color w:val="000000" w:themeColor="text1"/>
          <w:highlight w:val="none"/>
          <w14:textFill>
            <w14:solidFill>
              <w14:schemeClr w14:val="tx1"/>
            </w14:solidFill>
          </w14:textFill>
        </w:rPr>
        <w:t>相关乡镇规划、土地利用规划、植被分布现状、水系分布情况等相关文件、资料；</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（5）建设单位提供的项目其他有关资料。</w:t>
      </w:r>
    </w:p>
    <w:bookmarkEnd w:id="52"/>
    <w:p>
      <w:pPr>
        <w:pStyle w:val="3"/>
        <w:spacing w:before="0" w:beforeLines="0"/>
        <w:rPr>
          <w:color w:val="000000" w:themeColor="text1"/>
          <w:highlight w:val="none"/>
          <w:lang w:eastAsia="zh-CN"/>
          <w14:textFill>
            <w14:solidFill>
              <w14:schemeClr w14:val="tx1"/>
            </w14:solidFill>
          </w14:textFill>
        </w:rPr>
      </w:pPr>
      <w:bookmarkStart w:id="54" w:name="_Toc11870"/>
      <w:r>
        <w:rPr>
          <w:color w:val="000000" w:themeColor="text1"/>
          <w:highlight w:val="none"/>
          <w:lang w:eastAsia="zh-CN"/>
          <w14:textFill>
            <w14:solidFill>
              <w14:schemeClr w14:val="tx1"/>
            </w14:solidFill>
          </w14:textFill>
        </w:rPr>
        <w:t>环境影响识别与评价因子筛选</w:t>
      </w:r>
      <w:bookmarkEnd w:id="54"/>
    </w:p>
    <w:p>
      <w:pPr>
        <w:pStyle w:val="4"/>
        <w:spacing w:before="0" w:beforeLines="0"/>
        <w:ind w:firstLine="480"/>
        <w:rPr>
          <w:b/>
          <w:color w:val="000000" w:themeColor="text1"/>
          <w:highlight w:val="none"/>
          <w:lang w:eastAsia="zh-CN"/>
          <w14:textFill>
            <w14:solidFill>
              <w14:schemeClr w14:val="tx1"/>
            </w14:solidFill>
          </w14:textFill>
        </w:rPr>
      </w:pPr>
      <w:bookmarkStart w:id="55" w:name="_Toc120173062"/>
      <w:r>
        <w:rPr>
          <w:color w:val="000000" w:themeColor="text1"/>
          <w:highlight w:val="none"/>
          <w:lang w:eastAsia="zh-CN"/>
          <w14:textFill>
            <w14:solidFill>
              <w14:schemeClr w14:val="tx1"/>
            </w14:solidFill>
          </w14:textFill>
        </w:rPr>
        <w:t>环境影响识别</w:t>
      </w:r>
      <w:bookmarkEnd w:id="55"/>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石油天然气钻井及试采工程项目具有</w:t>
      </w:r>
      <w:r>
        <w:rPr>
          <w:rFonts w:hint="eastAsia"/>
          <w:bCs/>
          <w:color w:val="000000" w:themeColor="text1"/>
          <w:szCs w:val="24"/>
          <w:highlight w:val="none"/>
          <w14:textFill>
            <w14:solidFill>
              <w14:schemeClr w14:val="tx1"/>
            </w14:solidFill>
          </w14:textFill>
        </w:rPr>
        <w:t>兼具生态影响和污染影响的特点，针对本项目而言，项目钻前工程量小，生态影响较小，以后续钻井工程、储层改造工程及油气集输工程等的产生的污染影响为主。本次评价</w:t>
      </w:r>
      <w:r>
        <w:rPr>
          <w:color w:val="000000" w:themeColor="text1"/>
          <w:highlight w:val="none"/>
          <w14:textFill>
            <w14:solidFill>
              <w14:schemeClr w14:val="tx1"/>
            </w14:solidFill>
          </w14:textFill>
        </w:rPr>
        <w:t>就工程</w:t>
      </w:r>
      <w:r>
        <w:rPr>
          <w:rFonts w:hint="eastAsia"/>
          <w:color w:val="000000" w:themeColor="text1"/>
          <w:highlight w:val="none"/>
          <w14:textFill>
            <w14:solidFill>
              <w14:schemeClr w14:val="tx1"/>
            </w14:solidFill>
          </w14:textFill>
        </w:rPr>
        <w:t>施工期</w:t>
      </w:r>
      <w:r>
        <w:rPr>
          <w:color w:val="000000" w:themeColor="text1"/>
          <w:highlight w:val="none"/>
          <w14:textFill>
            <w14:solidFill>
              <w14:schemeClr w14:val="tx1"/>
            </w14:solidFill>
          </w14:textFill>
        </w:rPr>
        <w:t>及</w:t>
      </w:r>
      <w:r>
        <w:rPr>
          <w:rFonts w:hint="eastAsia"/>
          <w:color w:val="000000" w:themeColor="text1"/>
          <w:highlight w:val="none"/>
          <w14:textFill>
            <w14:solidFill>
              <w14:schemeClr w14:val="tx1"/>
            </w14:solidFill>
          </w14:textFill>
        </w:rPr>
        <w:t>试采期</w:t>
      </w:r>
      <w:r>
        <w:rPr>
          <w:color w:val="000000" w:themeColor="text1"/>
          <w:highlight w:val="none"/>
          <w14:textFill>
            <w14:solidFill>
              <w14:schemeClr w14:val="tx1"/>
            </w14:solidFill>
          </w14:textFill>
        </w:rPr>
        <w:t>对区域生态环境及其他环境要素所造成的影响进行识别</w:t>
      </w:r>
      <w:r>
        <w:rPr>
          <w:rFonts w:hint="eastAsia"/>
          <w:color w:val="000000" w:themeColor="text1"/>
          <w:highlight w:val="none"/>
          <w14:textFill>
            <w14:solidFill>
              <w14:schemeClr w14:val="tx1"/>
            </w14:solidFill>
          </w14:textFill>
        </w:rPr>
        <w:t>如下</w:t>
      </w:r>
      <w:r>
        <w:rPr>
          <w:color w:val="000000" w:themeColor="text1"/>
          <w:highlight w:val="none"/>
          <w14:textFill>
            <w14:solidFill>
              <w14:schemeClr w14:val="tx1"/>
            </w14:solidFill>
          </w14:textFill>
        </w:rPr>
        <w:t>。</w:t>
      </w:r>
    </w:p>
    <w:p>
      <w:pPr>
        <w:pStyle w:val="252"/>
        <w:adjustRightInd w:val="0"/>
        <w:snapToGrid w:val="0"/>
        <w:ind w:firstLine="480"/>
        <w:rPr>
          <w:rFonts w:eastAsia="黑体"/>
          <w:bCs/>
          <w:color w:val="000000" w:themeColor="text1"/>
          <w:highlight w:val="none"/>
          <w14:textFill>
            <w14:solidFill>
              <w14:schemeClr w14:val="tx1"/>
            </w14:solidFill>
          </w14:textFill>
        </w:rPr>
      </w:pPr>
      <w:r>
        <w:rPr>
          <w:rFonts w:eastAsia="黑体"/>
          <w:bCs/>
          <w:color w:val="000000" w:themeColor="text1"/>
          <w:highlight w:val="none"/>
          <w14:textFill>
            <w14:solidFill>
              <w14:schemeClr w14:val="tx1"/>
            </w14:solidFill>
          </w14:textFill>
        </w:rPr>
        <w:t>1、生态环境影响</w:t>
      </w:r>
    </w:p>
    <w:p>
      <w:pPr>
        <w:pStyle w:val="252"/>
        <w:adjustRightInd w:val="0"/>
        <w:snapToGrid w:val="0"/>
        <w:ind w:firstLine="480"/>
        <w:rPr>
          <w:color w:val="000000" w:themeColor="text1"/>
          <w:kern w:val="2"/>
          <w:szCs w:val="22"/>
          <w:highlight w:val="none"/>
          <w14:textFill>
            <w14:solidFill>
              <w14:schemeClr w14:val="tx1"/>
            </w14:solidFill>
          </w14:textFill>
        </w:rPr>
      </w:pPr>
      <w:r>
        <w:rPr>
          <w:rFonts w:hint="eastAsia"/>
          <w:color w:val="000000" w:themeColor="text1"/>
          <w:kern w:val="2"/>
          <w:szCs w:val="22"/>
          <w:highlight w:val="none"/>
          <w14:textFill>
            <w14:solidFill>
              <w14:schemeClr w14:val="tx1"/>
            </w14:solidFill>
          </w14:textFill>
        </w:rPr>
        <w:t>（1）施工期</w:t>
      </w:r>
    </w:p>
    <w:p>
      <w:pPr>
        <w:pStyle w:val="252"/>
        <w:adjustRightInd w:val="0"/>
        <w:snapToGrid w:val="0"/>
        <w:ind w:firstLine="480"/>
        <w:rPr>
          <w:color w:val="000000" w:themeColor="text1"/>
          <w:kern w:val="2"/>
          <w:szCs w:val="22"/>
          <w:highlight w:val="none"/>
          <w14:textFill>
            <w14:solidFill>
              <w14:schemeClr w14:val="tx1"/>
            </w14:solidFill>
          </w14:textFill>
        </w:rPr>
      </w:pPr>
      <w:r>
        <w:rPr>
          <w:color w:val="000000" w:themeColor="text1"/>
          <w:kern w:val="2"/>
          <w:szCs w:val="22"/>
          <w:highlight w:val="none"/>
          <w14:textFill>
            <w14:solidFill>
              <w14:schemeClr w14:val="tx1"/>
            </w14:solidFill>
          </w14:textFill>
        </w:rPr>
        <w:t>本项目生态环境影响主要体现在</w:t>
      </w:r>
      <w:r>
        <w:rPr>
          <w:rFonts w:hint="eastAsia"/>
          <w:color w:val="000000" w:themeColor="text1"/>
          <w:kern w:val="2"/>
          <w:szCs w:val="22"/>
          <w:highlight w:val="none"/>
          <w14:textFill>
            <w14:solidFill>
              <w14:schemeClr w14:val="tx1"/>
            </w14:solidFill>
          </w14:textFill>
        </w:rPr>
        <w:t>钻前工程</w:t>
      </w:r>
      <w:r>
        <w:rPr>
          <w:color w:val="000000" w:themeColor="text1"/>
          <w:kern w:val="2"/>
          <w:szCs w:val="22"/>
          <w:highlight w:val="none"/>
          <w14:textFill>
            <w14:solidFill>
              <w14:schemeClr w14:val="tx1"/>
            </w14:solidFill>
          </w14:textFill>
        </w:rPr>
        <w:t>。</w:t>
      </w:r>
      <w:r>
        <w:rPr>
          <w:rFonts w:hint="eastAsia"/>
          <w:color w:val="000000" w:themeColor="text1"/>
          <w:kern w:val="2"/>
          <w:szCs w:val="22"/>
          <w:highlight w:val="none"/>
          <w14:textFill>
            <w14:solidFill>
              <w14:schemeClr w14:val="tx1"/>
            </w14:solidFill>
          </w14:textFill>
        </w:rPr>
        <w:t>钻前</w:t>
      </w:r>
      <w:r>
        <w:rPr>
          <w:color w:val="000000" w:themeColor="text1"/>
          <w:kern w:val="2"/>
          <w:szCs w:val="22"/>
          <w:highlight w:val="none"/>
          <w14:textFill>
            <w14:solidFill>
              <w14:schemeClr w14:val="tx1"/>
            </w14:solidFill>
          </w14:textFill>
        </w:rPr>
        <w:t>工程施工期间对生态环境的影响主要是临时占地和土石方工程开挖引起的自然地貌的改变和地表自然及人工植被的破坏，进而引起对土地利用的改变，生物量和生产力的变化，由此引发区域生态系统稳定性下降，致使生态环境的破坏及水土流失。</w:t>
      </w:r>
    </w:p>
    <w:p>
      <w:pPr>
        <w:pStyle w:val="252"/>
        <w:adjustRightInd w:val="0"/>
        <w:snapToGrid w:val="0"/>
        <w:ind w:firstLine="480"/>
        <w:rPr>
          <w:color w:val="000000" w:themeColor="text1"/>
          <w:kern w:val="2"/>
          <w:szCs w:val="22"/>
          <w:highlight w:val="none"/>
          <w14:textFill>
            <w14:solidFill>
              <w14:schemeClr w14:val="tx1"/>
            </w14:solidFill>
          </w14:textFill>
        </w:rPr>
      </w:pPr>
      <w:r>
        <w:rPr>
          <w:rFonts w:hint="eastAsia"/>
          <w:color w:val="000000" w:themeColor="text1"/>
          <w:kern w:val="2"/>
          <w:szCs w:val="22"/>
          <w:highlight w:val="none"/>
          <w14:textFill>
            <w14:solidFill>
              <w14:schemeClr w14:val="tx1"/>
            </w14:solidFill>
          </w14:textFill>
        </w:rPr>
        <w:t>（2）试采期</w:t>
      </w:r>
    </w:p>
    <w:p>
      <w:pPr>
        <w:pStyle w:val="252"/>
        <w:adjustRightInd w:val="0"/>
        <w:snapToGrid w:val="0"/>
        <w:ind w:firstLine="480"/>
        <w:rPr>
          <w:color w:val="000000" w:themeColor="text1"/>
          <w:kern w:val="2"/>
          <w:szCs w:val="22"/>
          <w:highlight w:val="none"/>
          <w14:textFill>
            <w14:solidFill>
              <w14:schemeClr w14:val="tx1"/>
            </w14:solidFill>
          </w14:textFill>
        </w:rPr>
      </w:pPr>
      <w:r>
        <w:rPr>
          <w:rFonts w:hint="eastAsia"/>
          <w:color w:val="000000" w:themeColor="text1"/>
          <w:kern w:val="2"/>
          <w:szCs w:val="22"/>
          <w:highlight w:val="none"/>
          <w14:textFill>
            <w14:solidFill>
              <w14:schemeClr w14:val="tx1"/>
            </w14:solidFill>
          </w14:textFill>
        </w:rPr>
        <w:t>试采工程主要依托钻井期占地而建设的生产设施进行试采生产，不会新增占地，不会</w:t>
      </w:r>
      <w:r>
        <w:rPr>
          <w:color w:val="000000" w:themeColor="text1"/>
          <w:kern w:val="2"/>
          <w:szCs w:val="22"/>
          <w:highlight w:val="none"/>
          <w14:textFill>
            <w14:solidFill>
              <w14:schemeClr w14:val="tx1"/>
            </w14:solidFill>
          </w14:textFill>
        </w:rPr>
        <w:t>带来新的生态影响，受施工期影响的生态环境按相应的环境保护措施，逐步恢复重建。</w:t>
      </w:r>
    </w:p>
    <w:p>
      <w:pPr>
        <w:pStyle w:val="252"/>
        <w:adjustRightInd w:val="0"/>
        <w:snapToGrid w:val="0"/>
        <w:ind w:firstLine="480"/>
        <w:rPr>
          <w:rFonts w:eastAsia="黑体"/>
          <w:bCs/>
          <w:color w:val="000000" w:themeColor="text1"/>
          <w:highlight w:val="none"/>
          <w14:textFill>
            <w14:solidFill>
              <w14:schemeClr w14:val="tx1"/>
            </w14:solidFill>
          </w14:textFill>
        </w:rPr>
      </w:pPr>
      <w:r>
        <w:rPr>
          <w:rFonts w:eastAsia="黑体"/>
          <w:bCs/>
          <w:color w:val="000000" w:themeColor="text1"/>
          <w:highlight w:val="none"/>
          <w14:textFill>
            <w14:solidFill>
              <w14:schemeClr w14:val="tx1"/>
            </w14:solidFill>
          </w14:textFill>
        </w:rPr>
        <w:t>2、地表水环境影响</w:t>
      </w:r>
    </w:p>
    <w:p>
      <w:pPr>
        <w:pStyle w:val="252"/>
        <w:adjustRightInd w:val="0"/>
        <w:snapToGrid w:val="0"/>
        <w:ind w:firstLine="480"/>
        <w:rPr>
          <w:color w:val="000000" w:themeColor="text1"/>
          <w:kern w:val="2"/>
          <w:szCs w:val="22"/>
          <w:highlight w:val="none"/>
          <w14:textFill>
            <w14:solidFill>
              <w14:schemeClr w14:val="tx1"/>
            </w14:solidFill>
          </w14:textFill>
        </w:rPr>
      </w:pPr>
      <w:r>
        <w:rPr>
          <w:rFonts w:hint="eastAsia"/>
          <w:color w:val="000000" w:themeColor="text1"/>
          <w:kern w:val="2"/>
          <w:szCs w:val="22"/>
          <w:highlight w:val="none"/>
          <w14:textFill>
            <w14:solidFill>
              <w14:schemeClr w14:val="tx1"/>
            </w14:solidFill>
          </w14:textFill>
        </w:rPr>
        <w:t>（1）施工期：</w:t>
      </w:r>
    </w:p>
    <w:p>
      <w:pPr>
        <w:pStyle w:val="252"/>
        <w:adjustRightInd w:val="0"/>
        <w:snapToGrid w:val="0"/>
        <w:ind w:firstLine="480"/>
        <w:rPr>
          <w:color w:val="000000" w:themeColor="text1"/>
          <w:kern w:val="2"/>
          <w:szCs w:val="22"/>
          <w:highlight w:val="none"/>
          <w14:textFill>
            <w14:solidFill>
              <w14:schemeClr w14:val="tx1"/>
            </w14:solidFill>
          </w14:textFill>
        </w:rPr>
      </w:pPr>
      <w:r>
        <w:rPr>
          <w:rFonts w:hint="eastAsia"/>
          <w:color w:val="000000" w:themeColor="text1"/>
          <w:kern w:val="2"/>
          <w:szCs w:val="22"/>
          <w:highlight w:val="none"/>
          <w14:textFill>
            <w14:solidFill>
              <w14:schemeClr w14:val="tx1"/>
            </w14:solidFill>
          </w14:textFill>
        </w:rPr>
        <w:t>钻前工程：施工废水、</w:t>
      </w:r>
      <w:r>
        <w:rPr>
          <w:color w:val="000000" w:themeColor="text1"/>
          <w:kern w:val="2"/>
          <w:szCs w:val="22"/>
          <w:highlight w:val="none"/>
          <w14:textFill>
            <w14:solidFill>
              <w14:schemeClr w14:val="tx1"/>
            </w14:solidFill>
          </w14:textFill>
        </w:rPr>
        <w:t>施工人员产生的生活污水对地表水环境的影响</w:t>
      </w:r>
      <w:r>
        <w:rPr>
          <w:rFonts w:hint="eastAsia"/>
          <w:color w:val="000000" w:themeColor="text1"/>
          <w:kern w:val="2"/>
          <w:szCs w:val="22"/>
          <w:highlight w:val="none"/>
          <w14:textFill>
            <w14:solidFill>
              <w14:schemeClr w14:val="tx1"/>
            </w14:solidFill>
          </w14:textFill>
        </w:rPr>
        <w:t>；</w:t>
      </w:r>
    </w:p>
    <w:p>
      <w:pPr>
        <w:pStyle w:val="252"/>
        <w:adjustRightInd w:val="0"/>
        <w:snapToGrid w:val="0"/>
        <w:ind w:firstLine="480"/>
        <w:rPr>
          <w:color w:val="000000" w:themeColor="text1"/>
          <w:kern w:val="2"/>
          <w:szCs w:val="22"/>
          <w:highlight w:val="none"/>
          <w14:textFill>
            <w14:solidFill>
              <w14:schemeClr w14:val="tx1"/>
            </w14:solidFill>
          </w14:textFill>
        </w:rPr>
      </w:pPr>
      <w:r>
        <w:rPr>
          <w:rFonts w:hint="eastAsia"/>
          <w:color w:val="000000" w:themeColor="text1"/>
          <w:kern w:val="2"/>
          <w:szCs w:val="22"/>
          <w:highlight w:val="none"/>
          <w14:textFill>
            <w14:solidFill>
              <w14:schemeClr w14:val="tx1"/>
            </w14:solidFill>
          </w14:textFill>
        </w:rPr>
        <w:t>钻井工程：</w:t>
      </w:r>
      <w:r>
        <w:rPr>
          <w:color w:val="000000" w:themeColor="text1"/>
          <w:kern w:val="2"/>
          <w:szCs w:val="22"/>
          <w:highlight w:val="none"/>
          <w14:textFill>
            <w14:solidFill>
              <w14:schemeClr w14:val="tx1"/>
            </w14:solidFill>
          </w14:textFill>
        </w:rPr>
        <w:t>钻井废水、</w:t>
      </w:r>
      <w:r>
        <w:rPr>
          <w:rFonts w:hint="eastAsia"/>
          <w:color w:val="000000" w:themeColor="text1"/>
          <w:kern w:val="2"/>
          <w:szCs w:val="22"/>
          <w:highlight w:val="none"/>
          <w14:textFill>
            <w14:solidFill>
              <w14:schemeClr w14:val="tx1"/>
            </w14:solidFill>
          </w14:textFill>
        </w:rPr>
        <w:t>场地初期雨水、生活污水等对地表水的影响；</w:t>
      </w:r>
    </w:p>
    <w:p>
      <w:pPr>
        <w:pStyle w:val="252"/>
        <w:adjustRightInd w:val="0"/>
        <w:snapToGrid w:val="0"/>
        <w:ind w:firstLine="480"/>
        <w:rPr>
          <w:color w:val="000000" w:themeColor="text1"/>
          <w:kern w:val="2"/>
          <w:szCs w:val="22"/>
          <w:highlight w:val="none"/>
          <w14:textFill>
            <w14:solidFill>
              <w14:schemeClr w14:val="tx1"/>
            </w14:solidFill>
          </w14:textFill>
        </w:rPr>
      </w:pPr>
      <w:r>
        <w:rPr>
          <w:rFonts w:hint="eastAsia"/>
          <w:color w:val="000000" w:themeColor="text1"/>
          <w:kern w:val="2"/>
          <w:szCs w:val="22"/>
          <w:highlight w:val="none"/>
          <w14:textFill>
            <w14:solidFill>
              <w14:schemeClr w14:val="tx1"/>
            </w14:solidFill>
          </w14:textFill>
        </w:rPr>
        <w:t>储层改造工程：洗井废水</w:t>
      </w:r>
      <w:r>
        <w:rPr>
          <w:color w:val="000000" w:themeColor="text1"/>
          <w:kern w:val="2"/>
          <w:szCs w:val="22"/>
          <w:highlight w:val="none"/>
          <w14:textFill>
            <w14:solidFill>
              <w14:schemeClr w14:val="tx1"/>
            </w14:solidFill>
          </w14:textFill>
        </w:rPr>
        <w:t>、</w:t>
      </w:r>
      <w:r>
        <w:rPr>
          <w:rFonts w:hint="eastAsia"/>
          <w:color w:val="000000" w:themeColor="text1"/>
          <w:kern w:val="2"/>
          <w:szCs w:val="22"/>
          <w:highlight w:val="none"/>
          <w14:textFill>
            <w14:solidFill>
              <w14:schemeClr w14:val="tx1"/>
            </w14:solidFill>
          </w14:textFill>
        </w:rPr>
        <w:t>压裂返排液、生活污水对地表水的影响；</w:t>
      </w:r>
    </w:p>
    <w:p>
      <w:pPr>
        <w:pStyle w:val="252"/>
        <w:adjustRightInd w:val="0"/>
        <w:snapToGrid w:val="0"/>
        <w:ind w:left="480" w:leftChars="200" w:firstLine="0" w:firstLineChars="0"/>
        <w:rPr>
          <w:color w:val="000000" w:themeColor="text1"/>
          <w:kern w:val="2"/>
          <w:szCs w:val="22"/>
          <w:highlight w:val="none"/>
          <w14:textFill>
            <w14:solidFill>
              <w14:schemeClr w14:val="tx1"/>
            </w14:solidFill>
          </w14:textFill>
        </w:rPr>
      </w:pPr>
      <w:r>
        <w:rPr>
          <w:rFonts w:hint="eastAsia"/>
          <w:color w:val="000000" w:themeColor="text1"/>
          <w:kern w:val="2"/>
          <w:szCs w:val="22"/>
          <w:highlight w:val="none"/>
          <w14:textFill>
            <w14:solidFill>
              <w14:schemeClr w14:val="tx1"/>
            </w14:solidFill>
          </w14:textFill>
        </w:rPr>
        <w:t>（2）试采期</w:t>
      </w:r>
    </w:p>
    <w:p>
      <w:pPr>
        <w:pStyle w:val="252"/>
        <w:adjustRightInd w:val="0"/>
        <w:snapToGrid w:val="0"/>
        <w:ind w:firstLine="480"/>
        <w:rPr>
          <w:color w:val="000000" w:themeColor="text1"/>
          <w:kern w:val="2"/>
          <w:szCs w:val="22"/>
          <w:highlight w:val="none"/>
          <w14:textFill>
            <w14:solidFill>
              <w14:schemeClr w14:val="tx1"/>
            </w14:solidFill>
          </w14:textFill>
        </w:rPr>
      </w:pPr>
      <w:r>
        <w:rPr>
          <w:rFonts w:hint="eastAsia"/>
          <w:color w:val="000000" w:themeColor="text1"/>
          <w:kern w:val="2"/>
          <w:szCs w:val="22"/>
          <w:highlight w:val="none"/>
          <w14:textFill>
            <w14:solidFill>
              <w14:schemeClr w14:val="tx1"/>
            </w14:solidFill>
          </w14:textFill>
        </w:rPr>
        <w:t>试采工程：采出水（含初期压裂返排液）、清管试压废水等对地表水的影响。</w:t>
      </w:r>
    </w:p>
    <w:p>
      <w:pPr>
        <w:pStyle w:val="252"/>
        <w:adjustRightInd w:val="0"/>
        <w:snapToGrid w:val="0"/>
        <w:ind w:firstLine="480"/>
        <w:rPr>
          <w:rFonts w:eastAsia="黑体"/>
          <w:bCs/>
          <w:color w:val="000000" w:themeColor="text1"/>
          <w:highlight w:val="none"/>
          <w14:textFill>
            <w14:solidFill>
              <w14:schemeClr w14:val="tx1"/>
            </w14:solidFill>
          </w14:textFill>
        </w:rPr>
      </w:pPr>
      <w:r>
        <w:rPr>
          <w:rFonts w:eastAsia="黑体"/>
          <w:bCs/>
          <w:color w:val="000000" w:themeColor="text1"/>
          <w:highlight w:val="none"/>
          <w14:textFill>
            <w14:solidFill>
              <w14:schemeClr w14:val="tx1"/>
            </w14:solidFill>
          </w14:textFill>
        </w:rPr>
        <w:t>3、地下水环境影响</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（1）施工期</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本项目的地下水污染源主要来自钻井废水、</w:t>
      </w:r>
      <w:r>
        <w:rPr>
          <w:rFonts w:hint="eastAsia" w:cs="Times New Roman"/>
          <w:color w:val="000000" w:themeColor="text1"/>
          <w:szCs w:val="24"/>
          <w:highlight w:val="none"/>
          <w14:textFill>
            <w14:solidFill>
              <w14:schemeClr w14:val="tx1"/>
            </w14:solidFill>
          </w14:textFill>
        </w:rPr>
        <w:t>洗井废水、压裂返排液</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场地初期雨水及</w:t>
      </w:r>
      <w:r>
        <w:rPr>
          <w:rFonts w:cs="Times New Roman"/>
          <w:color w:val="000000" w:themeColor="text1"/>
          <w:szCs w:val="24"/>
          <w:highlight w:val="none"/>
          <w14:textFill>
            <w14:solidFill>
              <w14:schemeClr w14:val="tx1"/>
            </w14:solidFill>
          </w14:textFill>
        </w:rPr>
        <w:t>钻井泥浆</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柴油机房、储备罐中的油类物质等，这些物质都放置在相应的储备罐或储存池中，一般情况下，只要对各种地下水污染源及时采取回用、转运、防渗等方式处理，就不会对地下水水质产生大的影响。与此同时，井场选址于地质稳定地带，也不受当地河水洪灾</w:t>
      </w:r>
      <w:r>
        <w:rPr>
          <w:rFonts w:hint="eastAsia" w:cs="Times New Roman"/>
          <w:color w:val="000000" w:themeColor="text1"/>
          <w:szCs w:val="24"/>
          <w:highlight w:val="none"/>
          <w14:textFill>
            <w14:solidFill>
              <w14:schemeClr w14:val="tx1"/>
            </w14:solidFill>
          </w14:textFill>
        </w:rPr>
        <w:t>威胁</w:t>
      </w:r>
      <w:r>
        <w:rPr>
          <w:rFonts w:cs="Times New Roman"/>
          <w:color w:val="000000" w:themeColor="text1"/>
          <w:szCs w:val="24"/>
          <w:highlight w:val="none"/>
          <w14:textFill>
            <w14:solidFill>
              <w14:schemeClr w14:val="tx1"/>
            </w14:solidFill>
          </w14:textFill>
        </w:rPr>
        <w:t>，正常状况下废水外溢及下渗造成地下水污染的可能性极小。</w:t>
      </w:r>
      <w:r>
        <w:rPr>
          <w:rFonts w:hint="eastAsia" w:cs="Times New Roman"/>
          <w:color w:val="000000" w:themeColor="text1"/>
          <w:szCs w:val="24"/>
          <w:highlight w:val="none"/>
          <w14:textFill>
            <w14:solidFill>
              <w14:schemeClr w14:val="tx1"/>
            </w14:solidFill>
          </w14:textFill>
        </w:rPr>
        <w:t>本次评价结合</w:t>
      </w:r>
      <w:r>
        <w:rPr>
          <w:rFonts w:cs="Times New Roman"/>
          <w:bCs/>
          <w:color w:val="000000" w:themeColor="text1"/>
          <w:szCs w:val="24"/>
          <w:highlight w:val="none"/>
          <w14:textFill>
            <w14:solidFill>
              <w14:schemeClr w14:val="tx1"/>
            </w14:solidFill>
          </w14:textFill>
        </w:rPr>
        <w:t>《环境影响评价技术导则 地下水环境》（HJ610-2016）</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《环境影响评价技术导则 陆地石油天然气开发建设项目》（HJ/T349-2023）</w:t>
      </w:r>
      <w:r>
        <w:rPr>
          <w:rFonts w:hint="eastAsia" w:cs="Times New Roman"/>
          <w:color w:val="000000" w:themeColor="text1"/>
          <w:szCs w:val="24"/>
          <w:highlight w:val="none"/>
          <w14:textFill>
            <w14:solidFill>
              <w14:schemeClr w14:val="tx1"/>
            </w14:solidFill>
          </w14:textFill>
        </w:rPr>
        <w:t>对非正常状况下的地下水环境影响进行识别如下：</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①罐体循环使用，发生腐蚀使防渗不到位出现废水渗漏，从围堰溢出或者基础防渗不到位入渗地下水，或是在雨季发生泥浆外溢情况，井场设备机油泄漏，生活污水、固废以及钻井所需材料堆放不当，井场污染物收集、存储措施不到位，在雨季产生地面溢流外溢废水进入井场未硬化地面入渗等都有可能造成不同程度的地下水污染；</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②物料跑冒滴漏，钻井过程中物料管理不严格、化学品堆放不当、柴油泄漏等物料的跑冒滴漏不同程度的污染地下水；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③放喷池因防渗不到位</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出现</w:t>
      </w:r>
      <w:r>
        <w:rPr>
          <w:rFonts w:hint="eastAsia" w:cs="Times New Roman"/>
          <w:color w:val="000000" w:themeColor="text1"/>
          <w:szCs w:val="24"/>
          <w:highlight w:val="none"/>
          <w14:textFill>
            <w14:solidFill>
              <w14:schemeClr w14:val="tx1"/>
            </w14:solidFill>
          </w14:textFill>
        </w:rPr>
        <w:t>池内收集暂存的</w:t>
      </w:r>
      <w:r>
        <w:rPr>
          <w:rFonts w:cs="Times New Roman"/>
          <w:color w:val="000000" w:themeColor="text1"/>
          <w:szCs w:val="24"/>
          <w:highlight w:val="none"/>
          <w14:textFill>
            <w14:solidFill>
              <w14:schemeClr w14:val="tx1"/>
            </w14:solidFill>
          </w14:textFill>
        </w:rPr>
        <w:t>返排液渗漏，有可能造成不同程度的地下水污染；</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④井口作业区、泥浆循环系统区、泥浆不落地装置区散落的泥浆、废水进入井场未硬化地面入渗；</w:t>
      </w:r>
    </w:p>
    <w:p>
      <w:pPr>
        <w:pStyle w:val="125"/>
        <w:ind w:firstLine="482" w:firstLineChars="0"/>
        <w:rPr>
          <w:color w:val="000000" w:themeColor="text1"/>
          <w:kern w:val="0"/>
          <w:szCs w:val="20"/>
          <w:highlight w:val="none"/>
          <w14:textFill>
            <w14:solidFill>
              <w14:schemeClr w14:val="tx1"/>
            </w14:solidFill>
          </w14:textFill>
        </w:rPr>
      </w:pPr>
      <w:r>
        <w:rPr>
          <w:color w:val="000000" w:themeColor="text1"/>
          <w:highlight w:val="none"/>
          <w14:textFill>
            <w14:solidFill>
              <w14:schemeClr w14:val="tx1"/>
            </w14:solidFill>
          </w14:textFill>
        </w:rPr>
        <w:t>⑤压裂过程井筒破裂，压裂液进入含水层</w:t>
      </w:r>
      <w:r>
        <w:rPr>
          <w:color w:val="000000" w:themeColor="text1"/>
          <w:kern w:val="0"/>
          <w:szCs w:val="20"/>
          <w:highlight w:val="none"/>
          <w14:textFill>
            <w14:solidFill>
              <w14:schemeClr w14:val="tx1"/>
            </w14:solidFill>
          </w14:textFill>
        </w:rPr>
        <w:t>。</w:t>
      </w:r>
    </w:p>
    <w:p>
      <w:pPr>
        <w:pStyle w:val="125"/>
        <w:ind w:firstLine="482" w:firstLineChars="0"/>
        <w:rPr>
          <w:color w:val="000000" w:themeColor="text1"/>
          <w:kern w:val="0"/>
          <w:szCs w:val="20"/>
          <w:highlight w:val="none"/>
          <w14:textFill>
            <w14:solidFill>
              <w14:schemeClr w14:val="tx1"/>
            </w14:solidFill>
          </w14:textFill>
        </w:rPr>
      </w:pPr>
      <w:r>
        <w:rPr>
          <w:rFonts w:hint="eastAsia"/>
          <w:color w:val="000000" w:themeColor="text1"/>
          <w:kern w:val="0"/>
          <w:szCs w:val="20"/>
          <w:highlight w:val="none"/>
          <w14:textFill>
            <w14:solidFill>
              <w14:schemeClr w14:val="tx1"/>
            </w14:solidFill>
          </w14:textFill>
        </w:rPr>
        <w:t>（2）试采期</w:t>
      </w:r>
    </w:p>
    <w:p>
      <w:pPr>
        <w:pStyle w:val="125"/>
        <w:ind w:firstLine="482" w:firstLineChars="0"/>
        <w:rPr>
          <w:color w:val="000000" w:themeColor="text1"/>
          <w:kern w:val="0"/>
          <w:szCs w:val="20"/>
          <w:highlight w:val="none"/>
          <w14:textFill>
            <w14:solidFill>
              <w14:schemeClr w14:val="tx1"/>
            </w14:solidFill>
          </w14:textFill>
        </w:rPr>
      </w:pPr>
      <w:r>
        <w:rPr>
          <w:color w:val="000000" w:themeColor="text1"/>
          <w:kern w:val="0"/>
          <w:szCs w:val="20"/>
          <w:highlight w:val="none"/>
          <w14:textFill>
            <w14:solidFill>
              <w14:schemeClr w14:val="tx1"/>
            </w14:solidFill>
          </w14:textFill>
        </w:rPr>
        <w:t>本项目</w:t>
      </w:r>
      <w:r>
        <w:rPr>
          <w:rFonts w:hint="eastAsia"/>
          <w:color w:val="000000" w:themeColor="text1"/>
          <w:kern w:val="0"/>
          <w:szCs w:val="20"/>
          <w:highlight w:val="none"/>
          <w14:textFill>
            <w14:solidFill>
              <w14:schemeClr w14:val="tx1"/>
            </w14:solidFill>
          </w14:textFill>
        </w:rPr>
        <w:t>试采站</w:t>
      </w:r>
      <w:r>
        <w:rPr>
          <w:color w:val="000000" w:themeColor="text1"/>
          <w:kern w:val="0"/>
          <w:szCs w:val="20"/>
          <w:highlight w:val="none"/>
          <w14:textFill>
            <w14:solidFill>
              <w14:schemeClr w14:val="tx1"/>
            </w14:solidFill>
          </w14:textFill>
        </w:rPr>
        <w:t>内外集输管线破裂</w:t>
      </w:r>
      <w:r>
        <w:rPr>
          <w:rFonts w:hint="eastAsia"/>
          <w:color w:val="000000" w:themeColor="text1"/>
          <w:kern w:val="0"/>
          <w:szCs w:val="20"/>
          <w:highlight w:val="none"/>
          <w14:textFill>
            <w14:solidFill>
              <w14:schemeClr w14:val="tx1"/>
            </w14:solidFill>
          </w14:textFill>
        </w:rPr>
        <w:t>出现泄漏时</w:t>
      </w:r>
      <w:r>
        <w:rPr>
          <w:color w:val="000000" w:themeColor="text1"/>
          <w:kern w:val="0"/>
          <w:szCs w:val="20"/>
          <w:highlight w:val="none"/>
          <w14:textFill>
            <w14:solidFill>
              <w14:schemeClr w14:val="tx1"/>
            </w14:solidFill>
          </w14:textFill>
        </w:rPr>
        <w:t>，</w:t>
      </w:r>
      <w:r>
        <w:rPr>
          <w:rFonts w:hint="eastAsia"/>
          <w:color w:val="000000" w:themeColor="text1"/>
          <w:kern w:val="0"/>
          <w:szCs w:val="20"/>
          <w:highlight w:val="none"/>
          <w14:textFill>
            <w14:solidFill>
              <w14:schemeClr w14:val="tx1"/>
            </w14:solidFill>
          </w14:textFill>
        </w:rPr>
        <w:t>管线位于地面，</w:t>
      </w:r>
      <w:r>
        <w:rPr>
          <w:color w:val="000000" w:themeColor="text1"/>
          <w:kern w:val="0"/>
          <w:szCs w:val="20"/>
          <w:highlight w:val="none"/>
          <w14:textFill>
            <w14:solidFill>
              <w14:schemeClr w14:val="tx1"/>
            </w14:solidFill>
          </w14:textFill>
        </w:rPr>
        <w:t>天然气将</w:t>
      </w:r>
      <w:r>
        <w:rPr>
          <w:rFonts w:hint="eastAsia"/>
          <w:color w:val="000000" w:themeColor="text1"/>
          <w:kern w:val="0"/>
          <w:szCs w:val="20"/>
          <w:highlight w:val="none"/>
          <w14:textFill>
            <w14:solidFill>
              <w14:schemeClr w14:val="tx1"/>
            </w14:solidFill>
          </w14:textFill>
        </w:rPr>
        <w:t>扩散进入大气，难以进入地下水环境</w:t>
      </w:r>
      <w:r>
        <w:rPr>
          <w:color w:val="000000" w:themeColor="text1"/>
          <w:kern w:val="0"/>
          <w:szCs w:val="20"/>
          <w:highlight w:val="none"/>
          <w14:textFill>
            <w14:solidFill>
              <w14:schemeClr w14:val="tx1"/>
            </w14:solidFill>
          </w14:textFill>
        </w:rPr>
        <w:t>，不会对地下水产生影响</w:t>
      </w:r>
      <w:bookmarkStart w:id="56" w:name="_Hlk155946411"/>
      <w:r>
        <w:rPr>
          <w:rFonts w:hint="eastAsia"/>
          <w:color w:val="000000" w:themeColor="text1"/>
          <w:kern w:val="0"/>
          <w:szCs w:val="20"/>
          <w:highlight w:val="none"/>
          <w14:textFill>
            <w14:solidFill>
              <w14:schemeClr w14:val="tx1"/>
            </w14:solidFill>
          </w14:textFill>
        </w:rPr>
        <w:t>。发生泄漏事故后建设单位会立即对泄漏点进行检修，若发现泄漏点有少量采出水泄露进入土壤会立即对泄漏点的土壤进行换填处理，</w:t>
      </w:r>
      <w:bookmarkEnd w:id="56"/>
      <w:r>
        <w:rPr>
          <w:rFonts w:hint="eastAsia"/>
          <w:color w:val="000000" w:themeColor="text1"/>
          <w:kern w:val="0"/>
          <w:szCs w:val="20"/>
          <w:highlight w:val="none"/>
          <w14:textFill>
            <w14:solidFill>
              <w14:schemeClr w14:val="tx1"/>
            </w14:solidFill>
          </w14:textFill>
        </w:rPr>
        <w:t>不会进入地下水含水层，故</w:t>
      </w:r>
      <w:r>
        <w:rPr>
          <w:rFonts w:hint="eastAsia"/>
          <w:color w:val="000000" w:themeColor="text1"/>
          <w:highlight w:val="none"/>
          <w14:textFill>
            <w14:solidFill>
              <w14:schemeClr w14:val="tx1"/>
            </w14:solidFill>
          </w14:textFill>
        </w:rPr>
        <w:t>管线天然气泄漏难以</w:t>
      </w:r>
      <w:r>
        <w:rPr>
          <w:color w:val="000000" w:themeColor="text1"/>
          <w:kern w:val="0"/>
          <w:szCs w:val="20"/>
          <w:highlight w:val="none"/>
          <w14:textFill>
            <w14:solidFill>
              <w14:schemeClr w14:val="tx1"/>
            </w14:solidFill>
          </w14:textFill>
        </w:rPr>
        <w:t>对地下水环境产生影响。</w:t>
      </w:r>
    </w:p>
    <w:p>
      <w:pPr>
        <w:pStyle w:val="252"/>
        <w:adjustRightInd w:val="0"/>
        <w:snapToGrid w:val="0"/>
        <w:ind w:firstLine="480"/>
        <w:rPr>
          <w:rFonts w:eastAsia="黑体"/>
          <w:bCs/>
          <w:color w:val="000000" w:themeColor="text1"/>
          <w:highlight w:val="none"/>
          <w14:textFill>
            <w14:solidFill>
              <w14:schemeClr w14:val="tx1"/>
            </w14:solidFill>
          </w14:textFill>
        </w:rPr>
      </w:pPr>
      <w:r>
        <w:rPr>
          <w:rFonts w:eastAsia="黑体"/>
          <w:bCs/>
          <w:color w:val="000000" w:themeColor="text1"/>
          <w:highlight w:val="none"/>
          <w14:textFill>
            <w14:solidFill>
              <w14:schemeClr w14:val="tx1"/>
            </w14:solidFill>
          </w14:textFill>
        </w:rPr>
        <w:t>4、大气环境影响</w:t>
      </w:r>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（1）施工期</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钻前工程：施工扬尘、</w:t>
      </w:r>
      <w:r>
        <w:rPr>
          <w:color w:val="000000" w:themeColor="text1"/>
          <w:kern w:val="2"/>
          <w:szCs w:val="24"/>
          <w:highlight w:val="none"/>
          <w14:textFill>
            <w14:solidFill>
              <w14:schemeClr w14:val="tx1"/>
            </w14:solidFill>
          </w14:textFill>
        </w:rPr>
        <w:t>运输和作业车辆排放的汽车尾气</w:t>
      </w:r>
      <w:r>
        <w:rPr>
          <w:rFonts w:hint="eastAsia"/>
          <w:color w:val="000000" w:themeColor="text1"/>
          <w:kern w:val="2"/>
          <w:szCs w:val="24"/>
          <w:highlight w:val="none"/>
          <w14:textFill>
            <w14:solidFill>
              <w14:schemeClr w14:val="tx1"/>
            </w14:solidFill>
          </w14:textFill>
        </w:rPr>
        <w:t>等对大气环境的影响；</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钻井工程：</w:t>
      </w:r>
      <w:r>
        <w:rPr>
          <w:color w:val="000000" w:themeColor="text1"/>
          <w:highlight w:val="none"/>
          <w14:textFill>
            <w14:solidFill>
              <w14:schemeClr w14:val="tx1"/>
            </w14:solidFill>
          </w14:textFill>
        </w:rPr>
        <w:t>备用柴油</w:t>
      </w:r>
      <w:r>
        <w:rPr>
          <w:rFonts w:hint="eastAsia"/>
          <w:color w:val="000000" w:themeColor="text1"/>
          <w:highlight w:val="none"/>
          <w14:textFill>
            <w14:solidFill>
              <w14:schemeClr w14:val="tx1"/>
            </w14:solidFill>
          </w14:textFill>
        </w:rPr>
        <w:t>动力</w:t>
      </w:r>
      <w:r>
        <w:rPr>
          <w:color w:val="000000" w:themeColor="text1"/>
          <w:highlight w:val="none"/>
          <w14:textFill>
            <w14:solidFill>
              <w14:schemeClr w14:val="tx1"/>
            </w14:solidFill>
          </w14:textFill>
        </w:rPr>
        <w:t>机/</w:t>
      </w:r>
      <w:r>
        <w:rPr>
          <w:rFonts w:hint="eastAsia"/>
          <w:color w:val="000000" w:themeColor="text1"/>
          <w:highlight w:val="none"/>
          <w14:textFill>
            <w14:solidFill>
              <w14:schemeClr w14:val="tx1"/>
            </w14:solidFill>
          </w14:textFill>
        </w:rPr>
        <w:t>柴油</w:t>
      </w:r>
      <w:r>
        <w:rPr>
          <w:color w:val="000000" w:themeColor="text1"/>
          <w:highlight w:val="none"/>
          <w14:textFill>
            <w14:solidFill>
              <w14:schemeClr w14:val="tx1"/>
            </w14:solidFill>
          </w14:textFill>
        </w:rPr>
        <w:t>发电机</w:t>
      </w:r>
      <w:r>
        <w:rPr>
          <w:rFonts w:hint="eastAsia"/>
          <w:color w:val="000000" w:themeColor="text1"/>
          <w:highlight w:val="none"/>
          <w14:textFill>
            <w14:solidFill>
              <w14:schemeClr w14:val="tx1"/>
            </w14:solidFill>
          </w14:textFill>
        </w:rPr>
        <w:t>组（停电时使用）</w:t>
      </w:r>
      <w:r>
        <w:rPr>
          <w:rFonts w:hint="eastAsia"/>
          <w:color w:val="000000" w:themeColor="text1"/>
          <w:kern w:val="2"/>
          <w:szCs w:val="24"/>
          <w:highlight w:val="none"/>
          <w14:textFill>
            <w14:solidFill>
              <w14:schemeClr w14:val="tx1"/>
            </w14:solidFill>
          </w14:textFill>
        </w:rPr>
        <w:t>等产生的燃料燃烧废气对大气环境的影响；钻遇</w:t>
      </w:r>
      <w:r>
        <w:rPr>
          <w:color w:val="000000" w:themeColor="text1"/>
          <w:kern w:val="2"/>
          <w:szCs w:val="24"/>
          <w:highlight w:val="none"/>
          <w14:textFill>
            <w14:solidFill>
              <w14:schemeClr w14:val="tx1"/>
            </w14:solidFill>
          </w14:textFill>
        </w:rPr>
        <w:t>地层异常高压</w:t>
      </w:r>
      <w:r>
        <w:rPr>
          <w:rFonts w:hint="eastAsia"/>
          <w:color w:val="000000" w:themeColor="text1"/>
          <w:kern w:val="2"/>
          <w:szCs w:val="24"/>
          <w:highlight w:val="none"/>
          <w14:textFill>
            <w14:solidFill>
              <w14:schemeClr w14:val="tx1"/>
            </w14:solidFill>
          </w14:textFill>
        </w:rPr>
        <w:t>时可能进行的事故放喷废气影响；</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储层改造工程：测试放喷废气、</w:t>
      </w:r>
      <w:r>
        <w:rPr>
          <w:color w:val="000000" w:themeColor="text1"/>
          <w:kern w:val="2"/>
          <w:szCs w:val="24"/>
          <w:highlight w:val="none"/>
          <w14:textFill>
            <w14:solidFill>
              <w14:schemeClr w14:val="tx1"/>
            </w14:solidFill>
          </w14:textFill>
        </w:rPr>
        <w:t>压裂车施工机械尾气</w:t>
      </w:r>
      <w:r>
        <w:rPr>
          <w:rFonts w:hint="eastAsia"/>
          <w:color w:val="000000" w:themeColor="text1"/>
          <w:kern w:val="2"/>
          <w:szCs w:val="24"/>
          <w:highlight w:val="none"/>
          <w14:textFill>
            <w14:solidFill>
              <w14:schemeClr w14:val="tx1"/>
            </w14:solidFill>
          </w14:textFill>
        </w:rPr>
        <w:t>对大气环境的影响；</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油气集输工程：</w:t>
      </w:r>
      <w:r>
        <w:rPr>
          <w:bCs/>
          <w:color w:val="000000" w:themeColor="text1"/>
          <w:highlight w:val="none"/>
          <w14:textFill>
            <w14:solidFill>
              <w14:schemeClr w14:val="tx1"/>
            </w14:solidFill>
          </w14:textFill>
        </w:rPr>
        <w:t>施工机具作业时产生的尾气，基础开挖、场地平整及物料装卸等施工过程产生的粉尘，车辆运输产生的二次扬尘</w:t>
      </w:r>
      <w:r>
        <w:rPr>
          <w:rFonts w:hint="eastAsia"/>
          <w:bCs/>
          <w:color w:val="000000" w:themeColor="text1"/>
          <w:highlight w:val="none"/>
          <w14:textFill>
            <w14:solidFill>
              <w14:schemeClr w14:val="tx1"/>
            </w14:solidFill>
          </w14:textFill>
        </w:rPr>
        <w:t>，焊接作业产生的焊接烟尘废气</w:t>
      </w:r>
      <w:r>
        <w:rPr>
          <w:rFonts w:hint="eastAsia"/>
          <w:color w:val="000000" w:themeColor="text1"/>
          <w:kern w:val="2"/>
          <w:szCs w:val="24"/>
          <w:highlight w:val="none"/>
          <w14:textFill>
            <w14:solidFill>
              <w14:schemeClr w14:val="tx1"/>
            </w14:solidFill>
          </w14:textFill>
        </w:rPr>
        <w:t>等对大气环境的影响；</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此外，上述各施工阶段使用的燃油作业设备在使用过程中还可能产生少量</w:t>
      </w:r>
      <w:r>
        <w:rPr>
          <w:color w:val="000000" w:themeColor="text1"/>
          <w:kern w:val="2"/>
          <w:szCs w:val="24"/>
          <w:highlight w:val="none"/>
          <w14:textFill>
            <w14:solidFill>
              <w14:schemeClr w14:val="tx1"/>
            </w14:solidFill>
          </w14:textFill>
        </w:rPr>
        <w:t>无组织挥发性有机物</w:t>
      </w:r>
      <w:r>
        <w:rPr>
          <w:rFonts w:hint="eastAsia"/>
          <w:color w:val="000000" w:themeColor="text1"/>
          <w:kern w:val="2"/>
          <w:szCs w:val="24"/>
          <w:highlight w:val="none"/>
          <w14:textFill>
            <w14:solidFill>
              <w14:schemeClr w14:val="tx1"/>
            </w14:solidFill>
          </w14:textFill>
        </w:rPr>
        <w:t>，将对大气环境产生一定的影响。</w:t>
      </w:r>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（2）试采期</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试采工程：本项目</w:t>
      </w:r>
      <w:r>
        <w:rPr>
          <w:rFonts w:cs="Times New Roman"/>
          <w:color w:val="000000" w:themeColor="text1"/>
          <w:szCs w:val="24"/>
          <w:highlight w:val="none"/>
          <w14:textFill>
            <w14:solidFill>
              <w14:schemeClr w14:val="tx1"/>
            </w14:solidFill>
          </w14:textFill>
        </w:rPr>
        <w:t>正常生产情况下，流程设备、管线、阀室等工艺设备为高压密闭作业，无天然气泄漏废气产生</w:t>
      </w:r>
      <w:r>
        <w:rPr>
          <w:rFonts w:hint="eastAsia" w:cs="Times New Roman"/>
          <w:color w:val="000000" w:themeColor="text1"/>
          <w:szCs w:val="24"/>
          <w:highlight w:val="none"/>
          <w14:textFill>
            <w14:solidFill>
              <w14:schemeClr w14:val="tx1"/>
            </w14:solidFill>
          </w14:textFill>
        </w:rPr>
        <w:t>。因此，试采期主要为</w:t>
      </w:r>
      <w:r>
        <w:rPr>
          <w:rFonts w:cs="Times New Roman"/>
          <w:color w:val="000000" w:themeColor="text1"/>
          <w:szCs w:val="24"/>
          <w:highlight w:val="none"/>
          <w14:textFill>
            <w14:solidFill>
              <w14:schemeClr w14:val="tx1"/>
            </w14:solidFill>
          </w14:textFill>
        </w:rPr>
        <w:t>水套加热炉废气、长明灯燃烧废气、非正常工况下的放空废气</w:t>
      </w:r>
      <w:r>
        <w:rPr>
          <w:rFonts w:hint="eastAsia" w:cs="Times New Roman"/>
          <w:color w:val="000000" w:themeColor="text1"/>
          <w:szCs w:val="24"/>
          <w:highlight w:val="none"/>
          <w14:textFill>
            <w14:solidFill>
              <w14:schemeClr w14:val="tx1"/>
            </w14:solidFill>
          </w14:textFill>
        </w:rPr>
        <w:t>对大气环境的影响，由于本项目主要生产设施（水套加热炉、火炬系统等均依托大湾</w:t>
      </w:r>
      <w:r>
        <w:rPr>
          <w:rFonts w:hint="eastAsia" w:cs="Times New Roman"/>
          <w:color w:val="000000" w:themeColor="text1"/>
          <w:szCs w:val="24"/>
          <w:highlight w:val="none"/>
          <w:lang w:eastAsia="zh-CN"/>
          <w14:textFill>
            <w14:solidFill>
              <w14:schemeClr w14:val="tx1"/>
            </w14:solidFill>
          </w14:textFill>
        </w:rPr>
        <w:t>408试采站</w:t>
      </w:r>
      <w:r>
        <w:rPr>
          <w:rFonts w:hint="eastAsia" w:cs="Times New Roman"/>
          <w:color w:val="000000" w:themeColor="text1"/>
          <w:szCs w:val="24"/>
          <w:highlight w:val="none"/>
          <w14:textFill>
            <w14:solidFill>
              <w14:schemeClr w14:val="tx1"/>
            </w14:solidFill>
          </w14:textFill>
        </w:rPr>
        <w:t>），因此，试采期废气影响较小。</w:t>
      </w:r>
    </w:p>
    <w:p>
      <w:pPr>
        <w:pStyle w:val="252"/>
        <w:adjustRightInd w:val="0"/>
        <w:snapToGrid w:val="0"/>
        <w:ind w:firstLine="480"/>
        <w:rPr>
          <w:rFonts w:eastAsia="黑体"/>
          <w:bCs/>
          <w:color w:val="000000" w:themeColor="text1"/>
          <w:highlight w:val="none"/>
          <w14:textFill>
            <w14:solidFill>
              <w14:schemeClr w14:val="tx1"/>
            </w14:solidFill>
          </w14:textFill>
        </w:rPr>
      </w:pPr>
      <w:r>
        <w:rPr>
          <w:rFonts w:eastAsia="黑体"/>
          <w:bCs/>
          <w:color w:val="000000" w:themeColor="text1"/>
          <w:highlight w:val="none"/>
          <w14:textFill>
            <w14:solidFill>
              <w14:schemeClr w14:val="tx1"/>
            </w14:solidFill>
          </w14:textFill>
        </w:rPr>
        <w:t>5、声环境影响</w:t>
      </w:r>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（1）施工期</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钻前工程：</w:t>
      </w:r>
      <w:r>
        <w:rPr>
          <w:color w:val="000000" w:themeColor="text1"/>
          <w:highlight w:val="none"/>
          <w14:textFill>
            <w14:solidFill>
              <w14:schemeClr w14:val="tx1"/>
            </w14:solidFill>
          </w14:textFill>
        </w:rPr>
        <w:t>施工机械产生的机械噪声</w:t>
      </w:r>
      <w:r>
        <w:rPr>
          <w:rFonts w:hint="eastAsia"/>
          <w:color w:val="000000" w:themeColor="text1"/>
          <w:highlight w:val="none"/>
          <w14:textFill>
            <w14:solidFill>
              <w14:schemeClr w14:val="tx1"/>
            </w14:solidFill>
          </w14:textFill>
        </w:rPr>
        <w:t>影响</w:t>
      </w:r>
      <w:r>
        <w:rPr>
          <w:rFonts w:hint="eastAsia"/>
          <w:color w:val="000000" w:themeColor="text1"/>
          <w:kern w:val="2"/>
          <w:szCs w:val="24"/>
          <w:highlight w:val="none"/>
          <w14:textFill>
            <w14:solidFill>
              <w14:schemeClr w14:val="tx1"/>
            </w14:solidFill>
          </w14:textFill>
        </w:rPr>
        <w:t>；</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钻井工程：钻井施工作业设备（钻机、泥浆泵、振动筛等）及辅助设施（备用柴油动力机、柴油发电机组等）产生的机械噪声影响；</w:t>
      </w:r>
      <w:r>
        <w:rPr>
          <w:color w:val="000000" w:themeColor="text1"/>
          <w:kern w:val="2"/>
          <w:szCs w:val="24"/>
          <w:highlight w:val="none"/>
          <w14:textFill>
            <w14:solidFill>
              <w14:schemeClr w14:val="tx1"/>
            </w14:solidFill>
          </w14:textFill>
        </w:rPr>
        <w:t>固井作业、下套管、起下钻具、钻机气路控制系统操作时快速放气阀放气、跳钻时吊环与水龙头的撞击等所产生的</w:t>
      </w:r>
      <w:r>
        <w:rPr>
          <w:rFonts w:hint="eastAsia"/>
          <w:color w:val="000000" w:themeColor="text1"/>
          <w:kern w:val="2"/>
          <w:szCs w:val="24"/>
          <w:highlight w:val="none"/>
          <w14:textFill>
            <w14:solidFill>
              <w14:schemeClr w14:val="tx1"/>
            </w14:solidFill>
          </w14:textFill>
        </w:rPr>
        <w:t>其他</w:t>
      </w:r>
      <w:r>
        <w:rPr>
          <w:color w:val="000000" w:themeColor="text1"/>
          <w:kern w:val="2"/>
          <w:szCs w:val="24"/>
          <w:highlight w:val="none"/>
          <w14:textFill>
            <w14:solidFill>
              <w14:schemeClr w14:val="tx1"/>
            </w14:solidFill>
          </w14:textFill>
        </w:rPr>
        <w:t>噪声</w:t>
      </w:r>
      <w:r>
        <w:rPr>
          <w:rFonts w:hint="eastAsia"/>
          <w:color w:val="000000" w:themeColor="text1"/>
          <w:kern w:val="2"/>
          <w:szCs w:val="24"/>
          <w:highlight w:val="none"/>
          <w14:textFill>
            <w14:solidFill>
              <w14:schemeClr w14:val="tx1"/>
            </w14:solidFill>
          </w14:textFill>
        </w:rPr>
        <w:t>影响；钻遇</w:t>
      </w:r>
      <w:r>
        <w:rPr>
          <w:color w:val="000000" w:themeColor="text1"/>
          <w:kern w:val="2"/>
          <w:szCs w:val="24"/>
          <w:highlight w:val="none"/>
          <w14:textFill>
            <w14:solidFill>
              <w14:schemeClr w14:val="tx1"/>
            </w14:solidFill>
          </w14:textFill>
        </w:rPr>
        <w:t>地层异常高压</w:t>
      </w:r>
      <w:r>
        <w:rPr>
          <w:rFonts w:hint="eastAsia"/>
          <w:color w:val="000000" w:themeColor="text1"/>
          <w:kern w:val="2"/>
          <w:szCs w:val="24"/>
          <w:highlight w:val="none"/>
          <w14:textFill>
            <w14:solidFill>
              <w14:schemeClr w14:val="tx1"/>
            </w14:solidFill>
          </w14:textFill>
        </w:rPr>
        <w:t>时可能进行的事故放喷时产生的</w:t>
      </w:r>
      <w:r>
        <w:rPr>
          <w:color w:val="000000" w:themeColor="text1"/>
          <w:kern w:val="2"/>
          <w:szCs w:val="24"/>
          <w:highlight w:val="none"/>
          <w14:textFill>
            <w14:solidFill>
              <w14:schemeClr w14:val="tx1"/>
            </w14:solidFill>
          </w14:textFill>
        </w:rPr>
        <w:t>高压气流噪声</w:t>
      </w:r>
      <w:r>
        <w:rPr>
          <w:rFonts w:hint="eastAsia"/>
          <w:color w:val="000000" w:themeColor="text1"/>
          <w:kern w:val="2"/>
          <w:szCs w:val="24"/>
          <w:highlight w:val="none"/>
          <w14:textFill>
            <w14:solidFill>
              <w14:schemeClr w14:val="tx1"/>
            </w14:solidFill>
          </w14:textFill>
        </w:rPr>
        <w:t>影响；</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储层改造工程：测试放喷</w:t>
      </w:r>
      <w:r>
        <w:rPr>
          <w:color w:val="000000" w:themeColor="text1"/>
          <w:kern w:val="2"/>
          <w:szCs w:val="24"/>
          <w:highlight w:val="none"/>
          <w14:textFill>
            <w14:solidFill>
              <w14:schemeClr w14:val="tx1"/>
            </w14:solidFill>
          </w14:textFill>
        </w:rPr>
        <w:t>时产生的高压气流噪声</w:t>
      </w:r>
      <w:r>
        <w:rPr>
          <w:rFonts w:hint="eastAsia"/>
          <w:color w:val="000000" w:themeColor="text1"/>
          <w:kern w:val="2"/>
          <w:szCs w:val="24"/>
          <w:highlight w:val="none"/>
          <w14:textFill>
            <w14:solidFill>
              <w14:schemeClr w14:val="tx1"/>
            </w14:solidFill>
          </w14:textFill>
        </w:rPr>
        <w:t>。</w:t>
      </w:r>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（2）试采期</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试采工程：各类站场设备</w:t>
      </w:r>
      <w:r>
        <w:rPr>
          <w:rFonts w:cs="Times New Roman"/>
          <w:color w:val="000000" w:themeColor="text1"/>
          <w:szCs w:val="24"/>
          <w:highlight w:val="none"/>
          <w14:textFill>
            <w14:solidFill>
              <w14:schemeClr w14:val="tx1"/>
            </w14:solidFill>
          </w14:textFill>
        </w:rPr>
        <w:t>产生的气流</w:t>
      </w:r>
      <w:r>
        <w:rPr>
          <w:rFonts w:hint="eastAsia" w:cs="Times New Roman"/>
          <w:color w:val="000000" w:themeColor="text1"/>
          <w:szCs w:val="24"/>
          <w:highlight w:val="none"/>
          <w14:textFill>
            <w14:solidFill>
              <w14:schemeClr w14:val="tx1"/>
            </w14:solidFill>
          </w14:textFill>
        </w:rPr>
        <w:t>摩擦</w:t>
      </w:r>
      <w:r>
        <w:rPr>
          <w:rFonts w:cs="Times New Roman"/>
          <w:color w:val="000000" w:themeColor="text1"/>
          <w:szCs w:val="24"/>
          <w:highlight w:val="none"/>
          <w14:textFill>
            <w14:solidFill>
              <w14:schemeClr w14:val="tx1"/>
            </w14:solidFill>
          </w14:textFill>
        </w:rPr>
        <w:t>噪声</w:t>
      </w:r>
      <w:r>
        <w:rPr>
          <w:rFonts w:hint="eastAsia" w:cs="Times New Roman"/>
          <w:color w:val="000000" w:themeColor="text1"/>
          <w:szCs w:val="24"/>
          <w:highlight w:val="none"/>
          <w14:textFill>
            <w14:solidFill>
              <w14:schemeClr w14:val="tx1"/>
            </w14:solidFill>
          </w14:textFill>
        </w:rPr>
        <w:t>影响及</w:t>
      </w:r>
      <w:r>
        <w:rPr>
          <w:rFonts w:cs="Times New Roman"/>
          <w:color w:val="000000" w:themeColor="text1"/>
          <w:szCs w:val="24"/>
          <w:highlight w:val="none"/>
          <w14:textFill>
            <w14:solidFill>
              <w14:schemeClr w14:val="tx1"/>
            </w14:solidFill>
          </w14:textFill>
        </w:rPr>
        <w:t>非正常工况下的放空</w:t>
      </w:r>
      <w:r>
        <w:rPr>
          <w:rFonts w:hint="eastAsia" w:cs="Times New Roman"/>
          <w:color w:val="000000" w:themeColor="text1"/>
          <w:szCs w:val="24"/>
          <w:highlight w:val="none"/>
          <w14:textFill>
            <w14:solidFill>
              <w14:schemeClr w14:val="tx1"/>
            </w14:solidFill>
          </w14:textFill>
        </w:rPr>
        <w:t>噪声。</w:t>
      </w:r>
    </w:p>
    <w:p>
      <w:pPr>
        <w:pStyle w:val="252"/>
        <w:adjustRightInd w:val="0"/>
        <w:snapToGrid w:val="0"/>
        <w:ind w:firstLine="480"/>
        <w:rPr>
          <w:rFonts w:eastAsia="黑体"/>
          <w:bCs/>
          <w:color w:val="000000" w:themeColor="text1"/>
          <w:highlight w:val="none"/>
          <w14:textFill>
            <w14:solidFill>
              <w14:schemeClr w14:val="tx1"/>
            </w14:solidFill>
          </w14:textFill>
        </w:rPr>
      </w:pPr>
      <w:r>
        <w:rPr>
          <w:rFonts w:eastAsia="黑体"/>
          <w:bCs/>
          <w:color w:val="000000" w:themeColor="text1"/>
          <w:highlight w:val="none"/>
          <w14:textFill>
            <w14:solidFill>
              <w14:schemeClr w14:val="tx1"/>
            </w14:solidFill>
          </w14:textFill>
        </w:rPr>
        <w:t>6、固体废物环境影响</w:t>
      </w:r>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（1）施工期</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钻前工程：</w:t>
      </w:r>
      <w:r>
        <w:rPr>
          <w:color w:val="000000" w:themeColor="text1"/>
          <w:kern w:val="2"/>
          <w:szCs w:val="24"/>
          <w:highlight w:val="none"/>
          <w14:textFill>
            <w14:solidFill>
              <w14:schemeClr w14:val="tx1"/>
            </w14:solidFill>
          </w14:textFill>
        </w:rPr>
        <w:t>弃土石方、生活垃圾</w:t>
      </w:r>
      <w:r>
        <w:rPr>
          <w:rFonts w:hint="eastAsia"/>
          <w:color w:val="000000" w:themeColor="text1"/>
          <w:kern w:val="2"/>
          <w:szCs w:val="24"/>
          <w:highlight w:val="none"/>
          <w14:textFill>
            <w14:solidFill>
              <w14:schemeClr w14:val="tx1"/>
            </w14:solidFill>
          </w14:textFill>
        </w:rPr>
        <w:t>、建筑垃圾等；</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钻井工程：</w:t>
      </w:r>
      <w:r>
        <w:rPr>
          <w:color w:val="000000" w:themeColor="text1"/>
          <w:kern w:val="2"/>
          <w:szCs w:val="24"/>
          <w:highlight w:val="none"/>
          <w14:textFill>
            <w14:solidFill>
              <w14:schemeClr w14:val="tx1"/>
            </w14:solidFill>
          </w14:textFill>
        </w:rPr>
        <w:t>水基钻井固废</w:t>
      </w:r>
      <w:r>
        <w:rPr>
          <w:rFonts w:hint="eastAsia"/>
          <w:color w:val="000000" w:themeColor="text1"/>
          <w:kern w:val="2"/>
          <w:szCs w:val="24"/>
          <w:highlight w:val="none"/>
          <w14:textFill>
            <w14:solidFill>
              <w14:schemeClr w14:val="tx1"/>
            </w14:solidFill>
          </w14:textFill>
        </w:rPr>
        <w:t>（废水基岩屑、废水基泥浆等）、油基钻井固废（若钻遇复杂地层时，废油基岩屑、废油基泥浆等）、废油及其他含油废物、废包装材料、生活垃圾等；</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储层改造工程：废包装材料、生活垃圾等。</w:t>
      </w:r>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（2）试采期</w:t>
      </w:r>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试采工程</w:t>
      </w:r>
      <w:r>
        <w:rPr>
          <w:rFonts w:hint="eastAsia"/>
          <w:color w:val="000000" w:themeColor="text1"/>
          <w:kern w:val="2"/>
          <w:szCs w:val="24"/>
          <w:highlight w:val="none"/>
          <w14:textFill>
            <w14:solidFill>
              <w14:schemeClr w14:val="tx1"/>
            </w14:solidFill>
          </w14:textFill>
        </w:rPr>
        <w:t>：</w:t>
      </w: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大湾408-3井场试采期不新增劳动定员</w:t>
      </w:r>
      <w:r>
        <w:rPr>
          <w:color w:val="000000" w:themeColor="text1"/>
          <w:highlight w:val="none"/>
          <w14:textFill>
            <w14:solidFill>
              <w14:schemeClr w14:val="tx1"/>
            </w14:solidFill>
          </w14:textFill>
        </w:rPr>
        <w:t>，无</w:t>
      </w:r>
      <w:r>
        <w:rPr>
          <w:rFonts w:hint="eastAsia"/>
          <w:color w:val="000000" w:themeColor="text1"/>
          <w:highlight w:val="none"/>
          <w14:textFill>
            <w14:solidFill>
              <w14:schemeClr w14:val="tx1"/>
            </w14:solidFill>
          </w14:textFill>
        </w:rPr>
        <w:t>新增</w:t>
      </w:r>
      <w:r>
        <w:rPr>
          <w:color w:val="000000" w:themeColor="text1"/>
          <w:highlight w:val="none"/>
          <w14:textFill>
            <w14:solidFill>
              <w14:schemeClr w14:val="tx1"/>
            </w14:solidFill>
          </w14:textFill>
        </w:rPr>
        <w:t>生活垃圾产生。</w:t>
      </w:r>
    </w:p>
    <w:p>
      <w:pPr>
        <w:pStyle w:val="252"/>
        <w:adjustRightInd w:val="0"/>
        <w:snapToGrid w:val="0"/>
        <w:ind w:firstLine="480"/>
        <w:rPr>
          <w:rFonts w:eastAsia="黑体"/>
          <w:bCs/>
          <w:color w:val="000000" w:themeColor="text1"/>
          <w:highlight w:val="none"/>
          <w14:textFill>
            <w14:solidFill>
              <w14:schemeClr w14:val="tx1"/>
            </w14:solidFill>
          </w14:textFill>
        </w:rPr>
      </w:pPr>
      <w:r>
        <w:rPr>
          <w:rFonts w:eastAsia="黑体"/>
          <w:bCs/>
          <w:color w:val="000000" w:themeColor="text1"/>
          <w:highlight w:val="none"/>
          <w14:textFill>
            <w14:solidFill>
              <w14:schemeClr w14:val="tx1"/>
            </w14:solidFill>
          </w14:textFill>
        </w:rPr>
        <w:t>7、土壤环境影响</w:t>
      </w:r>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（1）施工期</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钻前工程：</w:t>
      </w:r>
      <w:r>
        <w:rPr>
          <w:color w:val="000000" w:themeColor="text1"/>
          <w:kern w:val="2"/>
          <w:szCs w:val="24"/>
          <w:highlight w:val="none"/>
          <w14:textFill>
            <w14:solidFill>
              <w14:schemeClr w14:val="tx1"/>
            </w14:solidFill>
          </w14:textFill>
        </w:rPr>
        <w:t>钻前工程等造成的土壤扰动</w:t>
      </w:r>
      <w:r>
        <w:rPr>
          <w:rFonts w:hint="eastAsia"/>
          <w:color w:val="000000" w:themeColor="text1"/>
          <w:kern w:val="2"/>
          <w:szCs w:val="24"/>
          <w:highlight w:val="none"/>
          <w14:textFill>
            <w14:solidFill>
              <w14:schemeClr w14:val="tx1"/>
            </w14:solidFill>
          </w14:textFill>
        </w:rPr>
        <w:t>；</w:t>
      </w:r>
      <w:r>
        <w:rPr>
          <w:color w:val="000000" w:themeColor="text1"/>
          <w:kern w:val="2"/>
          <w:szCs w:val="24"/>
          <w:highlight w:val="none"/>
          <w14:textFill>
            <w14:solidFill>
              <w14:schemeClr w14:val="tx1"/>
            </w14:solidFill>
          </w14:textFill>
        </w:rPr>
        <w:t>施工机械等</w:t>
      </w:r>
      <w:r>
        <w:rPr>
          <w:rFonts w:hint="eastAsia"/>
          <w:color w:val="000000" w:themeColor="text1"/>
          <w:kern w:val="2"/>
          <w:szCs w:val="24"/>
          <w:highlight w:val="none"/>
          <w14:textFill>
            <w14:solidFill>
              <w14:schemeClr w14:val="tx1"/>
            </w14:solidFill>
          </w14:textFill>
        </w:rPr>
        <w:t>燃烧废气，通过</w:t>
      </w:r>
      <w:r>
        <w:rPr>
          <w:color w:val="000000" w:themeColor="text1"/>
          <w:kern w:val="2"/>
          <w:szCs w:val="24"/>
          <w:highlight w:val="none"/>
          <w14:textFill>
            <w14:solidFill>
              <w14:schemeClr w14:val="tx1"/>
            </w14:solidFill>
          </w14:textFill>
        </w:rPr>
        <w:t>降雨或沉降进入土壤，从而引起土壤污染</w:t>
      </w:r>
      <w:r>
        <w:rPr>
          <w:rFonts w:hint="eastAsia"/>
          <w:color w:val="000000" w:themeColor="text1"/>
          <w:kern w:val="2"/>
          <w:szCs w:val="24"/>
          <w:highlight w:val="none"/>
          <w14:textFill>
            <w14:solidFill>
              <w14:schemeClr w14:val="tx1"/>
            </w14:solidFill>
          </w14:textFill>
        </w:rPr>
        <w:t>；</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钻井工程：</w:t>
      </w:r>
      <w:r>
        <w:rPr>
          <w:color w:val="000000" w:themeColor="text1"/>
          <w:kern w:val="2"/>
          <w:szCs w:val="24"/>
          <w:highlight w:val="none"/>
          <w14:textFill>
            <w14:solidFill>
              <w14:schemeClr w14:val="tx1"/>
            </w14:solidFill>
          </w14:textFill>
        </w:rPr>
        <w:t>施工机械燃烧废气、钻遇异常高压时的事故放喷废气等通过降雨或沉降进入土壤，从而引起土壤污染</w:t>
      </w:r>
      <w:r>
        <w:rPr>
          <w:rFonts w:hint="eastAsia"/>
          <w:color w:val="000000" w:themeColor="text1"/>
          <w:kern w:val="2"/>
          <w:szCs w:val="24"/>
          <w:highlight w:val="none"/>
          <w14:textFill>
            <w14:solidFill>
              <w14:schemeClr w14:val="tx1"/>
            </w14:solidFill>
          </w14:textFill>
        </w:rPr>
        <w:t>；</w:t>
      </w:r>
      <w:r>
        <w:rPr>
          <w:color w:val="000000" w:themeColor="text1"/>
          <w:kern w:val="2"/>
          <w:szCs w:val="24"/>
          <w:highlight w:val="none"/>
          <w14:textFill>
            <w14:solidFill>
              <w14:schemeClr w14:val="tx1"/>
            </w14:solidFill>
          </w14:textFill>
        </w:rPr>
        <w:t>泥浆不落地装置区及泥浆循环系统、泥浆料台区、储备罐区、油罐区、柴油机组区、放喷池等区域，在事故情况和降雨情况下产生的废水</w:t>
      </w:r>
      <w:r>
        <w:rPr>
          <w:rFonts w:hint="eastAsia"/>
          <w:color w:val="000000" w:themeColor="text1"/>
          <w:kern w:val="2"/>
          <w:szCs w:val="24"/>
          <w:highlight w:val="none"/>
          <w14:textFill>
            <w14:solidFill>
              <w14:schemeClr w14:val="tx1"/>
            </w14:solidFill>
          </w14:textFill>
        </w:rPr>
        <w:t>及油类物质</w:t>
      </w:r>
      <w:r>
        <w:rPr>
          <w:color w:val="000000" w:themeColor="text1"/>
          <w:kern w:val="2"/>
          <w:szCs w:val="24"/>
          <w:highlight w:val="none"/>
          <w14:textFill>
            <w14:solidFill>
              <w14:schemeClr w14:val="tx1"/>
            </w14:solidFill>
          </w14:textFill>
        </w:rPr>
        <w:t>会发生地面漫流，</w:t>
      </w:r>
      <w:r>
        <w:rPr>
          <w:rFonts w:hint="eastAsia"/>
          <w:color w:val="000000" w:themeColor="text1"/>
          <w:kern w:val="2"/>
          <w:szCs w:val="24"/>
          <w:highlight w:val="none"/>
          <w14:textFill>
            <w14:solidFill>
              <w14:schemeClr w14:val="tx1"/>
            </w14:solidFill>
          </w14:textFill>
        </w:rPr>
        <w:t>对</w:t>
      </w:r>
      <w:r>
        <w:rPr>
          <w:color w:val="000000" w:themeColor="text1"/>
          <w:kern w:val="2"/>
          <w:szCs w:val="24"/>
          <w:highlight w:val="none"/>
          <w14:textFill>
            <w14:solidFill>
              <w14:schemeClr w14:val="tx1"/>
            </w14:solidFill>
          </w14:textFill>
        </w:rPr>
        <w:t>土壤</w:t>
      </w:r>
      <w:r>
        <w:rPr>
          <w:rFonts w:hint="eastAsia"/>
          <w:color w:val="000000" w:themeColor="text1"/>
          <w:kern w:val="2"/>
          <w:szCs w:val="24"/>
          <w:highlight w:val="none"/>
          <w14:textFill>
            <w14:solidFill>
              <w14:schemeClr w14:val="tx1"/>
            </w14:solidFill>
          </w14:textFill>
        </w:rPr>
        <w:t>造成污染；</w:t>
      </w:r>
      <w:r>
        <w:rPr>
          <w:color w:val="000000" w:themeColor="text1"/>
          <w:kern w:val="2"/>
          <w:szCs w:val="24"/>
          <w:highlight w:val="none"/>
          <w14:textFill>
            <w14:solidFill>
              <w14:schemeClr w14:val="tx1"/>
            </w14:solidFill>
          </w14:textFill>
        </w:rPr>
        <w:t>对于泥浆不落地装置区及泥浆循环系统、泥浆料台区、储备罐区、油罐区、放喷池、方井周边、钻井固废暂存区、发电机房、柴油机组区等区域，在事故情况下会造成污染物的泄露，通过垂直入渗途径污染土壤</w:t>
      </w:r>
      <w:r>
        <w:rPr>
          <w:rFonts w:hint="eastAsia"/>
          <w:color w:val="000000" w:themeColor="text1"/>
          <w:kern w:val="2"/>
          <w:szCs w:val="24"/>
          <w:highlight w:val="none"/>
          <w14:textFill>
            <w14:solidFill>
              <w14:schemeClr w14:val="tx1"/>
            </w14:solidFill>
          </w14:textFill>
        </w:rPr>
        <w:t>；</w:t>
      </w:r>
    </w:p>
    <w:p>
      <w:pPr>
        <w:pStyle w:val="252"/>
        <w:adjustRightInd w:val="0"/>
        <w:snapToGrid w:val="0"/>
        <w:ind w:firstLine="480"/>
        <w:rPr>
          <w:color w:val="000000" w:themeColor="text1"/>
          <w:kern w:val="2"/>
          <w:szCs w:val="24"/>
          <w:highlight w:val="none"/>
          <w14:textFill>
            <w14:solidFill>
              <w14:schemeClr w14:val="tx1"/>
            </w14:solidFill>
          </w14:textFill>
        </w:rPr>
      </w:pPr>
      <w:r>
        <w:rPr>
          <w:rFonts w:hint="eastAsia"/>
          <w:color w:val="000000" w:themeColor="text1"/>
          <w:kern w:val="2"/>
          <w:szCs w:val="24"/>
          <w:highlight w:val="none"/>
          <w14:textFill>
            <w14:solidFill>
              <w14:schemeClr w14:val="tx1"/>
            </w14:solidFill>
          </w14:textFill>
        </w:rPr>
        <w:t>储层改造工程：</w:t>
      </w:r>
      <w:r>
        <w:rPr>
          <w:bCs/>
          <w:color w:val="000000" w:themeColor="text1"/>
          <w:szCs w:val="24"/>
          <w:highlight w:val="none"/>
          <w14:textFill>
            <w14:solidFill>
              <w14:schemeClr w14:val="tx1"/>
            </w14:solidFill>
          </w14:textFill>
        </w:rPr>
        <w:t>施工机械燃烧废气</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测试放喷废气等通过降雨或沉降进入土壤，从而引起土壤污染</w:t>
      </w:r>
      <w:r>
        <w:rPr>
          <w:rFonts w:hint="eastAsia"/>
          <w:color w:val="000000" w:themeColor="text1"/>
          <w:kern w:val="2"/>
          <w:szCs w:val="24"/>
          <w:highlight w:val="none"/>
          <w14:textFill>
            <w14:solidFill>
              <w14:schemeClr w14:val="tx1"/>
            </w14:solidFill>
          </w14:textFill>
        </w:rPr>
        <w:t>。</w:t>
      </w:r>
    </w:p>
    <w:p>
      <w:pPr>
        <w:pStyle w:val="252"/>
        <w:adjustRightInd w:val="0"/>
        <w:snapToGrid w:val="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（2）试采期</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试采工程：试采站内外管道破裂出现泄漏时，天然气将通过包气带土壤孔隙逸出进入大气，不会对土壤环境产生影响，天然气中所含少量的采出水为液态，如果发生上述泄漏，管道监测系统会立即切断并停止输气，所泄漏的采出水含量较少，发生泄漏事故后建设单位会立即对泄漏点进行检修，若发现泄漏点有少量采出水泄漏会立即对泄漏点的土壤进行换填处理，管线天然气泄漏难以对土壤环境造成影响。</w:t>
      </w:r>
    </w:p>
    <w:p>
      <w:pPr>
        <w:pStyle w:val="252"/>
        <w:adjustRightInd w:val="0"/>
        <w:snapToGrid w:val="0"/>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8、环境风险</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本项目环境风险重点关注危险物质（</w:t>
      </w:r>
      <w:r>
        <w:rPr>
          <w:rFonts w:cs="Times New Roman"/>
          <w:color w:val="000000" w:themeColor="text1"/>
          <w:szCs w:val="24"/>
          <w:highlight w:val="none"/>
          <w14:textFill>
            <w14:solidFill>
              <w14:schemeClr w14:val="tx1"/>
            </w14:solidFill>
          </w14:textFill>
        </w:rPr>
        <w:t>天然气</w:t>
      </w:r>
      <w:r>
        <w:rPr>
          <w:rFonts w:hint="eastAsia" w:cs="Times New Roman"/>
          <w:color w:val="000000" w:themeColor="text1"/>
          <w:szCs w:val="24"/>
          <w:highlight w:val="none"/>
          <w14:textFill>
            <w14:solidFill>
              <w14:schemeClr w14:val="tx1"/>
            </w14:solidFill>
          </w14:textFill>
        </w:rPr>
        <w:t>、油基钻井固废、柴油</w:t>
      </w:r>
      <w:r>
        <w:rPr>
          <w:rFonts w:cs="Times New Roman"/>
          <w:color w:val="000000" w:themeColor="text1"/>
          <w:szCs w:val="24"/>
          <w:highlight w:val="none"/>
          <w14:textFill>
            <w14:solidFill>
              <w14:schemeClr w14:val="tx1"/>
            </w14:solidFill>
          </w14:textFill>
        </w:rPr>
        <w:t>等</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泄漏，以及火灾、爆炸、井喷等安全生产风险事故引发的伴生/次生污染物对环境的影响</w:t>
      </w:r>
      <w:r>
        <w:rPr>
          <w:rFonts w:hint="eastAsia" w:cs="Times New Roman"/>
          <w:color w:val="000000" w:themeColor="text1"/>
          <w:szCs w:val="24"/>
          <w:highlight w:val="none"/>
          <w14:textFill>
            <w14:solidFill>
              <w14:schemeClr w14:val="tx1"/>
            </w14:solidFill>
          </w14:textFill>
        </w:rPr>
        <w:t>。</w:t>
      </w:r>
    </w:p>
    <w:p>
      <w:pPr>
        <w:pStyle w:val="252"/>
        <w:adjustRightInd w:val="0"/>
        <w:snapToGrid w:val="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根据环境影响矩阵表，分析环境影响因子的影响类型和影响程度，其结果见</w:t>
      </w:r>
      <w:r>
        <w:rPr>
          <w:rFonts w:hint="eastAsia"/>
          <w:color w:val="000000" w:themeColor="text1"/>
          <w:highlight w:val="none"/>
          <w14:textFill>
            <w14:solidFill>
              <w14:schemeClr w14:val="tx1"/>
            </w14:solidFill>
          </w14:textFill>
        </w:rPr>
        <w:t>下</w:t>
      </w:r>
      <w:r>
        <w:rPr>
          <w:color w:val="000000" w:themeColor="text1"/>
          <w:highlight w:val="none"/>
          <w14:textFill>
            <w14:solidFill>
              <w14:schemeClr w14:val="tx1"/>
            </w14:solidFill>
          </w14:textFill>
        </w:rPr>
        <w:t>。</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环境影响要素矩阵</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5"/>
        <w:gridCol w:w="1330"/>
        <w:gridCol w:w="533"/>
        <w:gridCol w:w="534"/>
        <w:gridCol w:w="534"/>
        <w:gridCol w:w="533"/>
        <w:gridCol w:w="534"/>
        <w:gridCol w:w="534"/>
        <w:gridCol w:w="533"/>
        <w:gridCol w:w="465"/>
        <w:gridCol w:w="69"/>
        <w:gridCol w:w="534"/>
        <w:gridCol w:w="533"/>
        <w:gridCol w:w="534"/>
        <w:gridCol w:w="5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类别</w:t>
            </w:r>
          </w:p>
        </w:tc>
        <w:tc>
          <w:tcPr>
            <w:tcW w:w="809" w:type="pct"/>
            <w:vMerge w:val="restar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环境因子</w:t>
            </w:r>
          </w:p>
        </w:tc>
        <w:tc>
          <w:tcPr>
            <w:tcW w:w="1298" w:type="pct"/>
            <w:gridSpan w:val="4"/>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工程施工</w:t>
            </w:r>
          </w:p>
        </w:tc>
        <w:tc>
          <w:tcPr>
            <w:tcW w:w="1257" w:type="pct"/>
            <w:gridSpan w:val="4"/>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正常运行</w:t>
            </w:r>
          </w:p>
        </w:tc>
        <w:tc>
          <w:tcPr>
            <w:tcW w:w="1341" w:type="pct"/>
            <w:gridSpan w:val="5"/>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非正常工况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7"/>
              <w:rPr>
                <w:b/>
                <w:bCs/>
                <w:color w:val="000000" w:themeColor="text1"/>
                <w:szCs w:val="21"/>
                <w:highlight w:val="none"/>
                <w14:textFill>
                  <w14:solidFill>
                    <w14:schemeClr w14:val="tx1"/>
                  </w14:solidFill>
                </w14:textFill>
              </w:rPr>
            </w:pPr>
          </w:p>
        </w:tc>
        <w:tc>
          <w:tcPr>
            <w:tcW w:w="809" w:type="pct"/>
            <w:vMerge w:val="continue"/>
            <w:vAlign w:val="center"/>
          </w:tcPr>
          <w:p>
            <w:pPr>
              <w:pStyle w:val="297"/>
              <w:rPr>
                <w:b/>
                <w:bCs/>
                <w:color w:val="000000" w:themeColor="text1"/>
                <w:szCs w:val="21"/>
                <w:highlight w:val="none"/>
                <w14:textFill>
                  <w14:solidFill>
                    <w14:schemeClr w14:val="tx1"/>
                  </w14:solidFill>
                </w14:textFill>
              </w:rPr>
            </w:pPr>
          </w:p>
        </w:tc>
        <w:tc>
          <w:tcPr>
            <w:tcW w:w="324"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有利</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tc>
        <w:tc>
          <w:tcPr>
            <w:tcW w:w="325"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不利</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tc>
        <w:tc>
          <w:tcPr>
            <w:tcW w:w="325"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较大</w:t>
            </w:r>
          </w:p>
        </w:tc>
        <w:tc>
          <w:tcPr>
            <w:tcW w:w="324"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较轻</w:t>
            </w:r>
          </w:p>
        </w:tc>
        <w:tc>
          <w:tcPr>
            <w:tcW w:w="325"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有利</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tc>
        <w:tc>
          <w:tcPr>
            <w:tcW w:w="325"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不利</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tc>
        <w:tc>
          <w:tcPr>
            <w:tcW w:w="324"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较大</w:t>
            </w:r>
          </w:p>
        </w:tc>
        <w:tc>
          <w:tcPr>
            <w:tcW w:w="325" w:type="pct"/>
            <w:gridSpan w:val="2"/>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较轻</w:t>
            </w:r>
          </w:p>
        </w:tc>
        <w:tc>
          <w:tcPr>
            <w:tcW w:w="325"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有利</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tc>
        <w:tc>
          <w:tcPr>
            <w:tcW w:w="324"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不利</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tc>
        <w:tc>
          <w:tcPr>
            <w:tcW w:w="325"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较大</w:t>
            </w:r>
          </w:p>
        </w:tc>
        <w:tc>
          <w:tcPr>
            <w:tcW w:w="325"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影响</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较轻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环境质量</w:t>
            </w: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地表水</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7"/>
              <w:rPr>
                <w:color w:val="000000" w:themeColor="text1"/>
                <w:szCs w:val="21"/>
                <w:highlight w:val="none"/>
                <w14:textFill>
                  <w14:solidFill>
                    <w14:schemeClr w14:val="tx1"/>
                  </w14:solidFill>
                </w14:textFill>
              </w:rPr>
            </w:pP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环境空气</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7"/>
              <w:rPr>
                <w:color w:val="000000" w:themeColor="text1"/>
                <w:szCs w:val="21"/>
                <w:highlight w:val="none"/>
                <w14:textFill>
                  <w14:solidFill>
                    <w14:schemeClr w14:val="tx1"/>
                  </w14:solidFill>
                </w14:textFill>
              </w:rPr>
            </w:pP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声环境</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restar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自然生态环境</w:t>
            </w: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地形地貌</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7"/>
              <w:rPr>
                <w:color w:val="000000" w:themeColor="text1"/>
                <w:szCs w:val="21"/>
                <w:highlight w:val="none"/>
                <w14:textFill>
                  <w14:solidFill>
                    <w14:schemeClr w14:val="tx1"/>
                  </w14:solidFill>
                </w14:textFill>
              </w:rPr>
            </w:pP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生态环境</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7"/>
              <w:rPr>
                <w:color w:val="000000" w:themeColor="text1"/>
                <w:szCs w:val="21"/>
                <w:highlight w:val="none"/>
                <w14:textFill>
                  <w14:solidFill>
                    <w14:schemeClr w14:val="tx1"/>
                  </w14:solidFill>
                </w14:textFill>
              </w:rPr>
            </w:pP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土壤</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7"/>
              <w:rPr>
                <w:color w:val="000000" w:themeColor="text1"/>
                <w:szCs w:val="21"/>
                <w:highlight w:val="none"/>
                <w14:textFill>
                  <w14:solidFill>
                    <w14:schemeClr w14:val="tx1"/>
                  </w14:solidFill>
                </w14:textFill>
              </w:rPr>
            </w:pP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植被</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7"/>
              <w:rPr>
                <w:color w:val="000000" w:themeColor="text1"/>
                <w:szCs w:val="21"/>
                <w:highlight w:val="none"/>
                <w14:textFill>
                  <w14:solidFill>
                    <w14:schemeClr w14:val="tx1"/>
                  </w14:solidFill>
                </w14:textFill>
              </w:rPr>
            </w:pP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水土流失</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7"/>
              <w:rPr>
                <w:color w:val="000000" w:themeColor="text1"/>
                <w:szCs w:val="21"/>
                <w:highlight w:val="none"/>
                <w14:textFill>
                  <w14:solidFill>
                    <w14:schemeClr w14:val="tx1"/>
                  </w14:solidFill>
                </w14:textFill>
              </w:rPr>
            </w:pP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土地利用</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 w:hRule="atLeast"/>
          <w:jc w:val="center"/>
        </w:trPr>
        <w:tc>
          <w:tcPr>
            <w:tcW w:w="295" w:type="pct"/>
            <w:vMerge w:val="continue"/>
            <w:vAlign w:val="center"/>
          </w:tcPr>
          <w:p>
            <w:pPr>
              <w:pStyle w:val="297"/>
              <w:rPr>
                <w:color w:val="000000" w:themeColor="text1"/>
                <w:szCs w:val="21"/>
                <w:highlight w:val="none"/>
                <w14:textFill>
                  <w14:solidFill>
                    <w14:schemeClr w14:val="tx1"/>
                  </w14:solidFill>
                </w14:textFill>
              </w:rPr>
            </w:pPr>
          </w:p>
        </w:tc>
        <w:tc>
          <w:tcPr>
            <w:tcW w:w="809"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减少温室效应</w:t>
            </w: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gridSpan w:val="2"/>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4"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c>
          <w:tcPr>
            <w:tcW w:w="325" w:type="pct"/>
            <w:vAlign w:val="center"/>
          </w:tcPr>
          <w:p>
            <w:pPr>
              <w:pStyle w:val="297"/>
              <w:rPr>
                <w:color w:val="000000" w:themeColor="text1"/>
                <w:szCs w:val="21"/>
                <w:highlight w:val="none"/>
                <w14:textFill>
                  <w14:solidFill>
                    <w14:schemeClr w14:val="tx1"/>
                  </w14:solidFill>
                </w14:textFill>
              </w:rPr>
            </w:pPr>
          </w:p>
        </w:tc>
      </w:tr>
    </w:tbl>
    <w:p>
      <w:pPr>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w:t>
      </w:r>
      <w:r>
        <w:rPr>
          <w:rFonts w:hint="eastAsia" w:cs="Times New Roman"/>
          <w:color w:val="000000" w:themeColor="text1"/>
          <w:szCs w:val="24"/>
          <w:highlight w:val="none"/>
          <w14:textFill>
            <w14:solidFill>
              <w14:schemeClr w14:val="tx1"/>
            </w14:solidFill>
          </w14:textFill>
        </w:rPr>
        <w:t>上述环境影响识别</w:t>
      </w:r>
      <w:r>
        <w:rPr>
          <w:rFonts w:cs="Times New Roman"/>
          <w:color w:val="000000" w:themeColor="text1"/>
          <w:szCs w:val="24"/>
          <w:highlight w:val="none"/>
          <w14:textFill>
            <w14:solidFill>
              <w14:schemeClr w14:val="tx1"/>
            </w14:solidFill>
          </w14:textFill>
        </w:rPr>
        <w:t>结果可知，就环境影响因子影响而言，拟建工程主要影响为施工建设产生的环境影响及生态影响，同时</w:t>
      </w:r>
      <w:r>
        <w:rPr>
          <w:rFonts w:hint="eastAsia" w:cs="Times New Roman"/>
          <w:color w:val="000000" w:themeColor="text1"/>
          <w:szCs w:val="24"/>
          <w:highlight w:val="none"/>
          <w14:textFill>
            <w14:solidFill>
              <w14:schemeClr w14:val="tx1"/>
            </w14:solidFill>
          </w14:textFill>
        </w:rPr>
        <w:t>试采期</w:t>
      </w:r>
      <w:r>
        <w:rPr>
          <w:rFonts w:cs="Times New Roman"/>
          <w:color w:val="000000" w:themeColor="text1"/>
          <w:szCs w:val="24"/>
          <w:highlight w:val="none"/>
          <w14:textFill>
            <w14:solidFill>
              <w14:schemeClr w14:val="tx1"/>
            </w14:solidFill>
          </w14:textFill>
        </w:rPr>
        <w:t>环境空气影响也是项目环境影响的特点。</w:t>
      </w:r>
    </w:p>
    <w:p>
      <w:pPr>
        <w:pStyle w:val="4"/>
        <w:spacing w:before="0" w:beforeLines="0"/>
        <w:ind w:firstLine="480"/>
        <w:rPr>
          <w:color w:val="000000" w:themeColor="text1"/>
          <w:szCs w:val="24"/>
          <w:highlight w:val="none"/>
          <w:lang w:eastAsia="zh-CN"/>
          <w14:textFill>
            <w14:solidFill>
              <w14:schemeClr w14:val="tx1"/>
            </w14:solidFill>
          </w14:textFill>
        </w:rPr>
      </w:pPr>
      <w:r>
        <w:rPr>
          <w:color w:val="000000" w:themeColor="text1"/>
          <w:szCs w:val="24"/>
          <w:highlight w:val="none"/>
          <w:lang w:eastAsia="zh-CN"/>
          <w14:textFill>
            <w14:solidFill>
              <w14:schemeClr w14:val="tx1"/>
            </w14:solidFill>
          </w14:textFill>
        </w:rPr>
        <w:t>评价因子筛选</w:t>
      </w:r>
    </w:p>
    <w:p>
      <w:pPr>
        <w:pStyle w:val="252"/>
        <w:adjustRightInd w:val="0"/>
        <w:snapToGrid w:val="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根据建设项目特点、环境影响的主要特征和方式，结合区域自然生态环境情况、区域环境功能要求、环境保护目标、评价标准和环境制约因素等，筛选确定项目主要评价因子如下。</w:t>
      </w:r>
    </w:p>
    <w:p>
      <w:pPr>
        <w:pStyle w:val="203"/>
        <w:spacing w:before="163"/>
        <w:rPr>
          <w:color w:val="000000" w:themeColor="text1"/>
          <w:highlight w:val="none"/>
          <w14:textFill>
            <w14:solidFill>
              <w14:schemeClr w14:val="tx1"/>
            </w14:solidFill>
          </w14:textFill>
        </w:rPr>
        <w:sectPr>
          <w:pgSz w:w="11906" w:h="16838"/>
          <w:pgMar w:top="1440" w:right="1800" w:bottom="1440" w:left="1800" w:header="964" w:footer="964" w:gutter="0"/>
          <w:cols w:space="425" w:num="1"/>
          <w:docGrid w:type="lines" w:linePitch="326" w:charSpace="0"/>
        </w:sectPr>
      </w:pP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本项目环境影响评价因子筛选表</w:t>
      </w:r>
    </w:p>
    <w:tbl>
      <w:tblPr>
        <w:tblStyle w:val="55"/>
        <w:tblW w:w="136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375"/>
        <w:gridCol w:w="831"/>
        <w:gridCol w:w="1900"/>
        <w:gridCol w:w="1900"/>
        <w:gridCol w:w="1900"/>
        <w:gridCol w:w="1900"/>
        <w:gridCol w:w="1900"/>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05" w:type="pct"/>
            <w:tcBorders>
              <w:tl2br w:val="single" w:color="auto" w:sz="4" w:space="0"/>
            </w:tcBorders>
            <w:vAlign w:val="center"/>
          </w:tcPr>
          <w:p>
            <w:pPr>
              <w:pStyle w:val="203"/>
              <w:spacing w:before="0" w:beforeLines="0"/>
              <w:jc w:val="right"/>
              <w:rPr>
                <w:rFonts w:eastAsia="宋体"/>
                <w:b/>
                <w:bCs/>
                <w:color w:val="000000" w:themeColor="text1"/>
                <w:highlight w:val="none"/>
                <w14:textFill>
                  <w14:solidFill>
                    <w14:schemeClr w14:val="tx1"/>
                  </w14:solidFill>
                </w14:textFill>
              </w:rPr>
            </w:pPr>
            <w:r>
              <w:rPr>
                <w:rFonts w:hint="eastAsia" w:eastAsia="宋体"/>
                <w:b/>
                <w:bCs/>
                <w:color w:val="000000" w:themeColor="text1"/>
                <w:highlight w:val="none"/>
                <w14:textFill>
                  <w14:solidFill>
                    <w14:schemeClr w14:val="tx1"/>
                  </w14:solidFill>
                </w14:textFill>
              </w:rPr>
              <w:t>环境要素</w:t>
            </w:r>
          </w:p>
          <w:p>
            <w:pPr>
              <w:pStyle w:val="204"/>
              <w:spacing w:before="0" w:after="0" w:line="240" w:lineRule="auto"/>
              <w:ind w:firstLine="0" w:firstLineChars="0"/>
              <w:jc w:val="left"/>
              <w:rPr>
                <w:b/>
                <w:bCs/>
                <w:color w:val="000000" w:themeColor="text1"/>
                <w:kern w:val="2"/>
                <w:sz w:val="21"/>
                <w:szCs w:val="21"/>
                <w:highlight w:val="none"/>
                <w14:textFill>
                  <w14:solidFill>
                    <w14:schemeClr w14:val="tx1"/>
                  </w14:solidFill>
                </w14:textFill>
              </w:rPr>
            </w:pPr>
            <w:r>
              <w:rPr>
                <w:rFonts w:hint="eastAsia"/>
                <w:b/>
                <w:bCs/>
                <w:color w:val="000000" w:themeColor="text1"/>
                <w:kern w:val="2"/>
                <w:sz w:val="21"/>
                <w:szCs w:val="21"/>
                <w:highlight w:val="none"/>
                <w14:textFill>
                  <w14:solidFill>
                    <w14:schemeClr w14:val="tx1"/>
                  </w14:solidFill>
                </w14:textFill>
              </w:rPr>
              <w:t>单项工程</w:t>
            </w:r>
          </w:p>
        </w:tc>
        <w:tc>
          <w:tcPr>
            <w:tcW w:w="305" w:type="pct"/>
            <w:vAlign w:val="center"/>
          </w:tcPr>
          <w:p>
            <w:pPr>
              <w:pStyle w:val="203"/>
              <w:spacing w:before="0" w:beforeLines="0"/>
              <w:rPr>
                <w:rFonts w:eastAsia="宋体"/>
                <w:b/>
                <w:bCs/>
                <w:color w:val="000000" w:themeColor="text1"/>
                <w:highlight w:val="none"/>
                <w14:textFill>
                  <w14:solidFill>
                    <w14:schemeClr w14:val="tx1"/>
                  </w14:solidFill>
                </w14:textFill>
              </w:rPr>
            </w:pPr>
            <w:r>
              <w:rPr>
                <w:rFonts w:hint="eastAsia" w:eastAsia="宋体"/>
                <w:b/>
                <w:bCs/>
                <w:color w:val="000000" w:themeColor="text1"/>
                <w:highlight w:val="none"/>
                <w14:textFill>
                  <w14:solidFill>
                    <w14:schemeClr w14:val="tx1"/>
                  </w14:solidFill>
                </w14:textFill>
              </w:rPr>
              <w:t>时期</w:t>
            </w:r>
          </w:p>
        </w:tc>
        <w:tc>
          <w:tcPr>
            <w:tcW w:w="698" w:type="pct"/>
            <w:vAlign w:val="center"/>
          </w:tcPr>
          <w:p>
            <w:pPr>
              <w:pStyle w:val="203"/>
              <w:spacing w:before="0" w:beforeLines="0"/>
              <w:rPr>
                <w:rFonts w:eastAsia="宋体"/>
                <w:b/>
                <w:bCs/>
                <w:color w:val="000000" w:themeColor="text1"/>
                <w:highlight w:val="none"/>
                <w14:textFill>
                  <w14:solidFill>
                    <w14:schemeClr w14:val="tx1"/>
                  </w14:solidFill>
                </w14:textFill>
              </w:rPr>
            </w:pPr>
            <w:r>
              <w:rPr>
                <w:rFonts w:hint="eastAsia" w:eastAsia="宋体"/>
                <w:b/>
                <w:bCs/>
                <w:color w:val="000000" w:themeColor="text1"/>
                <w:highlight w:val="none"/>
                <w14:textFill>
                  <w14:solidFill>
                    <w14:schemeClr w14:val="tx1"/>
                  </w14:solidFill>
                </w14:textFill>
              </w:rPr>
              <w:t>大气</w:t>
            </w:r>
          </w:p>
        </w:tc>
        <w:tc>
          <w:tcPr>
            <w:tcW w:w="698" w:type="pct"/>
            <w:vAlign w:val="center"/>
          </w:tcPr>
          <w:p>
            <w:pPr>
              <w:pStyle w:val="203"/>
              <w:spacing w:before="0" w:beforeLines="0"/>
              <w:rPr>
                <w:rFonts w:eastAsia="宋体"/>
                <w:b/>
                <w:bCs/>
                <w:color w:val="000000" w:themeColor="text1"/>
                <w:highlight w:val="none"/>
                <w14:textFill>
                  <w14:solidFill>
                    <w14:schemeClr w14:val="tx1"/>
                  </w14:solidFill>
                </w14:textFill>
              </w:rPr>
            </w:pPr>
            <w:r>
              <w:rPr>
                <w:rFonts w:hint="eastAsia" w:eastAsia="宋体"/>
                <w:b/>
                <w:bCs/>
                <w:color w:val="000000" w:themeColor="text1"/>
                <w:highlight w:val="none"/>
                <w14:textFill>
                  <w14:solidFill>
                    <w14:schemeClr w14:val="tx1"/>
                  </w14:solidFill>
                </w14:textFill>
              </w:rPr>
              <w:t>地表水</w:t>
            </w:r>
          </w:p>
        </w:tc>
        <w:tc>
          <w:tcPr>
            <w:tcW w:w="698" w:type="pct"/>
            <w:vAlign w:val="center"/>
          </w:tcPr>
          <w:p>
            <w:pPr>
              <w:pStyle w:val="203"/>
              <w:spacing w:before="0" w:beforeLines="0"/>
              <w:rPr>
                <w:rFonts w:eastAsia="宋体"/>
                <w:b/>
                <w:bCs/>
                <w:color w:val="000000" w:themeColor="text1"/>
                <w:highlight w:val="none"/>
                <w14:textFill>
                  <w14:solidFill>
                    <w14:schemeClr w14:val="tx1"/>
                  </w14:solidFill>
                </w14:textFill>
              </w:rPr>
            </w:pPr>
            <w:r>
              <w:rPr>
                <w:rFonts w:hint="eastAsia" w:eastAsia="宋体"/>
                <w:b/>
                <w:bCs/>
                <w:color w:val="000000" w:themeColor="text1"/>
                <w:highlight w:val="none"/>
                <w14:textFill>
                  <w14:solidFill>
                    <w14:schemeClr w14:val="tx1"/>
                  </w14:solidFill>
                </w14:textFill>
              </w:rPr>
              <w:t>地下水</w:t>
            </w:r>
          </w:p>
        </w:tc>
        <w:tc>
          <w:tcPr>
            <w:tcW w:w="698" w:type="pct"/>
            <w:vAlign w:val="center"/>
          </w:tcPr>
          <w:p>
            <w:pPr>
              <w:pStyle w:val="203"/>
              <w:spacing w:before="0" w:beforeLines="0"/>
              <w:rPr>
                <w:rFonts w:eastAsia="宋体"/>
                <w:b/>
                <w:bCs/>
                <w:color w:val="000000" w:themeColor="text1"/>
                <w:highlight w:val="none"/>
                <w14:textFill>
                  <w14:solidFill>
                    <w14:schemeClr w14:val="tx1"/>
                  </w14:solidFill>
                </w14:textFill>
              </w:rPr>
            </w:pPr>
            <w:r>
              <w:rPr>
                <w:rFonts w:hint="eastAsia" w:eastAsia="宋体"/>
                <w:b/>
                <w:bCs/>
                <w:color w:val="000000" w:themeColor="text1"/>
                <w:highlight w:val="none"/>
                <w14:textFill>
                  <w14:solidFill>
                    <w14:schemeClr w14:val="tx1"/>
                  </w14:solidFill>
                </w14:textFill>
              </w:rPr>
              <w:t>土壤</w:t>
            </w:r>
          </w:p>
        </w:tc>
        <w:tc>
          <w:tcPr>
            <w:tcW w:w="698" w:type="pct"/>
            <w:vAlign w:val="center"/>
          </w:tcPr>
          <w:p>
            <w:pPr>
              <w:pStyle w:val="203"/>
              <w:spacing w:before="0" w:beforeLines="0"/>
              <w:rPr>
                <w:rFonts w:eastAsia="宋体"/>
                <w:b/>
                <w:bCs/>
                <w:color w:val="000000" w:themeColor="text1"/>
                <w:highlight w:val="none"/>
                <w14:textFill>
                  <w14:solidFill>
                    <w14:schemeClr w14:val="tx1"/>
                  </w14:solidFill>
                </w14:textFill>
              </w:rPr>
            </w:pPr>
            <w:r>
              <w:rPr>
                <w:rFonts w:hint="eastAsia" w:eastAsia="宋体"/>
                <w:b/>
                <w:bCs/>
                <w:color w:val="000000" w:themeColor="text1"/>
                <w:highlight w:val="none"/>
                <w14:textFill>
                  <w14:solidFill>
                    <w14:schemeClr w14:val="tx1"/>
                  </w14:solidFill>
                </w14:textFill>
              </w:rPr>
              <w:t>生态</w:t>
            </w:r>
          </w:p>
        </w:tc>
        <w:tc>
          <w:tcPr>
            <w:tcW w:w="698" w:type="pct"/>
            <w:vAlign w:val="center"/>
          </w:tcPr>
          <w:p>
            <w:pPr>
              <w:pStyle w:val="203"/>
              <w:spacing w:before="0" w:beforeLines="0"/>
              <w:rPr>
                <w:rFonts w:eastAsia="宋体"/>
                <w:b/>
                <w:bCs/>
                <w:color w:val="000000" w:themeColor="text1"/>
                <w:highlight w:val="none"/>
                <w14:textFill>
                  <w14:solidFill>
                    <w14:schemeClr w14:val="tx1"/>
                  </w14:solidFill>
                </w14:textFill>
              </w:rPr>
            </w:pPr>
            <w:r>
              <w:rPr>
                <w:rFonts w:hint="eastAsia" w:eastAsia="宋体"/>
                <w:b/>
                <w:bCs/>
                <w:color w:val="000000" w:themeColor="text1"/>
                <w:highlight w:val="none"/>
                <w14:textFill>
                  <w14:solidFill>
                    <w14:schemeClr w14:val="tx1"/>
                  </w14:solidFill>
                </w14:textFill>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05"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钻前工程</w:t>
            </w:r>
          </w:p>
        </w:tc>
        <w:tc>
          <w:tcPr>
            <w:tcW w:w="305"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施工期</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颗粒物、机械车辆燃油废气</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BOD</w:t>
            </w:r>
            <w:r>
              <w:rPr>
                <w:rFonts w:eastAsia="宋体"/>
                <w:color w:val="000000" w:themeColor="text1"/>
                <w:highlight w:val="none"/>
                <w:vertAlign w:val="subscript"/>
                <w14:textFill>
                  <w14:solidFill>
                    <w14:schemeClr w14:val="tx1"/>
                  </w14:solidFill>
                </w14:textFill>
              </w:rPr>
              <w:t>5</w:t>
            </w:r>
            <w:r>
              <w:rPr>
                <w:rFonts w:eastAsia="宋体"/>
                <w:color w:val="000000" w:themeColor="text1"/>
                <w:highlight w:val="none"/>
                <w14:textFill>
                  <w14:solidFill>
                    <w14:schemeClr w14:val="tx1"/>
                  </w14:solidFill>
                </w14:textFill>
              </w:rPr>
              <w:t>、COD、悬浮物、氨氮等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耗氧量、氨氮、石油类等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地表扰动面积及 类型、生态系统完整性</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05"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钻井工程</w:t>
            </w:r>
          </w:p>
        </w:tc>
        <w:tc>
          <w:tcPr>
            <w:tcW w:w="305"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施工期</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SO</w:t>
            </w:r>
            <w:r>
              <w:rPr>
                <w:rFonts w:eastAsia="宋体"/>
                <w:color w:val="000000" w:themeColor="text1"/>
                <w:highlight w:val="none"/>
                <w:vertAlign w:val="subscript"/>
                <w14:textFill>
                  <w14:solidFill>
                    <w14:schemeClr w14:val="tx1"/>
                  </w14:solidFill>
                </w14:textFill>
              </w:rPr>
              <w:t>2</w:t>
            </w:r>
            <w:r>
              <w:rPr>
                <w:rFonts w:eastAsia="宋体"/>
                <w:color w:val="000000" w:themeColor="text1"/>
                <w:highlight w:val="none"/>
                <w14:textFill>
                  <w14:solidFill>
                    <w14:schemeClr w14:val="tx1"/>
                  </w14:solidFill>
                </w14:textFill>
              </w:rPr>
              <w:t>、NOx、非甲烷总烃</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/（进行污水处理设施依托可行性分析）</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pH值、挥发酚、耗氧量、氨氮、硫化物、氯化物、石油类、总硬度、溶解性总固体、钡、汞、砷、六价铬等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pH值、石油类、石油烃（C</w:t>
            </w:r>
            <w:r>
              <w:rPr>
                <w:rFonts w:eastAsia="宋体"/>
                <w:color w:val="000000" w:themeColor="text1"/>
                <w:highlight w:val="none"/>
                <w:vertAlign w:val="subscript"/>
                <w14:textFill>
                  <w14:solidFill>
                    <w14:schemeClr w14:val="tx1"/>
                  </w14:solidFill>
                </w14:textFill>
              </w:rPr>
              <w:t>6</w:t>
            </w:r>
            <w:r>
              <w:rPr>
                <w:rFonts w:eastAsia="宋体"/>
                <w:color w:val="000000" w:themeColor="text1"/>
                <w:highlight w:val="none"/>
                <w14:textFill>
                  <w14:solidFill>
                    <w14:schemeClr w14:val="tx1"/>
                  </w14:solidFill>
                </w14:textFill>
              </w:rPr>
              <w:t>~C</w:t>
            </w:r>
            <w:r>
              <w:rPr>
                <w:rFonts w:eastAsia="宋体"/>
                <w:color w:val="000000" w:themeColor="text1"/>
                <w:highlight w:val="none"/>
                <w:vertAlign w:val="subscript"/>
                <w14:textFill>
                  <w14:solidFill>
                    <w14:schemeClr w14:val="tx1"/>
                  </w14:solidFill>
                </w14:textFill>
              </w:rPr>
              <w:t>9</w:t>
            </w:r>
            <w:r>
              <w:rPr>
                <w:rFonts w:eastAsia="宋体"/>
                <w:color w:val="000000" w:themeColor="text1"/>
                <w:highlight w:val="none"/>
                <w14:textFill>
                  <w14:solidFill>
                    <w14:schemeClr w14:val="tx1"/>
                  </w14:solidFill>
                </w14:textFill>
              </w:rPr>
              <w:t>）、石油烃（C</w:t>
            </w:r>
            <w:r>
              <w:rPr>
                <w:rFonts w:eastAsia="宋体"/>
                <w:color w:val="000000" w:themeColor="text1"/>
                <w:highlight w:val="none"/>
                <w:vertAlign w:val="subscript"/>
                <w14:textFill>
                  <w14:solidFill>
                    <w14:schemeClr w14:val="tx1"/>
                  </w14:solidFill>
                </w14:textFill>
              </w:rPr>
              <w:t>10</w:t>
            </w:r>
            <w:r>
              <w:rPr>
                <w:rFonts w:eastAsia="宋体"/>
                <w:color w:val="000000" w:themeColor="text1"/>
                <w:highlight w:val="none"/>
                <w14:textFill>
                  <w14:solidFill>
                    <w14:schemeClr w14:val="tx1"/>
                  </w14:solidFill>
                </w14:textFill>
              </w:rPr>
              <w:t>~C</w:t>
            </w:r>
            <w:r>
              <w:rPr>
                <w:rFonts w:eastAsia="宋体"/>
                <w:color w:val="000000" w:themeColor="text1"/>
                <w:highlight w:val="none"/>
                <w:vertAlign w:val="subscript"/>
                <w14:textFill>
                  <w14:solidFill>
                    <w14:schemeClr w14:val="tx1"/>
                  </w14:solidFill>
                </w14:textFill>
              </w:rPr>
              <w:t>40</w:t>
            </w:r>
            <w:r>
              <w:rPr>
                <w:rFonts w:eastAsia="宋体"/>
                <w:color w:val="000000" w:themeColor="text1"/>
                <w:highlight w:val="none"/>
                <w14:textFill>
                  <w14:solidFill>
                    <w14:schemeClr w14:val="tx1"/>
                  </w14:solidFill>
                </w14:textFill>
              </w:rPr>
              <w:t>）、汞、砷、六价铬、土壤盐分含量等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昼间等效声级（L</w:t>
            </w:r>
            <w:r>
              <w:rPr>
                <w:rFonts w:eastAsia="宋体"/>
                <w:color w:val="000000" w:themeColor="text1"/>
                <w:highlight w:val="none"/>
                <w:vertAlign w:val="subscript"/>
                <w14:textFill>
                  <w14:solidFill>
                    <w14:schemeClr w14:val="tx1"/>
                  </w14:solidFill>
                </w14:textFill>
              </w:rPr>
              <w:t>d</w:t>
            </w:r>
            <w:r>
              <w:rPr>
                <w:rFonts w:eastAsia="宋体"/>
                <w:color w:val="000000" w:themeColor="text1"/>
                <w:highlight w:val="none"/>
                <w14:textFill>
                  <w14:solidFill>
                    <w14:schemeClr w14:val="tx1"/>
                  </w14:solidFill>
                </w14:textFill>
              </w:rPr>
              <w:t>）、夜间等效声级（L</w:t>
            </w:r>
            <w:r>
              <w:rPr>
                <w:rFonts w:eastAsia="宋体"/>
                <w:color w:val="000000" w:themeColor="text1"/>
                <w:highlight w:val="none"/>
                <w:vertAlign w:val="subscript"/>
                <w14:textFill>
                  <w14:solidFill>
                    <w14:schemeClr w14:val="tx1"/>
                  </w14:solidFill>
                </w14:textFill>
              </w:rPr>
              <w:t>n</w:t>
            </w:r>
            <w:r>
              <w:rPr>
                <w:rFonts w:eastAsia="宋体"/>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05"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储层改造工程</w:t>
            </w:r>
          </w:p>
        </w:tc>
        <w:tc>
          <w:tcPr>
            <w:tcW w:w="305"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施工期</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SO</w:t>
            </w:r>
            <w:r>
              <w:rPr>
                <w:rFonts w:eastAsia="宋体"/>
                <w:color w:val="000000" w:themeColor="text1"/>
                <w:highlight w:val="none"/>
                <w:vertAlign w:val="subscript"/>
                <w14:textFill>
                  <w14:solidFill>
                    <w14:schemeClr w14:val="tx1"/>
                  </w14:solidFill>
                </w14:textFill>
              </w:rPr>
              <w:t>2</w:t>
            </w:r>
            <w:r>
              <w:rPr>
                <w:rFonts w:eastAsia="宋体"/>
                <w:color w:val="000000" w:themeColor="text1"/>
                <w:highlight w:val="none"/>
                <w14:textFill>
                  <w14:solidFill>
                    <w14:schemeClr w14:val="tx1"/>
                  </w14:solidFill>
                </w14:textFill>
              </w:rPr>
              <w:t>、NOx、非甲烷总烃</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/（进行污水处理设施依托可行性分析）</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pH值、挥发酚、耗氧量、氨氮、硫化物、氯化物、石油类、总硬度、溶解性总固体、钡、汞、砷、六价铬等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pH值、石油类</w:t>
            </w:r>
            <w:r>
              <w:rPr>
                <w:rFonts w:hint="eastAsia" w:eastAsia="宋体"/>
                <w:color w:val="000000" w:themeColor="text1"/>
                <w:highlight w:val="none"/>
                <w14:textFill>
                  <w14:solidFill>
                    <w14:schemeClr w14:val="tx1"/>
                  </w14:solidFill>
                </w14:textFill>
              </w:rPr>
              <w:t>、</w:t>
            </w:r>
            <w:r>
              <w:rPr>
                <w:rFonts w:eastAsia="宋体"/>
                <w:color w:val="000000" w:themeColor="text1"/>
                <w:highlight w:val="none"/>
                <w14:textFill>
                  <w14:solidFill>
                    <w14:schemeClr w14:val="tx1"/>
                  </w14:solidFill>
                </w14:textFill>
              </w:rPr>
              <w:t>汞、砷、六价铬、土壤盐分含量等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昼间等效声级（L</w:t>
            </w:r>
            <w:r>
              <w:rPr>
                <w:rFonts w:eastAsia="宋体"/>
                <w:color w:val="000000" w:themeColor="text1"/>
                <w:highlight w:val="none"/>
                <w:vertAlign w:val="subscript"/>
                <w14:textFill>
                  <w14:solidFill>
                    <w14:schemeClr w14:val="tx1"/>
                  </w14:solidFill>
                </w14:textFill>
              </w:rPr>
              <w:t>d</w:t>
            </w:r>
            <w:r>
              <w:rPr>
                <w:rFonts w:eastAsia="宋体"/>
                <w:color w:val="000000" w:themeColor="text1"/>
                <w:highlight w:val="none"/>
                <w14:textFill>
                  <w14:solidFill>
                    <w14:schemeClr w14:val="tx1"/>
                  </w14:solidFill>
                </w14:textFill>
              </w:rPr>
              <w:t>）、夜间等效声级（L</w:t>
            </w:r>
            <w:r>
              <w:rPr>
                <w:rFonts w:eastAsia="宋体"/>
                <w:color w:val="000000" w:themeColor="text1"/>
                <w:highlight w:val="none"/>
                <w:vertAlign w:val="subscript"/>
                <w14:textFill>
                  <w14:solidFill>
                    <w14:schemeClr w14:val="tx1"/>
                  </w14:solidFill>
                </w14:textFill>
              </w:rPr>
              <w:t>n</w:t>
            </w:r>
            <w:r>
              <w:rPr>
                <w:rFonts w:eastAsia="宋体"/>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05" w:type="pct"/>
            <w:vMerge w:val="restar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油气集输工程</w:t>
            </w:r>
          </w:p>
        </w:tc>
        <w:tc>
          <w:tcPr>
            <w:tcW w:w="305"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施工期</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颗粒物、机械车辆燃油废气</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BOD</w:t>
            </w:r>
            <w:r>
              <w:rPr>
                <w:rFonts w:eastAsia="宋体"/>
                <w:color w:val="000000" w:themeColor="text1"/>
                <w:highlight w:val="none"/>
                <w:vertAlign w:val="subscript"/>
                <w14:textFill>
                  <w14:solidFill>
                    <w14:schemeClr w14:val="tx1"/>
                  </w14:solidFill>
                </w14:textFill>
              </w:rPr>
              <w:t>5</w:t>
            </w:r>
            <w:r>
              <w:rPr>
                <w:rFonts w:eastAsia="宋体"/>
                <w:color w:val="000000" w:themeColor="text1"/>
                <w:highlight w:val="none"/>
                <w14:textFill>
                  <w14:solidFill>
                    <w14:schemeClr w14:val="tx1"/>
                  </w14:solidFill>
                </w14:textFill>
              </w:rPr>
              <w:t>、COD、悬浮物、氨氮等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耗氧量、氨氮、石油类等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地表扰动面积及类型、生物量损失、物种多样性、生态系统完整性等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05" w:type="pct"/>
            <w:vMerge w:val="continue"/>
            <w:vAlign w:val="center"/>
          </w:tcPr>
          <w:p>
            <w:pPr>
              <w:pStyle w:val="203"/>
              <w:spacing w:before="0" w:beforeLines="0"/>
              <w:rPr>
                <w:rFonts w:eastAsia="宋体"/>
                <w:color w:val="000000" w:themeColor="text1"/>
                <w:highlight w:val="none"/>
                <w14:textFill>
                  <w14:solidFill>
                    <w14:schemeClr w14:val="tx1"/>
                  </w14:solidFill>
                </w14:textFill>
              </w:rPr>
            </w:pPr>
          </w:p>
        </w:tc>
        <w:tc>
          <w:tcPr>
            <w:tcW w:w="305"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试采期</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SO</w:t>
            </w:r>
            <w:r>
              <w:rPr>
                <w:rFonts w:eastAsia="宋体"/>
                <w:color w:val="000000" w:themeColor="text1"/>
                <w:highlight w:val="none"/>
                <w:vertAlign w:val="subscript"/>
                <w14:textFill>
                  <w14:solidFill>
                    <w14:schemeClr w14:val="tx1"/>
                  </w14:solidFill>
                </w14:textFill>
              </w:rPr>
              <w:t>2</w:t>
            </w:r>
            <w:r>
              <w:rPr>
                <w:rFonts w:eastAsia="宋体"/>
                <w:color w:val="000000" w:themeColor="text1"/>
                <w:highlight w:val="none"/>
                <w14:textFill>
                  <w14:solidFill>
                    <w14:schemeClr w14:val="tx1"/>
                  </w14:solidFill>
                </w14:textFill>
              </w:rPr>
              <w:t>、NOx、非甲烷总烃</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/（进行污水处理设施依托可行性分析）</w:t>
            </w:r>
          </w:p>
        </w:tc>
        <w:tc>
          <w:tcPr>
            <w:tcW w:w="698" w:type="pct"/>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耗氧量、氨氮、石油类等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hint="eastAsia" w:eastAsia="宋体"/>
                <w:color w:val="000000" w:themeColor="text1"/>
                <w:highlight w:val="none"/>
                <w14:textFill>
                  <w14:solidFill>
                    <w14:schemeClr w14:val="tx1"/>
                  </w14:solidFill>
                </w14:textFill>
              </w:rPr>
              <w:t>/</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土壤肥力或林地立地条件、生物多样性、生态系统完整性等</w:t>
            </w:r>
          </w:p>
        </w:tc>
        <w:tc>
          <w:tcPr>
            <w:tcW w:w="698" w:type="pct"/>
            <w:vAlign w:val="center"/>
          </w:tcPr>
          <w:p>
            <w:pPr>
              <w:pStyle w:val="203"/>
              <w:spacing w:before="0" w:beforeLines="0"/>
              <w:rPr>
                <w:rFonts w:eastAsia="宋体"/>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t>昼间等效声级（L</w:t>
            </w:r>
            <w:r>
              <w:rPr>
                <w:rFonts w:eastAsia="宋体"/>
                <w:color w:val="000000" w:themeColor="text1"/>
                <w:highlight w:val="none"/>
                <w:vertAlign w:val="subscript"/>
                <w14:textFill>
                  <w14:solidFill>
                    <w14:schemeClr w14:val="tx1"/>
                  </w14:solidFill>
                </w14:textFill>
              </w:rPr>
              <w:t>d</w:t>
            </w:r>
            <w:r>
              <w:rPr>
                <w:rFonts w:eastAsia="宋体"/>
                <w:color w:val="000000" w:themeColor="text1"/>
                <w:highlight w:val="none"/>
                <w14:textFill>
                  <w14:solidFill>
                    <w14:schemeClr w14:val="tx1"/>
                  </w14:solidFill>
                </w14:textFill>
              </w:rPr>
              <w:t>）、夜间等效声级（L</w:t>
            </w:r>
            <w:r>
              <w:rPr>
                <w:rFonts w:eastAsia="宋体"/>
                <w:color w:val="000000" w:themeColor="text1"/>
                <w:highlight w:val="none"/>
                <w:vertAlign w:val="subscript"/>
                <w14:textFill>
                  <w14:solidFill>
                    <w14:schemeClr w14:val="tx1"/>
                  </w14:solidFill>
                </w14:textFill>
              </w:rPr>
              <w:t>n</w:t>
            </w:r>
            <w:r>
              <w:rPr>
                <w:rFonts w:eastAsia="宋体"/>
                <w:color w:val="000000" w:themeColor="text1"/>
                <w:highlight w:val="none"/>
                <w14:textFill>
                  <w14:solidFill>
                    <w14:schemeClr w14:val="tx1"/>
                  </w14:solidFill>
                </w14:textFill>
              </w:rPr>
              <w:t>）</w:t>
            </w:r>
          </w:p>
        </w:tc>
      </w:tr>
    </w:tbl>
    <w:p>
      <w:pPr>
        <w:spacing w:before="163" w:beforeLines="50"/>
        <w:ind w:firstLine="480"/>
        <w:rPr>
          <w:rFonts w:cs="Times New Roman"/>
          <w:color w:val="000000" w:themeColor="text1"/>
          <w:highlight w:val="none"/>
          <w14:textFill>
            <w14:solidFill>
              <w14:schemeClr w14:val="tx1"/>
            </w14:solidFill>
          </w14:textFill>
        </w:rPr>
        <w:sectPr>
          <w:pgSz w:w="16838" w:h="11906" w:orient="landscape"/>
          <w:pgMar w:top="1797" w:right="1440" w:bottom="1797" w:left="1440" w:header="964" w:footer="964" w:gutter="0"/>
          <w:cols w:space="425" w:num="1"/>
          <w:docGrid w:type="linesAndChars" w:linePitch="326" w:charSpace="0"/>
        </w:sectPr>
      </w:pP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本项目</w:t>
      </w:r>
      <w:r>
        <w:rPr>
          <w:rFonts w:cs="Times New Roman"/>
          <w:color w:val="000000" w:themeColor="text1"/>
          <w:highlight w:val="none"/>
          <w14:textFill>
            <w14:solidFill>
              <w14:schemeClr w14:val="tx1"/>
            </w14:solidFill>
          </w14:textFill>
        </w:rPr>
        <w:t>在工程分析和现场调查的基础上，结合本项目的特点，进行项目环境影响识别与评价因子筛选，确定本次评价的重点，生态环境影响因素如下表所示。</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施工期陆生生态影响评价因子筛选表</w:t>
      </w:r>
    </w:p>
    <w:tbl>
      <w:tblPr>
        <w:tblStyle w:val="54"/>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91"/>
        <w:gridCol w:w="2822"/>
        <w:gridCol w:w="2928"/>
        <w:gridCol w:w="974"/>
        <w:gridCol w:w="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6" w:hRule="atLeast"/>
          <w:tblHeader/>
          <w:jc w:val="center"/>
        </w:trPr>
        <w:tc>
          <w:tcPr>
            <w:tcW w:w="65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受影响对象</w:t>
            </w:r>
          </w:p>
        </w:tc>
        <w:tc>
          <w:tcPr>
            <w:tcW w:w="169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评价因子</w:t>
            </w:r>
          </w:p>
        </w:tc>
        <w:tc>
          <w:tcPr>
            <w:tcW w:w="175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工程内容及影响方式</w:t>
            </w:r>
          </w:p>
        </w:tc>
        <w:tc>
          <w:tcPr>
            <w:tcW w:w="58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影响性质</w:t>
            </w:r>
          </w:p>
        </w:tc>
        <w:tc>
          <w:tcPr>
            <w:tcW w:w="30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6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w:t>
            </w:r>
          </w:p>
        </w:tc>
        <w:tc>
          <w:tcPr>
            <w:tcW w:w="169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分布范围、种群数量、种群结构、行为等</w:t>
            </w:r>
          </w:p>
        </w:tc>
        <w:tc>
          <w:tcPr>
            <w:tcW w:w="1758" w:type="pct"/>
            <w:vMerge w:val="restart"/>
            <w:vAlign w:val="center"/>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t>井场及边坡、主放喷池及管线、副放喷池及边坡、副放喷管线、表土堆放区、弃土区、生活营区占地，直接影响</w:t>
            </w:r>
            <w:r>
              <w:rPr>
                <w:rFonts w:hint="eastAsia"/>
                <w:bCs/>
                <w:color w:val="000000" w:themeColor="text1"/>
                <w:szCs w:val="21"/>
                <w:highlight w:val="none"/>
                <w14:textFill>
                  <w14:solidFill>
                    <w14:schemeClr w14:val="tx1"/>
                  </w14:solidFill>
                </w14:textFill>
              </w:rPr>
              <w:t>。</w:t>
            </w:r>
          </w:p>
        </w:tc>
        <w:tc>
          <w:tcPr>
            <w:tcW w:w="585"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短期、可逆</w:t>
            </w:r>
          </w:p>
        </w:tc>
        <w:tc>
          <w:tcPr>
            <w:tcW w:w="306"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生境</w:t>
            </w:r>
          </w:p>
        </w:tc>
        <w:tc>
          <w:tcPr>
            <w:tcW w:w="169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生境面积、质量、连通性等</w:t>
            </w:r>
          </w:p>
        </w:tc>
        <w:tc>
          <w:tcPr>
            <w:tcW w:w="1758" w:type="pct"/>
            <w:vMerge w:val="continue"/>
            <w:vAlign w:val="center"/>
          </w:tcPr>
          <w:p>
            <w:pPr>
              <w:pStyle w:val="297"/>
              <w:rPr>
                <w:color w:val="000000" w:themeColor="text1"/>
                <w:highlight w:val="none"/>
                <w14:textFill>
                  <w14:solidFill>
                    <w14:schemeClr w14:val="tx1"/>
                  </w14:solidFill>
                </w14:textFill>
              </w:rPr>
            </w:pPr>
          </w:p>
        </w:tc>
        <w:tc>
          <w:tcPr>
            <w:tcW w:w="585"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生物群落</w:t>
            </w:r>
          </w:p>
        </w:tc>
        <w:tc>
          <w:tcPr>
            <w:tcW w:w="169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物种组成、群落结构等</w:t>
            </w:r>
          </w:p>
        </w:tc>
        <w:tc>
          <w:tcPr>
            <w:tcW w:w="1758" w:type="pct"/>
            <w:vMerge w:val="continue"/>
            <w:vAlign w:val="center"/>
          </w:tcPr>
          <w:p>
            <w:pPr>
              <w:pStyle w:val="297"/>
              <w:rPr>
                <w:color w:val="000000" w:themeColor="text1"/>
                <w:highlight w:val="none"/>
                <w14:textFill>
                  <w14:solidFill>
                    <w14:schemeClr w14:val="tx1"/>
                  </w14:solidFill>
                </w14:textFill>
              </w:rPr>
            </w:pPr>
          </w:p>
        </w:tc>
        <w:tc>
          <w:tcPr>
            <w:tcW w:w="585"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生态系统</w:t>
            </w:r>
          </w:p>
        </w:tc>
        <w:tc>
          <w:tcPr>
            <w:tcW w:w="169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植被覆盖度、生产力、生物量、生态系统功能等</w:t>
            </w:r>
          </w:p>
        </w:tc>
        <w:tc>
          <w:tcPr>
            <w:tcW w:w="1758" w:type="pct"/>
            <w:vMerge w:val="continue"/>
            <w:vAlign w:val="center"/>
          </w:tcPr>
          <w:p>
            <w:pPr>
              <w:pStyle w:val="297"/>
              <w:rPr>
                <w:color w:val="000000" w:themeColor="text1"/>
                <w:highlight w:val="none"/>
                <w14:textFill>
                  <w14:solidFill>
                    <w14:schemeClr w14:val="tx1"/>
                  </w14:solidFill>
                </w14:textFill>
              </w:rPr>
            </w:pPr>
          </w:p>
        </w:tc>
        <w:tc>
          <w:tcPr>
            <w:tcW w:w="585"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生物多样性</w:t>
            </w:r>
          </w:p>
        </w:tc>
        <w:tc>
          <w:tcPr>
            <w:tcW w:w="169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物种丰富度、均匀度、优势度等</w:t>
            </w:r>
          </w:p>
        </w:tc>
        <w:tc>
          <w:tcPr>
            <w:tcW w:w="1758" w:type="pct"/>
            <w:vMerge w:val="continue"/>
            <w:vAlign w:val="center"/>
          </w:tcPr>
          <w:p>
            <w:pPr>
              <w:pStyle w:val="297"/>
              <w:rPr>
                <w:color w:val="000000" w:themeColor="text1"/>
                <w:highlight w:val="none"/>
                <w14:textFill>
                  <w14:solidFill>
                    <w14:schemeClr w14:val="tx1"/>
                  </w14:solidFill>
                </w14:textFill>
              </w:rPr>
            </w:pPr>
          </w:p>
        </w:tc>
        <w:tc>
          <w:tcPr>
            <w:tcW w:w="585"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生态敏感区</w:t>
            </w:r>
          </w:p>
        </w:tc>
        <w:tc>
          <w:tcPr>
            <w:tcW w:w="169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主要保护对象、生态功能等</w:t>
            </w:r>
          </w:p>
        </w:tc>
        <w:tc>
          <w:tcPr>
            <w:tcW w:w="1758" w:type="pct"/>
            <w:vMerge w:val="continue"/>
            <w:vAlign w:val="center"/>
          </w:tcPr>
          <w:p>
            <w:pPr>
              <w:pStyle w:val="297"/>
              <w:rPr>
                <w:color w:val="000000" w:themeColor="text1"/>
                <w:highlight w:val="none"/>
                <w14:textFill>
                  <w14:solidFill>
                    <w14:schemeClr w14:val="tx1"/>
                  </w14:solidFill>
                </w14:textFill>
              </w:rPr>
            </w:pPr>
          </w:p>
        </w:tc>
        <w:tc>
          <w:tcPr>
            <w:tcW w:w="585"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自然景观</w:t>
            </w:r>
          </w:p>
        </w:tc>
        <w:tc>
          <w:tcPr>
            <w:tcW w:w="169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景观多样性、完整性等</w:t>
            </w:r>
          </w:p>
        </w:tc>
        <w:tc>
          <w:tcPr>
            <w:tcW w:w="1758" w:type="pct"/>
            <w:vMerge w:val="continue"/>
            <w:vAlign w:val="center"/>
          </w:tcPr>
          <w:p>
            <w:pPr>
              <w:pStyle w:val="297"/>
              <w:rPr>
                <w:color w:val="000000" w:themeColor="text1"/>
                <w:highlight w:val="none"/>
                <w14:textFill>
                  <w14:solidFill>
                    <w14:schemeClr w14:val="tx1"/>
                  </w14:solidFill>
                </w14:textFill>
              </w:rPr>
            </w:pPr>
          </w:p>
        </w:tc>
        <w:tc>
          <w:tcPr>
            <w:tcW w:w="585"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bl>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试采期陆生生态影响评价因子筛选表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78"/>
        <w:gridCol w:w="2847"/>
        <w:gridCol w:w="2902"/>
        <w:gridCol w:w="980"/>
        <w:gridCol w:w="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6" w:hRule="atLeast"/>
          <w:jc w:val="center"/>
        </w:trPr>
        <w:tc>
          <w:tcPr>
            <w:tcW w:w="64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受影响对象</w:t>
            </w:r>
          </w:p>
        </w:tc>
        <w:tc>
          <w:tcPr>
            <w:tcW w:w="1712"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评价因子</w:t>
            </w:r>
          </w:p>
        </w:tc>
        <w:tc>
          <w:tcPr>
            <w:tcW w:w="174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工程内容及影响方式</w:t>
            </w:r>
          </w:p>
        </w:tc>
        <w:tc>
          <w:tcPr>
            <w:tcW w:w="589"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影响性质</w:t>
            </w:r>
          </w:p>
        </w:tc>
        <w:tc>
          <w:tcPr>
            <w:tcW w:w="30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6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w:t>
            </w:r>
          </w:p>
        </w:tc>
        <w:tc>
          <w:tcPr>
            <w:tcW w:w="17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分布范围、种群数量、种群结构、行为等</w:t>
            </w:r>
          </w:p>
        </w:tc>
        <w:tc>
          <w:tcPr>
            <w:tcW w:w="1745" w:type="pct"/>
            <w:vMerge w:val="restart"/>
            <w:vAlign w:val="center"/>
          </w:tcPr>
          <w:p>
            <w:pPr>
              <w:pStyle w:val="297"/>
              <w:rPr>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不会新增占地</w:t>
            </w:r>
            <w:r>
              <w:rPr>
                <w:bCs/>
                <w:color w:val="000000" w:themeColor="text1"/>
                <w:highlight w:val="none"/>
                <w14:textFill>
                  <w14:solidFill>
                    <w14:schemeClr w14:val="tx1"/>
                  </w14:solidFill>
                </w14:textFill>
              </w:rPr>
              <w:t>，间接影响</w:t>
            </w:r>
            <w:r>
              <w:rPr>
                <w:rFonts w:hint="eastAsia"/>
                <w:bCs/>
                <w:color w:val="000000" w:themeColor="text1"/>
                <w:highlight w:val="none"/>
                <w14:textFill>
                  <w14:solidFill>
                    <w14:schemeClr w14:val="tx1"/>
                  </w14:solidFill>
                </w14:textFill>
              </w:rPr>
              <w:t>。</w:t>
            </w:r>
          </w:p>
        </w:tc>
        <w:tc>
          <w:tcPr>
            <w:tcW w:w="589"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短期、可逆</w:t>
            </w:r>
          </w:p>
        </w:tc>
        <w:tc>
          <w:tcPr>
            <w:tcW w:w="306"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生境</w:t>
            </w:r>
          </w:p>
        </w:tc>
        <w:tc>
          <w:tcPr>
            <w:tcW w:w="17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生境面积、质量、连通性等</w:t>
            </w:r>
          </w:p>
        </w:tc>
        <w:tc>
          <w:tcPr>
            <w:tcW w:w="1745" w:type="pct"/>
            <w:vMerge w:val="continue"/>
            <w:vAlign w:val="center"/>
          </w:tcPr>
          <w:p>
            <w:pPr>
              <w:pStyle w:val="297"/>
              <w:rPr>
                <w:color w:val="000000" w:themeColor="text1"/>
                <w:highlight w:val="none"/>
                <w14:textFill>
                  <w14:solidFill>
                    <w14:schemeClr w14:val="tx1"/>
                  </w14:solidFill>
                </w14:textFill>
              </w:rPr>
            </w:pPr>
          </w:p>
        </w:tc>
        <w:tc>
          <w:tcPr>
            <w:tcW w:w="589"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生物群落</w:t>
            </w:r>
          </w:p>
        </w:tc>
        <w:tc>
          <w:tcPr>
            <w:tcW w:w="17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物种组成、群落结构等</w:t>
            </w:r>
          </w:p>
        </w:tc>
        <w:tc>
          <w:tcPr>
            <w:tcW w:w="1745" w:type="pct"/>
            <w:vMerge w:val="continue"/>
            <w:vAlign w:val="center"/>
          </w:tcPr>
          <w:p>
            <w:pPr>
              <w:pStyle w:val="297"/>
              <w:rPr>
                <w:color w:val="000000" w:themeColor="text1"/>
                <w:highlight w:val="none"/>
                <w14:textFill>
                  <w14:solidFill>
                    <w14:schemeClr w14:val="tx1"/>
                  </w14:solidFill>
                </w14:textFill>
              </w:rPr>
            </w:pPr>
          </w:p>
        </w:tc>
        <w:tc>
          <w:tcPr>
            <w:tcW w:w="589"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生态系统</w:t>
            </w:r>
          </w:p>
        </w:tc>
        <w:tc>
          <w:tcPr>
            <w:tcW w:w="17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植被覆盖度、生产力、生物量、生态系统功能等</w:t>
            </w:r>
          </w:p>
        </w:tc>
        <w:tc>
          <w:tcPr>
            <w:tcW w:w="1745" w:type="pct"/>
            <w:vMerge w:val="continue"/>
            <w:vAlign w:val="center"/>
          </w:tcPr>
          <w:p>
            <w:pPr>
              <w:pStyle w:val="297"/>
              <w:rPr>
                <w:color w:val="000000" w:themeColor="text1"/>
                <w:highlight w:val="none"/>
                <w14:textFill>
                  <w14:solidFill>
                    <w14:schemeClr w14:val="tx1"/>
                  </w14:solidFill>
                </w14:textFill>
              </w:rPr>
            </w:pPr>
          </w:p>
        </w:tc>
        <w:tc>
          <w:tcPr>
            <w:tcW w:w="589"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6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生物多样性</w:t>
            </w:r>
          </w:p>
        </w:tc>
        <w:tc>
          <w:tcPr>
            <w:tcW w:w="17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物种丰富度、均匀度、优势度等</w:t>
            </w:r>
          </w:p>
        </w:tc>
        <w:tc>
          <w:tcPr>
            <w:tcW w:w="1745" w:type="pct"/>
            <w:vMerge w:val="continue"/>
            <w:vAlign w:val="center"/>
          </w:tcPr>
          <w:p>
            <w:pPr>
              <w:pStyle w:val="297"/>
              <w:rPr>
                <w:color w:val="000000" w:themeColor="text1"/>
                <w:highlight w:val="none"/>
                <w14:textFill>
                  <w14:solidFill>
                    <w14:schemeClr w14:val="tx1"/>
                  </w14:solidFill>
                </w14:textFill>
              </w:rPr>
            </w:pPr>
          </w:p>
        </w:tc>
        <w:tc>
          <w:tcPr>
            <w:tcW w:w="589"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107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生态敏感区</w:t>
            </w:r>
          </w:p>
        </w:tc>
        <w:tc>
          <w:tcPr>
            <w:tcW w:w="284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主要保护对象、生态功能等</w:t>
            </w:r>
          </w:p>
        </w:tc>
        <w:tc>
          <w:tcPr>
            <w:tcW w:w="1745" w:type="pct"/>
            <w:vMerge w:val="continue"/>
            <w:vAlign w:val="center"/>
          </w:tcPr>
          <w:p>
            <w:pPr>
              <w:pStyle w:val="297"/>
              <w:rPr>
                <w:color w:val="000000" w:themeColor="text1"/>
                <w:highlight w:val="none"/>
                <w14:textFill>
                  <w14:solidFill>
                    <w14:schemeClr w14:val="tx1"/>
                  </w14:solidFill>
                </w14:textFill>
              </w:rPr>
            </w:pPr>
          </w:p>
        </w:tc>
        <w:tc>
          <w:tcPr>
            <w:tcW w:w="589"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6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自然景观</w:t>
            </w:r>
          </w:p>
        </w:tc>
        <w:tc>
          <w:tcPr>
            <w:tcW w:w="17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景观多样性、完整性等</w:t>
            </w:r>
          </w:p>
        </w:tc>
        <w:tc>
          <w:tcPr>
            <w:tcW w:w="1745" w:type="pct"/>
            <w:vMerge w:val="continue"/>
            <w:vAlign w:val="center"/>
          </w:tcPr>
          <w:p>
            <w:pPr>
              <w:pStyle w:val="297"/>
              <w:rPr>
                <w:color w:val="000000" w:themeColor="text1"/>
                <w:highlight w:val="none"/>
                <w14:textFill>
                  <w14:solidFill>
                    <w14:schemeClr w14:val="tx1"/>
                  </w14:solidFill>
                </w14:textFill>
              </w:rPr>
            </w:pPr>
          </w:p>
        </w:tc>
        <w:tc>
          <w:tcPr>
            <w:tcW w:w="589" w:type="pct"/>
            <w:vMerge w:val="continue"/>
            <w:vAlign w:val="center"/>
          </w:tcPr>
          <w:p>
            <w:pPr>
              <w:pStyle w:val="297"/>
              <w:rPr>
                <w:color w:val="000000" w:themeColor="text1"/>
                <w:highlight w:val="none"/>
                <w14:textFill>
                  <w14:solidFill>
                    <w14:schemeClr w14:val="tx1"/>
                  </w14:solidFill>
                </w14:textFill>
              </w:rPr>
            </w:pPr>
          </w:p>
        </w:tc>
        <w:tc>
          <w:tcPr>
            <w:tcW w:w="306" w:type="pct"/>
            <w:vMerge w:val="continue"/>
            <w:vAlign w:val="center"/>
          </w:tcPr>
          <w:p>
            <w:pPr>
              <w:pStyle w:val="297"/>
              <w:rPr>
                <w:color w:val="000000" w:themeColor="text1"/>
                <w:highlight w:val="none"/>
                <w14:textFill>
                  <w14:solidFill>
                    <w14:schemeClr w14:val="tx1"/>
                  </w14:solidFill>
                </w14:textFill>
              </w:rPr>
            </w:pPr>
          </w:p>
        </w:tc>
      </w:tr>
    </w:tbl>
    <w:p>
      <w:pPr>
        <w:pStyle w:val="3"/>
        <w:spacing w:before="163"/>
        <w:rPr>
          <w:color w:val="000000" w:themeColor="text1"/>
          <w:highlight w:val="none"/>
          <w:lang w:eastAsia="zh-CN"/>
          <w14:textFill>
            <w14:solidFill>
              <w14:schemeClr w14:val="tx1"/>
            </w14:solidFill>
          </w14:textFill>
        </w:rPr>
      </w:pPr>
      <w:bookmarkStart w:id="57" w:name="_Toc16527"/>
      <w:r>
        <w:rPr>
          <w:color w:val="000000" w:themeColor="text1"/>
          <w:highlight w:val="none"/>
          <w:lang w:eastAsia="zh-CN"/>
          <w14:textFill>
            <w14:solidFill>
              <w14:schemeClr w14:val="tx1"/>
            </w14:solidFill>
          </w14:textFill>
        </w:rPr>
        <w:t>环境功能区划与评价标准</w:t>
      </w:r>
      <w:bookmarkEnd w:id="57"/>
    </w:p>
    <w:p>
      <w:pPr>
        <w:pStyle w:val="4"/>
        <w:spacing w:before="0" w:beforeLines="0"/>
        <w:ind w:firstLine="480"/>
        <w:rPr>
          <w:b/>
          <w:color w:val="000000" w:themeColor="text1"/>
          <w:highlight w:val="none"/>
          <w:lang w:eastAsia="zh-CN"/>
          <w14:textFill>
            <w14:solidFill>
              <w14:schemeClr w14:val="tx1"/>
            </w14:solidFill>
          </w14:textFill>
        </w:rPr>
      </w:pPr>
      <w:bookmarkStart w:id="58" w:name="_Toc120173065"/>
      <w:r>
        <w:rPr>
          <w:color w:val="000000" w:themeColor="text1"/>
          <w:highlight w:val="none"/>
          <w:lang w:eastAsia="zh-CN"/>
          <w14:textFill>
            <w14:solidFill>
              <w14:schemeClr w14:val="tx1"/>
            </w14:solidFill>
          </w14:textFill>
        </w:rPr>
        <w:t>环境功能区划</w:t>
      </w:r>
      <w:bookmarkEnd w:id="58"/>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（1）大气环境功能区划</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工程建设区域属</w:t>
      </w:r>
      <w:r>
        <w:rPr>
          <w:rFonts w:hint="eastAsia" w:cs="Times New Roman"/>
          <w:bCs/>
          <w:color w:val="000000" w:themeColor="text1"/>
          <w:szCs w:val="24"/>
          <w:highlight w:val="none"/>
          <w14:textFill>
            <w14:solidFill>
              <w14:schemeClr w14:val="tx1"/>
            </w14:solidFill>
          </w14:textFill>
        </w:rPr>
        <w:t>农村</w:t>
      </w:r>
      <w:r>
        <w:rPr>
          <w:rFonts w:cs="Times New Roman"/>
          <w:bCs/>
          <w:color w:val="000000" w:themeColor="text1"/>
          <w:szCs w:val="24"/>
          <w:highlight w:val="none"/>
          <w14:textFill>
            <w14:solidFill>
              <w14:schemeClr w14:val="tx1"/>
            </w14:solidFill>
          </w14:textFill>
        </w:rPr>
        <w:t>环境，根据《环境空气质量标准》（GB3095-2012）划分，工程建设区属2类地区，执行《环境空气质量标准》（GB3095-2012）中的二级标准。</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（2）地表水环境功能区划</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根据宣汉县地表水功能区划，本项目周边地表水</w:t>
      </w:r>
      <w:r>
        <w:rPr>
          <w:rFonts w:hint="eastAsia" w:cs="Times New Roman"/>
          <w:bCs/>
          <w:color w:val="000000" w:themeColor="text1"/>
          <w:szCs w:val="24"/>
          <w:highlight w:val="none"/>
          <w14:textFill>
            <w14:solidFill>
              <w14:schemeClr w14:val="tx1"/>
            </w14:solidFill>
          </w14:textFill>
        </w:rPr>
        <w:t>后河及其支流</w:t>
      </w:r>
      <w:r>
        <w:rPr>
          <w:rFonts w:cs="Times New Roman"/>
          <w:bCs/>
          <w:color w:val="000000" w:themeColor="text1"/>
          <w:szCs w:val="24"/>
          <w:highlight w:val="none"/>
          <w14:textFill>
            <w14:solidFill>
              <w14:schemeClr w14:val="tx1"/>
            </w14:solidFill>
          </w14:textFill>
        </w:rPr>
        <w:t>为《地表水环境质量标准》（GB3838-2002）Ⅲ类水域。</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（3）地下水环境功能区划</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项目所在区域地下水属于III类地下水功能区</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地下水环境质量评价均执行《地下水质量标准》（GB/T14848-2017）III类标准。</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（4）声环境功能区划</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项目位于宣汉县</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，根据《声环境质量标准》（GB3096-2008），功能区划属2类区域。</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（5）生态功能区划</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四川省生态功能区划》，本项目位于四川盆地亚热带湿润气候生态区，属于大巴山水源涵养与土壤保持生态功能区（I-3-2），该生态功能区的主导功能是水源涵养功能，土壤保持功能。面临的主要环境问题是多洪灾，滑坡崩塌强烈发育，水土流失严重。</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（6）水土流失防治区划分</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根据达州市水利局《关于水土保持</w:t>
      </w:r>
      <w:r>
        <w:rPr>
          <w:rFonts w:ascii="宋体" w:hAnsi="宋体" w:cs="Times New Roman"/>
          <w:bCs/>
          <w:color w:val="000000" w:themeColor="text1"/>
          <w:szCs w:val="24"/>
          <w:highlight w:val="none"/>
          <w14:textFill>
            <w14:solidFill>
              <w14:schemeClr w14:val="tx1"/>
            </w14:solidFill>
          </w14:textFill>
        </w:rPr>
        <w:t>“两区”</w:t>
      </w:r>
      <w:r>
        <w:rPr>
          <w:rFonts w:cs="Times New Roman"/>
          <w:bCs/>
          <w:color w:val="000000" w:themeColor="text1"/>
          <w:szCs w:val="24"/>
          <w:highlight w:val="none"/>
          <w14:textFill>
            <w14:solidFill>
              <w14:schemeClr w14:val="tx1"/>
            </w14:solidFill>
          </w14:textFill>
        </w:rPr>
        <w:t>划分的公告》，</w:t>
      </w:r>
      <w:r>
        <w:rPr>
          <w:rFonts w:hint="eastAsia" w:cs="Times New Roman"/>
          <w:bCs/>
          <w:color w:val="000000" w:themeColor="text1"/>
          <w:szCs w:val="24"/>
          <w:highlight w:val="none"/>
          <w14:textFill>
            <w14:solidFill>
              <w14:schemeClr w14:val="tx1"/>
            </w14:solidFill>
          </w14:textFill>
        </w:rPr>
        <w:t>本项目涉及水土流失重点治理区</w:t>
      </w:r>
      <w:r>
        <w:rPr>
          <w:rFonts w:cs="Times New Roman"/>
          <w:bCs/>
          <w:color w:val="000000" w:themeColor="text1"/>
          <w:szCs w:val="24"/>
          <w:highlight w:val="none"/>
          <w14:textFill>
            <w14:solidFill>
              <w14:schemeClr w14:val="tx1"/>
            </w14:solidFill>
          </w14:textFill>
        </w:rPr>
        <w:t>。</w:t>
      </w:r>
    </w:p>
    <w:p>
      <w:pPr>
        <w:pStyle w:val="4"/>
        <w:spacing w:before="0" w:beforeLines="0"/>
        <w:ind w:firstLine="480"/>
        <w:rPr>
          <w:b/>
          <w:color w:val="000000" w:themeColor="text1"/>
          <w:highlight w:val="none"/>
          <w:lang w:eastAsia="zh-CN"/>
          <w14:textFill>
            <w14:solidFill>
              <w14:schemeClr w14:val="tx1"/>
            </w14:solidFill>
          </w14:textFill>
        </w:rPr>
      </w:pPr>
      <w:bookmarkStart w:id="59" w:name="_Toc120173066"/>
      <w:r>
        <w:rPr>
          <w:color w:val="000000" w:themeColor="text1"/>
          <w:highlight w:val="none"/>
          <w:lang w:eastAsia="zh-CN"/>
          <w14:textFill>
            <w14:solidFill>
              <w14:schemeClr w14:val="tx1"/>
            </w14:solidFill>
          </w14:textFill>
        </w:rPr>
        <w:t>环境质量标准</w:t>
      </w:r>
      <w:bookmarkEnd w:id="59"/>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（1）地表水</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本项目地表水执行《地表水环境质量标准》（GB3838-2002）</w:t>
      </w:r>
      <w:r>
        <w:rPr>
          <w:rFonts w:hint="eastAsia" w:ascii="Times New Roman" w:hAnsi="Times New Roman"/>
          <w:bCs/>
          <w:color w:val="000000" w:themeColor="text1"/>
          <w:szCs w:val="24"/>
          <w:highlight w:val="none"/>
          <w14:textFill>
            <w14:solidFill>
              <w14:schemeClr w14:val="tx1"/>
            </w14:solidFill>
          </w14:textFill>
        </w:rPr>
        <w:t>表1中</w:t>
      </w:r>
      <w:r>
        <w:rPr>
          <w:rFonts w:ascii="Times New Roman" w:hAnsi="Times New Roman"/>
          <w:bCs/>
          <w:color w:val="000000" w:themeColor="text1"/>
          <w:szCs w:val="24"/>
          <w:highlight w:val="none"/>
          <w14:textFill>
            <w14:solidFill>
              <w14:schemeClr w14:val="tx1"/>
            </w14:solidFill>
          </w14:textFill>
        </w:rPr>
        <w:t>Ⅲ类水域标准，</w:t>
      </w:r>
      <w:r>
        <w:rPr>
          <w:rFonts w:hint="eastAsia" w:ascii="Times New Roman" w:hAnsi="Times New Roman"/>
          <w:bCs/>
          <w:color w:val="000000" w:themeColor="text1"/>
          <w:szCs w:val="24"/>
          <w:highlight w:val="none"/>
          <w14:textFill>
            <w14:solidFill>
              <w14:schemeClr w14:val="tx1"/>
            </w14:solidFill>
          </w14:textFill>
        </w:rPr>
        <w:t>其中</w:t>
      </w:r>
      <w:r>
        <w:rPr>
          <w:rFonts w:ascii="Times New Roman" w:hAnsi="Times New Roman"/>
          <w:bCs/>
          <w:color w:val="000000" w:themeColor="text1"/>
          <w:szCs w:val="24"/>
          <w:highlight w:val="none"/>
          <w14:textFill>
            <w14:solidFill>
              <w14:schemeClr w14:val="tx1"/>
            </w14:solidFill>
          </w14:textFill>
        </w:rPr>
        <w:t>氯化物执行《地表水环境质量标准》（GB3838-2002）中表2标准限值。</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地表水环境质量标准限值</w:t>
      </w:r>
      <w:r>
        <w:rPr>
          <w:color w:val="000000" w:themeColor="text1"/>
          <w:highlight w:val="none"/>
          <w14:textFill>
            <w14:solidFill>
              <w14:schemeClr w14:val="tx1"/>
            </w14:solidFill>
          </w14:textFill>
        </w:rPr>
        <w:t xml:space="preserve">  单位：mg/L</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6"/>
        <w:gridCol w:w="680"/>
        <w:gridCol w:w="864"/>
        <w:gridCol w:w="738"/>
        <w:gridCol w:w="793"/>
        <w:gridCol w:w="779"/>
        <w:gridCol w:w="835"/>
        <w:gridCol w:w="794"/>
        <w:gridCol w:w="821"/>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68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w:t>
            </w:r>
          </w:p>
        </w:tc>
        <w:tc>
          <w:tcPr>
            <w:tcW w:w="86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COD</w:t>
            </w:r>
            <w:r>
              <w:rPr>
                <w:b/>
                <w:bCs/>
                <w:color w:val="000000" w:themeColor="text1"/>
                <w:highlight w:val="none"/>
                <w:vertAlign w:val="subscript"/>
                <w14:textFill>
                  <w14:solidFill>
                    <w14:schemeClr w14:val="tx1"/>
                  </w14:solidFill>
                </w14:textFill>
              </w:rPr>
              <w:t>Cr</w:t>
            </w:r>
          </w:p>
        </w:tc>
        <w:tc>
          <w:tcPr>
            <w:tcW w:w="73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石油类</w:t>
            </w:r>
          </w:p>
        </w:tc>
        <w:tc>
          <w:tcPr>
            <w:tcW w:w="79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BOD</w:t>
            </w:r>
            <w:r>
              <w:rPr>
                <w:b/>
                <w:bCs/>
                <w:color w:val="000000" w:themeColor="text1"/>
                <w:highlight w:val="none"/>
                <w:vertAlign w:val="subscript"/>
                <w14:textFill>
                  <w14:solidFill>
                    <w14:schemeClr w14:val="tx1"/>
                  </w14:solidFill>
                </w14:textFill>
              </w:rPr>
              <w:t>5</w:t>
            </w:r>
          </w:p>
        </w:tc>
        <w:tc>
          <w:tcPr>
            <w:tcW w:w="77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六价铬</w:t>
            </w:r>
          </w:p>
        </w:tc>
        <w:tc>
          <w:tcPr>
            <w:tcW w:w="83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挥发酚</w:t>
            </w:r>
          </w:p>
        </w:tc>
        <w:tc>
          <w:tcPr>
            <w:tcW w:w="79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NH</w:t>
            </w:r>
            <w:r>
              <w:rPr>
                <w:b/>
                <w:bCs/>
                <w:color w:val="000000" w:themeColor="text1"/>
                <w:highlight w:val="none"/>
                <w:vertAlign w:val="subscript"/>
                <w14:textFill>
                  <w14:solidFill>
                    <w14:schemeClr w14:val="tx1"/>
                  </w14:solidFill>
                </w14:textFill>
              </w:rPr>
              <w:t>3</w:t>
            </w:r>
            <w:r>
              <w:rPr>
                <w:b/>
                <w:bCs/>
                <w:color w:val="000000" w:themeColor="text1"/>
                <w:highlight w:val="none"/>
                <w14:textFill>
                  <w14:solidFill>
                    <w14:schemeClr w14:val="tx1"/>
                  </w14:solidFill>
                </w14:textFill>
              </w:rPr>
              <w:t>-N</w:t>
            </w:r>
          </w:p>
        </w:tc>
        <w:tc>
          <w:tcPr>
            <w:tcW w:w="82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硫化物</w:t>
            </w:r>
          </w:p>
        </w:tc>
        <w:tc>
          <w:tcPr>
            <w:tcW w:w="81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氯化物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Ⅲ类标准</w:t>
            </w:r>
          </w:p>
        </w:tc>
        <w:tc>
          <w:tcPr>
            <w:tcW w:w="68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9</w:t>
            </w:r>
          </w:p>
        </w:tc>
        <w:tc>
          <w:tcPr>
            <w:tcW w:w="86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73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w:t>
            </w:r>
          </w:p>
        </w:tc>
        <w:tc>
          <w:tcPr>
            <w:tcW w:w="79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77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w:t>
            </w:r>
          </w:p>
        </w:tc>
        <w:tc>
          <w:tcPr>
            <w:tcW w:w="83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≤0.005</w:t>
            </w:r>
          </w:p>
        </w:tc>
        <w:tc>
          <w:tcPr>
            <w:tcW w:w="7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p>
        </w:tc>
        <w:tc>
          <w:tcPr>
            <w:tcW w:w="81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r>
    </w:tbl>
    <w:p>
      <w:pPr>
        <w:pStyle w:val="27"/>
        <w:spacing w:before="163" w:beforeLines="50"/>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（2）地下水</w:t>
      </w:r>
    </w:p>
    <w:p>
      <w:pPr>
        <w:pStyle w:val="27"/>
        <w:ind w:firstLine="464"/>
        <w:rPr>
          <w:rFonts w:ascii="Times New Roman" w:hAnsi="Times New Roman"/>
          <w:bCs/>
          <w:color w:val="000000" w:themeColor="text1"/>
          <w:szCs w:val="24"/>
          <w:highlight w:val="none"/>
          <w14:textFill>
            <w14:solidFill>
              <w14:schemeClr w14:val="tx1"/>
            </w14:solidFill>
          </w14:textFill>
        </w:rPr>
      </w:pPr>
      <w:r>
        <w:rPr>
          <w:color w:val="000000" w:themeColor="text1"/>
          <w:spacing w:val="-4"/>
          <w:highlight w:val="none"/>
          <w14:textFill>
            <w14:solidFill>
              <w14:schemeClr w14:val="tx1"/>
            </w14:solidFill>
          </w14:textFill>
        </w:rPr>
        <w:t>地下水环境执行《地下水质量标准》（</w:t>
      </w:r>
      <w:r>
        <w:rPr>
          <w:rFonts w:ascii="Times New Roman" w:hAnsi="Times New Roman"/>
          <w:color w:val="000000" w:themeColor="text1"/>
          <w:spacing w:val="-4"/>
          <w:highlight w:val="none"/>
          <w14:textFill>
            <w14:solidFill>
              <w14:schemeClr w14:val="tx1"/>
            </w14:solidFill>
          </w14:textFill>
        </w:rPr>
        <w:t>GB/T 14848-2017）中III类标准，</w:t>
      </w:r>
      <w:r>
        <w:rPr>
          <w:rFonts w:hint="eastAsia" w:ascii="Times New Roman" w:hAnsi="Times New Roman"/>
          <w:color w:val="000000" w:themeColor="text1"/>
          <w:spacing w:val="-4"/>
          <w:highlight w:val="none"/>
          <w14:textFill>
            <w14:solidFill>
              <w14:schemeClr w14:val="tx1"/>
            </w14:solidFill>
          </w14:textFill>
        </w:rPr>
        <w:t>其中</w:t>
      </w:r>
      <w:r>
        <w:rPr>
          <w:rFonts w:ascii="Times New Roman" w:hAnsi="Times New Roman"/>
          <w:color w:val="000000" w:themeColor="text1"/>
          <w:spacing w:val="-4"/>
          <w:highlight w:val="none"/>
          <w14:textFill>
            <w14:solidFill>
              <w14:schemeClr w14:val="tx1"/>
            </w14:solidFill>
          </w14:textFill>
        </w:rPr>
        <w:t>石油类参照执行《地表水环境质量标准》（GB 3838-2002</w:t>
      </w:r>
      <w:r>
        <w:rPr>
          <w:color w:val="000000" w:themeColor="text1"/>
          <w:spacing w:val="-4"/>
          <w:highlight w:val="none"/>
          <w14:textFill>
            <w14:solidFill>
              <w14:schemeClr w14:val="tx1"/>
            </w14:solidFill>
          </w14:textFill>
        </w:rPr>
        <w:t>）表1中</w:t>
      </w:r>
      <w:r>
        <w:rPr>
          <w:rFonts w:ascii="Times New Roman" w:hAnsi="Times New Roman"/>
          <w:color w:val="000000" w:themeColor="text1"/>
          <w:spacing w:val="-4"/>
          <w:highlight w:val="none"/>
          <w14:textFill>
            <w14:solidFill>
              <w14:schemeClr w14:val="tx1"/>
            </w14:solidFill>
          </w14:textFill>
        </w:rPr>
        <w:t>III</w:t>
      </w:r>
      <w:r>
        <w:rPr>
          <w:color w:val="000000" w:themeColor="text1"/>
          <w:spacing w:val="-4"/>
          <w:highlight w:val="none"/>
          <w14:textFill>
            <w14:solidFill>
              <w14:schemeClr w14:val="tx1"/>
            </w14:solidFill>
          </w14:textFill>
        </w:rPr>
        <w:t>类标准</w:t>
      </w:r>
      <w:r>
        <w:rPr>
          <w:rFonts w:ascii="Times New Roman" w:hAnsi="Times New Roman"/>
          <w:bCs/>
          <w:color w:val="000000" w:themeColor="text1"/>
          <w:szCs w:val="24"/>
          <w:highlight w:val="none"/>
          <w14:textFill>
            <w14:solidFill>
              <w14:schemeClr w14:val="tx1"/>
            </w14:solidFill>
          </w14:textFill>
        </w:rPr>
        <w:t>，标准值</w:t>
      </w:r>
      <w:r>
        <w:rPr>
          <w:color w:val="000000" w:themeColor="text1"/>
          <w:spacing w:val="-4"/>
          <w:highlight w:val="none"/>
          <w14:textFill>
            <w14:solidFill>
              <w14:schemeClr w14:val="tx1"/>
            </w14:solidFill>
          </w14:textFill>
        </w:rPr>
        <w:t>见</w:t>
      </w:r>
      <w:r>
        <w:rPr>
          <w:rFonts w:ascii="Times New Roman" w:hAnsi="Times New Roman"/>
          <w:color w:val="000000" w:themeColor="text1"/>
          <w:spacing w:val="-4"/>
          <w:highlight w:val="none"/>
          <w14:textFill>
            <w14:solidFill>
              <w14:schemeClr w14:val="tx1"/>
            </w14:solidFill>
          </w14:textFill>
        </w:rPr>
        <w:fldChar w:fldCharType="begin"/>
      </w:r>
      <w:r>
        <w:rPr>
          <w:rFonts w:ascii="Times New Roman" w:hAnsi="Times New Roman"/>
          <w:color w:val="000000" w:themeColor="text1"/>
          <w:spacing w:val="-4"/>
          <w:highlight w:val="none"/>
          <w14:textFill>
            <w14:solidFill>
              <w14:schemeClr w14:val="tx1"/>
            </w14:solidFill>
          </w14:textFill>
        </w:rPr>
        <w:instrText xml:space="preserve"> REF _Ref143335031 \h  \* MERGEFORMAT </w:instrText>
      </w:r>
      <w:r>
        <w:rPr>
          <w:rFonts w:ascii="Times New Roman" w:hAnsi="Times New Roman"/>
          <w:color w:val="000000" w:themeColor="text1"/>
          <w:spacing w:val="-4"/>
          <w:highlight w:val="none"/>
          <w14:textFill>
            <w14:solidFill>
              <w14:schemeClr w14:val="tx1"/>
            </w14:solidFill>
          </w14:textFill>
        </w:rPr>
        <w:fldChar w:fldCharType="separate"/>
      </w:r>
      <w:r>
        <w:rPr>
          <w:rFonts w:hint="eastAsia" w:ascii="Times New Roman" w:hAnsi="Times New Roman"/>
          <w:color w:val="000000" w:themeColor="text1"/>
          <w:spacing w:val="-4"/>
          <w:highlight w:val="none"/>
          <w14:textFill>
            <w14:solidFill>
              <w14:schemeClr w14:val="tx1"/>
            </w14:solidFill>
          </w14:textFill>
        </w:rPr>
        <w:t>表</w:t>
      </w:r>
      <w:r>
        <w:rPr>
          <w:rFonts w:ascii="Times New Roman" w:hAnsi="Times New Roman"/>
          <w:color w:val="000000" w:themeColor="text1"/>
          <w:spacing w:val="-4"/>
          <w:highlight w:val="none"/>
          <w14:textFill>
            <w14:solidFill>
              <w14:schemeClr w14:val="tx1"/>
            </w14:solidFill>
          </w14:textFill>
        </w:rPr>
        <w:t>2.5</w:t>
      </w:r>
      <w:r>
        <w:rPr>
          <w:rFonts w:ascii="Times New Roman" w:hAnsi="Times New Roman"/>
          <w:color w:val="000000" w:themeColor="text1"/>
          <w:spacing w:val="-4"/>
          <w:highlight w:val="none"/>
          <w14:textFill>
            <w14:solidFill>
              <w14:schemeClr w14:val="tx1"/>
            </w14:solidFill>
          </w14:textFill>
        </w:rPr>
        <w:noBreakHyphen/>
      </w:r>
      <w:r>
        <w:rPr>
          <w:rFonts w:ascii="Times New Roman" w:hAnsi="Times New Roman"/>
          <w:color w:val="000000" w:themeColor="text1"/>
          <w:spacing w:val="-4"/>
          <w:highlight w:val="none"/>
          <w14:textFill>
            <w14:solidFill>
              <w14:schemeClr w14:val="tx1"/>
            </w14:solidFill>
          </w14:textFill>
        </w:rPr>
        <w:t>2</w:t>
      </w:r>
      <w:r>
        <w:rPr>
          <w:rFonts w:ascii="Times New Roman" w:hAnsi="Times New Roman"/>
          <w:color w:val="000000" w:themeColor="text1"/>
          <w:spacing w:val="-4"/>
          <w:highlight w:val="none"/>
          <w14:textFill>
            <w14:solidFill>
              <w14:schemeClr w14:val="tx1"/>
            </w14:solidFill>
          </w14:textFill>
        </w:rPr>
        <w:fldChar w:fldCharType="end"/>
      </w:r>
      <w:r>
        <w:rPr>
          <w:rFonts w:ascii="Times New Roman" w:hAnsi="Times New Roman"/>
          <w:bCs/>
          <w:color w:val="000000" w:themeColor="text1"/>
          <w:szCs w:val="24"/>
          <w:highlight w:val="none"/>
          <w14:textFill>
            <w14:solidFill>
              <w14:schemeClr w14:val="tx1"/>
            </w14:solidFill>
          </w14:textFill>
        </w:rPr>
        <w:t>。</w:t>
      </w:r>
    </w:p>
    <w:p>
      <w:pPr>
        <w:pStyle w:val="203"/>
        <w:spacing w:before="163"/>
        <w:rPr>
          <w:color w:val="000000" w:themeColor="text1"/>
          <w:highlight w:val="none"/>
          <w14:textFill>
            <w14:solidFill>
              <w14:schemeClr w14:val="tx1"/>
            </w14:solidFill>
          </w14:textFill>
        </w:rPr>
      </w:pPr>
      <w:bookmarkStart w:id="60" w:name="_Ref14333503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6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地下水质量标准限值</w:t>
      </w:r>
      <w:r>
        <w:rPr>
          <w:color w:val="000000" w:themeColor="text1"/>
          <w:highlight w:val="none"/>
          <w14:textFill>
            <w14:solidFill>
              <w14:schemeClr w14:val="tx1"/>
            </w14:solidFill>
          </w14:textFill>
        </w:rPr>
        <w:t xml:space="preserve">  单位：mg/L</w:t>
      </w:r>
    </w:p>
    <w:tbl>
      <w:tblPr>
        <w:tblStyle w:val="59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1963"/>
        <w:gridCol w:w="1348"/>
        <w:gridCol w:w="898"/>
        <w:gridCol w:w="1963"/>
        <w:gridCol w:w="1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序号</w:t>
            </w:r>
          </w:p>
        </w:tc>
        <w:tc>
          <w:tcPr>
            <w:tcW w:w="1194" w:type="pct"/>
            <w:vAlign w:val="center"/>
          </w:tcPr>
          <w:p>
            <w:pPr>
              <w:pStyle w:val="297"/>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指标</w:t>
            </w:r>
          </w:p>
        </w:tc>
        <w:tc>
          <w:tcPr>
            <w:tcW w:w="820" w:type="pct"/>
            <w:vAlign w:val="center"/>
          </w:tcPr>
          <w:p>
            <w:pPr>
              <w:pStyle w:val="297"/>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标准值</w:t>
            </w:r>
          </w:p>
        </w:tc>
        <w:tc>
          <w:tcPr>
            <w:tcW w:w="546" w:type="pct"/>
            <w:vAlign w:val="center"/>
          </w:tcPr>
          <w:p>
            <w:pPr>
              <w:pStyle w:val="297"/>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序号</w:t>
            </w:r>
          </w:p>
        </w:tc>
        <w:tc>
          <w:tcPr>
            <w:tcW w:w="1194" w:type="pct"/>
            <w:vAlign w:val="center"/>
          </w:tcPr>
          <w:p>
            <w:pPr>
              <w:pStyle w:val="297"/>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污染物</w:t>
            </w:r>
          </w:p>
        </w:tc>
        <w:tc>
          <w:tcPr>
            <w:tcW w:w="732" w:type="pct"/>
            <w:vAlign w:val="center"/>
          </w:tcPr>
          <w:p>
            <w:pPr>
              <w:pStyle w:val="297"/>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pH</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6.5-8.5</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1</w:t>
            </w:r>
            <w:r>
              <w:rPr>
                <w:rFonts w:eastAsia="Times New Roman"/>
                <w:snapToGrid w:val="0"/>
                <w:color w:val="000000" w:themeColor="text1"/>
                <w:highlight w:val="none"/>
                <w14:textFill>
                  <w14:solidFill>
                    <w14:schemeClr w14:val="tx1"/>
                  </w14:solidFill>
                </w14:textFill>
                <w14:ligatures w14:val="standardContextual"/>
              </w:rPr>
              <w:t>3</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溶解性总固体</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氨氮</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≤0.5</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14</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耗氧量</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3</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硝酸盐</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≤20</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15</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氯化物</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4</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亚硝酸盐</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16</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总大肠杆菌</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5</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挥发性酚</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≤0.002</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17</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细菌总数</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6</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氰化物</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≤0.05</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18</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石油类</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7</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砷</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≤0.01</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19</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铬（六价）</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8</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汞</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≤0.001</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20</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硫酸盐</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9</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总硬度</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≤450</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21</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钠</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铅</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≤0.01</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22</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硫化物</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11</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氟化物</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≤1.0</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23</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铁</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12</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镉</w:t>
            </w:r>
          </w:p>
        </w:tc>
        <w:tc>
          <w:tcPr>
            <w:tcW w:w="820"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≤0.005</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24</w:t>
            </w: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锰</w:t>
            </w: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25</w:t>
            </w:r>
          </w:p>
        </w:tc>
        <w:tc>
          <w:tcPr>
            <w:tcW w:w="1963" w:type="dxa"/>
            <w:vAlign w:val="center"/>
          </w:tcPr>
          <w:p>
            <w:pPr>
              <w:pStyle w:val="297"/>
              <w:spacing w:line="360" w:lineRule="auto"/>
              <w:ind w:firstLine="200"/>
              <w:rPr>
                <w:rFonts w:eastAsia="Times New Roman"/>
                <w:snapToGrid w:val="0"/>
                <w:color w:val="000000" w:themeColor="text1"/>
                <w:highlight w:val="none"/>
                <w14:textFill>
                  <w14:solidFill>
                    <w14:schemeClr w14:val="tx1"/>
                  </w14:solidFill>
                </w14:textFill>
                <w14:ligatures w14:val="standardContextual"/>
              </w:rPr>
            </w:pPr>
            <w:r>
              <w:rPr>
                <w:rFonts w:eastAsia="Times New Roman"/>
                <w:color w:val="000000" w:themeColor="text1"/>
                <w:highlight w:val="none"/>
                <w:lang w:val="zh-CN"/>
                <w14:textFill>
                  <w14:solidFill>
                    <w14:schemeClr w14:val="tx1"/>
                  </w14:solidFill>
                </w14:textFill>
                <w14:ligatures w14:val="standardContextual"/>
              </w:rPr>
              <w:t>钡</w:t>
            </w:r>
          </w:p>
        </w:tc>
        <w:tc>
          <w:tcPr>
            <w:tcW w:w="1348" w:type="dxa"/>
            <w:vAlign w:val="center"/>
          </w:tcPr>
          <w:p>
            <w:pPr>
              <w:pStyle w:val="297"/>
              <w:spacing w:line="360" w:lineRule="auto"/>
              <w:ind w:firstLine="200"/>
              <w:rPr>
                <w:rFonts w:eastAsia="Times New Roman"/>
                <w:snapToGrid w:val="0"/>
                <w:color w:val="000000" w:themeColor="text1"/>
                <w:highlight w:val="none"/>
                <w14:textFill>
                  <w14:solidFill>
                    <w14:schemeClr w14:val="tx1"/>
                  </w14:solidFill>
                </w14:textFill>
                <w14:ligatures w14:val="standardContextual"/>
              </w:rPr>
            </w:pPr>
            <w:r>
              <w:rPr>
                <w:rFonts w:eastAsia="Times New Roman"/>
                <w:color w:val="000000" w:themeColor="text1"/>
                <w:highlight w:val="none"/>
                <w:lang w:val="zh-CN"/>
                <w14:textFill>
                  <w14:solidFill>
                    <w14:schemeClr w14:val="tx1"/>
                  </w14:solidFill>
                </w14:textFill>
                <w14:ligatures w14:val="standardContextual"/>
              </w:rPr>
              <w:t>≤0.7</w:t>
            </w:r>
          </w:p>
        </w:tc>
        <w:tc>
          <w:tcPr>
            <w:tcW w:w="546"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119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c>
          <w:tcPr>
            <w:tcW w:w="73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（3）环境空气</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评价区域环境空气执行《环境空气质量标准》（GB3095-2012）二级标准；</w:t>
      </w:r>
      <w:r>
        <w:rPr>
          <w:rFonts w:hint="eastAsia" w:ascii="Times New Roman" w:hAnsi="Times New Roman"/>
          <w:bCs/>
          <w:color w:val="000000" w:themeColor="text1"/>
          <w:szCs w:val="24"/>
          <w:highlight w:val="none"/>
          <w14:textFill>
            <w14:solidFill>
              <w14:schemeClr w14:val="tx1"/>
            </w14:solidFill>
          </w14:textFill>
        </w:rPr>
        <w:t>其中</w:t>
      </w:r>
      <w:r>
        <w:rPr>
          <w:rFonts w:ascii="Times New Roman" w:hAnsi="Times New Roman"/>
          <w:bCs/>
          <w:color w:val="000000" w:themeColor="text1"/>
          <w:szCs w:val="24"/>
          <w:highlight w:val="none"/>
          <w14:textFill>
            <w14:solidFill>
              <w14:schemeClr w14:val="tx1"/>
            </w14:solidFill>
          </w14:textFill>
        </w:rPr>
        <w:t>非甲烷总烃执行《大气污染物综合排放标准详解》中标准限值。具体标准限值见</w:t>
      </w:r>
      <w:r>
        <w:rPr>
          <w:rFonts w:ascii="Times New Roman" w:hAnsi="Times New Roman"/>
          <w:bCs/>
          <w:color w:val="000000" w:themeColor="text1"/>
          <w:szCs w:val="24"/>
          <w:highlight w:val="none"/>
          <w14:textFill>
            <w14:solidFill>
              <w14:schemeClr w14:val="tx1"/>
            </w14:solidFill>
          </w14:textFill>
        </w:rPr>
        <w:fldChar w:fldCharType="begin"/>
      </w:r>
      <w:r>
        <w:rPr>
          <w:rFonts w:ascii="Times New Roman" w:hAnsi="Times New Roman"/>
          <w:bCs/>
          <w:color w:val="000000" w:themeColor="text1"/>
          <w:szCs w:val="24"/>
          <w:highlight w:val="none"/>
          <w14:textFill>
            <w14:solidFill>
              <w14:schemeClr w14:val="tx1"/>
            </w14:solidFill>
          </w14:textFill>
        </w:rPr>
        <w:instrText xml:space="preserve"> REF _Ref143335003 \h  \* MERGEFORMAT </w:instrText>
      </w:r>
      <w:r>
        <w:rPr>
          <w:rFonts w:ascii="Times New Roman" w:hAnsi="Times New Roman"/>
          <w:bCs/>
          <w:color w:val="000000" w:themeColor="text1"/>
          <w:szCs w:val="24"/>
          <w:highlight w:val="none"/>
          <w14:textFill>
            <w14:solidFill>
              <w14:schemeClr w14:val="tx1"/>
            </w14:solidFill>
          </w14:textFill>
        </w:rPr>
        <w:fldChar w:fldCharType="separate"/>
      </w:r>
      <w:r>
        <w:rPr>
          <w:rFonts w:hint="eastAsia" w:ascii="Times New Roman" w:hAnsi="Times New Roman"/>
          <w:bCs/>
          <w:color w:val="000000" w:themeColor="text1"/>
          <w:szCs w:val="24"/>
          <w:highlight w:val="none"/>
          <w14:textFill>
            <w14:solidFill>
              <w14:schemeClr w14:val="tx1"/>
            </w14:solidFill>
          </w14:textFill>
        </w:rPr>
        <w:t>表</w:t>
      </w:r>
      <w:r>
        <w:rPr>
          <w:rFonts w:ascii="Times New Roman" w:hAnsi="Times New Roman"/>
          <w:bCs/>
          <w:color w:val="000000" w:themeColor="text1"/>
          <w:szCs w:val="24"/>
          <w:highlight w:val="none"/>
          <w14:textFill>
            <w14:solidFill>
              <w14:schemeClr w14:val="tx1"/>
            </w14:solidFill>
          </w14:textFill>
        </w:rPr>
        <w:t>2.5</w:t>
      </w:r>
      <w:r>
        <w:rPr>
          <w:rFonts w:ascii="Times New Roman" w:hAnsi="Times New Roman"/>
          <w:bCs/>
          <w:color w:val="000000" w:themeColor="text1"/>
          <w:szCs w:val="24"/>
          <w:highlight w:val="none"/>
          <w14:textFill>
            <w14:solidFill>
              <w14:schemeClr w14:val="tx1"/>
            </w14:solidFill>
          </w14:textFill>
        </w:rPr>
        <w:noBreakHyphen/>
      </w:r>
      <w:r>
        <w:rPr>
          <w:rFonts w:ascii="Times New Roman" w:hAnsi="Times New Roman"/>
          <w:bCs/>
          <w:color w:val="000000" w:themeColor="text1"/>
          <w:szCs w:val="24"/>
          <w:highlight w:val="none"/>
          <w14:textFill>
            <w14:solidFill>
              <w14:schemeClr w14:val="tx1"/>
            </w14:solidFill>
          </w14:textFill>
        </w:rPr>
        <w:t>3</w:t>
      </w:r>
      <w:r>
        <w:rPr>
          <w:rFonts w:ascii="Times New Roman" w:hAnsi="Times New Roman"/>
          <w:bCs/>
          <w:color w:val="000000" w:themeColor="text1"/>
          <w:szCs w:val="24"/>
          <w:highlight w:val="none"/>
          <w14:textFill>
            <w14:solidFill>
              <w14:schemeClr w14:val="tx1"/>
            </w14:solidFill>
          </w14:textFill>
        </w:rPr>
        <w:fldChar w:fldCharType="end"/>
      </w:r>
      <w:r>
        <w:rPr>
          <w:rFonts w:ascii="Times New Roman" w:hAnsi="Times New Roman"/>
          <w:bCs/>
          <w:color w:val="000000" w:themeColor="text1"/>
          <w:szCs w:val="24"/>
          <w:highlight w:val="none"/>
          <w14:textFill>
            <w14:solidFill>
              <w14:schemeClr w14:val="tx1"/>
            </w14:solidFill>
          </w14:textFill>
        </w:rPr>
        <w:t>。</w:t>
      </w:r>
    </w:p>
    <w:p>
      <w:pPr>
        <w:pStyle w:val="203"/>
        <w:spacing w:before="163"/>
        <w:rPr>
          <w:color w:val="000000" w:themeColor="text1"/>
          <w:highlight w:val="none"/>
          <w14:textFill>
            <w14:solidFill>
              <w14:schemeClr w14:val="tx1"/>
            </w14:solidFill>
          </w14:textFill>
        </w:rPr>
      </w:pPr>
      <w:bookmarkStart w:id="61" w:name="_Ref14333500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61"/>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环境空气质量标准限值</w:t>
      </w:r>
      <w:r>
        <w:rPr>
          <w:color w:val="000000" w:themeColor="text1"/>
          <w:highlight w:val="none"/>
          <w14:textFill>
            <w14:solidFill>
              <w14:schemeClr w14:val="tx1"/>
            </w14:solidFill>
          </w14:textFill>
        </w:rPr>
        <w:t xml:space="preserve">  单位：mg/m</w:t>
      </w:r>
      <w:r>
        <w:rPr>
          <w:color w:val="000000" w:themeColor="text1"/>
          <w:highlight w:val="none"/>
          <w:vertAlign w:val="superscript"/>
          <w14:textFill>
            <w14:solidFill>
              <w14:schemeClr w14:val="tx1"/>
            </w14:solidFill>
          </w14:textFill>
        </w:rPr>
        <w:t>3</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1685"/>
        <w:gridCol w:w="1685"/>
        <w:gridCol w:w="3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blHeader/>
          <w:jc w:val="center"/>
        </w:trPr>
        <w:tc>
          <w:tcPr>
            <w:tcW w:w="1522"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3622" w:type="dxa"/>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浓度限值</w:t>
            </w:r>
          </w:p>
        </w:tc>
        <w:tc>
          <w:tcPr>
            <w:tcW w:w="3709"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tblHeader/>
          <w:jc w:val="center"/>
        </w:trPr>
        <w:tc>
          <w:tcPr>
            <w:tcW w:w="1522" w:type="dxa"/>
            <w:vMerge w:val="continue"/>
            <w:vAlign w:val="center"/>
          </w:tcPr>
          <w:p>
            <w:pPr>
              <w:pStyle w:val="297"/>
              <w:rPr>
                <w:b/>
                <w:bCs/>
                <w:color w:val="000000" w:themeColor="text1"/>
                <w:highlight w:val="none"/>
                <w14:textFill>
                  <w14:solidFill>
                    <w14:schemeClr w14:val="tx1"/>
                  </w14:solidFill>
                </w14:textFill>
              </w:rPr>
            </w:pPr>
          </w:p>
        </w:tc>
        <w:tc>
          <w:tcPr>
            <w:tcW w:w="181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取值时间</w:t>
            </w:r>
          </w:p>
        </w:tc>
        <w:tc>
          <w:tcPr>
            <w:tcW w:w="181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标准限值</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10</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70μg/m</w:t>
            </w:r>
            <w:r>
              <w:rPr>
                <w:color w:val="000000" w:themeColor="text1"/>
                <w:highlight w:val="none"/>
                <w:vertAlign w:val="superscript"/>
                <w14:textFill>
                  <w14:solidFill>
                    <w14:schemeClr w14:val="tx1"/>
                  </w14:solidFill>
                </w14:textFill>
              </w:rPr>
              <w:t>3</w:t>
            </w:r>
          </w:p>
        </w:tc>
        <w:tc>
          <w:tcPr>
            <w:tcW w:w="3709"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continue"/>
            <w:vAlign w:val="center"/>
          </w:tcPr>
          <w:p>
            <w:pPr>
              <w:pStyle w:val="297"/>
              <w:rPr>
                <w:color w:val="000000" w:themeColor="text1"/>
                <w:highlight w:val="none"/>
                <w:vertAlign w:val="subscript"/>
                <w14:textFill>
                  <w14:solidFill>
                    <w14:schemeClr w14:val="tx1"/>
                  </w14:solidFill>
                </w14:textFill>
              </w:rPr>
            </w:pP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w:t>
            </w:r>
            <w:r>
              <w:rPr>
                <w:color w:val="000000" w:themeColor="text1"/>
                <w:highlight w:val="none"/>
                <w:vertAlign w:val="subscript"/>
                <w14:textFill>
                  <w14:solidFill>
                    <w14:schemeClr w14:val="tx1"/>
                  </w14:solidFill>
                </w14:textFill>
              </w:rPr>
              <w:t>2.5</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continue"/>
            <w:vAlign w:val="center"/>
          </w:tcPr>
          <w:p>
            <w:pPr>
              <w:pStyle w:val="297"/>
              <w:rPr>
                <w:color w:val="000000" w:themeColor="text1"/>
                <w:highlight w:val="none"/>
                <w:vertAlign w:val="subscript"/>
                <w14:textFill>
                  <w14:solidFill>
                    <w14:schemeClr w14:val="tx1"/>
                  </w14:solidFill>
                </w14:textFill>
              </w:rPr>
            </w:pP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restart"/>
            <w:vAlign w:val="center"/>
          </w:tcPr>
          <w:p>
            <w:pPr>
              <w:pStyle w:val="297"/>
              <w:rPr>
                <w:color w:val="000000" w:themeColor="text1"/>
                <w:highlight w:val="none"/>
                <w:vertAlign w:val="subscript"/>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522" w:type="dxa"/>
            <w:vMerge w:val="continue"/>
            <w:vAlign w:val="center"/>
          </w:tcPr>
          <w:p>
            <w:pPr>
              <w:pStyle w:val="297"/>
              <w:rPr>
                <w:color w:val="000000" w:themeColor="text1"/>
                <w:highlight w:val="none"/>
                <w14:textFill>
                  <w14:solidFill>
                    <w14:schemeClr w14:val="tx1"/>
                  </w14:solidFill>
                </w14:textFill>
              </w:rPr>
            </w:pP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522" w:type="dxa"/>
            <w:vMerge w:val="continue"/>
            <w:vAlign w:val="center"/>
          </w:tcPr>
          <w:p>
            <w:pPr>
              <w:pStyle w:val="297"/>
              <w:rPr>
                <w:color w:val="000000" w:themeColor="text1"/>
                <w:highlight w:val="none"/>
                <w14:textFill>
                  <w14:solidFill>
                    <w14:schemeClr w14:val="tx1"/>
                  </w14:solidFill>
                </w14:textFill>
              </w:rPr>
            </w:pP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2</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continue"/>
            <w:vAlign w:val="center"/>
          </w:tcPr>
          <w:p>
            <w:pPr>
              <w:pStyle w:val="297"/>
              <w:rPr>
                <w:color w:val="000000" w:themeColor="text1"/>
                <w:highlight w:val="none"/>
                <w14:textFill>
                  <w14:solidFill>
                    <w14:schemeClr w14:val="tx1"/>
                  </w14:solidFill>
                </w14:textFill>
              </w:rPr>
            </w:pP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continue"/>
            <w:vAlign w:val="center"/>
          </w:tcPr>
          <w:p>
            <w:pPr>
              <w:pStyle w:val="297"/>
              <w:rPr>
                <w:color w:val="000000" w:themeColor="text1"/>
                <w:highlight w:val="none"/>
                <w14:textFill>
                  <w14:solidFill>
                    <w14:schemeClr w14:val="tx1"/>
                  </w14:solidFill>
                </w14:textFill>
              </w:rPr>
            </w:pP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continue"/>
            <w:vAlign w:val="center"/>
          </w:tcPr>
          <w:p>
            <w:pPr>
              <w:pStyle w:val="297"/>
              <w:rPr>
                <w:color w:val="000000" w:themeColor="text1"/>
                <w:highlight w:val="none"/>
                <w14:textFill>
                  <w14:solidFill>
                    <w14:schemeClr w14:val="tx1"/>
                  </w14:solidFill>
                </w14:textFill>
              </w:rPr>
            </w:pP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300μg/m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4mg/m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continue"/>
            <w:vAlign w:val="center"/>
          </w:tcPr>
          <w:p>
            <w:pPr>
              <w:pStyle w:val="297"/>
              <w:rPr>
                <w:color w:val="000000" w:themeColor="text1"/>
                <w:highlight w:val="none"/>
                <w14:textFill>
                  <w14:solidFill>
                    <w14:schemeClr w14:val="tx1"/>
                  </w14:solidFill>
                </w14:textFill>
              </w:rPr>
            </w:pP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10mg/m</w:t>
            </w:r>
            <w:r>
              <w:rPr>
                <w:color w:val="000000" w:themeColor="text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restart"/>
            <w:vAlign w:val="center"/>
          </w:tcPr>
          <w:p>
            <w:pPr>
              <w:pStyle w:val="297"/>
              <w:rPr>
                <w:color w:val="000000" w:themeColor="text1"/>
                <w:highlight w:val="none"/>
                <w14:textFill>
                  <w14:solidFill>
                    <w14:schemeClr w14:val="tx1"/>
                  </w14:solidFill>
                </w14:textFill>
              </w:rPr>
            </w:pPr>
            <w:r>
              <w:rPr>
                <w:iCs/>
                <w:color w:val="000000" w:themeColor="text1"/>
                <w:kern w:val="0"/>
                <w:szCs w:val="21"/>
                <w:highlight w:val="none"/>
                <w14:textFill>
                  <w14:solidFill>
                    <w14:schemeClr w14:val="tx1"/>
                  </w14:solidFill>
                </w14:textFill>
              </w:rPr>
              <w:t>O</w:t>
            </w:r>
            <w:r>
              <w:rPr>
                <w:iCs/>
                <w:color w:val="000000" w:themeColor="text1"/>
                <w:kern w:val="0"/>
                <w:szCs w:val="21"/>
                <w:highlight w:val="none"/>
                <w:vertAlign w:val="subscript"/>
                <w14:textFill>
                  <w14:solidFill>
                    <w14:schemeClr w14:val="tx1"/>
                  </w14:solidFill>
                </w14:textFill>
              </w:rPr>
              <w:t>3</w:t>
            </w:r>
          </w:p>
        </w:tc>
        <w:tc>
          <w:tcPr>
            <w:tcW w:w="1811" w:type="dxa"/>
          </w:tcPr>
          <w:p>
            <w:pPr>
              <w:pStyle w:val="297"/>
              <w:rPr>
                <w:color w:val="000000" w:themeColor="text1"/>
                <w:highlight w:val="none"/>
                <w14:textFill>
                  <w14:solidFill>
                    <w14:schemeClr w14:val="tx1"/>
                  </w14:solidFill>
                </w14:textFill>
              </w:rPr>
            </w:pPr>
            <w:r>
              <w:rPr>
                <w:iCs/>
                <w:color w:val="000000" w:themeColor="text1"/>
                <w:szCs w:val="21"/>
                <w:highlight w:val="none"/>
                <w14:textFill>
                  <w14:solidFill>
                    <w14:schemeClr w14:val="tx1"/>
                  </w14:solidFill>
                </w14:textFill>
              </w:rPr>
              <w:t>8小时平均</w:t>
            </w:r>
          </w:p>
        </w:tc>
        <w:tc>
          <w:tcPr>
            <w:tcW w:w="1811" w:type="dxa"/>
          </w:tcPr>
          <w:p>
            <w:pPr>
              <w:pStyle w:val="297"/>
              <w:rPr>
                <w:color w:val="000000" w:themeColor="text1"/>
                <w:highlight w:val="none"/>
                <w14:textFill>
                  <w14:solidFill>
                    <w14:schemeClr w14:val="tx1"/>
                  </w14:solidFill>
                </w14:textFill>
              </w:rPr>
            </w:pPr>
            <w:r>
              <w:rPr>
                <w:iCs/>
                <w:color w:val="000000" w:themeColor="text1"/>
                <w:szCs w:val="21"/>
                <w:highlight w:val="none"/>
                <w14:textFill>
                  <w14:solidFill>
                    <w14:schemeClr w14:val="tx1"/>
                  </w14:solidFill>
                </w14:textFill>
              </w:rPr>
              <w:t>160</w:t>
            </w:r>
            <w:r>
              <w:rPr>
                <w:iCs/>
                <w:color w:val="000000" w:themeColor="text1"/>
                <w:kern w:val="0"/>
                <w:szCs w:val="21"/>
                <w:highlight w:val="none"/>
                <w14:textFill>
                  <w14:solidFill>
                    <w14:schemeClr w14:val="tx1"/>
                  </w14:solidFill>
                </w14:textFill>
              </w:rPr>
              <w:t>μg/m</w:t>
            </w:r>
            <w:r>
              <w:rPr>
                <w:iCs/>
                <w:color w:val="000000" w:themeColor="text1"/>
                <w:kern w:val="0"/>
                <w:szCs w:val="2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Merge w:val="continue"/>
            <w:vAlign w:val="center"/>
          </w:tcPr>
          <w:p>
            <w:pPr>
              <w:pStyle w:val="297"/>
              <w:rPr>
                <w:color w:val="000000" w:themeColor="text1"/>
                <w:highlight w:val="none"/>
                <w14:textFill>
                  <w14:solidFill>
                    <w14:schemeClr w14:val="tx1"/>
                  </w14:solidFill>
                </w14:textFill>
              </w:rPr>
            </w:pPr>
          </w:p>
        </w:tc>
        <w:tc>
          <w:tcPr>
            <w:tcW w:w="1811" w:type="dxa"/>
          </w:tcPr>
          <w:p>
            <w:pPr>
              <w:pStyle w:val="297"/>
              <w:rPr>
                <w:color w:val="000000" w:themeColor="text1"/>
                <w:highlight w:val="none"/>
                <w14:textFill>
                  <w14:solidFill>
                    <w14:schemeClr w14:val="tx1"/>
                  </w14:solidFill>
                </w14:textFill>
              </w:rPr>
            </w:pPr>
            <w:r>
              <w:rPr>
                <w:iCs/>
                <w:color w:val="000000" w:themeColor="text1"/>
                <w:szCs w:val="21"/>
                <w:highlight w:val="none"/>
                <w14:textFill>
                  <w14:solidFill>
                    <w14:schemeClr w14:val="tx1"/>
                  </w14:solidFill>
                </w14:textFill>
              </w:rPr>
              <w:t>1小时平均</w:t>
            </w:r>
          </w:p>
        </w:tc>
        <w:tc>
          <w:tcPr>
            <w:tcW w:w="1811" w:type="dxa"/>
          </w:tcPr>
          <w:p>
            <w:pPr>
              <w:pStyle w:val="297"/>
              <w:rPr>
                <w:color w:val="000000" w:themeColor="text1"/>
                <w:highlight w:val="none"/>
                <w14:textFill>
                  <w14:solidFill>
                    <w14:schemeClr w14:val="tx1"/>
                  </w14:solidFill>
                </w14:textFill>
              </w:rPr>
            </w:pPr>
            <w:r>
              <w:rPr>
                <w:iCs/>
                <w:color w:val="000000" w:themeColor="text1"/>
                <w:szCs w:val="21"/>
                <w:highlight w:val="none"/>
                <w14:textFill>
                  <w14:solidFill>
                    <w14:schemeClr w14:val="tx1"/>
                  </w14:solidFill>
                </w14:textFill>
              </w:rPr>
              <w:t>200</w:t>
            </w:r>
            <w:r>
              <w:rPr>
                <w:iCs/>
                <w:color w:val="000000" w:themeColor="text1"/>
                <w:kern w:val="0"/>
                <w:szCs w:val="21"/>
                <w:highlight w:val="none"/>
                <w14:textFill>
                  <w14:solidFill>
                    <w14:schemeClr w14:val="tx1"/>
                  </w14:solidFill>
                </w14:textFill>
              </w:rPr>
              <w:t>μg/m</w:t>
            </w:r>
            <w:r>
              <w:rPr>
                <w:iCs/>
                <w:color w:val="000000" w:themeColor="text1"/>
                <w:kern w:val="0"/>
                <w:szCs w:val="21"/>
                <w:highlight w:val="none"/>
                <w:vertAlign w:val="superscript"/>
                <w14:textFill>
                  <w14:solidFill>
                    <w14:schemeClr w14:val="tx1"/>
                  </w14:solidFill>
                </w14:textFill>
              </w:rPr>
              <w:t>3</w:t>
            </w:r>
          </w:p>
        </w:tc>
        <w:tc>
          <w:tcPr>
            <w:tcW w:w="3709"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 w:hRule="atLeast"/>
          <w:jc w:val="center"/>
        </w:trPr>
        <w:tc>
          <w:tcPr>
            <w:tcW w:w="152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非甲烷总烃</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1小时平均</w:t>
            </w:r>
          </w:p>
        </w:tc>
        <w:tc>
          <w:tcPr>
            <w:tcW w:w="181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2mg/m</w:t>
            </w:r>
            <w:r>
              <w:rPr>
                <w:color w:val="000000" w:themeColor="text1"/>
                <w:highlight w:val="none"/>
                <w:vertAlign w:val="superscript"/>
                <w14:textFill>
                  <w14:solidFill>
                    <w14:schemeClr w14:val="tx1"/>
                  </w14:solidFill>
                </w14:textFill>
              </w:rPr>
              <w:t>3</w:t>
            </w:r>
          </w:p>
        </w:tc>
        <w:tc>
          <w:tcPr>
            <w:tcW w:w="3709" w:type="dxa"/>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《大气污染物综合排放标准详解》</w:t>
            </w: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（4）声环境</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项目区域声环境执行《声环境质量标准》（GB3096-2008）2类功能区标准，标准限值见</w:t>
      </w:r>
      <w:r>
        <w:rPr>
          <w:rFonts w:ascii="Times New Roman" w:hAnsi="Times New Roman"/>
          <w:bCs/>
          <w:color w:val="000000" w:themeColor="text1"/>
          <w:szCs w:val="24"/>
          <w:highlight w:val="none"/>
          <w14:textFill>
            <w14:solidFill>
              <w14:schemeClr w14:val="tx1"/>
            </w14:solidFill>
          </w14:textFill>
        </w:rPr>
        <w:fldChar w:fldCharType="begin"/>
      </w:r>
      <w:r>
        <w:rPr>
          <w:rFonts w:ascii="Times New Roman" w:hAnsi="Times New Roman"/>
          <w:bCs/>
          <w:color w:val="000000" w:themeColor="text1"/>
          <w:szCs w:val="24"/>
          <w:highlight w:val="none"/>
          <w14:textFill>
            <w14:solidFill>
              <w14:schemeClr w14:val="tx1"/>
            </w14:solidFill>
          </w14:textFill>
        </w:rPr>
        <w:instrText xml:space="preserve"> REF _Ref143335009 \h  \* MERGEFORMAT </w:instrText>
      </w:r>
      <w:r>
        <w:rPr>
          <w:rFonts w:ascii="Times New Roman" w:hAnsi="Times New Roman"/>
          <w:bCs/>
          <w:color w:val="000000" w:themeColor="text1"/>
          <w:szCs w:val="24"/>
          <w:highlight w:val="none"/>
          <w14:textFill>
            <w14:solidFill>
              <w14:schemeClr w14:val="tx1"/>
            </w14:solidFill>
          </w14:textFill>
        </w:rPr>
        <w:fldChar w:fldCharType="separate"/>
      </w:r>
      <w:r>
        <w:rPr>
          <w:rFonts w:hint="eastAsia" w:ascii="Times New Roman" w:hAnsi="Times New Roman"/>
          <w:bCs/>
          <w:color w:val="000000" w:themeColor="text1"/>
          <w:szCs w:val="24"/>
          <w:highlight w:val="none"/>
          <w14:textFill>
            <w14:solidFill>
              <w14:schemeClr w14:val="tx1"/>
            </w14:solidFill>
          </w14:textFill>
        </w:rPr>
        <w:t>表</w:t>
      </w:r>
      <w:r>
        <w:rPr>
          <w:rFonts w:ascii="Times New Roman" w:hAnsi="Times New Roman"/>
          <w:bCs/>
          <w:color w:val="000000" w:themeColor="text1"/>
          <w:szCs w:val="24"/>
          <w:highlight w:val="none"/>
          <w14:textFill>
            <w14:solidFill>
              <w14:schemeClr w14:val="tx1"/>
            </w14:solidFill>
          </w14:textFill>
        </w:rPr>
        <w:t>2.5</w:t>
      </w:r>
      <w:r>
        <w:rPr>
          <w:rFonts w:ascii="Times New Roman" w:hAnsi="Times New Roman"/>
          <w:bCs/>
          <w:color w:val="000000" w:themeColor="text1"/>
          <w:szCs w:val="24"/>
          <w:highlight w:val="none"/>
          <w14:textFill>
            <w14:solidFill>
              <w14:schemeClr w14:val="tx1"/>
            </w14:solidFill>
          </w14:textFill>
        </w:rPr>
        <w:noBreakHyphen/>
      </w:r>
      <w:r>
        <w:rPr>
          <w:rFonts w:ascii="Times New Roman" w:hAnsi="Times New Roman"/>
          <w:bCs/>
          <w:color w:val="000000" w:themeColor="text1"/>
          <w:szCs w:val="24"/>
          <w:highlight w:val="none"/>
          <w14:textFill>
            <w14:solidFill>
              <w14:schemeClr w14:val="tx1"/>
            </w14:solidFill>
          </w14:textFill>
        </w:rPr>
        <w:t>4</w:t>
      </w:r>
      <w:r>
        <w:rPr>
          <w:rFonts w:ascii="Times New Roman" w:hAnsi="Times New Roman"/>
          <w:bCs/>
          <w:color w:val="000000" w:themeColor="text1"/>
          <w:szCs w:val="24"/>
          <w:highlight w:val="none"/>
          <w14:textFill>
            <w14:solidFill>
              <w14:schemeClr w14:val="tx1"/>
            </w14:solidFill>
          </w14:textFill>
        </w:rPr>
        <w:fldChar w:fldCharType="end"/>
      </w:r>
      <w:r>
        <w:rPr>
          <w:rFonts w:ascii="Times New Roman" w:hAnsi="Times New Roman"/>
          <w:bCs/>
          <w:color w:val="000000" w:themeColor="text1"/>
          <w:szCs w:val="24"/>
          <w:highlight w:val="none"/>
          <w14:textFill>
            <w14:solidFill>
              <w14:schemeClr w14:val="tx1"/>
            </w14:solidFill>
          </w14:textFill>
        </w:rPr>
        <w:t>。</w:t>
      </w:r>
    </w:p>
    <w:p>
      <w:pPr>
        <w:pStyle w:val="203"/>
        <w:spacing w:before="163"/>
        <w:rPr>
          <w:color w:val="000000" w:themeColor="text1"/>
          <w:highlight w:val="none"/>
          <w14:textFill>
            <w14:solidFill>
              <w14:schemeClr w14:val="tx1"/>
            </w14:solidFill>
          </w14:textFill>
        </w:rPr>
      </w:pPr>
      <w:bookmarkStart w:id="62" w:name="_Ref14333500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bookmarkEnd w:id="6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声环境质量标准</w:t>
      </w:r>
      <w:r>
        <w:rPr>
          <w:color w:val="000000" w:themeColor="text1"/>
          <w:highlight w:val="none"/>
          <w14:textFill>
            <w14:solidFill>
              <w14:schemeClr w14:val="tx1"/>
            </w14:solidFill>
          </w14:textFill>
        </w:rPr>
        <w:t xml:space="preserve">  单位：dB（A）</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9"/>
        <w:gridCol w:w="3161"/>
        <w:gridCol w:w="3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类别</w:t>
            </w:r>
          </w:p>
        </w:tc>
        <w:tc>
          <w:tcPr>
            <w:tcW w:w="316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昼间</w:t>
            </w:r>
          </w:p>
        </w:tc>
        <w:tc>
          <w:tcPr>
            <w:tcW w:w="3162" w:type="dxa"/>
            <w:vAlign w:val="center"/>
          </w:tcPr>
          <w:p>
            <w:pPr>
              <w:pStyle w:val="297"/>
              <w:rPr>
                <w:b/>
                <w:bCs/>
                <w:color w:val="000000" w:themeColor="text1"/>
                <w:highlight w:val="none"/>
                <w14:textFill>
                  <w14:solidFill>
                    <w14:schemeClr w14:val="tx1"/>
                  </w14:solidFill>
                </w14:textFill>
              </w:rPr>
            </w:pPr>
            <w:bookmarkStart w:id="63" w:name="_Toc88465928"/>
            <w:bookmarkStart w:id="64" w:name="_Toc120173067"/>
            <w:bookmarkStart w:id="65" w:name="_Toc107494216"/>
            <w:bookmarkStart w:id="66" w:name="_Toc89099427"/>
            <w:r>
              <w:rPr>
                <w:b/>
                <w:bCs/>
                <w:color w:val="000000" w:themeColor="text1"/>
                <w:highlight w:val="none"/>
                <w14:textFill>
                  <w14:solidFill>
                    <w14:schemeClr w14:val="tx1"/>
                  </w14:solidFill>
                </w14:textFill>
              </w:rPr>
              <w:t>夜间</w:t>
            </w:r>
            <w:bookmarkEnd w:id="63"/>
            <w:bookmarkEnd w:id="64"/>
            <w:bookmarkEnd w:id="65"/>
            <w:bookmarkEnd w:id="6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 w:hRule="atLeast"/>
          <w:jc w:val="center"/>
        </w:trPr>
        <w:tc>
          <w:tcPr>
            <w:tcW w:w="189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2类功能区</w:t>
            </w:r>
          </w:p>
        </w:tc>
        <w:tc>
          <w:tcPr>
            <w:tcW w:w="316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316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（5）土壤环境</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本项目所在区域用地范围执行《土壤环境质量 建设用地土壤污染风险管控标准（试行）（GB36600—2018）》第二类用地筛选值</w:t>
      </w:r>
      <w:r>
        <w:rPr>
          <w:rFonts w:hint="eastAsia" w:ascii="Times New Roman" w:hAnsi="Times New Roman"/>
          <w:bCs/>
          <w:color w:val="000000" w:themeColor="text1"/>
          <w:szCs w:val="24"/>
          <w:highlight w:val="none"/>
          <w14:textFill>
            <w14:solidFill>
              <w14:schemeClr w14:val="tx1"/>
            </w14:solidFill>
          </w14:textFill>
        </w:rPr>
        <w:t>与《四川省建设用地土壤污染风险管控标准（DB512978-2023）》中相关标准限值；</w:t>
      </w:r>
      <w:r>
        <w:rPr>
          <w:rFonts w:ascii="Times New Roman" w:hAnsi="Times New Roman"/>
          <w:bCs/>
          <w:color w:val="000000" w:themeColor="text1"/>
          <w:szCs w:val="24"/>
          <w:highlight w:val="none"/>
          <w14:textFill>
            <w14:solidFill>
              <w14:schemeClr w14:val="tx1"/>
            </w14:solidFill>
          </w14:textFill>
        </w:rPr>
        <w:t>项目周边耕地执行《土壤环境质量 农用地土壤污染风险管控标准（试行）（GB15618—2018）》风险筛选值，</w:t>
      </w:r>
      <w:r>
        <w:rPr>
          <w:rFonts w:hint="eastAsia" w:ascii="Times New Roman" w:hAnsi="Times New Roman"/>
          <w:bCs/>
          <w:color w:val="000000" w:themeColor="text1"/>
          <w:szCs w:val="24"/>
          <w:highlight w:val="none"/>
          <w14:textFill>
            <w14:solidFill>
              <w14:schemeClr w14:val="tx1"/>
            </w14:solidFill>
          </w14:textFill>
        </w:rPr>
        <w:t>其中</w:t>
      </w:r>
      <w:r>
        <w:rPr>
          <w:rFonts w:ascii="Times New Roman" w:hAnsi="Times New Roman"/>
          <w:bCs/>
          <w:color w:val="000000" w:themeColor="text1"/>
          <w:szCs w:val="24"/>
          <w:highlight w:val="none"/>
          <w14:textFill>
            <w14:solidFill>
              <w14:schemeClr w14:val="tx1"/>
            </w14:solidFill>
          </w14:textFill>
        </w:rPr>
        <w:t>农用地石油烃参考第一类建设用地筛选值为826mg/kg。具体筛选值见表2.5-5和表2.5-6。</w:t>
      </w:r>
    </w:p>
    <w:p>
      <w:pPr>
        <w:pStyle w:val="203"/>
        <w:spacing w:before="163"/>
        <w:rPr>
          <w:color w:val="000000" w:themeColor="text1"/>
          <w:highlight w:val="none"/>
          <w14:textFill>
            <w14:solidFill>
              <w14:schemeClr w14:val="tx1"/>
            </w14:solidFill>
          </w14:textFill>
        </w:rPr>
      </w:pPr>
      <w:bookmarkStart w:id="67" w:name="_Ref14333495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bookmarkEnd w:id="67"/>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建设用地（第二类用地）土壤环境质量筛选值</w:t>
      </w:r>
      <w:r>
        <w:rPr>
          <w:color w:val="000000" w:themeColor="text1"/>
          <w:highlight w:val="none"/>
          <w14:textFill>
            <w14:solidFill>
              <w14:schemeClr w14:val="tx1"/>
            </w14:solidFill>
          </w14:textFill>
        </w:rPr>
        <w:t xml:space="preserve">   单位：mg/kg</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57" w:type="dxa"/>
          <w:bottom w:w="0" w:type="dxa"/>
          <w:right w:w="57" w:type="dxa"/>
        </w:tblCellMar>
      </w:tblPr>
      <w:tblGrid>
        <w:gridCol w:w="949"/>
        <w:gridCol w:w="992"/>
        <w:gridCol w:w="1276"/>
        <w:gridCol w:w="1134"/>
        <w:gridCol w:w="992"/>
        <w:gridCol w:w="984"/>
        <w:gridCol w:w="971"/>
        <w:gridCol w:w="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jc w:val="center"/>
        </w:trPr>
        <w:tc>
          <w:tcPr>
            <w:tcW w:w="94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砷</w:t>
            </w:r>
          </w:p>
        </w:tc>
        <w:tc>
          <w:tcPr>
            <w:tcW w:w="1276"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镉</w:t>
            </w:r>
          </w:p>
        </w:tc>
        <w:tc>
          <w:tcPr>
            <w:tcW w:w="113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铬（6价）</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铜</w:t>
            </w:r>
          </w:p>
        </w:tc>
        <w:tc>
          <w:tcPr>
            <w:tcW w:w="98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铅</w:t>
            </w:r>
          </w:p>
        </w:tc>
        <w:tc>
          <w:tcPr>
            <w:tcW w:w="971"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汞</w:t>
            </w:r>
          </w:p>
        </w:tc>
        <w:tc>
          <w:tcPr>
            <w:tcW w:w="92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w:t>
            </w:r>
          </w:p>
        </w:tc>
        <w:tc>
          <w:tcPr>
            <w:tcW w:w="113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18000</w:t>
            </w:r>
          </w:p>
        </w:tc>
        <w:tc>
          <w:tcPr>
            <w:tcW w:w="98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800</w:t>
            </w:r>
          </w:p>
        </w:tc>
        <w:tc>
          <w:tcPr>
            <w:tcW w:w="971"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92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四氯化碳</w:t>
            </w:r>
          </w:p>
        </w:tc>
        <w:tc>
          <w:tcPr>
            <w:tcW w:w="1276"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氯仿</w:t>
            </w:r>
          </w:p>
        </w:tc>
        <w:tc>
          <w:tcPr>
            <w:tcW w:w="113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氯甲烷</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1,1-二氯乙烷</w:t>
            </w:r>
          </w:p>
        </w:tc>
        <w:tc>
          <w:tcPr>
            <w:tcW w:w="98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1,2-二氯乙烷</w:t>
            </w:r>
          </w:p>
        </w:tc>
        <w:tc>
          <w:tcPr>
            <w:tcW w:w="971"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1,1-二氯乙烯</w:t>
            </w:r>
          </w:p>
        </w:tc>
        <w:tc>
          <w:tcPr>
            <w:tcW w:w="92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顺-1,1-二氯乙烯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0.9</w:t>
            </w:r>
          </w:p>
        </w:tc>
        <w:tc>
          <w:tcPr>
            <w:tcW w:w="113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37</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98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971"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w:t>
            </w:r>
          </w:p>
        </w:tc>
        <w:tc>
          <w:tcPr>
            <w:tcW w:w="92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反-1,1-二氯乙烯</w:t>
            </w:r>
          </w:p>
        </w:tc>
        <w:tc>
          <w:tcPr>
            <w:tcW w:w="1276"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二氯甲烷</w:t>
            </w:r>
          </w:p>
        </w:tc>
        <w:tc>
          <w:tcPr>
            <w:tcW w:w="113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1,2-二氯丙烷</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1,1，1,2-四氯乙烷</w:t>
            </w:r>
          </w:p>
        </w:tc>
        <w:tc>
          <w:tcPr>
            <w:tcW w:w="98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1,1，2,2-四氯乙烷</w:t>
            </w:r>
          </w:p>
        </w:tc>
        <w:tc>
          <w:tcPr>
            <w:tcW w:w="971"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四氯乙烯</w:t>
            </w:r>
          </w:p>
        </w:tc>
        <w:tc>
          <w:tcPr>
            <w:tcW w:w="92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1,1,1-三氯乙烷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616</w:t>
            </w:r>
          </w:p>
        </w:tc>
        <w:tc>
          <w:tcPr>
            <w:tcW w:w="113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98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6.8</w:t>
            </w:r>
          </w:p>
        </w:tc>
        <w:tc>
          <w:tcPr>
            <w:tcW w:w="971"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c>
          <w:tcPr>
            <w:tcW w:w="92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1,1,2-三氯乙烷</w:t>
            </w:r>
          </w:p>
        </w:tc>
        <w:tc>
          <w:tcPr>
            <w:tcW w:w="1276"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三氯乙烯</w:t>
            </w:r>
          </w:p>
        </w:tc>
        <w:tc>
          <w:tcPr>
            <w:tcW w:w="113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1,2,3-三氯乙丙烷</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氯乙烯</w:t>
            </w:r>
          </w:p>
        </w:tc>
        <w:tc>
          <w:tcPr>
            <w:tcW w:w="98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w:t>
            </w:r>
          </w:p>
        </w:tc>
        <w:tc>
          <w:tcPr>
            <w:tcW w:w="971"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氯苯</w:t>
            </w:r>
          </w:p>
        </w:tc>
        <w:tc>
          <w:tcPr>
            <w:tcW w:w="92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1,2-二氯苯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113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0.43</w:t>
            </w:r>
          </w:p>
        </w:tc>
        <w:tc>
          <w:tcPr>
            <w:tcW w:w="98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971"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270</w:t>
            </w:r>
          </w:p>
        </w:tc>
        <w:tc>
          <w:tcPr>
            <w:tcW w:w="92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1,4-二氯苯</w:t>
            </w:r>
          </w:p>
        </w:tc>
        <w:tc>
          <w:tcPr>
            <w:tcW w:w="1276"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乙苯</w:t>
            </w:r>
          </w:p>
        </w:tc>
        <w:tc>
          <w:tcPr>
            <w:tcW w:w="113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苯乙烯</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甲苯</w:t>
            </w:r>
          </w:p>
        </w:tc>
        <w:tc>
          <w:tcPr>
            <w:tcW w:w="1955" w:type="dxa"/>
            <w:gridSpan w:val="2"/>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间二甲苯+对二甲苯</w:t>
            </w:r>
          </w:p>
        </w:tc>
        <w:tc>
          <w:tcPr>
            <w:tcW w:w="92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邻二甲苯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w:t>
            </w:r>
          </w:p>
        </w:tc>
        <w:tc>
          <w:tcPr>
            <w:tcW w:w="113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1290</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1200</w:t>
            </w:r>
          </w:p>
        </w:tc>
        <w:tc>
          <w:tcPr>
            <w:tcW w:w="1955" w:type="dxa"/>
            <w:gridSpan w:val="2"/>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570</w:t>
            </w:r>
          </w:p>
        </w:tc>
        <w:tc>
          <w:tcPr>
            <w:tcW w:w="92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硝基苯</w:t>
            </w:r>
          </w:p>
        </w:tc>
        <w:tc>
          <w:tcPr>
            <w:tcW w:w="1276"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苯胺</w:t>
            </w:r>
          </w:p>
        </w:tc>
        <w:tc>
          <w:tcPr>
            <w:tcW w:w="113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2-氯酚</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苯并〔a〕蒽</w:t>
            </w:r>
          </w:p>
        </w:tc>
        <w:tc>
          <w:tcPr>
            <w:tcW w:w="98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苯并〔a〕芘</w:t>
            </w:r>
          </w:p>
        </w:tc>
        <w:tc>
          <w:tcPr>
            <w:tcW w:w="971"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苯并〔b〕荧蒽</w:t>
            </w:r>
          </w:p>
        </w:tc>
        <w:tc>
          <w:tcPr>
            <w:tcW w:w="92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苯并〔k〕荧蒽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260</w:t>
            </w:r>
          </w:p>
        </w:tc>
        <w:tc>
          <w:tcPr>
            <w:tcW w:w="113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2256</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98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971"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92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92"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䓛</w:t>
            </w:r>
          </w:p>
        </w:tc>
        <w:tc>
          <w:tcPr>
            <w:tcW w:w="1276"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二苯并〔a,h〕蒽</w:t>
            </w:r>
          </w:p>
        </w:tc>
        <w:tc>
          <w:tcPr>
            <w:tcW w:w="2126" w:type="dxa"/>
            <w:gridSpan w:val="2"/>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茆并〔1,2,3-cd〕芘</w:t>
            </w:r>
          </w:p>
        </w:tc>
        <w:tc>
          <w:tcPr>
            <w:tcW w:w="98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萘</w:t>
            </w:r>
          </w:p>
        </w:tc>
        <w:tc>
          <w:tcPr>
            <w:tcW w:w="1895" w:type="dxa"/>
            <w:gridSpan w:val="2"/>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石油烃（C</w:t>
            </w:r>
            <w:r>
              <w:rPr>
                <w:b/>
                <w:bCs/>
                <w:color w:val="000000" w:themeColor="text1"/>
                <w:highlight w:val="none"/>
                <w:vertAlign w:val="subscript"/>
                <w14:textFill>
                  <w14:solidFill>
                    <w14:schemeClr w14:val="tx1"/>
                  </w14:solidFill>
                </w14:textFill>
              </w:rPr>
              <w:t>10</w:t>
            </w:r>
            <w:r>
              <w:rPr>
                <w:b/>
                <w:bCs/>
                <w:color w:val="000000" w:themeColor="text1"/>
                <w:highlight w:val="none"/>
                <w14:textFill>
                  <w14:solidFill>
                    <w14:schemeClr w14:val="tx1"/>
                  </w14:solidFill>
                </w14:textFill>
              </w:rPr>
              <w:t>~C</w:t>
            </w:r>
            <w:r>
              <w:rPr>
                <w:b/>
                <w:bCs/>
                <w:color w:val="000000" w:themeColor="text1"/>
                <w:highlight w:val="none"/>
                <w:vertAlign w:val="subscript"/>
                <w14:textFill>
                  <w14:solidFill>
                    <w14:schemeClr w14:val="tx1"/>
                  </w14:solidFill>
                </w14:textFill>
              </w:rPr>
              <w:t>40</w:t>
            </w:r>
            <w:r>
              <w:rPr>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94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992"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1293</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2126" w:type="dxa"/>
            <w:gridSpan w:val="2"/>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984"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1895" w:type="dxa"/>
            <w:gridSpan w:val="2"/>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4500</w:t>
            </w:r>
          </w:p>
        </w:tc>
      </w:tr>
    </w:tbl>
    <w:p>
      <w:pPr>
        <w:pStyle w:val="203"/>
        <w:spacing w:before="163"/>
        <w:rPr>
          <w:color w:val="000000" w:themeColor="text1"/>
          <w:highlight w:val="none"/>
          <w14:textFill>
            <w14:solidFill>
              <w14:schemeClr w14:val="tx1"/>
            </w14:solidFill>
          </w14:textFill>
        </w:rPr>
      </w:pPr>
      <w:bookmarkStart w:id="68" w:name="_Ref143334954"/>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68"/>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农用地（其他）土壤环境质量筛选值</w:t>
      </w:r>
      <w:r>
        <w:rPr>
          <w:color w:val="000000" w:themeColor="text1"/>
          <w:highlight w:val="none"/>
          <w14:textFill>
            <w14:solidFill>
              <w14:schemeClr w14:val="tx1"/>
            </w14:solidFill>
          </w14:textFill>
        </w:rPr>
        <w:t xml:space="preserve">   单位：mg/kg</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909"/>
        <w:gridCol w:w="914"/>
        <w:gridCol w:w="914"/>
        <w:gridCol w:w="914"/>
        <w:gridCol w:w="914"/>
        <w:gridCol w:w="914"/>
        <w:gridCol w:w="914"/>
        <w:gridCol w:w="914"/>
        <w:gridCol w:w="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jc w:val="center"/>
        </w:trPr>
        <w:tc>
          <w:tcPr>
            <w:tcW w:w="909" w:type="dxa"/>
            <w:vMerge w:val="restart"/>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7313" w:type="dxa"/>
            <w:gridSpan w:val="8"/>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风险筛选值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shd w:val="clear" w:color="auto" w:fill="FFFFFF"/>
            <w:vAlign w:val="center"/>
          </w:tcPr>
          <w:p>
            <w:pPr>
              <w:pStyle w:val="297"/>
              <w:rPr>
                <w:b/>
                <w:bCs/>
                <w:color w:val="000000" w:themeColor="text1"/>
                <w:highlight w:val="none"/>
                <w14:textFill>
                  <w14:solidFill>
                    <w14:schemeClr w14:val="tx1"/>
                  </w14:solidFill>
                </w14:textFill>
              </w:rPr>
            </w:pPr>
          </w:p>
        </w:tc>
        <w:tc>
          <w:tcPr>
            <w:tcW w:w="1828" w:type="dxa"/>
            <w:gridSpan w:val="2"/>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pH≤5.5</w:t>
            </w:r>
          </w:p>
        </w:tc>
        <w:tc>
          <w:tcPr>
            <w:tcW w:w="1828" w:type="dxa"/>
            <w:gridSpan w:val="2"/>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5.5＜pH≤6.5</w:t>
            </w:r>
          </w:p>
        </w:tc>
        <w:tc>
          <w:tcPr>
            <w:tcW w:w="1828" w:type="dxa"/>
            <w:gridSpan w:val="2"/>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6.5＜pH≤7.5</w:t>
            </w:r>
          </w:p>
        </w:tc>
        <w:tc>
          <w:tcPr>
            <w:tcW w:w="1829" w:type="dxa"/>
            <w:gridSpan w:val="2"/>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vMerge w:val="continue"/>
            <w:shd w:val="clear" w:color="auto" w:fill="FFFFFF"/>
            <w:vAlign w:val="center"/>
          </w:tcPr>
          <w:p>
            <w:pPr>
              <w:pStyle w:val="297"/>
              <w:rPr>
                <w:b/>
                <w:bCs/>
                <w:color w:val="000000" w:themeColor="text1"/>
                <w:highlight w:val="none"/>
                <w14:textFill>
                  <w14:solidFill>
                    <w14:schemeClr w14:val="tx1"/>
                  </w14:solidFill>
                </w14:textFill>
              </w:rPr>
            </w:pPr>
          </w:p>
        </w:tc>
        <w:tc>
          <w:tcPr>
            <w:tcW w:w="91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水田</w:t>
            </w:r>
          </w:p>
        </w:tc>
        <w:tc>
          <w:tcPr>
            <w:tcW w:w="91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其他</w:t>
            </w:r>
          </w:p>
        </w:tc>
        <w:tc>
          <w:tcPr>
            <w:tcW w:w="91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水田</w:t>
            </w:r>
          </w:p>
        </w:tc>
        <w:tc>
          <w:tcPr>
            <w:tcW w:w="91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其他</w:t>
            </w:r>
          </w:p>
        </w:tc>
        <w:tc>
          <w:tcPr>
            <w:tcW w:w="91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水田</w:t>
            </w:r>
          </w:p>
        </w:tc>
        <w:tc>
          <w:tcPr>
            <w:tcW w:w="91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其他</w:t>
            </w:r>
          </w:p>
        </w:tc>
        <w:tc>
          <w:tcPr>
            <w:tcW w:w="914"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水田</w:t>
            </w:r>
          </w:p>
        </w:tc>
        <w:tc>
          <w:tcPr>
            <w:tcW w:w="915"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镉</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0.3</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0.3</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0.4</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0.3</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0.6</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0.3</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0.8</w:t>
            </w:r>
          </w:p>
        </w:tc>
        <w:tc>
          <w:tcPr>
            <w:tcW w:w="915"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汞</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0.5</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1.3</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0.5</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1.8</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0.6</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2.4</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w:t>
            </w:r>
          </w:p>
        </w:tc>
        <w:tc>
          <w:tcPr>
            <w:tcW w:w="915"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砷</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40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40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25</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20</w:t>
            </w:r>
          </w:p>
        </w:tc>
        <w:tc>
          <w:tcPr>
            <w:tcW w:w="915"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铅</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80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70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90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140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120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240</w:t>
            </w:r>
          </w:p>
        </w:tc>
        <w:tc>
          <w:tcPr>
            <w:tcW w:w="915"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铬</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250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150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250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150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300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200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350</w:t>
            </w:r>
          </w:p>
        </w:tc>
        <w:tc>
          <w:tcPr>
            <w:tcW w:w="915"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铜</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150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50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150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50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200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w:t>
            </w:r>
          </w:p>
        </w:tc>
        <w:tc>
          <w:tcPr>
            <w:tcW w:w="914"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200</w:t>
            </w:r>
          </w:p>
        </w:tc>
        <w:tc>
          <w:tcPr>
            <w:tcW w:w="915" w:type="dxa"/>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镍</w:t>
            </w:r>
          </w:p>
        </w:tc>
        <w:tc>
          <w:tcPr>
            <w:tcW w:w="1828" w:type="dxa"/>
            <w:gridSpan w:val="2"/>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60</w:t>
            </w:r>
          </w:p>
        </w:tc>
        <w:tc>
          <w:tcPr>
            <w:tcW w:w="1828" w:type="dxa"/>
            <w:gridSpan w:val="2"/>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70</w:t>
            </w:r>
          </w:p>
        </w:tc>
        <w:tc>
          <w:tcPr>
            <w:tcW w:w="1828" w:type="dxa"/>
            <w:gridSpan w:val="2"/>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w:t>
            </w:r>
          </w:p>
        </w:tc>
        <w:tc>
          <w:tcPr>
            <w:tcW w:w="1829" w:type="dxa"/>
            <w:gridSpan w:val="2"/>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锌</w:t>
            </w:r>
          </w:p>
        </w:tc>
        <w:tc>
          <w:tcPr>
            <w:tcW w:w="1828" w:type="dxa"/>
            <w:gridSpan w:val="2"/>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200</w:t>
            </w:r>
          </w:p>
        </w:tc>
        <w:tc>
          <w:tcPr>
            <w:tcW w:w="1828" w:type="dxa"/>
            <w:gridSpan w:val="2"/>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200</w:t>
            </w:r>
          </w:p>
        </w:tc>
        <w:tc>
          <w:tcPr>
            <w:tcW w:w="1828" w:type="dxa"/>
            <w:gridSpan w:val="2"/>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250</w:t>
            </w:r>
          </w:p>
        </w:tc>
        <w:tc>
          <w:tcPr>
            <w:tcW w:w="1829" w:type="dxa"/>
            <w:gridSpan w:val="2"/>
            <w:shd w:val="clear" w:color="auto" w:fill="FFFFFF"/>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300</w:t>
            </w:r>
          </w:p>
        </w:tc>
      </w:tr>
    </w:tbl>
    <w:p>
      <w:pPr>
        <w:pStyle w:val="628"/>
        <w:spacing w:before="163"/>
        <w:rPr>
          <w:color w:val="000000" w:themeColor="text1"/>
          <w:highlight w:val="none"/>
          <w:lang w:val="zh-CN"/>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color w:val="000000" w:themeColor="text1"/>
          <w:highlight w:val="none"/>
          <w:lang w:val="zh-CN"/>
          <w14:textFill>
            <w14:solidFill>
              <w14:schemeClr w14:val="tx1"/>
            </w14:solidFill>
          </w14:textFill>
        </w:rPr>
        <w:t xml:space="preserve"> 建设用地土壤污染风险筛选值和管制值标准（</w:t>
      </w:r>
      <w:r>
        <w:rPr>
          <w:color w:val="000000" w:themeColor="text1"/>
          <w:highlight w:val="none"/>
          <w14:textFill>
            <w14:solidFill>
              <w14:schemeClr w14:val="tx1"/>
            </w14:solidFill>
          </w14:textFill>
        </w:rPr>
        <w:t>石油烃</w:t>
      </w:r>
      <w:r>
        <w:rPr>
          <w:rFonts w:hint="eastAsia"/>
          <w:color w:val="000000" w:themeColor="text1"/>
          <w:highlight w:val="none"/>
          <w14:textFill>
            <w14:solidFill>
              <w14:schemeClr w14:val="tx1"/>
            </w14:solidFill>
          </w14:textFill>
        </w:rPr>
        <w:t>、钡</w:t>
      </w:r>
      <w:r>
        <w:rPr>
          <w:color w:val="000000" w:themeColor="text1"/>
          <w:highlight w:val="none"/>
          <w:lang w:val="zh-CN"/>
          <w14:textFill>
            <w14:solidFill>
              <w14:schemeClr w14:val="tx1"/>
            </w14:solidFill>
          </w14:textFill>
        </w:rPr>
        <w:t>） 单位：mg/kg</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1172"/>
        <w:gridCol w:w="1370"/>
        <w:gridCol w:w="1370"/>
        <w:gridCol w:w="1370"/>
        <w:gridCol w:w="1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污染物项目</w:t>
            </w:r>
          </w:p>
        </w:tc>
        <w:tc>
          <w:tcPr>
            <w:tcW w:w="117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CAS编号</w:t>
            </w:r>
          </w:p>
        </w:tc>
        <w:tc>
          <w:tcPr>
            <w:tcW w:w="2740"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筛选值</w:t>
            </w:r>
          </w:p>
        </w:tc>
        <w:tc>
          <w:tcPr>
            <w:tcW w:w="2740"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Merge w:val="continue"/>
            <w:vAlign w:val="center"/>
          </w:tcPr>
          <w:p>
            <w:pPr>
              <w:pStyle w:val="297"/>
              <w:rPr>
                <w:color w:val="000000" w:themeColor="text1"/>
                <w:highlight w:val="none"/>
                <w14:textFill>
                  <w14:solidFill>
                    <w14:schemeClr w14:val="tx1"/>
                  </w14:solidFill>
                </w14:textFill>
              </w:rPr>
            </w:pPr>
          </w:p>
        </w:tc>
        <w:tc>
          <w:tcPr>
            <w:tcW w:w="1172" w:type="dxa"/>
            <w:vMerge w:val="continue"/>
            <w:vAlign w:val="center"/>
          </w:tcPr>
          <w:p>
            <w:pPr>
              <w:pStyle w:val="297"/>
              <w:rPr>
                <w:color w:val="000000" w:themeColor="text1"/>
                <w:highlight w:val="none"/>
                <w14:textFill>
                  <w14:solidFill>
                    <w14:schemeClr w14:val="tx1"/>
                  </w14:solidFill>
                </w14:textFill>
              </w:rPr>
            </w:pP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第一类用地</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第二类用地</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第一类用地</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石油烃（C10~C40）</w:t>
            </w:r>
          </w:p>
        </w:tc>
        <w:tc>
          <w:tcPr>
            <w:tcW w:w="11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826</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4500</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5000</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8"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钡</w:t>
            </w:r>
          </w:p>
        </w:tc>
        <w:tc>
          <w:tcPr>
            <w:tcW w:w="1172"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7440-39-3</w:t>
            </w:r>
          </w:p>
        </w:tc>
        <w:tc>
          <w:tcPr>
            <w:tcW w:w="137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2766</w:t>
            </w:r>
          </w:p>
        </w:tc>
        <w:tc>
          <w:tcPr>
            <w:tcW w:w="137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8660</w:t>
            </w:r>
          </w:p>
        </w:tc>
        <w:tc>
          <w:tcPr>
            <w:tcW w:w="137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5532</w:t>
            </w:r>
          </w:p>
        </w:tc>
        <w:tc>
          <w:tcPr>
            <w:tcW w:w="137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17320</w:t>
            </w:r>
          </w:p>
        </w:tc>
      </w:tr>
    </w:tbl>
    <w:p>
      <w:pPr>
        <w:pStyle w:val="4"/>
        <w:spacing w:before="163"/>
        <w:ind w:firstLine="480"/>
        <w:rPr>
          <w:b/>
          <w:color w:val="000000" w:themeColor="text1"/>
          <w:highlight w:val="none"/>
          <w:lang w:eastAsia="zh-CN"/>
          <w14:textFill>
            <w14:solidFill>
              <w14:schemeClr w14:val="tx1"/>
            </w14:solidFill>
          </w14:textFill>
        </w:rPr>
      </w:pPr>
      <w:bookmarkStart w:id="69" w:name="_Toc120173068"/>
      <w:r>
        <w:rPr>
          <w:color w:val="000000" w:themeColor="text1"/>
          <w:highlight w:val="none"/>
          <w:lang w:eastAsia="zh-CN"/>
          <w14:textFill>
            <w14:solidFill>
              <w14:schemeClr w14:val="tx1"/>
            </w14:solidFill>
          </w14:textFill>
        </w:rPr>
        <w:t>污染物排放标准</w:t>
      </w:r>
      <w:bookmarkEnd w:id="69"/>
    </w:p>
    <w:p>
      <w:pPr>
        <w:pStyle w:val="125"/>
        <w:rPr>
          <w:bCs/>
          <w:color w:val="000000" w:themeColor="text1"/>
          <w:highlight w:val="none"/>
          <w14:textFill>
            <w14:solidFill>
              <w14:schemeClr w14:val="tx1"/>
            </w14:solidFill>
          </w14:textFill>
        </w:rPr>
      </w:pPr>
      <w:bookmarkStart w:id="70" w:name="_Hlk48749861"/>
      <w:bookmarkStart w:id="71" w:name="_Hlk48749841"/>
      <w:r>
        <w:rPr>
          <w:bCs/>
          <w:color w:val="000000" w:themeColor="text1"/>
          <w:highlight w:val="none"/>
          <w14:textFill>
            <w14:solidFill>
              <w14:schemeClr w14:val="tx1"/>
            </w14:solidFill>
          </w14:textFill>
        </w:rPr>
        <w:t>（1）废水</w:t>
      </w:r>
    </w:p>
    <w:bookmarkEnd w:id="70"/>
    <w:p>
      <w:pPr>
        <w:pStyle w:val="27"/>
        <w:ind w:firstLine="480"/>
        <w:rPr>
          <w:rFonts w:ascii="Times New Roman" w:hAnsi="Times New Roman"/>
          <w:bCs/>
          <w:color w:val="000000" w:themeColor="text1"/>
          <w:szCs w:val="24"/>
          <w:highlight w:val="none"/>
          <w14:textFill>
            <w14:solidFill>
              <w14:schemeClr w14:val="tx1"/>
            </w14:solidFill>
          </w14:textFill>
        </w:rPr>
      </w:pPr>
      <w:bookmarkStart w:id="72" w:name="_Hlk48749969"/>
      <w:r>
        <w:rPr>
          <w:rFonts w:hint="eastAsia" w:ascii="Times New Roman" w:hAnsi="Times New Roman"/>
          <w:bCs/>
          <w:color w:val="000000" w:themeColor="text1"/>
          <w:szCs w:val="24"/>
          <w:highlight w:val="none"/>
          <w14:textFill>
            <w14:solidFill>
              <w14:schemeClr w14:val="tx1"/>
            </w14:solidFill>
          </w14:textFill>
        </w:rPr>
        <w:t>1）施工期</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①</w:t>
      </w:r>
      <w:r>
        <w:rPr>
          <w:rFonts w:hint="eastAsia" w:ascii="Times New Roman" w:hAnsi="Times New Roman"/>
          <w:bCs/>
          <w:color w:val="000000" w:themeColor="text1"/>
          <w:szCs w:val="24"/>
          <w:highlight w:val="none"/>
          <w14:textFill>
            <w14:solidFill>
              <w14:schemeClr w14:val="tx1"/>
            </w14:solidFill>
          </w14:textFill>
        </w:rPr>
        <w:t>钻前工程：钻前工程</w:t>
      </w:r>
      <w:r>
        <w:rPr>
          <w:rFonts w:ascii="Times New Roman" w:hAnsi="Times New Roman"/>
          <w:color w:val="000000" w:themeColor="text1"/>
          <w:szCs w:val="24"/>
          <w:highlight w:val="none"/>
          <w14:textFill>
            <w14:solidFill>
              <w14:schemeClr w14:val="tx1"/>
            </w14:solidFill>
          </w14:textFill>
        </w:rPr>
        <w:t>施工废水经沉淀处理后循环使用，不外排</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钻前工程人员生活污水依托周边农户已建设施处理</w:t>
      </w:r>
      <w:r>
        <w:rPr>
          <w:rFonts w:hint="eastAsia" w:ascii="Times New Roman" w:hAnsi="Times New Roman"/>
          <w:color w:val="000000" w:themeColor="text1"/>
          <w:szCs w:val="24"/>
          <w:highlight w:val="none"/>
          <w14:textFill>
            <w14:solidFill>
              <w14:schemeClr w14:val="tx1"/>
            </w14:solidFill>
          </w14:textFill>
        </w:rPr>
        <w:t>，不外排。</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②</w:t>
      </w:r>
      <w:r>
        <w:rPr>
          <w:rFonts w:hint="eastAsia" w:cs="Times New Roman"/>
          <w:color w:val="000000" w:themeColor="text1"/>
          <w:szCs w:val="24"/>
          <w:highlight w:val="none"/>
          <w14:textFill>
            <w14:solidFill>
              <w14:schemeClr w14:val="tx1"/>
            </w14:solidFill>
          </w14:textFill>
        </w:rPr>
        <w:t>钻井工程：钻井废水与场地初期雨水一并经不落地装置处理后大部分回用于钻井过程，剩余不能回用部分暂存于清洁生产操作平台的废水罐内，定期装车拉运至赵家坝污水处理站处理达标后经普光3井回注站回注</w:t>
      </w:r>
      <w:r>
        <w:rPr>
          <w:rFonts w:hint="eastAsia" w:cs="Times New Roman"/>
          <w:color w:val="000000" w:themeColor="text1"/>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钻井期间</w:t>
      </w:r>
      <w:r>
        <w:rPr>
          <w:rFonts w:hint="eastAsia" w:cs="Times New Roman"/>
          <w:color w:val="000000" w:themeColor="text1"/>
          <w:szCs w:val="24"/>
          <w:highlight w:val="none"/>
          <w14:textFill>
            <w14:solidFill>
              <w14:schemeClr w14:val="tx1"/>
            </w14:solidFill>
          </w14:textFill>
        </w:rPr>
        <w:t>施工人员</w:t>
      </w:r>
      <w:r>
        <w:rPr>
          <w:rFonts w:cs="Times New Roman"/>
          <w:bCs/>
          <w:color w:val="000000" w:themeColor="text1"/>
          <w:szCs w:val="24"/>
          <w:highlight w:val="none"/>
          <w14:textFill>
            <w14:solidFill>
              <w14:schemeClr w14:val="tx1"/>
            </w14:solidFill>
          </w14:textFill>
        </w:rPr>
        <w:t>生活污水</w:t>
      </w:r>
      <w:r>
        <w:rPr>
          <w:rFonts w:cs="Times New Roman"/>
          <w:color w:val="000000" w:themeColor="text1"/>
          <w:szCs w:val="24"/>
          <w:highlight w:val="none"/>
          <w14:textFill>
            <w14:solidFill>
              <w14:schemeClr w14:val="tx1"/>
            </w14:solidFill>
          </w14:textFill>
        </w:rPr>
        <w:t>经生态厕所收集后定期由密闭罐车拉运至周边生活污水处理厂处理</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项目钻井期间无废水外排。</w:t>
      </w:r>
    </w:p>
    <w:p>
      <w:pPr>
        <w:pStyle w:val="27"/>
        <w:ind w:firstLine="480"/>
        <w:rPr>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③</w:t>
      </w:r>
      <w:r>
        <w:rPr>
          <w:rFonts w:hint="eastAsia"/>
          <w:color w:val="000000" w:themeColor="text1"/>
          <w:szCs w:val="24"/>
          <w:highlight w:val="none"/>
          <w14:textFill>
            <w14:solidFill>
              <w14:schemeClr w14:val="tx1"/>
            </w14:solidFill>
          </w14:textFill>
        </w:rPr>
        <w:t>储层改造工程：储层改造阶段产生的</w:t>
      </w:r>
      <w:r>
        <w:rPr>
          <w:rFonts w:ascii="Times New Roman" w:hAnsi="Times New Roman"/>
          <w:color w:val="000000" w:themeColor="text1"/>
          <w:highlight w:val="none"/>
          <w14:textFill>
            <w14:solidFill>
              <w14:schemeClr w14:val="tx1"/>
            </w14:solidFill>
          </w14:textFill>
        </w:rPr>
        <w:t>洗井废水</w:t>
      </w:r>
      <w:r>
        <w:rPr>
          <w:rFonts w:hint="eastAsia" w:ascii="Times New Roman" w:hAnsi="Times New Roman"/>
          <w:color w:val="000000" w:themeColor="text1"/>
          <w:highlight w:val="none"/>
          <w14:textFill>
            <w14:solidFill>
              <w14:schemeClr w14:val="tx1"/>
            </w14:solidFill>
          </w14:textFill>
        </w:rPr>
        <w:t>收集后</w:t>
      </w:r>
      <w:r>
        <w:rPr>
          <w:rFonts w:hint="eastAsia"/>
          <w:color w:val="000000" w:themeColor="text1"/>
          <w:szCs w:val="24"/>
          <w:highlight w:val="none"/>
          <w14:textFill>
            <w14:solidFill>
              <w14:schemeClr w14:val="tx1"/>
            </w14:solidFill>
          </w14:textFill>
        </w:rPr>
        <w:t>经不落地装置处理后，</w:t>
      </w:r>
      <w:r>
        <w:rPr>
          <w:rFonts w:hint="eastAsia"/>
          <w:color w:val="000000" w:themeColor="text1"/>
          <w:highlight w:val="none"/>
          <w14:textFill>
            <w14:solidFill>
              <w14:schemeClr w14:val="tx1"/>
            </w14:solidFill>
          </w14:textFill>
        </w:rPr>
        <w:t>优先回用于周边其他井场压裂液配置</w:t>
      </w:r>
      <w:r>
        <w:rPr>
          <w:rFonts w:ascii="Times New Roman" w:hAnsi="Times New Roman"/>
          <w:color w:val="000000" w:themeColor="text1"/>
          <w:highlight w:val="none"/>
          <w14:textFill>
            <w14:solidFill>
              <w14:schemeClr w14:val="tx1"/>
            </w14:solidFill>
          </w14:textFill>
        </w:rPr>
        <w:t>，不能回用</w:t>
      </w:r>
      <w:r>
        <w:rPr>
          <w:rFonts w:hint="eastAsia"/>
          <w:color w:val="000000" w:themeColor="text1"/>
          <w:highlight w:val="none"/>
          <w14:textFill>
            <w14:solidFill>
              <w14:schemeClr w14:val="tx1"/>
            </w14:solidFill>
          </w14:textFill>
        </w:rPr>
        <w:t>时</w:t>
      </w:r>
      <w:r>
        <w:rPr>
          <w:rFonts w:ascii="Times New Roman" w:hAnsi="Times New Roman"/>
          <w:color w:val="000000" w:themeColor="text1"/>
          <w:highlight w:val="none"/>
          <w14:textFill>
            <w14:solidFill>
              <w14:schemeClr w14:val="tx1"/>
            </w14:solidFill>
          </w14:textFill>
        </w:rPr>
        <w:t>用罐车拉运至</w:t>
      </w:r>
      <w:r>
        <w:rPr>
          <w:rFonts w:hint="eastAsia" w:ascii="Times New Roman" w:hAnsi="Times New Roman"/>
          <w:color w:val="000000" w:themeColor="text1"/>
          <w:highlight w:val="none"/>
          <w14:textFill>
            <w14:solidFill>
              <w14:schemeClr w14:val="tx1"/>
            </w14:solidFill>
          </w14:textFill>
        </w:rPr>
        <w:t>赵家坝污水处理站</w:t>
      </w:r>
      <w:r>
        <w:rPr>
          <w:rFonts w:ascii="Times New Roman" w:hAnsi="Times New Roman"/>
          <w:color w:val="000000" w:themeColor="text1"/>
          <w:highlight w:val="none"/>
          <w14:textFill>
            <w14:solidFill>
              <w14:schemeClr w14:val="tx1"/>
            </w14:solidFill>
          </w14:textFill>
        </w:rPr>
        <w:t>处理达标后经</w:t>
      </w:r>
      <w:r>
        <w:rPr>
          <w:rFonts w:hint="eastAsia" w:ascii="Times New Roman" w:hAnsi="Times New Roman"/>
          <w:color w:val="000000" w:themeColor="text1"/>
          <w:highlight w:val="none"/>
          <w14:textFill>
            <w14:solidFill>
              <w14:schemeClr w14:val="tx1"/>
            </w14:solidFill>
          </w14:textFill>
        </w:rPr>
        <w:t>普光3井回注站</w:t>
      </w:r>
      <w:r>
        <w:rPr>
          <w:rFonts w:ascii="Times New Roman" w:hAnsi="Times New Roman"/>
          <w:color w:val="000000" w:themeColor="text1"/>
          <w:highlight w:val="none"/>
          <w14:textFill>
            <w14:solidFill>
              <w14:schemeClr w14:val="tx1"/>
            </w14:solidFill>
          </w14:textFill>
        </w:rPr>
        <w:t>回注</w:t>
      </w:r>
      <w:r>
        <w:rPr>
          <w:rFonts w:hint="eastAsia" w:ascii="Times New Roman" w:hAnsi="Times New Roman"/>
          <w:color w:val="000000" w:themeColor="text1"/>
          <w:highlight w:val="none"/>
          <w14:textFill>
            <w14:solidFill>
              <w14:schemeClr w14:val="tx1"/>
            </w14:solidFill>
          </w14:textFill>
        </w:rPr>
        <w:t>；</w:t>
      </w:r>
      <w:r>
        <w:rPr>
          <w:rFonts w:hint="eastAsia"/>
          <w:color w:val="000000" w:themeColor="text1"/>
          <w:szCs w:val="24"/>
          <w:highlight w:val="none"/>
          <w14:textFill>
            <w14:solidFill>
              <w14:schemeClr w14:val="tx1"/>
            </w14:solidFill>
          </w14:textFill>
        </w:rPr>
        <w:t>储层改造阶段产生的</w:t>
      </w:r>
      <w:r>
        <w:rPr>
          <w:rFonts w:ascii="Times New Roman" w:hAnsi="Times New Roman"/>
          <w:color w:val="000000" w:themeColor="text1"/>
          <w:highlight w:val="none"/>
          <w14:textFill>
            <w14:solidFill>
              <w14:schemeClr w14:val="tx1"/>
            </w14:solidFill>
          </w14:textFill>
        </w:rPr>
        <w:t>压裂返排液临时暂存于放喷池或者</w:t>
      </w:r>
      <w:r>
        <w:rPr>
          <w:rFonts w:hint="eastAsia"/>
          <w:color w:val="000000" w:themeColor="text1"/>
          <w:highlight w:val="none"/>
          <w14:textFill>
            <w14:solidFill>
              <w14:schemeClr w14:val="tx1"/>
            </w14:solidFill>
          </w14:textFill>
        </w:rPr>
        <w:t>压裂液储</w:t>
      </w:r>
      <w:r>
        <w:rPr>
          <w:rFonts w:ascii="Times New Roman" w:hAnsi="Times New Roman"/>
          <w:color w:val="000000" w:themeColor="text1"/>
          <w:highlight w:val="none"/>
          <w14:textFill>
            <w14:solidFill>
              <w14:schemeClr w14:val="tx1"/>
            </w14:solidFill>
          </w14:textFill>
        </w:rPr>
        <w:t>罐</w:t>
      </w:r>
      <w:r>
        <w:rPr>
          <w:rFonts w:hint="eastAsia"/>
          <w:color w:val="000000" w:themeColor="text1"/>
          <w:highlight w:val="none"/>
          <w14:textFill>
            <w14:solidFill>
              <w14:schemeClr w14:val="tx1"/>
            </w14:solidFill>
          </w14:textFill>
        </w:rPr>
        <w:t>中</w:t>
      </w:r>
      <w:r>
        <w:rPr>
          <w:rFonts w:ascii="Times New Roman" w:hAnsi="Times New Roman"/>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优先回用于周边其他井场压裂液配置</w:t>
      </w:r>
      <w:r>
        <w:rPr>
          <w:rFonts w:ascii="Times New Roman" w:hAnsi="Times New Roman"/>
          <w:color w:val="000000" w:themeColor="text1"/>
          <w:highlight w:val="none"/>
          <w14:textFill>
            <w14:solidFill>
              <w14:schemeClr w14:val="tx1"/>
            </w14:solidFill>
          </w14:textFill>
        </w:rPr>
        <w:t>，不能回用</w:t>
      </w:r>
      <w:r>
        <w:rPr>
          <w:rFonts w:hint="eastAsia"/>
          <w:color w:val="000000" w:themeColor="text1"/>
          <w:highlight w:val="none"/>
          <w14:textFill>
            <w14:solidFill>
              <w14:schemeClr w14:val="tx1"/>
            </w14:solidFill>
          </w14:textFill>
        </w:rPr>
        <w:t>时</w:t>
      </w:r>
      <w:r>
        <w:rPr>
          <w:rFonts w:ascii="Times New Roman" w:hAnsi="Times New Roman"/>
          <w:color w:val="000000" w:themeColor="text1"/>
          <w:highlight w:val="none"/>
          <w14:textFill>
            <w14:solidFill>
              <w14:schemeClr w14:val="tx1"/>
            </w14:solidFill>
          </w14:textFill>
        </w:rPr>
        <w:t>用罐车拉运至</w:t>
      </w:r>
      <w:r>
        <w:rPr>
          <w:rFonts w:hint="eastAsia" w:ascii="Times New Roman" w:hAnsi="Times New Roman"/>
          <w:color w:val="000000" w:themeColor="text1"/>
          <w:highlight w:val="none"/>
          <w14:textFill>
            <w14:solidFill>
              <w14:schemeClr w14:val="tx1"/>
            </w14:solidFill>
          </w14:textFill>
        </w:rPr>
        <w:t>赵家坝污水处理站</w:t>
      </w:r>
      <w:r>
        <w:rPr>
          <w:rFonts w:ascii="Times New Roman" w:hAnsi="Times New Roman"/>
          <w:color w:val="000000" w:themeColor="text1"/>
          <w:highlight w:val="none"/>
          <w14:textFill>
            <w14:solidFill>
              <w14:schemeClr w14:val="tx1"/>
            </w14:solidFill>
          </w14:textFill>
        </w:rPr>
        <w:t>处理达标后经</w:t>
      </w:r>
      <w:r>
        <w:rPr>
          <w:rFonts w:hint="eastAsia" w:ascii="Times New Roman" w:hAnsi="Times New Roman"/>
          <w:color w:val="000000" w:themeColor="text1"/>
          <w:highlight w:val="none"/>
          <w14:textFill>
            <w14:solidFill>
              <w14:schemeClr w14:val="tx1"/>
            </w14:solidFill>
          </w14:textFill>
        </w:rPr>
        <w:t>普光3井回注站</w:t>
      </w:r>
      <w:r>
        <w:rPr>
          <w:rFonts w:ascii="Times New Roman" w:hAnsi="Times New Roman"/>
          <w:color w:val="000000" w:themeColor="text1"/>
          <w:highlight w:val="none"/>
          <w14:textFill>
            <w14:solidFill>
              <w14:schemeClr w14:val="tx1"/>
            </w14:solidFill>
          </w14:textFill>
        </w:rPr>
        <w:t>回注</w:t>
      </w:r>
      <w:r>
        <w:rPr>
          <w:rFonts w:hint="eastAsia"/>
          <w:color w:val="000000" w:themeColor="text1"/>
          <w:highlight w:val="none"/>
          <w14:textFill>
            <w14:solidFill>
              <w14:schemeClr w14:val="tx1"/>
            </w14:solidFill>
          </w14:textFill>
        </w:rPr>
        <w:t>；储层改造期间施工人员</w:t>
      </w:r>
      <w:r>
        <w:rPr>
          <w:rFonts w:ascii="Times New Roman" w:hAnsi="Times New Roman"/>
          <w:bCs/>
          <w:color w:val="000000" w:themeColor="text1"/>
          <w:szCs w:val="24"/>
          <w:highlight w:val="none"/>
          <w14:textFill>
            <w14:solidFill>
              <w14:schemeClr w14:val="tx1"/>
            </w14:solidFill>
          </w14:textFill>
        </w:rPr>
        <w:t>生活污水</w:t>
      </w:r>
      <w:r>
        <w:rPr>
          <w:rFonts w:ascii="Times New Roman" w:hAnsi="Times New Roman"/>
          <w:color w:val="000000" w:themeColor="text1"/>
          <w:szCs w:val="24"/>
          <w:highlight w:val="none"/>
          <w14:textFill>
            <w14:solidFill>
              <w14:schemeClr w14:val="tx1"/>
            </w14:solidFill>
          </w14:textFill>
        </w:rPr>
        <w:t>经生态厕所</w:t>
      </w:r>
      <w:r>
        <w:rPr>
          <w:color w:val="000000" w:themeColor="text1"/>
          <w:szCs w:val="24"/>
          <w:highlight w:val="none"/>
          <w14:textFill>
            <w14:solidFill>
              <w14:schemeClr w14:val="tx1"/>
            </w14:solidFill>
          </w14:textFill>
        </w:rPr>
        <w:t>收集后定期由密闭罐车拉运至周边生活污水处理厂处理</w:t>
      </w:r>
      <w:r>
        <w:rPr>
          <w:rFonts w:hint="eastAsia"/>
          <w:color w:val="000000" w:themeColor="text1"/>
          <w:szCs w:val="24"/>
          <w:highlight w:val="none"/>
          <w14:textFill>
            <w14:solidFill>
              <w14:schemeClr w14:val="tx1"/>
            </w14:solidFill>
          </w14:textFill>
        </w:rPr>
        <w:t>。项目储层改造期间无废水外排。</w:t>
      </w:r>
    </w:p>
    <w:p>
      <w:pPr>
        <w:pStyle w:val="27"/>
        <w:ind w:firstLine="480"/>
        <w:rPr>
          <w:color w:val="000000" w:themeColor="text1"/>
          <w:szCs w:val="24"/>
          <w:highlight w:val="none"/>
          <w14:textFill>
            <w14:solidFill>
              <w14:schemeClr w14:val="tx1"/>
            </w14:solidFill>
          </w14:textFill>
        </w:rPr>
      </w:pPr>
      <w:r>
        <w:rPr>
          <w:rFonts w:ascii="Times New Roman" w:hAnsi="Times New Roman" w:eastAsia="黑体"/>
          <w:color w:val="000000" w:themeColor="text1"/>
          <w:szCs w:val="24"/>
          <w:highlight w:val="none"/>
          <w14:textFill>
            <w14:solidFill>
              <w14:schemeClr w14:val="tx1"/>
            </w14:solidFill>
          </w14:textFill>
        </w:rPr>
        <w:t>④</w:t>
      </w:r>
      <w:r>
        <w:rPr>
          <w:rFonts w:hint="eastAsia" w:ascii="Times New Roman" w:hAnsi="Times New Roman"/>
          <w:color w:val="000000" w:themeColor="text1"/>
          <w:szCs w:val="24"/>
          <w:highlight w:val="none"/>
          <w14:textFill>
            <w14:solidFill>
              <w14:schemeClr w14:val="tx1"/>
            </w14:solidFill>
          </w14:textFill>
        </w:rPr>
        <w:t>油气集输工程：油气集输工程在进行试采井站和集输管线建设时产生的</w:t>
      </w:r>
      <w:r>
        <w:rPr>
          <w:rFonts w:hint="eastAsia"/>
          <w:color w:val="000000" w:themeColor="text1"/>
          <w:szCs w:val="24"/>
          <w:highlight w:val="none"/>
          <w14:textFill>
            <w14:solidFill>
              <w14:schemeClr w14:val="tx1"/>
            </w14:solidFill>
          </w14:textFill>
        </w:rPr>
        <w:t>施工人员</w:t>
      </w:r>
      <w:r>
        <w:rPr>
          <w:rFonts w:ascii="Times New Roman" w:hAnsi="Times New Roman"/>
          <w:color w:val="000000" w:themeColor="text1"/>
          <w:szCs w:val="24"/>
          <w:highlight w:val="none"/>
          <w14:textFill>
            <w14:solidFill>
              <w14:schemeClr w14:val="tx1"/>
            </w14:solidFill>
          </w14:textFill>
        </w:rPr>
        <w:t>生活污水依托</w:t>
      </w:r>
      <w:r>
        <w:rPr>
          <w:rFonts w:hint="eastAsia" w:ascii="Times New Roman" w:hAnsi="Times New Roman"/>
          <w:color w:val="000000" w:themeColor="text1"/>
          <w:szCs w:val="24"/>
          <w:highlight w:val="none"/>
          <w14:textFill>
            <w14:solidFill>
              <w14:schemeClr w14:val="tx1"/>
            </w14:solidFill>
          </w14:textFill>
        </w:rPr>
        <w:t>周边</w:t>
      </w:r>
      <w:r>
        <w:rPr>
          <w:rFonts w:ascii="Times New Roman" w:hAnsi="Times New Roman"/>
          <w:color w:val="000000" w:themeColor="text1"/>
          <w:szCs w:val="24"/>
          <w:highlight w:val="none"/>
          <w14:textFill>
            <w14:solidFill>
              <w14:schemeClr w14:val="tx1"/>
            </w14:solidFill>
          </w14:textFill>
        </w:rPr>
        <w:t>农户已建设施处理</w:t>
      </w:r>
      <w:r>
        <w:rPr>
          <w:rFonts w:hint="eastAsia"/>
          <w:color w:val="000000" w:themeColor="text1"/>
          <w:szCs w:val="24"/>
          <w:highlight w:val="none"/>
          <w14:textFill>
            <w14:solidFill>
              <w14:schemeClr w14:val="tx1"/>
            </w14:solidFill>
          </w14:textFill>
        </w:rPr>
        <w:t>，不外排；管道建设完成后清管试压废水为清净水，</w:t>
      </w:r>
      <w:r>
        <w:rPr>
          <w:rFonts w:ascii="Times New Roman" w:hAnsi="Times New Roman"/>
          <w:color w:val="000000" w:themeColor="text1"/>
          <w:highlight w:val="none"/>
          <w:lang w:bidi="en-US"/>
          <w14:textFill>
            <w14:solidFill>
              <w14:schemeClr w14:val="tx1"/>
            </w14:solidFill>
          </w14:textFill>
        </w:rPr>
        <w:t>试压完成沉淀后用于洒水降尘，不外排</w:t>
      </w:r>
      <w:r>
        <w:rPr>
          <w:rFonts w:hint="eastAsia"/>
          <w:color w:val="000000" w:themeColor="text1"/>
          <w:szCs w:val="24"/>
          <w:highlight w:val="none"/>
          <w14:textFill>
            <w14:solidFill>
              <w14:schemeClr w14:val="tx1"/>
            </w14:solidFill>
          </w14:textFill>
        </w:rPr>
        <w:t>。</w:t>
      </w:r>
    </w:p>
    <w:p>
      <w:pPr>
        <w:pStyle w:val="27"/>
        <w:numPr>
          <w:ilvl w:val="0"/>
          <w:numId w:val="7"/>
        </w:numPr>
        <w:ind w:firstLine="48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试采期</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本项目试采期产气通过管道输送至大湾</w:t>
      </w:r>
      <w:r>
        <w:rPr>
          <w:rFonts w:hint="eastAsia" w:ascii="Times New Roman" w:hAnsi="Times New Roman"/>
          <w:color w:val="000000" w:themeColor="text1"/>
          <w:highlight w:val="none"/>
          <w:lang w:eastAsia="zh-CN"/>
          <w14:textFill>
            <w14:solidFill>
              <w14:schemeClr w14:val="tx1"/>
            </w14:solidFill>
          </w14:textFill>
        </w:rPr>
        <w:t>408试采站</w:t>
      </w:r>
      <w:r>
        <w:rPr>
          <w:rFonts w:hint="eastAsia" w:ascii="Times New Roman" w:hAnsi="Times New Roman"/>
          <w:color w:val="000000" w:themeColor="text1"/>
          <w:highlight w:val="none"/>
          <w14:textFill>
            <w14:solidFill>
              <w14:schemeClr w14:val="tx1"/>
            </w14:solidFill>
          </w14:textFill>
        </w:rPr>
        <w:t>，再经大湾</w:t>
      </w:r>
      <w:r>
        <w:rPr>
          <w:rFonts w:hint="eastAsia" w:ascii="Times New Roman" w:hAnsi="Times New Roman"/>
          <w:color w:val="000000" w:themeColor="text1"/>
          <w:highlight w:val="none"/>
          <w:lang w:eastAsia="zh-CN"/>
          <w14:textFill>
            <w14:solidFill>
              <w14:schemeClr w14:val="tx1"/>
            </w14:solidFill>
          </w14:textFill>
        </w:rPr>
        <w:t>408试采站</w:t>
      </w:r>
      <w:r>
        <w:rPr>
          <w:rFonts w:hint="eastAsia" w:ascii="Times New Roman" w:hAnsi="Times New Roman"/>
          <w:color w:val="000000" w:themeColor="text1"/>
          <w:highlight w:val="none"/>
          <w14:textFill>
            <w14:solidFill>
              <w14:schemeClr w14:val="tx1"/>
            </w14:solidFill>
          </w14:textFill>
        </w:rPr>
        <w:t>进行计量分离，产生的采出水（含初期压裂返排液）依托大湾</w:t>
      </w:r>
      <w:r>
        <w:rPr>
          <w:rFonts w:hint="eastAsia" w:ascii="Times New Roman" w:hAnsi="Times New Roman"/>
          <w:color w:val="000000" w:themeColor="text1"/>
          <w:highlight w:val="none"/>
          <w:lang w:eastAsia="zh-CN"/>
          <w14:textFill>
            <w14:solidFill>
              <w14:schemeClr w14:val="tx1"/>
            </w14:solidFill>
          </w14:textFill>
        </w:rPr>
        <w:t>408试采站</w:t>
      </w:r>
      <w:r>
        <w:rPr>
          <w:rFonts w:hint="eastAsia" w:ascii="Times New Roman" w:hAnsi="Times New Roman"/>
          <w:color w:val="000000" w:themeColor="text1"/>
          <w:highlight w:val="none"/>
          <w14:textFill>
            <w14:solidFill>
              <w14:schemeClr w14:val="tx1"/>
            </w14:solidFill>
          </w14:textFill>
        </w:rPr>
        <w:t>既有污水罐收集暂存</w:t>
      </w:r>
      <w:r>
        <w:rPr>
          <w:rFonts w:ascii="Times New Roman" w:hAnsi="Times New Roman"/>
          <w:color w:val="000000" w:themeColor="text1"/>
          <w:highlight w:val="none"/>
          <w14:textFill>
            <w14:solidFill>
              <w14:schemeClr w14:val="tx1"/>
            </w14:solidFill>
          </w14:textFill>
        </w:rPr>
        <w:t>，然后通过密闭罐车拉运至</w:t>
      </w:r>
      <w:r>
        <w:rPr>
          <w:rFonts w:hint="eastAsia" w:ascii="Times New Roman" w:hAnsi="Times New Roman"/>
          <w:color w:val="000000" w:themeColor="text1"/>
          <w:highlight w:val="none"/>
          <w14:textFill>
            <w14:solidFill>
              <w14:schemeClr w14:val="tx1"/>
            </w14:solidFill>
          </w14:textFill>
        </w:rPr>
        <w:t>赵家坝污水处理站</w:t>
      </w:r>
      <w:r>
        <w:rPr>
          <w:rFonts w:ascii="Times New Roman" w:hAnsi="Times New Roman"/>
          <w:color w:val="000000" w:themeColor="text1"/>
          <w:highlight w:val="none"/>
          <w14:textFill>
            <w14:solidFill>
              <w14:schemeClr w14:val="tx1"/>
            </w14:solidFill>
          </w14:textFill>
        </w:rPr>
        <w:t>达到《</w:t>
      </w:r>
      <w:r>
        <w:rPr>
          <w:rFonts w:hint="eastAsia" w:ascii="Times New Roman" w:hAnsi="Times New Roman"/>
          <w:color w:val="000000" w:themeColor="text1"/>
          <w:highlight w:val="none"/>
          <w14:textFill>
            <w14:solidFill>
              <w14:schemeClr w14:val="tx1"/>
            </w14:solidFill>
          </w14:textFill>
        </w:rPr>
        <w:t>采出水</w:t>
      </w:r>
      <w:r>
        <w:rPr>
          <w:rFonts w:ascii="Times New Roman" w:hAnsi="Times New Roman"/>
          <w:color w:val="000000" w:themeColor="text1"/>
          <w:highlight w:val="none"/>
          <w14:textFill>
            <w14:solidFill>
              <w14:schemeClr w14:val="tx1"/>
            </w14:solidFill>
          </w14:textFill>
        </w:rPr>
        <w:t>回注方法》（SY/T 6596-2016）中注入水基本要求后管输至</w:t>
      </w:r>
      <w:r>
        <w:rPr>
          <w:rFonts w:hint="eastAsia" w:ascii="Times New Roman" w:hAnsi="Times New Roman"/>
          <w:color w:val="000000" w:themeColor="text1"/>
          <w:highlight w:val="none"/>
          <w14:textFill>
            <w14:solidFill>
              <w14:schemeClr w14:val="tx1"/>
            </w14:solidFill>
          </w14:textFill>
        </w:rPr>
        <w:t>普光3井回注站</w:t>
      </w:r>
      <w:r>
        <w:rPr>
          <w:rFonts w:ascii="Times New Roman" w:hAnsi="Times New Roman"/>
          <w:color w:val="000000" w:themeColor="text1"/>
          <w:highlight w:val="none"/>
          <w14:textFill>
            <w14:solidFill>
              <w14:schemeClr w14:val="tx1"/>
            </w14:solidFill>
          </w14:textFill>
        </w:rPr>
        <w:t>回注处理，不外排。</w:t>
      </w:r>
      <w:r>
        <w:rPr>
          <w:rFonts w:ascii="Times New Roman" w:hAnsi="Times New Roman"/>
          <w:bCs/>
          <w:color w:val="000000" w:themeColor="text1"/>
          <w:szCs w:val="24"/>
          <w:highlight w:val="none"/>
          <w14:textFill>
            <w14:solidFill>
              <w14:schemeClr w14:val="tx1"/>
            </w14:solidFill>
          </w14:textFill>
        </w:rPr>
        <w:t>试采期</w:t>
      </w:r>
      <w:r>
        <w:rPr>
          <w:rFonts w:hint="eastAsia" w:ascii="Times New Roman" w:hAnsi="Times New Roman"/>
          <w:bCs/>
          <w:color w:val="000000" w:themeColor="text1"/>
          <w:szCs w:val="24"/>
          <w:highlight w:val="none"/>
          <w14:textFill>
            <w14:solidFill>
              <w14:schemeClr w14:val="tx1"/>
            </w14:solidFill>
          </w14:textFill>
        </w:rPr>
        <w:t>试采站</w:t>
      </w:r>
      <w:r>
        <w:rPr>
          <w:rFonts w:ascii="Times New Roman" w:hAnsi="Times New Roman"/>
          <w:bCs/>
          <w:color w:val="000000" w:themeColor="text1"/>
          <w:szCs w:val="24"/>
          <w:highlight w:val="none"/>
          <w14:textFill>
            <w14:solidFill>
              <w14:schemeClr w14:val="tx1"/>
            </w14:solidFill>
          </w14:textFill>
        </w:rPr>
        <w:t>无新增劳动定员，试采期无新增生活污水产生。</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（2）废气</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项目施工期间扬尘执行《四川省施工场地扬尘排放标准》（DB51/2682-2020）；</w:t>
      </w:r>
      <w:r>
        <w:rPr>
          <w:rFonts w:hint="eastAsia" w:ascii="Times New Roman" w:hAnsi="Times New Roman"/>
          <w:bCs/>
          <w:color w:val="000000" w:themeColor="text1"/>
          <w:szCs w:val="24"/>
          <w:highlight w:val="none"/>
          <w14:textFill>
            <w14:solidFill>
              <w14:schemeClr w14:val="tx1"/>
            </w14:solidFill>
          </w14:textFill>
        </w:rPr>
        <w:t>施工期</w:t>
      </w:r>
      <w:r>
        <w:rPr>
          <w:rFonts w:ascii="Times New Roman" w:hAnsi="Times New Roman"/>
          <w:bCs/>
          <w:color w:val="000000" w:themeColor="text1"/>
          <w:szCs w:val="24"/>
          <w:highlight w:val="none"/>
          <w14:textFill>
            <w14:solidFill>
              <w14:schemeClr w14:val="tx1"/>
            </w14:solidFill>
          </w14:textFill>
        </w:rPr>
        <w:t>钻井期间备用柴油机废气排放执行《大气污染物综合排放标准》(GB16297-1996)；试采期间水套加热炉燃烧废气排放执行《锅炉大气污染物排放标准》（GB13271-2014）；施工期和试采期挥发性有机物无组织排放执行《陆上石油天然气开采工业大气污染物排放标准》（GB39728-2020）。其他废气执行《大气污染物综合排放标准》（GB16297-1996）。</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四川省施工场地扬尘排放标准</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2067"/>
        <w:gridCol w:w="1559"/>
        <w:gridCol w:w="1175"/>
        <w:gridCol w:w="1116"/>
        <w:gridCol w:w="10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2"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监测项目</w:t>
            </w:r>
          </w:p>
        </w:tc>
        <w:tc>
          <w:tcPr>
            <w:tcW w:w="2067"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区域</w:t>
            </w:r>
          </w:p>
        </w:tc>
        <w:tc>
          <w:tcPr>
            <w:tcW w:w="1559"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施工阶段</w:t>
            </w:r>
          </w:p>
        </w:tc>
        <w:tc>
          <w:tcPr>
            <w:tcW w:w="1175"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监测点排放限值（μg/m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1116"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监测时间</w:t>
            </w:r>
          </w:p>
        </w:tc>
        <w:tc>
          <w:tcPr>
            <w:tcW w:w="1093" w:type="dxa"/>
            <w:shd w:val="clear" w:color="auto" w:fill="auto"/>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7" w:hRule="atLeast"/>
          <w:jc w:val="center"/>
        </w:trPr>
        <w:tc>
          <w:tcPr>
            <w:tcW w:w="1212" w:type="dxa"/>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总悬浮颗粒物（TSP）</w:t>
            </w:r>
          </w:p>
        </w:tc>
        <w:tc>
          <w:tcPr>
            <w:tcW w:w="2067" w:type="dxa"/>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成都市、自贡市、泸州市、德阳市、绵阳市、广元市、遂宁市、内江市、乐山市、南充市、宜宾市、广安市、</w:t>
            </w:r>
            <w:r>
              <w:rPr>
                <w:color w:val="000000" w:themeColor="text1"/>
                <w:highlight w:val="none"/>
                <w:u w:val="single"/>
                <w14:textFill>
                  <w14:solidFill>
                    <w14:schemeClr w14:val="tx1"/>
                  </w14:solidFill>
                </w14:textFill>
              </w:rPr>
              <w:t>达州市、</w:t>
            </w:r>
            <w:r>
              <w:rPr>
                <w:color w:val="000000" w:themeColor="text1"/>
                <w:highlight w:val="none"/>
                <w14:textFill>
                  <w14:solidFill>
                    <w14:schemeClr w14:val="tx1"/>
                  </w14:solidFill>
                </w14:textFill>
              </w:rPr>
              <w:t>巴中市、雅安市、眉山市、资阳市</w:t>
            </w:r>
          </w:p>
        </w:tc>
        <w:tc>
          <w:tcPr>
            <w:tcW w:w="1559"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拆除工程/土方开挖/土方回填阶段</w:t>
            </w:r>
          </w:p>
        </w:tc>
        <w:tc>
          <w:tcPr>
            <w:tcW w:w="1175"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600</w:t>
            </w:r>
          </w:p>
        </w:tc>
        <w:tc>
          <w:tcPr>
            <w:tcW w:w="1116" w:type="dxa"/>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自监测起持续15分钟</w:t>
            </w:r>
          </w:p>
        </w:tc>
        <w:tc>
          <w:tcPr>
            <w:tcW w:w="1093" w:type="dxa"/>
            <w:vMerge w:val="restart"/>
            <w:shd w:val="clear" w:color="auto" w:fill="auto"/>
            <w:vAlign w:val="center"/>
          </w:tcPr>
          <w:p>
            <w:pPr>
              <w:pStyle w:val="297"/>
              <w:rPr>
                <w:color w:val="000000" w:themeColor="text1"/>
                <w:highlight w:val="none"/>
                <w14:textFill>
                  <w14:solidFill>
                    <w14:schemeClr w14:val="tx1"/>
                  </w14:solidFill>
                </w14:textFill>
              </w:rPr>
            </w:pPr>
            <w:r>
              <w:rPr>
                <w:bCs/>
                <w:color w:val="000000" w:themeColor="text1"/>
                <w:szCs w:val="24"/>
                <w:highlight w:val="none"/>
                <w14:textFill>
                  <w14:solidFill>
                    <w14:schemeClr w14:val="tx1"/>
                  </w14:solidFill>
                </w14:textFill>
              </w:rPr>
              <w:t>《四川省施工场地扬尘排放标准》（DB51/2682-2020）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2"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2067"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559"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其他工程阶段</w:t>
            </w:r>
          </w:p>
        </w:tc>
        <w:tc>
          <w:tcPr>
            <w:tcW w:w="1175"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1116"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093" w:type="dxa"/>
            <w:vMerge w:val="continue"/>
            <w:shd w:val="clear" w:color="auto" w:fill="auto"/>
            <w:vAlign w:val="center"/>
          </w:tcPr>
          <w:p>
            <w:pPr>
              <w:pStyle w:val="297"/>
              <w:rPr>
                <w:color w:val="000000" w:themeColor="text1"/>
                <w:highlight w:val="none"/>
                <w14:textFill>
                  <w14:solidFill>
                    <w14:schemeClr w14:val="tx1"/>
                  </w14:solidFill>
                </w14:textFill>
              </w:rPr>
            </w:pPr>
          </w:p>
        </w:tc>
      </w:tr>
    </w:tbl>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大气污染物综合排放标准</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806"/>
        <w:gridCol w:w="1439"/>
        <w:gridCol w:w="1323"/>
        <w:gridCol w:w="1504"/>
        <w:gridCol w:w="1297"/>
        <w:gridCol w:w="1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491"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87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最高允许排放浓度（mg/m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80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最高允许排放速率（kg/h）</w:t>
            </w:r>
          </w:p>
        </w:tc>
        <w:tc>
          <w:tcPr>
            <w:tcW w:w="91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无组织排放监控浓度限值（mg/m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78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备注</w:t>
            </w:r>
          </w:p>
        </w:tc>
        <w:tc>
          <w:tcPr>
            <w:tcW w:w="1125" w:type="pct"/>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49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p>
        </w:tc>
        <w:tc>
          <w:tcPr>
            <w:tcW w:w="87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w:t>
            </w:r>
          </w:p>
        </w:tc>
        <w:tc>
          <w:tcPr>
            <w:tcW w:w="80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1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0.40</w:t>
            </w:r>
          </w:p>
        </w:tc>
        <w:tc>
          <w:tcPr>
            <w:tcW w:w="788" w:type="pct"/>
            <w:vMerge w:val="restar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125" w:type="pct"/>
            <w:vMerge w:val="restart"/>
            <w:vAlign w:val="center"/>
          </w:tcPr>
          <w:p>
            <w:pPr>
              <w:pStyle w:val="297"/>
              <w:rPr>
                <w:color w:val="000000" w:themeColor="text1"/>
                <w:highlight w:val="none"/>
                <w14:textFill>
                  <w14:solidFill>
                    <w14:schemeClr w14:val="tx1"/>
                  </w14:solidFill>
                </w14:textFill>
              </w:rPr>
            </w:pPr>
            <w:r>
              <w:rPr>
                <w:bCs/>
                <w:color w:val="000000" w:themeColor="text1"/>
                <w:szCs w:val="24"/>
                <w:highlight w:val="none"/>
                <w14:textFill>
                  <w14:solidFill>
                    <w14:schemeClr w14:val="tx1"/>
                  </w14:solidFill>
                </w14:textFill>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49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x</w:t>
            </w:r>
          </w:p>
        </w:tc>
        <w:tc>
          <w:tcPr>
            <w:tcW w:w="87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240</w:t>
            </w:r>
          </w:p>
        </w:tc>
        <w:tc>
          <w:tcPr>
            <w:tcW w:w="80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1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0.12</w:t>
            </w:r>
          </w:p>
        </w:tc>
        <w:tc>
          <w:tcPr>
            <w:tcW w:w="788" w:type="pct"/>
            <w:vMerge w:val="continue"/>
            <w:vAlign w:val="center"/>
          </w:tcPr>
          <w:p>
            <w:pPr>
              <w:pStyle w:val="297"/>
              <w:rPr>
                <w:color w:val="000000" w:themeColor="text1"/>
                <w:highlight w:val="none"/>
                <w14:textFill>
                  <w14:solidFill>
                    <w14:schemeClr w14:val="tx1"/>
                  </w14:solidFill>
                </w14:textFill>
              </w:rPr>
            </w:pPr>
          </w:p>
        </w:tc>
        <w:tc>
          <w:tcPr>
            <w:tcW w:w="1125"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49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7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w:t>
            </w:r>
          </w:p>
        </w:tc>
        <w:tc>
          <w:tcPr>
            <w:tcW w:w="80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1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788" w:type="pct"/>
            <w:vMerge w:val="continue"/>
            <w:vAlign w:val="center"/>
          </w:tcPr>
          <w:p>
            <w:pPr>
              <w:pStyle w:val="297"/>
              <w:rPr>
                <w:color w:val="000000" w:themeColor="text1"/>
                <w:highlight w:val="none"/>
                <w14:textFill>
                  <w14:solidFill>
                    <w14:schemeClr w14:val="tx1"/>
                  </w14:solidFill>
                </w14:textFill>
              </w:rPr>
            </w:pPr>
          </w:p>
        </w:tc>
        <w:tc>
          <w:tcPr>
            <w:tcW w:w="1125"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49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p>
        </w:tc>
        <w:tc>
          <w:tcPr>
            <w:tcW w:w="87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550</w:t>
            </w:r>
          </w:p>
        </w:tc>
        <w:tc>
          <w:tcPr>
            <w:tcW w:w="80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91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0.40</w:t>
            </w:r>
          </w:p>
        </w:tc>
        <w:tc>
          <w:tcPr>
            <w:tcW w:w="788"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排放高度55m</w:t>
            </w:r>
          </w:p>
        </w:tc>
        <w:tc>
          <w:tcPr>
            <w:tcW w:w="1125"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49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w:t>
            </w:r>
            <w:r>
              <w:rPr>
                <w:color w:val="000000" w:themeColor="text1"/>
                <w:highlight w:val="none"/>
                <w:vertAlign w:val="subscript"/>
                <w14:textFill>
                  <w14:solidFill>
                    <w14:schemeClr w14:val="tx1"/>
                  </w14:solidFill>
                </w14:textFill>
              </w:rPr>
              <w:t>x</w:t>
            </w:r>
          </w:p>
        </w:tc>
        <w:tc>
          <w:tcPr>
            <w:tcW w:w="87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240</w:t>
            </w:r>
          </w:p>
        </w:tc>
        <w:tc>
          <w:tcPr>
            <w:tcW w:w="80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c>
          <w:tcPr>
            <w:tcW w:w="91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0.12</w:t>
            </w:r>
          </w:p>
        </w:tc>
        <w:tc>
          <w:tcPr>
            <w:tcW w:w="788" w:type="pct"/>
            <w:vMerge w:val="continue"/>
            <w:vAlign w:val="center"/>
          </w:tcPr>
          <w:p>
            <w:pPr>
              <w:pStyle w:val="297"/>
              <w:rPr>
                <w:color w:val="000000" w:themeColor="text1"/>
                <w:highlight w:val="none"/>
                <w14:textFill>
                  <w14:solidFill>
                    <w14:schemeClr w14:val="tx1"/>
                  </w14:solidFill>
                </w14:textFill>
              </w:rPr>
            </w:pPr>
          </w:p>
        </w:tc>
        <w:tc>
          <w:tcPr>
            <w:tcW w:w="1125"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cantSplit/>
          <w:jc w:val="center"/>
        </w:trPr>
        <w:tc>
          <w:tcPr>
            <w:tcW w:w="49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87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w:t>
            </w:r>
          </w:p>
        </w:tc>
        <w:tc>
          <w:tcPr>
            <w:tcW w:w="80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85</w:t>
            </w:r>
          </w:p>
        </w:tc>
        <w:tc>
          <w:tcPr>
            <w:tcW w:w="91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788" w:type="pct"/>
            <w:vMerge w:val="continue"/>
            <w:vAlign w:val="center"/>
          </w:tcPr>
          <w:p>
            <w:pPr>
              <w:pStyle w:val="297"/>
              <w:rPr>
                <w:color w:val="000000" w:themeColor="text1"/>
                <w:highlight w:val="none"/>
                <w14:textFill>
                  <w14:solidFill>
                    <w14:schemeClr w14:val="tx1"/>
                  </w14:solidFill>
                </w14:textFill>
              </w:rPr>
            </w:pPr>
          </w:p>
        </w:tc>
        <w:tc>
          <w:tcPr>
            <w:tcW w:w="1125" w:type="pct"/>
            <w:vMerge w:val="continue"/>
            <w:vAlign w:val="center"/>
          </w:tcPr>
          <w:p>
            <w:pPr>
              <w:pStyle w:val="297"/>
              <w:rPr>
                <w:color w:val="000000" w:themeColor="text1"/>
                <w:highlight w:val="none"/>
                <w14:textFill>
                  <w14:solidFill>
                    <w14:schemeClr w14:val="tx1"/>
                  </w14:solidFill>
                </w14:textFill>
              </w:rPr>
            </w:pPr>
          </w:p>
        </w:tc>
      </w:tr>
    </w:tbl>
    <w:p>
      <w:pPr>
        <w:pStyle w:val="203"/>
        <w:spacing w:before="163"/>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注：</w:t>
      </w:r>
      <w:r>
        <w:rPr>
          <w:color w:val="000000" w:themeColor="text1"/>
          <w:highlight w:val="none"/>
          <w14:textFill>
            <w14:solidFill>
              <w14:schemeClr w14:val="tx1"/>
            </w14:solidFill>
          </w14:textFill>
        </w:rPr>
        <w:t>根据2017.1.12环保部长《关于GB16297-1996 的适用范围的回复》，对</w:t>
      </w:r>
      <w:r>
        <w:rPr>
          <w:rFonts w:hint="eastAsia" w:ascii="宋体" w:hAnsi="宋体" w:cs="宋体"/>
          <w:color w:val="000000" w:themeColor="text1"/>
          <w:highlight w:val="none"/>
          <w14:textFill>
            <w14:solidFill>
              <w14:schemeClr w14:val="tx1"/>
            </w14:solidFill>
          </w14:textFill>
        </w:rPr>
        <w:t>“固定式柴油发电机排气筒高度和排放速率暂不作要求”</w:t>
      </w:r>
      <w:r>
        <w:rPr>
          <w:color w:val="000000" w:themeColor="text1"/>
          <w:highlight w:val="none"/>
          <w14:textFill>
            <w14:solidFill>
              <w14:schemeClr w14:val="tx1"/>
            </w14:solidFill>
          </w14:textFill>
        </w:rPr>
        <w:t>。</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锅炉大气污染物排放标准</w:t>
      </w:r>
      <w:r>
        <w:rPr>
          <w:color w:val="000000" w:themeColor="text1"/>
          <w:highlight w:val="none"/>
          <w14:textFill>
            <w14:solidFill>
              <w14:schemeClr w14:val="tx1"/>
            </w14:solidFill>
          </w14:textFill>
        </w:rPr>
        <w:t xml:space="preserve">  单位：mg/m</w:t>
      </w:r>
      <w:r>
        <w:rPr>
          <w:color w:val="000000" w:themeColor="text1"/>
          <w:highlight w:val="none"/>
          <w:vertAlign w:val="superscript"/>
          <w14:textFill>
            <w14:solidFill>
              <w14:schemeClr w14:val="tx1"/>
            </w14:solidFill>
          </w14:textFill>
        </w:rPr>
        <w:t>3</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2728"/>
        <w:gridCol w:w="2942"/>
        <w:gridCol w:w="1250"/>
        <w:gridCol w:w="13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blHeader/>
          <w:jc w:val="center"/>
        </w:trPr>
        <w:tc>
          <w:tcPr>
            <w:tcW w:w="2728"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lang w:bidi="ar"/>
                <w14:textFill>
                  <w14:solidFill>
                    <w14:schemeClr w14:val="tx1"/>
                  </w14:solidFill>
                </w14:textFill>
              </w:rPr>
              <w:t>污染物</w:t>
            </w:r>
          </w:p>
        </w:tc>
        <w:tc>
          <w:tcPr>
            <w:tcW w:w="2942"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lang w:bidi="ar"/>
                <w14:textFill>
                  <w14:solidFill>
                    <w14:schemeClr w14:val="tx1"/>
                  </w14:solidFill>
                </w14:textFill>
              </w:rPr>
              <w:t>最高允许排放浓度（mg/m</w:t>
            </w:r>
            <w:r>
              <w:rPr>
                <w:b/>
                <w:bCs/>
                <w:color w:val="000000" w:themeColor="text1"/>
                <w:highlight w:val="none"/>
                <w:vertAlign w:val="superscript"/>
                <w:lang w:bidi="ar"/>
                <w14:textFill>
                  <w14:solidFill>
                    <w14:schemeClr w14:val="tx1"/>
                  </w14:solidFill>
                </w14:textFill>
              </w:rPr>
              <w:t>3</w:t>
            </w:r>
            <w:r>
              <w:rPr>
                <w:b/>
                <w:bCs/>
                <w:color w:val="000000" w:themeColor="text1"/>
                <w:highlight w:val="none"/>
                <w:lang w:bidi="ar"/>
                <w14:textFill>
                  <w14:solidFill>
                    <w14:schemeClr w14:val="tx1"/>
                  </w14:solidFill>
                </w14:textFill>
              </w:rPr>
              <w:t>）</w:t>
            </w:r>
          </w:p>
        </w:tc>
        <w:tc>
          <w:tcPr>
            <w:tcW w:w="1250"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lang w:bidi="ar"/>
                <w14:textFill>
                  <w14:solidFill>
                    <w14:schemeClr w14:val="tx1"/>
                  </w14:solidFill>
                </w14:textFill>
              </w:rPr>
              <w:t>监控位置</w:t>
            </w:r>
          </w:p>
        </w:tc>
        <w:tc>
          <w:tcPr>
            <w:tcW w:w="1300" w:type="dxa"/>
            <w:shd w:val="clear" w:color="auto" w:fill="auto"/>
            <w:vAlign w:val="center"/>
          </w:tcPr>
          <w:p>
            <w:pPr>
              <w:pStyle w:val="297"/>
              <w:rPr>
                <w:b/>
                <w:bCs/>
                <w:color w:val="000000" w:themeColor="text1"/>
                <w:highlight w:val="none"/>
                <w:lang w:bidi="ar"/>
                <w14:textFill>
                  <w14:solidFill>
                    <w14:schemeClr w14:val="tx1"/>
                  </w14:solidFill>
                </w14:textFill>
              </w:rPr>
            </w:pPr>
            <w:r>
              <w:rPr>
                <w:rFonts w:hint="eastAsia"/>
                <w:b/>
                <w:bCs/>
                <w:color w:val="000000" w:themeColor="text1"/>
                <w:highlight w:val="none"/>
                <w:lang w:bidi="ar"/>
                <w14:textFill>
                  <w14:solidFill>
                    <w14:schemeClr w14:val="tx1"/>
                  </w14:solidFill>
                </w14:textFill>
              </w:rPr>
              <w:t>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728"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NO</w:t>
            </w:r>
            <w:r>
              <w:rPr>
                <w:color w:val="000000" w:themeColor="text1"/>
                <w:highlight w:val="none"/>
                <w:vertAlign w:val="subscript"/>
                <w:lang w:bidi="ar"/>
                <w14:textFill>
                  <w14:solidFill>
                    <w14:schemeClr w14:val="tx1"/>
                  </w14:solidFill>
                </w14:textFill>
              </w:rPr>
              <w:t>x</w:t>
            </w:r>
          </w:p>
        </w:tc>
        <w:tc>
          <w:tcPr>
            <w:tcW w:w="2942"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200</w:t>
            </w:r>
          </w:p>
        </w:tc>
        <w:tc>
          <w:tcPr>
            <w:tcW w:w="1250" w:type="dxa"/>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烟囱或烟道</w:t>
            </w:r>
          </w:p>
        </w:tc>
        <w:tc>
          <w:tcPr>
            <w:tcW w:w="1300" w:type="dxa"/>
            <w:vMerge w:val="restart"/>
            <w:shd w:val="clear" w:color="auto" w:fill="auto"/>
            <w:vAlign w:val="center"/>
          </w:tcPr>
          <w:p>
            <w:pPr>
              <w:pStyle w:val="297"/>
              <w:rPr>
                <w:color w:val="000000" w:themeColor="text1"/>
                <w:highlight w:val="none"/>
                <w:lang w:bidi="ar"/>
                <w14:textFill>
                  <w14:solidFill>
                    <w14:schemeClr w14:val="tx1"/>
                  </w14:solidFill>
                </w14:textFill>
              </w:rPr>
            </w:pPr>
            <w:r>
              <w:rPr>
                <w:bCs/>
                <w:color w:val="000000" w:themeColor="text1"/>
                <w:szCs w:val="24"/>
                <w:highlight w:val="none"/>
                <w14:textFill>
                  <w14:solidFill>
                    <w14:schemeClr w14:val="tx1"/>
                  </w14:solidFill>
                </w14:textFill>
              </w:rPr>
              <w:t>《锅炉大气污染物排放标准》（GB13271-2014）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728"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SO</w:t>
            </w:r>
            <w:r>
              <w:rPr>
                <w:color w:val="000000" w:themeColor="text1"/>
                <w:highlight w:val="none"/>
                <w:vertAlign w:val="subscript"/>
                <w:lang w:bidi="ar"/>
                <w14:textFill>
                  <w14:solidFill>
                    <w14:schemeClr w14:val="tx1"/>
                  </w14:solidFill>
                </w14:textFill>
              </w:rPr>
              <w:t>2</w:t>
            </w:r>
          </w:p>
        </w:tc>
        <w:tc>
          <w:tcPr>
            <w:tcW w:w="2942"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50</w:t>
            </w:r>
          </w:p>
        </w:tc>
        <w:tc>
          <w:tcPr>
            <w:tcW w:w="1250"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300" w:type="dxa"/>
            <w:vMerge w:val="continue"/>
            <w:shd w:val="clear" w:color="auto" w:fill="auto"/>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728"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颗粒物</w:t>
            </w:r>
          </w:p>
        </w:tc>
        <w:tc>
          <w:tcPr>
            <w:tcW w:w="2942"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20</w:t>
            </w:r>
          </w:p>
        </w:tc>
        <w:tc>
          <w:tcPr>
            <w:tcW w:w="1250"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300" w:type="dxa"/>
            <w:vMerge w:val="continue"/>
            <w:shd w:val="clear" w:color="auto" w:fill="auto"/>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728" w:type="dxa"/>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烟气黑度（林格曼黑度，级）</w:t>
            </w:r>
          </w:p>
        </w:tc>
        <w:tc>
          <w:tcPr>
            <w:tcW w:w="2942" w:type="dxa"/>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≤1</w:t>
            </w:r>
          </w:p>
        </w:tc>
        <w:tc>
          <w:tcPr>
            <w:tcW w:w="1250"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烟囱排放口</w:t>
            </w:r>
          </w:p>
        </w:tc>
        <w:tc>
          <w:tcPr>
            <w:tcW w:w="1300" w:type="dxa"/>
            <w:vMerge w:val="continue"/>
            <w:shd w:val="clear" w:color="auto" w:fill="auto"/>
            <w:vAlign w:val="center"/>
          </w:tcPr>
          <w:p>
            <w:pPr>
              <w:pStyle w:val="297"/>
              <w:rPr>
                <w:color w:val="000000" w:themeColor="text1"/>
                <w:highlight w:val="none"/>
                <w14:textFill>
                  <w14:solidFill>
                    <w14:schemeClr w14:val="tx1"/>
                  </w14:solidFill>
                </w14:textFill>
              </w:rPr>
            </w:pPr>
          </w:p>
        </w:tc>
      </w:tr>
    </w:tbl>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陆上石油天然气开采工业大气污染物排放标准</w:t>
      </w:r>
    </w:p>
    <w:tbl>
      <w:tblPr>
        <w:tblStyle w:val="54"/>
        <w:tblW w:w="48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8"/>
        <w:gridCol w:w="1546"/>
        <w:gridCol w:w="4139"/>
        <w:gridCol w:w="1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3" w:hRule="atLeast"/>
          <w:jc w:val="center"/>
        </w:trPr>
        <w:tc>
          <w:tcPr>
            <w:tcW w:w="68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94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无组织排放（周界外浓度最高点）/（mg/m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2517" w:type="pct"/>
            <w:vAlign w:val="center"/>
          </w:tcPr>
          <w:p>
            <w:pPr>
              <w:pStyle w:val="297"/>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有组织排放标准要求</w:t>
            </w:r>
          </w:p>
        </w:tc>
        <w:tc>
          <w:tcPr>
            <w:tcW w:w="861" w:type="pct"/>
            <w:shd w:val="clear" w:color="auto" w:fill="auto"/>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8" w:hRule="atLeast"/>
          <w:jc w:val="center"/>
        </w:trPr>
        <w:tc>
          <w:tcPr>
            <w:tcW w:w="680" w:type="pct"/>
            <w:vMerge w:val="continue"/>
            <w:vAlign w:val="center"/>
          </w:tcPr>
          <w:p>
            <w:pPr>
              <w:pStyle w:val="297"/>
              <w:rPr>
                <w:color w:val="000000" w:themeColor="text1"/>
                <w:highlight w:val="none"/>
                <w14:textFill>
                  <w14:solidFill>
                    <w14:schemeClr w14:val="tx1"/>
                  </w14:solidFill>
                </w14:textFill>
              </w:rPr>
            </w:pPr>
          </w:p>
        </w:tc>
        <w:tc>
          <w:tcPr>
            <w:tcW w:w="940" w:type="pct"/>
            <w:vMerge w:val="continue"/>
            <w:vAlign w:val="center"/>
          </w:tcPr>
          <w:p>
            <w:pPr>
              <w:pStyle w:val="297"/>
              <w:rPr>
                <w:color w:val="000000" w:themeColor="text1"/>
                <w:highlight w:val="none"/>
                <w14:textFill>
                  <w14:solidFill>
                    <w14:schemeClr w14:val="tx1"/>
                  </w14:solidFill>
                </w14:textFill>
              </w:rPr>
            </w:pPr>
          </w:p>
        </w:tc>
        <w:tc>
          <w:tcPr>
            <w:tcW w:w="2517" w:type="pct"/>
            <w:vMerge w:val="restart"/>
            <w:vAlign w:val="center"/>
          </w:tcPr>
          <w:p>
            <w:pPr>
              <w:pStyle w:val="297"/>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a）非甲烷总烃排放浓度不超过120mg/m</w:t>
            </w:r>
            <w:r>
              <w:rPr>
                <w:color w:val="000000" w:themeColor="text1"/>
                <w:szCs w:val="21"/>
                <w:highlight w:val="none"/>
                <w:vertAlign w:val="superscript"/>
                <w14:textFill>
                  <w14:solidFill>
                    <w14:schemeClr w14:val="tx1"/>
                  </w14:solidFill>
                </w14:textFill>
              </w:rPr>
              <w:t>3</w:t>
            </w:r>
            <w:r>
              <w:rPr>
                <w:color w:val="000000" w:themeColor="text1"/>
                <w:szCs w:val="21"/>
                <w:highlight w:val="none"/>
                <w14:textFill>
                  <w14:solidFill>
                    <w14:schemeClr w14:val="tx1"/>
                  </w14:solidFill>
                </w14:textFill>
              </w:rPr>
              <w:t>；</w:t>
            </w:r>
          </w:p>
          <w:p>
            <w:pPr>
              <w:pStyle w:val="297"/>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b）生产装置和设施排气中非甲烷总烃初始排放速率≥3kg/h的，废气处理设施非甲烷总烃去除效率不低于80%。重点地区生产装置和设施排气中非甲烷总烃初始排放速率≥2kg/h的，废气处理设施非甲烷总烃去除效率不低于80%</w:t>
            </w:r>
          </w:p>
        </w:tc>
        <w:tc>
          <w:tcPr>
            <w:tcW w:w="861" w:type="pct"/>
            <w:vMerge w:val="restart"/>
            <w:shd w:val="clear" w:color="auto" w:fill="auto"/>
            <w:vAlign w:val="center"/>
          </w:tcPr>
          <w:p>
            <w:pPr>
              <w:pStyle w:val="297"/>
              <w:rPr>
                <w:color w:val="000000" w:themeColor="text1"/>
                <w:highlight w:val="none"/>
                <w14:textFill>
                  <w14:solidFill>
                    <w14:schemeClr w14:val="tx1"/>
                  </w14:solidFill>
                </w14:textFill>
              </w:rPr>
            </w:pPr>
            <w:r>
              <w:rPr>
                <w:bCs/>
                <w:color w:val="000000" w:themeColor="text1"/>
                <w:szCs w:val="24"/>
                <w:highlight w:val="none"/>
                <w14:textFill>
                  <w14:solidFill>
                    <w14:schemeClr w14:val="tx1"/>
                  </w14:solidFill>
                </w14:textFill>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NMHC</w:t>
            </w:r>
          </w:p>
        </w:tc>
        <w:tc>
          <w:tcPr>
            <w:tcW w:w="9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p>
        </w:tc>
        <w:tc>
          <w:tcPr>
            <w:tcW w:w="2517" w:type="pct"/>
            <w:vMerge w:val="continue"/>
            <w:vAlign w:val="center"/>
          </w:tcPr>
          <w:p>
            <w:pPr>
              <w:pStyle w:val="297"/>
              <w:rPr>
                <w:color w:val="000000" w:themeColor="text1"/>
                <w:highlight w:val="none"/>
                <w14:textFill>
                  <w14:solidFill>
                    <w14:schemeClr w14:val="tx1"/>
                  </w14:solidFill>
                </w14:textFill>
              </w:rPr>
            </w:pPr>
          </w:p>
        </w:tc>
        <w:tc>
          <w:tcPr>
            <w:tcW w:w="861" w:type="pct"/>
            <w:vMerge w:val="continue"/>
            <w:vAlign w:val="center"/>
          </w:tcPr>
          <w:p>
            <w:pPr>
              <w:pStyle w:val="297"/>
              <w:rPr>
                <w:color w:val="000000" w:themeColor="text1"/>
                <w:highlight w:val="none"/>
                <w14:textFill>
                  <w14:solidFill>
                    <w14:schemeClr w14:val="tx1"/>
                  </w14:solidFill>
                </w14:textFill>
              </w:rPr>
            </w:pP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（3）噪声</w:t>
      </w:r>
    </w:p>
    <w:bookmarkEnd w:id="71"/>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项目施工期执行《建筑施工场界环境噪声排放标准》（GB12523-2011），</w:t>
      </w:r>
      <w:r>
        <w:rPr>
          <w:rFonts w:ascii="Times New Roman" w:hAnsi="Times New Roman"/>
          <w:color w:val="000000" w:themeColor="text1"/>
          <w:szCs w:val="24"/>
          <w:highlight w:val="none"/>
          <w14:textFill>
            <w14:solidFill>
              <w14:schemeClr w14:val="tx1"/>
            </w14:solidFill>
          </w14:textFill>
        </w:rPr>
        <w:t>试采期</w:t>
      </w:r>
      <w:r>
        <w:rPr>
          <w:rFonts w:ascii="Times New Roman" w:hAnsi="Times New Roman"/>
          <w:bCs/>
          <w:snapToGrid w:val="0"/>
          <w:color w:val="000000" w:themeColor="text1"/>
          <w:szCs w:val="24"/>
          <w:highlight w:val="none"/>
          <w14:textFill>
            <w14:solidFill>
              <w14:schemeClr w14:val="tx1"/>
            </w14:solidFill>
          </w14:textFill>
        </w:rPr>
        <w:t>执</w:t>
      </w:r>
      <w:r>
        <w:rPr>
          <w:rFonts w:ascii="Times New Roman" w:hAnsi="Times New Roman"/>
          <w:color w:val="000000" w:themeColor="text1"/>
          <w:szCs w:val="24"/>
          <w:highlight w:val="none"/>
          <w14:textFill>
            <w14:solidFill>
              <w14:schemeClr w14:val="tx1"/>
            </w14:solidFill>
          </w14:textFill>
        </w:rPr>
        <w:t>行《工业企业厂界环境噪声排放标准》（GB12348-2008</w:t>
      </w:r>
      <w:r>
        <w:rPr>
          <w:rFonts w:ascii="Times New Roman" w:hAnsi="Times New Roman"/>
          <w:bCs/>
          <w:snapToGrid w:val="0"/>
          <w:color w:val="000000" w:themeColor="text1"/>
          <w:szCs w:val="24"/>
          <w:highlight w:val="none"/>
          <w14:textFill>
            <w14:solidFill>
              <w14:schemeClr w14:val="tx1"/>
            </w14:solidFill>
          </w14:textFill>
        </w:rPr>
        <w:t>）2类功能区标</w:t>
      </w:r>
      <w:r>
        <w:rPr>
          <w:rFonts w:hint="eastAsia" w:ascii="Times New Roman" w:hAnsi="Times New Roman"/>
          <w:bCs/>
          <w:color w:val="000000" w:themeColor="text1"/>
          <w:szCs w:val="24"/>
          <w:highlight w:val="none"/>
          <w14:textFill>
            <w14:solidFill>
              <w14:schemeClr w14:val="tx1"/>
            </w14:solidFill>
          </w14:textFill>
        </w:rPr>
        <w:t>准，见</w:t>
      </w:r>
      <w:r>
        <w:rPr>
          <w:rFonts w:hint="eastAsia" w:ascii="Times New Roman" w:hAnsi="Times New Roman"/>
          <w:bCs/>
          <w:color w:val="000000" w:themeColor="text1"/>
          <w:szCs w:val="24"/>
          <w:highlight w:val="none"/>
          <w14:textFill>
            <w14:solidFill>
              <w14:schemeClr w14:val="tx1"/>
            </w14:solidFill>
          </w14:textFill>
        </w:rPr>
        <w:fldChar w:fldCharType="begin"/>
      </w:r>
      <w:r>
        <w:rPr>
          <w:rFonts w:hint="eastAsia" w:ascii="Times New Roman" w:hAnsi="Times New Roman"/>
          <w:bCs/>
          <w:color w:val="000000" w:themeColor="text1"/>
          <w:szCs w:val="24"/>
          <w:highlight w:val="none"/>
          <w14:textFill>
            <w14:solidFill>
              <w14:schemeClr w14:val="tx1"/>
            </w14:solidFill>
          </w14:textFill>
        </w:rPr>
        <w:instrText xml:space="preserve"> REF _Ref143335153 \h  \* MERGEFORMAT </w:instrText>
      </w:r>
      <w:r>
        <w:rPr>
          <w:rFonts w:hint="eastAsia" w:ascii="Times New Roman" w:hAnsi="Times New Roman"/>
          <w:bCs/>
          <w:color w:val="000000" w:themeColor="text1"/>
          <w:szCs w:val="24"/>
          <w:highlight w:val="none"/>
          <w14:textFill>
            <w14:solidFill>
              <w14:schemeClr w14:val="tx1"/>
            </w14:solidFill>
          </w14:textFill>
        </w:rPr>
        <w:fldChar w:fldCharType="separate"/>
      </w:r>
      <w:r>
        <w:rPr>
          <w:rFonts w:hint="eastAsia" w:ascii="Times New Roman" w:hAnsi="Times New Roman"/>
          <w:bCs/>
          <w:color w:val="000000" w:themeColor="text1"/>
          <w:szCs w:val="24"/>
          <w:highlight w:val="none"/>
          <w14:textFill>
            <w14:solidFill>
              <w14:schemeClr w14:val="tx1"/>
            </w14:solidFill>
          </w14:textFill>
        </w:rPr>
        <w:t>表</w:t>
      </w:r>
      <w:r>
        <w:rPr>
          <w:rFonts w:hint="eastAsia" w:ascii="Times New Roman" w:hAnsi="Times New Roman"/>
          <w:bCs/>
          <w:color w:val="000000" w:themeColor="text1"/>
          <w:szCs w:val="24"/>
          <w:highlight w:val="none"/>
          <w14:textFill>
            <w14:solidFill>
              <w14:schemeClr w14:val="tx1"/>
            </w14:solidFill>
          </w14:textFill>
        </w:rPr>
        <w:fldChar w:fldCharType="begin"/>
      </w:r>
      <w:r>
        <w:rPr>
          <w:rFonts w:hint="eastAsia" w:ascii="Times New Roman" w:hAnsi="Times New Roman"/>
          <w:bCs/>
          <w:color w:val="000000" w:themeColor="text1"/>
          <w:szCs w:val="24"/>
          <w:highlight w:val="none"/>
          <w14:textFill>
            <w14:solidFill>
              <w14:schemeClr w14:val="tx1"/>
            </w14:solidFill>
          </w14:textFill>
        </w:rPr>
        <w:instrText xml:space="preserve"> STYLEREF 2 \s </w:instrText>
      </w:r>
      <w:r>
        <w:rPr>
          <w:rFonts w:hint="eastAsia" w:ascii="Times New Roman" w:hAnsi="Times New Roman"/>
          <w:bCs/>
          <w:color w:val="000000" w:themeColor="text1"/>
          <w:szCs w:val="24"/>
          <w:highlight w:val="none"/>
          <w14:textFill>
            <w14:solidFill>
              <w14:schemeClr w14:val="tx1"/>
            </w14:solidFill>
          </w14:textFill>
        </w:rPr>
        <w:fldChar w:fldCharType="separate"/>
      </w:r>
      <w:r>
        <w:rPr>
          <w:rFonts w:hint="eastAsia" w:ascii="Times New Roman" w:hAnsi="Times New Roman"/>
          <w:bCs/>
          <w:color w:val="000000" w:themeColor="text1"/>
          <w:szCs w:val="24"/>
          <w:highlight w:val="none"/>
          <w14:textFill>
            <w14:solidFill>
              <w14:schemeClr w14:val="tx1"/>
            </w14:solidFill>
          </w14:textFill>
        </w:rPr>
        <w:t>2.5</w:t>
      </w:r>
      <w:r>
        <w:rPr>
          <w:rFonts w:hint="eastAsia" w:ascii="Times New Roman" w:hAnsi="Times New Roman"/>
          <w:bCs/>
          <w:color w:val="000000" w:themeColor="text1"/>
          <w:szCs w:val="24"/>
          <w:highlight w:val="none"/>
          <w14:textFill>
            <w14:solidFill>
              <w14:schemeClr w14:val="tx1"/>
            </w14:solidFill>
          </w14:textFill>
        </w:rPr>
        <w:fldChar w:fldCharType="end"/>
      </w:r>
      <w:r>
        <w:rPr>
          <w:rFonts w:hint="eastAsia" w:ascii="Times New Roman" w:hAnsi="Times New Roman"/>
          <w:bCs/>
          <w:color w:val="000000" w:themeColor="text1"/>
          <w:szCs w:val="24"/>
          <w:highlight w:val="none"/>
          <w14:textFill>
            <w14:solidFill>
              <w14:schemeClr w14:val="tx1"/>
            </w14:solidFill>
          </w14:textFill>
        </w:rPr>
        <w:noBreakHyphen/>
      </w:r>
      <w:r>
        <w:rPr>
          <w:rFonts w:hint="eastAsia" w:ascii="Times New Roman" w:hAnsi="Times New Roman"/>
          <w:bCs/>
          <w:color w:val="000000" w:themeColor="text1"/>
          <w:szCs w:val="24"/>
          <w:highlight w:val="none"/>
          <w14:textFill>
            <w14:solidFill>
              <w14:schemeClr w14:val="tx1"/>
            </w14:solidFill>
          </w14:textFill>
        </w:rPr>
        <w:t>12</w:t>
      </w:r>
      <w:r>
        <w:rPr>
          <w:rFonts w:hint="eastAsia" w:ascii="Times New Roman" w:hAnsi="Times New Roman"/>
          <w:bCs/>
          <w:color w:val="000000" w:themeColor="text1"/>
          <w:szCs w:val="24"/>
          <w:highlight w:val="none"/>
          <w14:textFill>
            <w14:solidFill>
              <w14:schemeClr w14:val="tx1"/>
            </w14:solidFill>
          </w14:textFill>
        </w:rPr>
        <w:fldChar w:fldCharType="end"/>
      </w:r>
      <w:r>
        <w:rPr>
          <w:rFonts w:hint="eastAsia" w:ascii="Times New Roman" w:hAnsi="Times New Roman"/>
          <w:bCs/>
          <w:color w:val="000000" w:themeColor="text1"/>
          <w:szCs w:val="24"/>
          <w:highlight w:val="none"/>
          <w14:textFill>
            <w14:solidFill>
              <w14:schemeClr w14:val="tx1"/>
            </w14:solidFill>
          </w14:textFill>
        </w:rPr>
        <w:t>。</w:t>
      </w:r>
    </w:p>
    <w:p>
      <w:pPr>
        <w:pStyle w:val="203"/>
        <w:spacing w:before="163"/>
        <w:rPr>
          <w:color w:val="000000" w:themeColor="text1"/>
          <w:highlight w:val="none"/>
          <w14:textFill>
            <w14:solidFill>
              <w14:schemeClr w14:val="tx1"/>
            </w14:solidFill>
          </w14:textFill>
        </w:rPr>
      </w:pPr>
      <w:bookmarkStart w:id="73" w:name="_Ref14333515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bookmarkEnd w:id="7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噪声污染物排放标准</w:t>
      </w:r>
      <w:r>
        <w:rPr>
          <w:color w:val="000000" w:themeColor="text1"/>
          <w:highlight w:val="none"/>
          <w14:textFill>
            <w14:solidFill>
              <w14:schemeClr w14:val="tx1"/>
            </w14:solidFill>
          </w14:textFill>
        </w:rPr>
        <w:t xml:space="preserve">   单位：dB（A）</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2"/>
        <w:gridCol w:w="3686"/>
        <w:gridCol w:w="992"/>
        <w:gridCol w:w="1134"/>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 w:type="dxa"/>
            <w:tcBorders>
              <w:tl2br w:val="nil"/>
              <w:tr2bl w:val="nil"/>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时段</w:t>
            </w:r>
          </w:p>
        </w:tc>
        <w:tc>
          <w:tcPr>
            <w:tcW w:w="3686" w:type="dxa"/>
            <w:tcBorders>
              <w:tl2br w:val="nil"/>
              <w:tr2bl w:val="nil"/>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标准名称及级（类）别</w:t>
            </w:r>
          </w:p>
        </w:tc>
        <w:tc>
          <w:tcPr>
            <w:tcW w:w="3304" w:type="dxa"/>
            <w:gridSpan w:val="3"/>
            <w:tcBorders>
              <w:tl2br w:val="nil"/>
              <w:tr2bl w:val="nil"/>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标准值（单位：dB（A））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 w:type="dxa"/>
            <w:vMerge w:val="restart"/>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p>
        </w:tc>
        <w:tc>
          <w:tcPr>
            <w:tcW w:w="3686" w:type="dxa"/>
            <w:vMerge w:val="restart"/>
            <w:tcBorders>
              <w:tl2br w:val="nil"/>
              <w:tr2bl w:val="nil"/>
            </w:tcBorders>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《建筑施工场界环境噪声排放标准》（GB12523-2011）</w:t>
            </w:r>
          </w:p>
        </w:tc>
        <w:tc>
          <w:tcPr>
            <w:tcW w:w="992" w:type="dxa"/>
            <w:vMerge w:val="restart"/>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场界</w:t>
            </w:r>
          </w:p>
        </w:tc>
        <w:tc>
          <w:tcPr>
            <w:tcW w:w="1134" w:type="dxa"/>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1178" w:type="dxa"/>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 w:type="dxa"/>
            <w:vMerge w:val="continue"/>
            <w:tcBorders>
              <w:tl2br w:val="nil"/>
              <w:tr2bl w:val="nil"/>
            </w:tcBorders>
            <w:vAlign w:val="center"/>
          </w:tcPr>
          <w:p>
            <w:pPr>
              <w:pStyle w:val="297"/>
              <w:rPr>
                <w:color w:val="000000" w:themeColor="text1"/>
                <w:highlight w:val="none"/>
                <w14:textFill>
                  <w14:solidFill>
                    <w14:schemeClr w14:val="tx1"/>
                  </w14:solidFill>
                </w14:textFill>
              </w:rPr>
            </w:pPr>
          </w:p>
        </w:tc>
        <w:tc>
          <w:tcPr>
            <w:tcW w:w="3686" w:type="dxa"/>
            <w:vMerge w:val="continue"/>
            <w:tcBorders>
              <w:tl2br w:val="nil"/>
              <w:tr2bl w:val="nil"/>
            </w:tcBorders>
            <w:vAlign w:val="center"/>
          </w:tcPr>
          <w:p>
            <w:pPr>
              <w:pStyle w:val="297"/>
              <w:rPr>
                <w:color w:val="000000" w:themeColor="text1"/>
                <w:highlight w:val="none"/>
                <w14:textFill>
                  <w14:solidFill>
                    <w14:schemeClr w14:val="tx1"/>
                  </w14:solidFill>
                </w14:textFill>
              </w:rPr>
            </w:pPr>
          </w:p>
        </w:tc>
        <w:tc>
          <w:tcPr>
            <w:tcW w:w="992" w:type="dxa"/>
            <w:vMerge w:val="continue"/>
            <w:tcBorders>
              <w:tl2br w:val="nil"/>
              <w:tr2bl w:val="nil"/>
            </w:tcBorders>
            <w:vAlign w:val="center"/>
          </w:tcPr>
          <w:p>
            <w:pPr>
              <w:pStyle w:val="297"/>
              <w:rPr>
                <w:color w:val="000000" w:themeColor="text1"/>
                <w:highlight w:val="none"/>
                <w14:textFill>
                  <w14:solidFill>
                    <w14:schemeClr w14:val="tx1"/>
                  </w14:solidFill>
                </w14:textFill>
              </w:rPr>
            </w:pPr>
          </w:p>
        </w:tc>
        <w:tc>
          <w:tcPr>
            <w:tcW w:w="1134" w:type="dxa"/>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c>
          <w:tcPr>
            <w:tcW w:w="1178" w:type="dxa"/>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 w:type="dxa"/>
            <w:vMerge w:val="restart"/>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p>
        </w:tc>
        <w:tc>
          <w:tcPr>
            <w:tcW w:w="3686" w:type="dxa"/>
            <w:vMerge w:val="restart"/>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《工业企业厂界环境噪声排放标准》（GB12348-2008</w:t>
            </w:r>
            <w:r>
              <w:rPr>
                <w:bCs/>
                <w:color w:val="000000" w:themeColor="text1"/>
                <w:highlight w:val="none"/>
                <w14:textFill>
                  <w14:solidFill>
                    <w14:schemeClr w14:val="tx1"/>
                  </w14:solidFill>
                </w14:textFill>
              </w:rPr>
              <w:t>）2类标准</w:t>
            </w:r>
          </w:p>
        </w:tc>
        <w:tc>
          <w:tcPr>
            <w:tcW w:w="992" w:type="dxa"/>
            <w:vMerge w:val="restart"/>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场界</w:t>
            </w:r>
          </w:p>
        </w:tc>
        <w:tc>
          <w:tcPr>
            <w:tcW w:w="1134" w:type="dxa"/>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昼间</w:t>
            </w:r>
          </w:p>
        </w:tc>
        <w:tc>
          <w:tcPr>
            <w:tcW w:w="1178" w:type="dxa"/>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2" w:type="dxa"/>
            <w:vMerge w:val="continue"/>
            <w:tcBorders>
              <w:tl2br w:val="nil"/>
              <w:tr2bl w:val="nil"/>
            </w:tcBorders>
            <w:vAlign w:val="center"/>
          </w:tcPr>
          <w:p>
            <w:pPr>
              <w:pStyle w:val="297"/>
              <w:rPr>
                <w:color w:val="000000" w:themeColor="text1"/>
                <w:highlight w:val="none"/>
                <w14:textFill>
                  <w14:solidFill>
                    <w14:schemeClr w14:val="tx1"/>
                  </w14:solidFill>
                </w14:textFill>
              </w:rPr>
            </w:pPr>
          </w:p>
        </w:tc>
        <w:tc>
          <w:tcPr>
            <w:tcW w:w="3686" w:type="dxa"/>
            <w:vMerge w:val="continue"/>
            <w:tcBorders>
              <w:tl2br w:val="nil"/>
              <w:tr2bl w:val="nil"/>
            </w:tcBorders>
            <w:vAlign w:val="center"/>
          </w:tcPr>
          <w:p>
            <w:pPr>
              <w:pStyle w:val="297"/>
              <w:rPr>
                <w:color w:val="000000" w:themeColor="text1"/>
                <w:highlight w:val="none"/>
                <w14:textFill>
                  <w14:solidFill>
                    <w14:schemeClr w14:val="tx1"/>
                  </w14:solidFill>
                </w14:textFill>
              </w:rPr>
            </w:pPr>
          </w:p>
        </w:tc>
        <w:tc>
          <w:tcPr>
            <w:tcW w:w="992" w:type="dxa"/>
            <w:vMerge w:val="continue"/>
            <w:tcBorders>
              <w:tl2br w:val="nil"/>
              <w:tr2bl w:val="nil"/>
            </w:tcBorders>
            <w:vAlign w:val="center"/>
          </w:tcPr>
          <w:p>
            <w:pPr>
              <w:pStyle w:val="297"/>
              <w:rPr>
                <w:color w:val="000000" w:themeColor="text1"/>
                <w:highlight w:val="none"/>
                <w14:textFill>
                  <w14:solidFill>
                    <w14:schemeClr w14:val="tx1"/>
                  </w14:solidFill>
                </w14:textFill>
              </w:rPr>
            </w:pPr>
          </w:p>
        </w:tc>
        <w:tc>
          <w:tcPr>
            <w:tcW w:w="1134" w:type="dxa"/>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夜间</w:t>
            </w:r>
          </w:p>
        </w:tc>
        <w:tc>
          <w:tcPr>
            <w:tcW w:w="1178" w:type="dxa"/>
            <w:tcBorders>
              <w:tl2br w:val="nil"/>
              <w:tr2bl w:val="nil"/>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（4）固废</w:t>
      </w:r>
    </w:p>
    <w:bookmarkEnd w:id="72"/>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本项目产生的一般固体废物暂存按《一般工业固体废物贮存和填埋污染控制标准》（GB 18599-2020）进行控制</w:t>
      </w:r>
      <w:r>
        <w:rPr>
          <w:rFonts w:cs="Times New Roman"/>
          <w:bCs/>
          <w:color w:val="000000" w:themeColor="text1"/>
          <w:szCs w:val="24"/>
          <w:highlight w:val="none"/>
          <w14:textFill>
            <w14:solidFill>
              <w14:schemeClr w14:val="tx1"/>
            </w14:solidFill>
          </w14:textFill>
        </w:rPr>
        <w:t>；危险废物执行《危险废物贮存污染控制标准》（GB18597-2023）和《危险废物环境管理指南 陆上石油天然气开采》（2021年12月31日）。</w:t>
      </w:r>
    </w:p>
    <w:p>
      <w:pPr>
        <w:pStyle w:val="3"/>
        <w:spacing w:before="0" w:beforeLines="0"/>
        <w:rPr>
          <w:color w:val="000000" w:themeColor="text1"/>
          <w:highlight w:val="none"/>
          <w:lang w:eastAsia="zh-CN"/>
          <w14:textFill>
            <w14:solidFill>
              <w14:schemeClr w14:val="tx1"/>
            </w14:solidFill>
          </w14:textFill>
        </w:rPr>
      </w:pPr>
      <w:bookmarkStart w:id="74" w:name="_Toc22707"/>
      <w:r>
        <w:rPr>
          <w:color w:val="000000" w:themeColor="text1"/>
          <w:highlight w:val="none"/>
          <w:lang w:eastAsia="zh-CN"/>
          <w14:textFill>
            <w14:solidFill>
              <w14:schemeClr w14:val="tx1"/>
            </w14:solidFill>
          </w14:textFill>
        </w:rPr>
        <w:t>评价工作等级和评价范围</w:t>
      </w:r>
      <w:bookmarkEnd w:id="74"/>
    </w:p>
    <w:p>
      <w:pPr>
        <w:pStyle w:val="4"/>
        <w:spacing w:before="0" w:beforeLines="0"/>
        <w:ind w:firstLine="480"/>
        <w:rPr>
          <w:b/>
          <w:color w:val="000000" w:themeColor="text1"/>
          <w:highlight w:val="none"/>
          <w:lang w:eastAsia="zh-CN"/>
          <w14:textFill>
            <w14:solidFill>
              <w14:schemeClr w14:val="tx1"/>
            </w14:solidFill>
          </w14:textFill>
        </w:rPr>
      </w:pPr>
      <w:bookmarkStart w:id="75" w:name="_Toc120173070"/>
      <w:r>
        <w:rPr>
          <w:color w:val="000000" w:themeColor="text1"/>
          <w:highlight w:val="none"/>
          <w:lang w:eastAsia="zh-CN"/>
          <w14:textFill>
            <w14:solidFill>
              <w14:schemeClr w14:val="tx1"/>
            </w14:solidFill>
          </w14:textFill>
        </w:rPr>
        <w:t>地表水环境</w:t>
      </w:r>
      <w:bookmarkEnd w:id="75"/>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（1）评价工作等级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施工期、试采期</w:t>
      </w:r>
      <w:r>
        <w:rPr>
          <w:rFonts w:cs="Times New Roman"/>
          <w:bCs/>
          <w:color w:val="000000" w:themeColor="text1"/>
          <w:szCs w:val="24"/>
          <w:highlight w:val="none"/>
          <w14:textFill>
            <w14:solidFill>
              <w14:schemeClr w14:val="tx1"/>
            </w14:solidFill>
          </w14:textFill>
        </w:rPr>
        <w:t>废水均不直接外排，</w:t>
      </w:r>
      <w:r>
        <w:rPr>
          <w:rFonts w:hint="eastAsia" w:cs="Times New Roman"/>
          <w:bCs/>
          <w:color w:val="000000" w:themeColor="text1"/>
          <w:szCs w:val="24"/>
          <w:highlight w:val="none"/>
          <w14:textFill>
            <w14:solidFill>
              <w14:schemeClr w14:val="tx1"/>
            </w14:solidFill>
          </w14:textFill>
        </w:rPr>
        <w:t>属于间接排放，</w:t>
      </w:r>
      <w:r>
        <w:rPr>
          <w:rFonts w:cs="Times New Roman"/>
          <w:bCs/>
          <w:color w:val="000000" w:themeColor="text1"/>
          <w:szCs w:val="24"/>
          <w:highlight w:val="none"/>
          <w14:textFill>
            <w14:solidFill>
              <w14:schemeClr w14:val="tx1"/>
            </w14:solidFill>
          </w14:textFill>
        </w:rPr>
        <w:t>根据《环境影响评价技术导则地表水环境》（HJ2.3-2018）判定地表水评价等级为三级B。</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地表水水污染型建设项目评价工作等级分级</w:t>
      </w:r>
    </w:p>
    <w:tbl>
      <w:tblPr>
        <w:tblStyle w:val="54"/>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742"/>
        <w:gridCol w:w="2356"/>
        <w:gridCol w:w="312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vMerge w:val="restart"/>
            <w:tcBorders>
              <w:top w:val="single" w:color="auto" w:sz="4" w:space="0"/>
              <w:left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评价等级</w:t>
            </w:r>
          </w:p>
        </w:tc>
        <w:tc>
          <w:tcPr>
            <w:tcW w:w="5480" w:type="dxa"/>
            <w:gridSpan w:val="2"/>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判定依据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vMerge w:val="continue"/>
            <w:tcBorders>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p>
        </w:tc>
        <w:tc>
          <w:tcPr>
            <w:tcW w:w="2356"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排放方式</w:t>
            </w:r>
          </w:p>
        </w:tc>
        <w:tc>
          <w:tcPr>
            <w:tcW w:w="3124"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shd w:val="pct10" w:color="auto" w:fill="FFFFFF"/>
                <w14:textFill>
                  <w14:solidFill>
                    <w14:schemeClr w14:val="tx1"/>
                  </w14:solidFill>
                </w14:textFill>
              </w:rPr>
            </w:pPr>
            <w:r>
              <w:rPr>
                <w:b/>
                <w:bCs/>
                <w:color w:val="000000" w:themeColor="text1"/>
                <w:highlight w:val="none"/>
                <w14:textFill>
                  <w14:solidFill>
                    <w14:schemeClr w14:val="tx1"/>
                  </w14:solidFill>
                </w14:textFill>
              </w:rPr>
              <w:t>废水排放量Q/（m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/d）；水污染物当量W/（无量纲）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23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Q≥20000或W≥600000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23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三级A</w:t>
            </w:r>
          </w:p>
        </w:tc>
        <w:tc>
          <w:tcPr>
            <w:tcW w:w="23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Q＜200或W＜6000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742"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三级B</w:t>
            </w:r>
          </w:p>
        </w:tc>
        <w:tc>
          <w:tcPr>
            <w:tcW w:w="23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间接排放</w:t>
            </w:r>
          </w:p>
        </w:tc>
        <w:tc>
          <w:tcPr>
            <w:tcW w:w="312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（2）评价范围</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 地表水环境》（HJ2.3-2018）中第5.3.2.2条规定，并结合项目实际情况，本次环评地表水环境影响评价不作预测评价，仅对污、废水的产生情况和依托</w:t>
      </w:r>
      <w:r>
        <w:rPr>
          <w:rFonts w:hint="eastAsia" w:cs="Times New Roman"/>
          <w:bCs/>
          <w:color w:val="000000" w:themeColor="text1"/>
          <w:szCs w:val="24"/>
          <w:highlight w:val="none"/>
          <w14:textFill>
            <w14:solidFill>
              <w14:schemeClr w14:val="tx1"/>
            </w14:solidFill>
          </w14:textFill>
        </w:rPr>
        <w:t>处理的</w:t>
      </w:r>
      <w:r>
        <w:rPr>
          <w:rFonts w:cs="Times New Roman"/>
          <w:bCs/>
          <w:color w:val="000000" w:themeColor="text1"/>
          <w:szCs w:val="24"/>
          <w:highlight w:val="none"/>
          <w14:textFill>
            <w14:solidFill>
              <w14:schemeClr w14:val="tx1"/>
            </w14:solidFill>
          </w14:textFill>
        </w:rPr>
        <w:t>可行性等进行说明，并进行简单的环境影响分析。因此，本项目不设地表水评价范围。</w:t>
      </w:r>
    </w:p>
    <w:p>
      <w:pPr>
        <w:pStyle w:val="4"/>
        <w:spacing w:before="0" w:beforeLines="0"/>
        <w:ind w:firstLine="480"/>
        <w:rPr>
          <w:b/>
          <w:color w:val="000000" w:themeColor="text1"/>
          <w:highlight w:val="none"/>
          <w:lang w:eastAsia="zh-CN"/>
          <w14:textFill>
            <w14:solidFill>
              <w14:schemeClr w14:val="tx1"/>
            </w14:solidFill>
          </w14:textFill>
        </w:rPr>
      </w:pPr>
      <w:bookmarkStart w:id="76" w:name="_Toc120173071"/>
      <w:r>
        <w:rPr>
          <w:color w:val="000000" w:themeColor="text1"/>
          <w:highlight w:val="none"/>
          <w:lang w:eastAsia="zh-CN"/>
          <w14:textFill>
            <w14:solidFill>
              <w14:schemeClr w14:val="tx1"/>
            </w14:solidFill>
          </w14:textFill>
        </w:rPr>
        <w:t>地下水环境</w:t>
      </w:r>
      <w:bookmarkEnd w:id="76"/>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（1）评价工作等级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根据《环境影响评价导则-地下水环境》（HJ610-2016），评价工作等级的划分应依据建设项目行业分类和地下水环境敏感程度分级进行判定，具体如下：</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1）建设项目行业分类</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本项目属</w:t>
      </w:r>
      <w:r>
        <w:rPr>
          <w:rFonts w:hint="eastAsia" w:cs="Times New Roman"/>
          <w:bCs/>
          <w:color w:val="000000" w:themeColor="text1"/>
          <w:szCs w:val="24"/>
          <w:highlight w:val="none"/>
          <w14:textFill>
            <w14:solidFill>
              <w14:schemeClr w14:val="tx1"/>
            </w14:solidFill>
          </w14:textFill>
        </w:rPr>
        <w:t>天然气勘探及试采项目</w:t>
      </w:r>
      <w:r>
        <w:rPr>
          <w:rFonts w:cs="Times New Roman"/>
          <w:bCs/>
          <w:color w:val="000000" w:themeColor="text1"/>
          <w:szCs w:val="24"/>
          <w:highlight w:val="none"/>
          <w14:textFill>
            <w14:solidFill>
              <w14:schemeClr w14:val="tx1"/>
            </w14:solidFill>
          </w14:textFill>
        </w:rPr>
        <w:t>，根据《环境影响评价导则-地下水环境》（HJ 610-2016）附录A地下水环境影响评价行业分类表，本项目属其中</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天然气、页岩气开采（含净化）</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，属于II类建设项目。</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根据《环境影响评价技术导则陆地石油天然气开发建设项目》（HJ349-2023），常规天然气和页岩气、致密气等非常规天然气开采井场、站场（含净化厂）等工程，油类和废水等输送管道，按照</w:t>
      </w:r>
      <w:r>
        <w:rPr>
          <w:rFonts w:cs="Times New Roman"/>
          <w:bCs/>
          <w:color w:val="000000" w:themeColor="text1"/>
          <w:szCs w:val="24"/>
          <w:highlight w:val="none"/>
          <w14:textFill>
            <w14:solidFill>
              <w14:schemeClr w14:val="tx1"/>
            </w14:solidFill>
          </w14:textFill>
        </w:rPr>
        <w:t>Ⅱ</w:t>
      </w:r>
      <w:r>
        <w:rPr>
          <w:rFonts w:hint="eastAsia" w:cs="Times New Roman"/>
          <w:bCs/>
          <w:color w:val="000000" w:themeColor="text1"/>
          <w:szCs w:val="24"/>
          <w:highlight w:val="none"/>
          <w14:textFill>
            <w14:solidFill>
              <w14:schemeClr w14:val="tx1"/>
            </w14:solidFill>
          </w14:textFill>
        </w:rPr>
        <w:t>类建设项目开展地下水环境影响评价。</w:t>
      </w:r>
    </w:p>
    <w:p>
      <w:pPr>
        <w:tabs>
          <w:tab w:val="left" w:pos="0"/>
        </w:tabs>
        <w:ind w:firstLine="480"/>
        <w:rPr>
          <w:rFonts w:cs="Times New Roman"/>
          <w:color w:val="000000" w:themeColor="text1"/>
          <w:kern w:val="0"/>
          <w:szCs w:val="20"/>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本项目为天然气试采工程，</w:t>
      </w:r>
      <w:r>
        <w:rPr>
          <w:rFonts w:hint="eastAsia" w:cs="Times New Roman"/>
          <w:color w:val="000000" w:themeColor="text1"/>
          <w:kern w:val="0"/>
          <w:szCs w:val="20"/>
          <w:highlight w:val="none"/>
          <w14:textFill>
            <w14:solidFill>
              <w14:schemeClr w14:val="tx1"/>
            </w14:solidFill>
          </w14:textFill>
        </w:rPr>
        <w:t>试采站场</w:t>
      </w:r>
      <w:r>
        <w:rPr>
          <w:rFonts w:cs="Times New Roman"/>
          <w:color w:val="000000" w:themeColor="text1"/>
          <w:kern w:val="0"/>
          <w:szCs w:val="20"/>
          <w:highlight w:val="none"/>
          <w14:textFill>
            <w14:solidFill>
              <w14:schemeClr w14:val="tx1"/>
            </w14:solidFill>
          </w14:textFill>
        </w:rPr>
        <w:t>地下水环境影响评价项目类别为II类</w:t>
      </w:r>
      <w:r>
        <w:rPr>
          <w:rFonts w:hint="eastAsia" w:cs="Times New Roman"/>
          <w:color w:val="000000" w:themeColor="text1"/>
          <w:kern w:val="0"/>
          <w:szCs w:val="20"/>
          <w:highlight w:val="none"/>
          <w14:textFill>
            <w14:solidFill>
              <w14:schemeClr w14:val="tx1"/>
            </w14:solidFill>
          </w14:textFill>
        </w:rPr>
        <w:t>。本项目管线属于天然气和废水（采出水）混输的集输管线，管线按照</w:t>
      </w:r>
      <w:r>
        <w:rPr>
          <w:rFonts w:cs="Times New Roman"/>
          <w:bCs/>
          <w:color w:val="000000" w:themeColor="text1"/>
          <w:szCs w:val="24"/>
          <w:highlight w:val="none"/>
          <w14:textFill>
            <w14:solidFill>
              <w14:schemeClr w14:val="tx1"/>
            </w14:solidFill>
          </w14:textFill>
        </w:rPr>
        <w:t>Ⅱ</w:t>
      </w:r>
      <w:r>
        <w:rPr>
          <w:rFonts w:hint="eastAsia" w:cs="Times New Roman"/>
          <w:bCs/>
          <w:color w:val="000000" w:themeColor="text1"/>
          <w:szCs w:val="24"/>
          <w:highlight w:val="none"/>
          <w14:textFill>
            <w14:solidFill>
              <w14:schemeClr w14:val="tx1"/>
            </w14:solidFill>
          </w14:textFill>
        </w:rPr>
        <w:t>类</w:t>
      </w:r>
      <w:r>
        <w:rPr>
          <w:rFonts w:hint="eastAsia" w:cs="Times New Roman"/>
          <w:color w:val="000000" w:themeColor="text1"/>
          <w:kern w:val="0"/>
          <w:szCs w:val="20"/>
          <w:highlight w:val="none"/>
          <w14:textFill>
            <w14:solidFill>
              <w14:schemeClr w14:val="tx1"/>
            </w14:solidFill>
          </w14:textFill>
        </w:rPr>
        <w:t>建设项目开展地下水环境影响评价，项目管线地下水环境影响评价项目类别为“</w:t>
      </w:r>
      <w:r>
        <w:rPr>
          <w:rFonts w:cs="Times New Roman"/>
          <w:bCs/>
          <w:color w:val="000000" w:themeColor="text1"/>
          <w:szCs w:val="24"/>
          <w:highlight w:val="none"/>
          <w14:textFill>
            <w14:solidFill>
              <w14:schemeClr w14:val="tx1"/>
            </w14:solidFill>
          </w14:textFill>
        </w:rPr>
        <w:t>Ⅱ</w:t>
      </w:r>
      <w:r>
        <w:rPr>
          <w:rFonts w:hint="eastAsia" w:cs="Times New Roman"/>
          <w:bCs/>
          <w:color w:val="000000" w:themeColor="text1"/>
          <w:szCs w:val="24"/>
          <w:highlight w:val="none"/>
          <w14:textFill>
            <w14:solidFill>
              <w14:schemeClr w14:val="tx1"/>
            </w14:solidFill>
          </w14:textFill>
        </w:rPr>
        <w:t>类</w:t>
      </w:r>
      <w:r>
        <w:rPr>
          <w:rFonts w:hint="eastAsia" w:cs="Times New Roman"/>
          <w:color w:val="000000" w:themeColor="text1"/>
          <w:kern w:val="0"/>
          <w:szCs w:val="20"/>
          <w:highlight w:val="none"/>
          <w14:textFill>
            <w14:solidFill>
              <w14:schemeClr w14:val="tx1"/>
            </w14:solidFill>
          </w14:textFill>
        </w:rPr>
        <w:t>”。</w:t>
      </w:r>
    </w:p>
    <w:p>
      <w:pPr>
        <w:pStyle w:val="14"/>
        <w:spacing w:before="120"/>
        <w:ind w:firstLine="420"/>
        <w:rPr>
          <w:rFonts w:ascii="Times New Roman" w:hAnsi="Times New Roman" w:eastAsia="黑体"/>
          <w:color w:val="000000" w:themeColor="text1"/>
          <w:sz w:val="21"/>
          <w:szCs w:val="21"/>
          <w:highlight w:val="none"/>
          <w14:textFill>
            <w14:solidFill>
              <w14:schemeClr w14:val="tx1"/>
            </w14:solidFill>
          </w14:textFill>
        </w:rPr>
      </w:pPr>
      <w:r>
        <w:rPr>
          <w:rFonts w:hint="eastAsia" w:ascii="Times New Roman" w:hAnsi="Times New Roman" w:eastAsia="黑体"/>
          <w:color w:val="000000" w:themeColor="text1"/>
          <w:sz w:val="21"/>
          <w:szCs w:val="21"/>
          <w:highlight w:val="none"/>
          <w14:textFill>
            <w14:solidFill>
              <w14:schemeClr w14:val="tx1"/>
            </w14:solidFill>
          </w14:textFill>
        </w:rPr>
        <w:t>表</w:t>
      </w:r>
      <w:r>
        <w:rPr>
          <w:rFonts w:hint="eastAsia" w:ascii="Times New Roman" w:hAnsi="Times New Roman" w:eastAsia="黑体"/>
          <w:color w:val="000000" w:themeColor="text1"/>
          <w:sz w:val="21"/>
          <w:szCs w:val="21"/>
          <w:highlight w:val="none"/>
          <w14:textFill>
            <w14:solidFill>
              <w14:schemeClr w14:val="tx1"/>
            </w14:solidFill>
          </w14:textFill>
        </w:rPr>
        <w:fldChar w:fldCharType="begin"/>
      </w:r>
      <w:r>
        <w:rPr>
          <w:rFonts w:hint="eastAsia" w:ascii="Times New Roman" w:hAnsi="Times New Roman" w:eastAsia="黑体"/>
          <w:color w:val="000000" w:themeColor="text1"/>
          <w:sz w:val="21"/>
          <w:szCs w:val="21"/>
          <w:highlight w:val="none"/>
          <w14:textFill>
            <w14:solidFill>
              <w14:schemeClr w14:val="tx1"/>
            </w14:solidFill>
          </w14:textFill>
        </w:rPr>
        <w:instrText xml:space="preserve"> STYLEREF 2 \s </w:instrText>
      </w:r>
      <w:r>
        <w:rPr>
          <w:rFonts w:hint="eastAsia" w:ascii="Times New Roman" w:hAnsi="Times New Roman" w:eastAsia="黑体"/>
          <w:color w:val="000000" w:themeColor="text1"/>
          <w:sz w:val="21"/>
          <w:szCs w:val="21"/>
          <w:highlight w:val="none"/>
          <w14:textFill>
            <w14:solidFill>
              <w14:schemeClr w14:val="tx1"/>
            </w14:solidFill>
          </w14:textFill>
        </w:rPr>
        <w:fldChar w:fldCharType="separate"/>
      </w:r>
      <w:r>
        <w:rPr>
          <w:rFonts w:hint="eastAsia" w:ascii="Times New Roman" w:hAnsi="Times New Roman" w:eastAsia="黑体"/>
          <w:color w:val="000000" w:themeColor="text1"/>
          <w:sz w:val="21"/>
          <w:szCs w:val="21"/>
          <w:highlight w:val="none"/>
          <w14:textFill>
            <w14:solidFill>
              <w14:schemeClr w14:val="tx1"/>
            </w14:solidFill>
          </w14:textFill>
        </w:rPr>
        <w:t>2.6</w:t>
      </w:r>
      <w:r>
        <w:rPr>
          <w:rFonts w:hint="eastAsia" w:ascii="Times New Roman" w:hAnsi="Times New Roman" w:eastAsia="黑体"/>
          <w:color w:val="000000" w:themeColor="text1"/>
          <w:sz w:val="21"/>
          <w:szCs w:val="21"/>
          <w:highlight w:val="none"/>
          <w14:textFill>
            <w14:solidFill>
              <w14:schemeClr w14:val="tx1"/>
            </w14:solidFill>
          </w14:textFill>
        </w:rPr>
        <w:fldChar w:fldCharType="end"/>
      </w:r>
      <w:r>
        <w:rPr>
          <w:rFonts w:hint="eastAsia" w:ascii="Times New Roman" w:hAnsi="Times New Roman" w:eastAsia="黑体"/>
          <w:color w:val="000000" w:themeColor="text1"/>
          <w:sz w:val="21"/>
          <w:szCs w:val="21"/>
          <w:highlight w:val="none"/>
          <w14:textFill>
            <w14:solidFill>
              <w14:schemeClr w14:val="tx1"/>
            </w14:solidFill>
          </w14:textFill>
        </w:rPr>
        <w:noBreakHyphen/>
      </w:r>
      <w:r>
        <w:rPr>
          <w:rFonts w:hint="eastAsia" w:ascii="Times New Roman" w:hAnsi="Times New Roman" w:eastAsia="黑体"/>
          <w:color w:val="000000" w:themeColor="text1"/>
          <w:sz w:val="21"/>
          <w:szCs w:val="21"/>
          <w:highlight w:val="none"/>
          <w14:textFill>
            <w14:solidFill>
              <w14:schemeClr w14:val="tx1"/>
            </w14:solidFill>
          </w14:textFill>
        </w:rPr>
        <w:fldChar w:fldCharType="begin"/>
      </w:r>
      <w:r>
        <w:rPr>
          <w:rFonts w:hint="eastAsia" w:ascii="Times New Roman" w:hAnsi="Times New Roman" w:eastAsia="黑体"/>
          <w:color w:val="000000" w:themeColor="text1"/>
          <w:sz w:val="21"/>
          <w:szCs w:val="21"/>
          <w:highlight w:val="none"/>
          <w14:textFill>
            <w14:solidFill>
              <w14:schemeClr w14:val="tx1"/>
            </w14:solidFill>
          </w14:textFill>
        </w:rPr>
        <w:instrText xml:space="preserve"> SEQ 表 \* ARABIC \s 2 </w:instrText>
      </w:r>
      <w:r>
        <w:rPr>
          <w:rFonts w:hint="eastAsia" w:ascii="Times New Roman" w:hAnsi="Times New Roman" w:eastAsia="黑体"/>
          <w:color w:val="000000" w:themeColor="text1"/>
          <w:sz w:val="21"/>
          <w:szCs w:val="21"/>
          <w:highlight w:val="none"/>
          <w14:textFill>
            <w14:solidFill>
              <w14:schemeClr w14:val="tx1"/>
            </w14:solidFill>
          </w14:textFill>
        </w:rPr>
        <w:fldChar w:fldCharType="separate"/>
      </w:r>
      <w:r>
        <w:rPr>
          <w:rFonts w:hint="eastAsia" w:ascii="Times New Roman" w:hAnsi="Times New Roman" w:eastAsia="黑体"/>
          <w:color w:val="000000" w:themeColor="text1"/>
          <w:sz w:val="21"/>
          <w:szCs w:val="21"/>
          <w:highlight w:val="none"/>
          <w14:textFill>
            <w14:solidFill>
              <w14:schemeClr w14:val="tx1"/>
            </w14:solidFill>
          </w14:textFill>
        </w:rPr>
        <w:t>2</w:t>
      </w:r>
      <w:r>
        <w:rPr>
          <w:rFonts w:hint="eastAsia" w:ascii="Times New Roman" w:hAnsi="Times New Roman" w:eastAsia="黑体"/>
          <w:color w:val="000000" w:themeColor="text1"/>
          <w:sz w:val="21"/>
          <w:szCs w:val="21"/>
          <w:highlight w:val="none"/>
          <w14:textFill>
            <w14:solidFill>
              <w14:schemeClr w14:val="tx1"/>
            </w14:solidFill>
          </w14:textFill>
        </w:rPr>
        <w:fldChar w:fldCharType="end"/>
      </w:r>
      <w:r>
        <w:rPr>
          <w:rFonts w:hint="eastAsia" w:ascii="Times New Roman" w:hAnsi="Times New Roman" w:eastAsia="黑体"/>
          <w:color w:val="000000" w:themeColor="text1"/>
          <w:sz w:val="21"/>
          <w:szCs w:val="21"/>
          <w:highlight w:val="none"/>
          <w14:textFill>
            <w14:solidFill>
              <w14:schemeClr w14:val="tx1"/>
            </w14:solidFill>
          </w14:textFill>
        </w:rPr>
        <w:t>地下水环境影响评价行业分类表</w:t>
      </w:r>
    </w:p>
    <w:tbl>
      <w:tblPr>
        <w:tblStyle w:val="5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60"/>
        <w:gridCol w:w="1035"/>
        <w:gridCol w:w="1053"/>
        <w:gridCol w:w="1977"/>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0" w:type="dxa"/>
            <w:vMerge w:val="restart"/>
            <w:vAlign w:val="center"/>
          </w:tcPr>
          <w:p>
            <w:pPr>
              <w:autoSpaceDE w:val="0"/>
              <w:autoSpaceDN w:val="0"/>
              <w:spacing w:line="240" w:lineRule="auto"/>
              <w:ind w:firstLine="0" w:firstLineChars="0"/>
              <w:jc w:val="right"/>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行业类别</w:t>
            </w:r>
          </w:p>
          <w:p>
            <w:pPr>
              <w:autoSpaceDE w:val="0"/>
              <w:autoSpaceDN w:val="0"/>
              <w:spacing w:line="240" w:lineRule="auto"/>
              <w:ind w:firstLine="0" w:firstLineChars="0"/>
              <w:jc w:val="left"/>
              <w:textAlignment w:val="baseline"/>
              <w:rPr>
                <w:rFonts w:cs="Times New Roman"/>
                <w:b/>
                <w:bCs/>
                <w:color w:val="000000" w:themeColor="text1"/>
                <w:kern w:val="0"/>
                <w:sz w:val="21"/>
                <w:szCs w:val="21"/>
                <w:highlight w:val="none"/>
                <w14:textFill>
                  <w14:solidFill>
                    <w14:schemeClr w14:val="tx1"/>
                  </w14:solidFill>
                </w14:textFill>
              </w:rPr>
            </w:pPr>
            <w:r>
              <w:rPr>
                <w:rFonts w:hint="eastAsia" w:cs="Times New Roman"/>
                <w:b/>
                <w:bCs/>
                <w:color w:val="000000" w:themeColor="text1"/>
                <w:kern w:val="0"/>
                <w:sz w:val="21"/>
                <w:szCs w:val="21"/>
                <w:highlight w:val="none"/>
                <w14:textFill>
                  <w14:solidFill>
                    <w14:schemeClr w14:val="tx1"/>
                  </w14:solidFill>
                </w14:textFill>
              </w:rPr>
              <w:t>环评类别</w:t>
            </w:r>
          </w:p>
        </w:tc>
        <w:tc>
          <w:tcPr>
            <w:tcW w:w="1035" w:type="dxa"/>
            <w:vMerge w:val="restart"/>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报告书</w:t>
            </w:r>
          </w:p>
        </w:tc>
        <w:tc>
          <w:tcPr>
            <w:tcW w:w="1053" w:type="dxa"/>
            <w:vMerge w:val="restart"/>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报告表</w:t>
            </w:r>
          </w:p>
        </w:tc>
        <w:tc>
          <w:tcPr>
            <w:tcW w:w="3048" w:type="dxa"/>
            <w:gridSpan w:val="2"/>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地下水环境影响评价项目类别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160" w:type="dxa"/>
            <w:vMerge w:val="continue"/>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14:textFill>
                  <w14:solidFill>
                    <w14:schemeClr w14:val="tx1"/>
                  </w14:solidFill>
                </w14:textFill>
              </w:rPr>
            </w:pPr>
          </w:p>
        </w:tc>
        <w:tc>
          <w:tcPr>
            <w:tcW w:w="1035" w:type="dxa"/>
            <w:vMerge w:val="continue"/>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14:textFill>
                  <w14:solidFill>
                    <w14:schemeClr w14:val="tx1"/>
                  </w14:solidFill>
                </w14:textFill>
              </w:rPr>
            </w:pPr>
          </w:p>
        </w:tc>
        <w:tc>
          <w:tcPr>
            <w:tcW w:w="1053" w:type="dxa"/>
            <w:vMerge w:val="continue"/>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14:textFill>
                  <w14:solidFill>
                    <w14:schemeClr w14:val="tx1"/>
                  </w14:solidFill>
                </w14:textFill>
              </w:rPr>
            </w:pPr>
          </w:p>
        </w:tc>
        <w:tc>
          <w:tcPr>
            <w:tcW w:w="1977" w:type="dxa"/>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报告书</w:t>
            </w:r>
          </w:p>
        </w:tc>
        <w:tc>
          <w:tcPr>
            <w:tcW w:w="1071" w:type="dxa"/>
            <w:vAlign w:val="center"/>
          </w:tcPr>
          <w:p>
            <w:pPr>
              <w:autoSpaceDE w:val="0"/>
              <w:autoSpaceDN w:val="0"/>
              <w:snapToGrid/>
              <w:spacing w:line="315" w:lineRule="atLeast"/>
              <w:ind w:firstLine="0" w:firstLineChars="0"/>
              <w:jc w:val="center"/>
              <w:textAlignment w:val="baseline"/>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60"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天然气、页岩气开采（含净化）</w:t>
            </w:r>
          </w:p>
        </w:tc>
        <w:tc>
          <w:tcPr>
            <w:tcW w:w="1035"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全部</w:t>
            </w:r>
          </w:p>
        </w:tc>
        <w:tc>
          <w:tcPr>
            <w:tcW w:w="1053"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w:t>
            </w:r>
          </w:p>
        </w:tc>
        <w:tc>
          <w:tcPr>
            <w:tcW w:w="1977"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II类</w:t>
            </w:r>
            <w:r>
              <w:rPr>
                <w:rFonts w:hint="eastAsia" w:cs="Times New Roman"/>
                <w:color w:val="000000" w:themeColor="text1"/>
                <w:kern w:val="0"/>
                <w:sz w:val="21"/>
                <w:szCs w:val="21"/>
                <w:highlight w:val="none"/>
                <w:lang w:eastAsia="en-US"/>
                <w14:textFill>
                  <w14:solidFill>
                    <w14:schemeClr w14:val="tx1"/>
                  </w14:solidFill>
                </w14:textFill>
              </w:rPr>
              <w:t>（</w:t>
            </w:r>
            <w:r>
              <w:rPr>
                <w:rFonts w:hint="eastAsia" w:cs="Times New Roman"/>
                <w:color w:val="000000" w:themeColor="text1"/>
                <w:kern w:val="0"/>
                <w:sz w:val="21"/>
                <w:szCs w:val="21"/>
                <w:highlight w:val="none"/>
                <w14:textFill>
                  <w14:solidFill>
                    <w14:schemeClr w14:val="tx1"/>
                  </w14:solidFill>
                </w14:textFill>
              </w:rPr>
              <w:t>试采</w:t>
            </w:r>
            <w:r>
              <w:rPr>
                <w:rFonts w:hint="eastAsia" w:cs="Times New Roman"/>
                <w:color w:val="000000" w:themeColor="text1"/>
                <w:kern w:val="0"/>
                <w:sz w:val="21"/>
                <w:szCs w:val="21"/>
                <w:highlight w:val="none"/>
                <w:lang w:eastAsia="en-US"/>
                <w14:textFill>
                  <w14:solidFill>
                    <w14:schemeClr w14:val="tx1"/>
                  </w14:solidFill>
                </w14:textFill>
              </w:rPr>
              <w:t>站√）</w:t>
            </w:r>
          </w:p>
        </w:tc>
        <w:tc>
          <w:tcPr>
            <w:tcW w:w="1071"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160"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石油、天然气、成品油管线（不含城市天然气管线）</w:t>
            </w:r>
          </w:p>
        </w:tc>
        <w:tc>
          <w:tcPr>
            <w:tcW w:w="1035"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油II类，气III类</w:t>
            </w:r>
          </w:p>
        </w:tc>
        <w:tc>
          <w:tcPr>
            <w:tcW w:w="1053"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油II类，气</w:t>
            </w:r>
            <w:r>
              <w:rPr>
                <w:rFonts w:hint="eastAsia" w:cs="Times New Roman"/>
                <w:color w:val="000000" w:themeColor="text1"/>
                <w:kern w:val="0"/>
                <w:sz w:val="21"/>
                <w:szCs w:val="21"/>
                <w:highlight w:val="none"/>
                <w14:textFill>
                  <w14:solidFill>
                    <w14:schemeClr w14:val="tx1"/>
                  </w14:solidFill>
                </w14:textFill>
              </w:rPr>
              <w:t>Ⅳ类</w:t>
            </w:r>
          </w:p>
        </w:tc>
        <w:tc>
          <w:tcPr>
            <w:tcW w:w="1977"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II类</w:t>
            </w:r>
            <w:r>
              <w:rPr>
                <w:rFonts w:hint="eastAsia" w:cs="Times New Roman"/>
                <w:color w:val="000000" w:themeColor="text1"/>
                <w:kern w:val="0"/>
                <w:sz w:val="21"/>
                <w:szCs w:val="21"/>
                <w:highlight w:val="none"/>
                <w:lang w:eastAsia="en-US"/>
                <w14:textFill>
                  <w14:solidFill>
                    <w14:schemeClr w14:val="tx1"/>
                  </w14:solidFill>
                </w14:textFill>
              </w:rPr>
              <w:t>（管线√）</w:t>
            </w:r>
          </w:p>
        </w:tc>
        <w:tc>
          <w:tcPr>
            <w:tcW w:w="1071" w:type="dxa"/>
            <w:vAlign w:val="center"/>
          </w:tcPr>
          <w:p>
            <w:pPr>
              <w:autoSpaceDE w:val="0"/>
              <w:autoSpaceDN w:val="0"/>
              <w:snapToGrid/>
              <w:spacing w:line="315" w:lineRule="atLeast"/>
              <w:ind w:firstLine="0" w:firstLineChars="0"/>
              <w:jc w:val="center"/>
              <w:textAlignment w:val="baseline"/>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lang w:eastAsia="en-US"/>
                <w14:textFill>
                  <w14:solidFill>
                    <w14:schemeClr w14:val="tx1"/>
                  </w14:solidFill>
                </w14:textFill>
              </w:rPr>
              <w:t>—</w:t>
            </w: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2）建设项目地下水环境敏感程度</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建设项目地下水环境敏感程度可分为敏感、较敏感、不敏感三级，分级原则见表2.6-</w:t>
      </w:r>
      <w:r>
        <w:rPr>
          <w:rFonts w:hint="eastAsia" w:cs="Times New Roman"/>
          <w:bCs/>
          <w:color w:val="000000" w:themeColor="text1"/>
          <w:szCs w:val="24"/>
          <w:highlight w:val="none"/>
          <w14:textFill>
            <w14:solidFill>
              <w14:schemeClr w14:val="tx1"/>
            </w14:solidFill>
          </w14:textFill>
        </w:rPr>
        <w:t>3</w:t>
      </w:r>
      <w:r>
        <w:rPr>
          <w:rFonts w:cs="Times New Roman"/>
          <w:bCs/>
          <w:color w:val="000000" w:themeColor="text1"/>
          <w:szCs w:val="24"/>
          <w:highlight w:val="none"/>
          <w14:textFill>
            <w14:solidFill>
              <w14:schemeClr w14:val="tx1"/>
            </w14:solidFill>
          </w14:textFill>
        </w:rPr>
        <w:t>。</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地下水环境敏感程度分级</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1"/>
        <w:gridCol w:w="4231"/>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5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分级</w:t>
            </w:r>
          </w:p>
        </w:tc>
        <w:tc>
          <w:tcPr>
            <w:tcW w:w="423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项目场地的地下水环境敏感特征</w:t>
            </w:r>
          </w:p>
        </w:tc>
        <w:tc>
          <w:tcPr>
            <w:tcW w:w="284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423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2840"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根据调查，本项目未位于集中式饮用水源保护区和补给径流区内，也不涉及地下水环境相关的其它保护区和分布区；根据现场</w:t>
            </w:r>
            <w:r>
              <w:rPr>
                <w:rFonts w:hint="eastAsia"/>
                <w:color w:val="000000" w:themeColor="text1"/>
                <w:highlight w:val="none"/>
                <w14:textFill>
                  <w14:solidFill>
                    <w14:schemeClr w14:val="tx1"/>
                  </w14:solidFill>
                </w14:textFill>
              </w:rPr>
              <w:t>调查</w:t>
            </w:r>
            <w:r>
              <w:rPr>
                <w:color w:val="000000" w:themeColor="text1"/>
                <w:highlight w:val="none"/>
                <w14:textFill>
                  <w14:solidFill>
                    <w14:schemeClr w14:val="tx1"/>
                  </w14:solidFill>
                </w14:textFill>
              </w:rPr>
              <w:t>，评价范围内</w:t>
            </w:r>
            <w:r>
              <w:rPr>
                <w:rFonts w:hint="eastAsia"/>
                <w:color w:val="000000" w:themeColor="text1"/>
                <w:highlight w:val="none"/>
                <w14:textFill>
                  <w14:solidFill>
                    <w14:schemeClr w14:val="tx1"/>
                  </w14:solidFill>
                </w14:textFill>
              </w:rPr>
              <w:t>有分散式泉点和水井，作为周边农户的</w:t>
            </w:r>
            <w:r>
              <w:rPr>
                <w:color w:val="000000" w:themeColor="text1"/>
                <w:highlight w:val="none"/>
                <w14:textFill>
                  <w14:solidFill>
                    <w14:schemeClr w14:val="tx1"/>
                  </w14:solidFill>
                </w14:textFill>
              </w:rPr>
              <w:t>饮水</w:t>
            </w:r>
            <w:r>
              <w:rPr>
                <w:rFonts w:hint="eastAsia"/>
                <w:color w:val="000000" w:themeColor="text1"/>
                <w:highlight w:val="none"/>
                <w14:textFill>
                  <w14:solidFill>
                    <w14:schemeClr w14:val="tx1"/>
                  </w14:solidFill>
                </w14:textFill>
              </w:rPr>
              <w:t>源</w:t>
            </w:r>
            <w:r>
              <w:rPr>
                <w:color w:val="000000" w:themeColor="text1"/>
                <w:highlight w:val="none"/>
                <w14:textFill>
                  <w14:solidFill>
                    <w14:schemeClr w14:val="tx1"/>
                  </w14:solidFill>
                </w14:textFill>
              </w:rPr>
              <w:t>。因此，评价区地下水环境敏感程度可定为</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较敏感</w:t>
            </w:r>
            <w:r>
              <w:rPr>
                <w:rFonts w:hint="eastAsia"/>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297"/>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较敏感（√）</w:t>
            </w:r>
          </w:p>
        </w:tc>
        <w:tc>
          <w:tcPr>
            <w:tcW w:w="423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集中式饮用水源地（包括已建成的在用、备用、应急水源地，在建和规划的水源地）准保护区以外的补给径流区；</w:t>
            </w:r>
            <w:r>
              <w:rPr>
                <w:bCs/>
                <w:color w:val="000000" w:themeColor="text1"/>
                <w:highlight w:val="none"/>
                <w14:textFill>
                  <w14:solidFill>
                    <w14:schemeClr w14:val="tx1"/>
                  </w14:solidFill>
                </w14:textFill>
              </w:rPr>
              <w:t>未划定准保护区的集中式饮用水源地，</w:t>
            </w:r>
            <w:r>
              <w:rPr>
                <w:color w:val="000000" w:themeColor="text1"/>
                <w:highlight w:val="none"/>
                <w14:textFill>
                  <w14:solidFill>
                    <w14:schemeClr w14:val="tx1"/>
                  </w14:solidFill>
                </w14:textFill>
              </w:rPr>
              <w:t>其保护区以外的补给径流区；分散式饮用水源地；特殊地下水资源（如矿泉水、温泉等）保护区以外的分布区以及分散居民饮用水源等其它未列入上述敏感分级的环境敏感区</w:t>
            </w:r>
          </w:p>
        </w:tc>
        <w:tc>
          <w:tcPr>
            <w:tcW w:w="2840"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51" w:type="dxa"/>
            <w:vAlign w:val="center"/>
          </w:tcPr>
          <w:p>
            <w:pPr>
              <w:pStyle w:val="297"/>
              <w:rPr>
                <w:color w:val="000000" w:themeColor="text1"/>
                <w:highlight w:val="none"/>
                <w:u w:val="single"/>
                <w14:textFill>
                  <w14:solidFill>
                    <w14:schemeClr w14:val="tx1"/>
                  </w14:solidFill>
                </w14:textFill>
              </w:rPr>
            </w:pPr>
            <w:r>
              <w:rPr>
                <w:color w:val="000000" w:themeColor="text1"/>
                <w:highlight w:val="none"/>
                <w14:textFill>
                  <w14:solidFill>
                    <w14:schemeClr w14:val="tx1"/>
                  </w14:solidFill>
                </w14:textFill>
              </w:rPr>
              <w:t>不敏感</w:t>
            </w:r>
          </w:p>
        </w:tc>
        <w:tc>
          <w:tcPr>
            <w:tcW w:w="423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上述地区之外的其它地区</w:t>
            </w:r>
          </w:p>
        </w:tc>
        <w:tc>
          <w:tcPr>
            <w:tcW w:w="2840" w:type="dxa"/>
            <w:vMerge w:val="continue"/>
            <w:vAlign w:val="center"/>
          </w:tcPr>
          <w:p>
            <w:pPr>
              <w:pStyle w:val="297"/>
              <w:rPr>
                <w:color w:val="000000" w:themeColor="text1"/>
                <w:highlight w:val="none"/>
                <w14:textFill>
                  <w14:solidFill>
                    <w14:schemeClr w14:val="tx1"/>
                  </w14:solidFill>
                </w14:textFill>
              </w:rPr>
            </w:pP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3）地下水评价等级确定</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地下水评价工作等级分级</w:t>
      </w:r>
    </w:p>
    <w:tbl>
      <w:tblPr>
        <w:tblStyle w:val="54"/>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056"/>
        <w:gridCol w:w="2056"/>
        <w:gridCol w:w="2055"/>
        <w:gridCol w:w="20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4" w:space="0"/>
              <w:bottom w:val="single" w:color="auto" w:sz="4" w:space="0"/>
              <w:right w:val="single" w:color="auto" w:sz="4" w:space="0"/>
              <w:tl2br w:val="single" w:color="auto" w:sz="4" w:space="0"/>
            </w:tcBorders>
            <w:vAlign w:val="center"/>
          </w:tcPr>
          <w:p>
            <w:pPr>
              <w:pStyle w:val="297"/>
              <w:jc w:val="righ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项目类别</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环境敏感程度</w:t>
            </w:r>
          </w:p>
        </w:tc>
        <w:tc>
          <w:tcPr>
            <w:tcW w:w="20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 1 \* ROMAN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I</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类项目</w:t>
            </w:r>
          </w:p>
        </w:tc>
        <w:tc>
          <w:tcPr>
            <w:tcW w:w="205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fldChar w:fldCharType="begin"/>
            </w:r>
            <w:r>
              <w:rPr>
                <w:b/>
                <w:bCs/>
                <w:color w:val="000000" w:themeColor="text1"/>
                <w:highlight w:val="none"/>
                <w14:textFill>
                  <w14:solidFill>
                    <w14:schemeClr w14:val="tx1"/>
                  </w14:solidFill>
                </w14:textFill>
              </w:rPr>
              <w:instrText xml:space="preserve"> = 2 \* ROMAN </w:instrText>
            </w:r>
            <w:r>
              <w:rPr>
                <w:b/>
                <w:bCs/>
                <w:color w:val="000000" w:themeColor="text1"/>
                <w:highlight w:val="none"/>
                <w14:textFill>
                  <w14:solidFill>
                    <w14:schemeClr w14:val="tx1"/>
                  </w14:solidFill>
                </w14:textFill>
              </w:rPr>
              <w:fldChar w:fldCharType="separate"/>
            </w:r>
            <w:r>
              <w:rPr>
                <w:b/>
                <w:bCs/>
                <w:color w:val="000000" w:themeColor="text1"/>
                <w:highlight w:val="none"/>
                <w14:textFill>
                  <w14:solidFill>
                    <w14:schemeClr w14:val="tx1"/>
                  </w14:solidFill>
                </w14:textFill>
              </w:rPr>
              <w:t>II</w:t>
            </w:r>
            <w:r>
              <w:rPr>
                <w:b/>
                <w:bCs/>
                <w:color w:val="000000" w:themeColor="text1"/>
                <w:highlight w:val="none"/>
                <w14:textFill>
                  <w14:solidFill>
                    <w14:schemeClr w14:val="tx1"/>
                  </w14:solidFill>
                </w14:textFill>
              </w:rPr>
              <w:fldChar w:fldCharType="end"/>
            </w:r>
            <w:r>
              <w:rPr>
                <w:b/>
                <w:bCs/>
                <w:color w:val="000000" w:themeColor="text1"/>
                <w:highlight w:val="none"/>
                <w14:textFill>
                  <w14:solidFill>
                    <w14:schemeClr w14:val="tx1"/>
                  </w14:solidFill>
                </w14:textFill>
              </w:rPr>
              <w:t>类项目</w:t>
            </w:r>
          </w:p>
        </w:tc>
        <w:tc>
          <w:tcPr>
            <w:tcW w:w="205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 3 \* ROMAN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III</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类项目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20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205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205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较敏感</w:t>
            </w:r>
          </w:p>
        </w:tc>
        <w:tc>
          <w:tcPr>
            <w:tcW w:w="20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205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b/>
                <w:bCs/>
                <w:color w:val="000000" w:themeColor="text1"/>
                <w:highlight w:val="none"/>
                <w:shd w:val="pct10" w:color="auto" w:fill="FFFFFF"/>
                <w14:textFill>
                  <w14:solidFill>
                    <w14:schemeClr w14:val="tx1"/>
                  </w14:solidFill>
                </w14:textFill>
              </w:rPr>
              <w:t>二</w:t>
            </w:r>
          </w:p>
        </w:tc>
        <w:tc>
          <w:tcPr>
            <w:tcW w:w="205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20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205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205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205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综上所述，根据《环境影响评价技术导则—地下水环境》（HJ610-2016）规定，</w:t>
      </w:r>
      <w:r>
        <w:rPr>
          <w:rFonts w:hint="eastAsia" w:cs="Times New Roman"/>
          <w:color w:val="000000" w:themeColor="text1"/>
          <w:szCs w:val="24"/>
          <w:highlight w:val="none"/>
          <w14:textFill>
            <w14:solidFill>
              <w14:schemeClr w14:val="tx1"/>
            </w14:solidFill>
          </w14:textFill>
        </w:rPr>
        <w:t>本项目试采站地下水环境影响评价等级为二级，集输管线地下水评价等级为二级</w:t>
      </w:r>
      <w:r>
        <w:rPr>
          <w:rFonts w:cs="Times New Roman"/>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（2）评价范围</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①地下水评价范围划定原则</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地下水环境》（HJ610-2016）规定，地下水环境现状调查与评价的范围应包括相关的地下水环境保护目标，以能说明地下水环境的现状，反映调查评价区地下水基本流场特征，满足地下水环境影响预测和评价为基本原则。评价范围确定方法可采用公式法、查表法和自定义法确定，当计算或查表范围超出水文地质单元边界时，应以水文地质单元边界为宜</w:t>
      </w:r>
      <w:r>
        <w:rPr>
          <w:rFonts w:hint="eastAsia" w:cs="Times New Roman"/>
          <w:bCs/>
          <w:color w:val="000000" w:themeColor="text1"/>
          <w:szCs w:val="24"/>
          <w:highlight w:val="none"/>
          <w14:textFill>
            <w14:solidFill>
              <w14:schemeClr w14:val="tx1"/>
            </w14:solidFill>
          </w14:textFill>
        </w:rPr>
        <w:t>；此外，根据</w:t>
      </w:r>
      <w:r>
        <w:rPr>
          <w:rFonts w:cs="Times New Roman"/>
          <w:bCs/>
          <w:color w:val="000000" w:themeColor="text1"/>
          <w:szCs w:val="24"/>
          <w:highlight w:val="none"/>
          <w14:textFill>
            <w14:solidFill>
              <w14:schemeClr w14:val="tx1"/>
            </w14:solidFill>
          </w14:textFill>
        </w:rPr>
        <w:t>《环境影响评价技术导则—地下水环境》（HJ610-2016）</w:t>
      </w:r>
      <w:r>
        <w:rPr>
          <w:rFonts w:hint="eastAsia" w:cs="Times New Roman"/>
          <w:bCs/>
          <w:color w:val="000000" w:themeColor="text1"/>
          <w:szCs w:val="24"/>
          <w:highlight w:val="none"/>
          <w14:textFill>
            <w14:solidFill>
              <w14:schemeClr w14:val="tx1"/>
            </w14:solidFill>
          </w14:textFill>
        </w:rPr>
        <w:t>中</w:t>
      </w:r>
      <w:r>
        <w:rPr>
          <w:rFonts w:cs="Times New Roman"/>
          <w:bCs/>
          <w:color w:val="000000" w:themeColor="text1"/>
          <w:szCs w:val="24"/>
          <w:highlight w:val="none"/>
          <w14:textFill>
            <w14:solidFill>
              <w14:schemeClr w14:val="tx1"/>
            </w14:solidFill>
          </w14:textFill>
        </w:rPr>
        <w:t>8.2.2.2线性工程应以工程边界两侧分别向外延伸200 m作为调查评价范围。</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②</w:t>
      </w:r>
      <w:r>
        <w:rPr>
          <w:rFonts w:hint="eastAsia" w:cs="Times New Roman"/>
          <w:color w:val="000000" w:themeColor="text1"/>
          <w:szCs w:val="24"/>
          <w:highlight w:val="none"/>
          <w14:textFill>
            <w14:solidFill>
              <w14:schemeClr w14:val="tx1"/>
            </w14:solidFill>
          </w14:textFill>
        </w:rPr>
        <w:t>本项目地下水评价范围划定结果</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本次评价结合本项目周边的区域地质条件、地下水补给径流排泄条件、地形地貌特征、地下水开发利用情况和环境保护目标分布，本次评价采用自定义法划定地下水评价范围。</w:t>
      </w:r>
    </w:p>
    <w:p>
      <w:pPr>
        <w:pBdr>
          <w:bottom w:val="dotted" w:color="auto" w:sz="24" w:space="0"/>
        </w:pBdr>
        <w:tabs>
          <w:tab w:val="left" w:pos="0"/>
        </w:tabs>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结合本项目周边的区域地质条件、地下水补给径流排泄条件、地形地貌特征、地下水开发利用情况和环境保护目标分布，本次评价采用自定义法。通过区域水文地质资料分析，结合项目所处地地形地貌、地层岩性、构造、地表水文及水文地质条件，本项目</w:t>
      </w:r>
      <w:r>
        <w:rPr>
          <w:rFonts w:hint="eastAsia" w:cs="Times New Roman"/>
          <w:color w:val="000000" w:themeColor="text1"/>
          <w:szCs w:val="24"/>
          <w:highlight w:val="none"/>
          <w14:textFill>
            <w14:solidFill>
              <w14:schemeClr w14:val="tx1"/>
            </w14:solidFill>
          </w14:textFill>
        </w:rPr>
        <w:t>南面</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东面、北面</w:t>
      </w:r>
      <w:r>
        <w:rPr>
          <w:rFonts w:cs="Times New Roman"/>
          <w:color w:val="000000" w:themeColor="text1"/>
          <w:szCs w:val="24"/>
          <w:highlight w:val="none"/>
          <w14:textFill>
            <w14:solidFill>
              <w14:schemeClr w14:val="tx1"/>
            </w14:solidFill>
          </w14:textFill>
        </w:rPr>
        <w:t>以山脊为界，</w:t>
      </w:r>
      <w:r>
        <w:rPr>
          <w:rFonts w:hint="eastAsia" w:cs="Times New Roman"/>
          <w:color w:val="000000" w:themeColor="text1"/>
          <w:szCs w:val="24"/>
          <w:highlight w:val="none"/>
          <w14:textFill>
            <w14:solidFill>
              <w14:schemeClr w14:val="tx1"/>
            </w14:solidFill>
          </w14:textFill>
        </w:rPr>
        <w:t>西面</w:t>
      </w:r>
      <w:r>
        <w:rPr>
          <w:rFonts w:cs="Times New Roman"/>
          <w:color w:val="000000" w:themeColor="text1"/>
          <w:szCs w:val="24"/>
          <w:highlight w:val="none"/>
          <w14:textFill>
            <w14:solidFill>
              <w14:schemeClr w14:val="tx1"/>
            </w14:solidFill>
          </w14:textFill>
        </w:rPr>
        <w:t>以</w:t>
      </w:r>
      <w:r>
        <w:rPr>
          <w:rFonts w:hint="eastAsia" w:cs="Times New Roman"/>
          <w:color w:val="000000" w:themeColor="text1"/>
          <w:szCs w:val="24"/>
          <w:highlight w:val="none"/>
          <w14:textFill>
            <w14:solidFill>
              <w14:schemeClr w14:val="tx1"/>
            </w14:solidFill>
          </w14:textFill>
        </w:rPr>
        <w:t>后河</w:t>
      </w:r>
      <w:r>
        <w:rPr>
          <w:rFonts w:cs="Times New Roman"/>
          <w:color w:val="000000" w:themeColor="text1"/>
          <w:szCs w:val="24"/>
          <w:highlight w:val="none"/>
          <w14:textFill>
            <w14:solidFill>
              <w14:schemeClr w14:val="tx1"/>
            </w14:solidFill>
          </w14:textFill>
        </w:rPr>
        <w:t>为界。根据测算，本项目地下水环境影响评价范围共计约5.</w:t>
      </w:r>
      <w:r>
        <w:rPr>
          <w:rFonts w:hint="eastAsia" w:cs="Times New Roman"/>
          <w:color w:val="000000" w:themeColor="text1"/>
          <w:szCs w:val="24"/>
          <w:highlight w:val="none"/>
          <w14:textFill>
            <w14:solidFill>
              <w14:schemeClr w14:val="tx1"/>
            </w14:solidFill>
          </w14:textFill>
        </w:rPr>
        <w:t>07</w:t>
      </w:r>
      <w:r>
        <w:rPr>
          <w:rFonts w:cs="Times New Roman"/>
          <w:color w:val="000000" w:themeColor="text1"/>
          <w:szCs w:val="24"/>
          <w:highlight w:val="none"/>
          <w14:textFill>
            <w14:solidFill>
              <w14:schemeClr w14:val="tx1"/>
            </w14:solidFill>
          </w14:textFill>
        </w:rPr>
        <w:t>km</w:t>
      </w:r>
      <w:r>
        <w:rPr>
          <w:rFonts w:cs="Times New Roman"/>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管线</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w:t>
      </w:r>
      <w:r>
        <w:rPr>
          <w:rFonts w:hint="eastAsia" w:cs="Times New Roman"/>
          <w:bCs/>
          <w:color w:val="000000" w:themeColor="text1"/>
          <w:szCs w:val="24"/>
          <w:highlight w:val="none"/>
          <w14:textFill>
            <w14:solidFill>
              <w14:schemeClr w14:val="tx1"/>
            </w14:solidFill>
          </w14:textFill>
        </w:rPr>
        <w:t>《环境影响评价技术导则陆地石油天然气开发建设项目》（HJ349-2023）和</w:t>
      </w:r>
      <w:r>
        <w:rPr>
          <w:rFonts w:cs="Times New Roman"/>
          <w:bCs/>
          <w:color w:val="000000" w:themeColor="text1"/>
          <w:szCs w:val="24"/>
          <w:highlight w:val="none"/>
          <w14:textFill>
            <w14:solidFill>
              <w14:schemeClr w14:val="tx1"/>
            </w14:solidFill>
          </w14:textFill>
        </w:rPr>
        <w:t>《环境影响评价技术导则地下水环境》（HJ610-2016）8.2.2.2，线性工程应以工程边界两侧分别向外延伸200m作为调查评价范围，本项目管线不穿越饮用水源保护区</w:t>
      </w:r>
      <w:r>
        <w:rPr>
          <w:rFonts w:hint="eastAsia" w:cs="Times New Roman"/>
          <w:bCs/>
          <w:color w:val="000000" w:themeColor="text1"/>
          <w:szCs w:val="24"/>
          <w:highlight w:val="none"/>
          <w14:textFill>
            <w14:solidFill>
              <w14:schemeClr w14:val="tx1"/>
            </w14:solidFill>
          </w14:textFill>
        </w:rPr>
        <w:t>。根据前述原则</w:t>
      </w:r>
      <w:r>
        <w:rPr>
          <w:rFonts w:cs="Times New Roman"/>
          <w:bCs/>
          <w:color w:val="000000" w:themeColor="text1"/>
          <w:szCs w:val="24"/>
          <w:highlight w:val="none"/>
          <w14:textFill>
            <w14:solidFill>
              <w14:schemeClr w14:val="tx1"/>
            </w14:solidFill>
          </w14:textFill>
        </w:rPr>
        <w:t>确定本项目管线地下水评价范围为集输管线两侧分别外扩200m</w:t>
      </w:r>
      <w:r>
        <w:rPr>
          <w:rFonts w:hint="eastAsia" w:cs="Times New Roman"/>
          <w:bCs/>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同时考虑到本项目输气管线长度较短，其划定的200m的评价范围已全部包含在站场工程划定的地下水评价范围内。因此，本次评价，将站场+管线视为整体，其划定的地下水评价范围见图2.6-1。</w:t>
      </w:r>
    </w:p>
    <w:p>
      <w:pPr>
        <w:pStyle w:val="4"/>
        <w:spacing w:before="0" w:beforeLines="0"/>
        <w:ind w:firstLine="480"/>
        <w:rPr>
          <w:color w:val="000000" w:themeColor="text1"/>
          <w:highlight w:val="none"/>
          <w:lang w:eastAsia="zh-CN"/>
          <w14:textFill>
            <w14:solidFill>
              <w14:schemeClr w14:val="tx1"/>
            </w14:solidFill>
          </w14:textFill>
        </w:rPr>
      </w:pPr>
      <w:bookmarkStart w:id="77" w:name="_Toc120173072"/>
      <w:r>
        <w:rPr>
          <w:color w:val="000000" w:themeColor="text1"/>
          <w:highlight w:val="none"/>
          <w:lang w:eastAsia="zh-CN"/>
          <w14:textFill>
            <w14:solidFill>
              <w14:schemeClr w14:val="tx1"/>
            </w14:solidFill>
          </w14:textFill>
        </w:rPr>
        <w:t>大气环境</w:t>
      </w:r>
      <w:bookmarkEnd w:id="77"/>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（1）评价工作等级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 大气环境》（HJ2.2-2018）</w:t>
      </w:r>
      <w:r>
        <w:rPr>
          <w:rFonts w:hint="eastAsia" w:cs="Times New Roman"/>
          <w:bCs/>
          <w:color w:val="000000" w:themeColor="text1"/>
          <w:szCs w:val="24"/>
          <w:highlight w:val="none"/>
          <w14:textFill>
            <w14:solidFill>
              <w14:schemeClr w14:val="tx1"/>
            </w14:solidFill>
          </w14:textFill>
        </w:rPr>
        <w:t>中5.3.1</w:t>
      </w:r>
      <w:r>
        <w:rPr>
          <w:rFonts w:cs="Times New Roman"/>
          <w:bCs/>
          <w:color w:val="000000" w:themeColor="text1"/>
          <w:szCs w:val="24"/>
          <w:highlight w:val="none"/>
          <w14:textFill>
            <w14:solidFill>
              <w14:schemeClr w14:val="tx1"/>
            </w14:solidFill>
          </w14:textFill>
        </w:rPr>
        <w:t>的规定</w:t>
      </w:r>
      <w:r>
        <w:rPr>
          <w:rFonts w:hint="eastAsia" w:cs="Times New Roman"/>
          <w:bCs/>
          <w:color w:val="000000" w:themeColor="text1"/>
          <w:szCs w:val="24"/>
          <w:highlight w:val="none"/>
          <w14:textFill>
            <w14:solidFill>
              <w14:schemeClr w14:val="tx1"/>
            </w14:solidFill>
          </w14:textFill>
        </w:rPr>
        <w:t>：“择项目污染源正常排放的主要污染物及排放参数，采用附录A推荐模型中估算模型分别计算项目污染源的最大环境影响，然后按评价工作分级判据进行分级”</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根据天然气开发项目环境影响特点，</w:t>
      </w:r>
      <w:r>
        <w:rPr>
          <w:rFonts w:hint="eastAsia" w:cs="Times New Roman"/>
          <w:bCs/>
          <w:color w:val="000000" w:themeColor="text1"/>
          <w:szCs w:val="24"/>
          <w:highlight w:val="none"/>
          <w14:textFill>
            <w14:solidFill>
              <w14:schemeClr w14:val="tx1"/>
            </w14:solidFill>
          </w14:textFill>
        </w:rPr>
        <w:t>本项目施工期（钻前工程施工、钻井工程施工、储层改造工程施工、油气集输工程施工）的废气污染物主要包括</w:t>
      </w:r>
      <w:r>
        <w:rPr>
          <w:rFonts w:cs="Times New Roman"/>
          <w:bCs/>
          <w:color w:val="000000" w:themeColor="text1"/>
          <w:szCs w:val="24"/>
          <w:highlight w:val="none"/>
          <w14:textFill>
            <w14:solidFill>
              <w14:schemeClr w14:val="tx1"/>
            </w14:solidFill>
          </w14:textFill>
        </w:rPr>
        <w:t>施工机械、施工车辆产生的尾气、</w:t>
      </w:r>
      <w:r>
        <w:rPr>
          <w:rFonts w:hint="eastAsia" w:cs="Times New Roman"/>
          <w:bCs/>
          <w:color w:val="000000" w:themeColor="text1"/>
          <w:szCs w:val="24"/>
          <w:highlight w:val="none"/>
          <w14:textFill>
            <w14:solidFill>
              <w14:schemeClr w14:val="tx1"/>
            </w14:solidFill>
          </w14:textFill>
        </w:rPr>
        <w:t>备用柴油动力机/</w:t>
      </w:r>
      <w:r>
        <w:rPr>
          <w:rFonts w:cs="Times New Roman"/>
          <w:bCs/>
          <w:color w:val="000000" w:themeColor="text1"/>
          <w:szCs w:val="24"/>
          <w:highlight w:val="none"/>
          <w14:textFill>
            <w14:solidFill>
              <w14:schemeClr w14:val="tx1"/>
            </w14:solidFill>
          </w14:textFill>
        </w:rPr>
        <w:t>柴油发电机废气，由于施工期较短暂，</w:t>
      </w:r>
      <w:r>
        <w:rPr>
          <w:rFonts w:hint="eastAsia" w:cs="Times New Roman"/>
          <w:bCs/>
          <w:color w:val="000000" w:themeColor="text1"/>
          <w:szCs w:val="24"/>
          <w:highlight w:val="none"/>
          <w14:textFill>
            <w14:solidFill>
              <w14:schemeClr w14:val="tx1"/>
            </w14:solidFill>
          </w14:textFill>
        </w:rPr>
        <w:t>且随施工结束，上述大气污染源将撤离，其影响将消除，因此，施工期废气污染物不作等级判定依据。</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由于本项目依托</w:t>
      </w:r>
      <w:r>
        <w:rPr>
          <w:rFonts w:hint="eastAsia" w:cs="Times New Roman"/>
          <w:bCs/>
          <w:color w:val="000000" w:themeColor="text1"/>
          <w:szCs w:val="24"/>
          <w:highlight w:val="none"/>
          <w14:textFill>
            <w14:solidFill>
              <w14:schemeClr w14:val="tx1"/>
            </w14:solidFill>
          </w14:textFill>
        </w:rPr>
        <w:t>大湾</w:t>
      </w:r>
      <w:r>
        <w:rPr>
          <w:rFonts w:hint="eastAsia" w:cs="Times New Roman"/>
          <w:bCs/>
          <w:color w:val="000000" w:themeColor="text1"/>
          <w:szCs w:val="24"/>
          <w:highlight w:val="none"/>
          <w:lang w:eastAsia="zh-CN"/>
          <w14:textFill>
            <w14:solidFill>
              <w14:schemeClr w14:val="tx1"/>
            </w14:solidFill>
          </w14:textFill>
        </w:rPr>
        <w:t>408试采站</w:t>
      </w:r>
      <w:r>
        <w:rPr>
          <w:rFonts w:cs="Times New Roman"/>
          <w:bCs/>
          <w:color w:val="000000" w:themeColor="text1"/>
          <w:szCs w:val="24"/>
          <w:highlight w:val="none"/>
          <w14:textFill>
            <w14:solidFill>
              <w14:schemeClr w14:val="tx1"/>
            </w14:solidFill>
          </w14:textFill>
        </w:rPr>
        <w:t>火炬系统长明火灯的天然气燃烧量为系统匹配的固有量（不因本项目建设而增加长明火炬的天然气使用量），因此，本工程的建设不会导致</w:t>
      </w:r>
      <w:r>
        <w:rPr>
          <w:rFonts w:hint="eastAsia" w:cs="Times New Roman"/>
          <w:bCs/>
          <w:color w:val="000000" w:themeColor="text1"/>
          <w:szCs w:val="24"/>
          <w:highlight w:val="none"/>
          <w14:textFill>
            <w14:solidFill>
              <w14:schemeClr w14:val="tx1"/>
            </w14:solidFill>
          </w14:textFill>
        </w:rPr>
        <w:t>大湾</w:t>
      </w:r>
      <w:r>
        <w:rPr>
          <w:rFonts w:hint="eastAsia" w:cs="Times New Roman"/>
          <w:bCs/>
          <w:color w:val="000000" w:themeColor="text1"/>
          <w:szCs w:val="24"/>
          <w:highlight w:val="none"/>
          <w:lang w:eastAsia="zh-CN"/>
          <w14:textFill>
            <w14:solidFill>
              <w14:schemeClr w14:val="tx1"/>
            </w14:solidFill>
          </w14:textFill>
        </w:rPr>
        <w:t>408试采站</w:t>
      </w:r>
      <w:r>
        <w:rPr>
          <w:rFonts w:cs="Times New Roman"/>
          <w:bCs/>
          <w:color w:val="000000" w:themeColor="text1"/>
          <w:szCs w:val="24"/>
          <w:highlight w:val="none"/>
          <w14:textFill>
            <w14:solidFill>
              <w14:schemeClr w14:val="tx1"/>
            </w14:solidFill>
          </w14:textFill>
        </w:rPr>
        <w:t>内的火炬系统</w:t>
      </w:r>
      <w:r>
        <w:rPr>
          <w:rFonts w:hint="eastAsia" w:cs="Times New Roman"/>
          <w:bCs/>
          <w:color w:val="000000" w:themeColor="text1"/>
          <w:szCs w:val="24"/>
          <w:highlight w:val="none"/>
          <w14:textFill>
            <w14:solidFill>
              <w14:schemeClr w14:val="tx1"/>
            </w14:solidFill>
          </w14:textFill>
        </w:rPr>
        <w:t>正常工况下的</w:t>
      </w:r>
      <w:r>
        <w:rPr>
          <w:rFonts w:cs="Times New Roman"/>
          <w:bCs/>
          <w:color w:val="000000" w:themeColor="text1"/>
          <w:szCs w:val="24"/>
          <w:highlight w:val="none"/>
          <w14:textFill>
            <w14:solidFill>
              <w14:schemeClr w14:val="tx1"/>
            </w14:solidFill>
          </w14:textFill>
        </w:rPr>
        <w:t>废气排放量增加；此外，集输设备检修或事故状态下时产生放空燃烧废气会有所增加，但其为非正常工况下排放，排放时间短，且废气量较小。</w:t>
      </w:r>
      <w:r>
        <w:rPr>
          <w:rFonts w:hint="eastAsia" w:cs="Times New Roman"/>
          <w:bCs/>
          <w:color w:val="000000" w:themeColor="text1"/>
          <w:szCs w:val="24"/>
          <w:highlight w:val="none"/>
          <w14:textFill>
            <w14:solidFill>
              <w14:schemeClr w14:val="tx1"/>
            </w14:solidFill>
          </w14:textFill>
        </w:rPr>
        <w:t>因此，本次评价主要采用</w:t>
      </w:r>
      <w:r>
        <w:rPr>
          <w:bCs/>
          <w:color w:val="000000" w:themeColor="text1"/>
          <w:szCs w:val="24"/>
          <w:highlight w:val="none"/>
          <w14:textFill>
            <w14:solidFill>
              <w14:schemeClr w14:val="tx1"/>
            </w14:solidFill>
          </w14:textFill>
        </w:rPr>
        <w:t>试采期水套加热炉燃烧废气</w:t>
      </w:r>
      <w:r>
        <w:rPr>
          <w:rFonts w:hint="eastAsia"/>
          <w:bCs/>
          <w:color w:val="000000" w:themeColor="text1"/>
          <w:szCs w:val="24"/>
          <w:highlight w:val="none"/>
          <w14:textFill>
            <w14:solidFill>
              <w14:schemeClr w14:val="tx1"/>
            </w14:solidFill>
          </w14:textFill>
        </w:rPr>
        <w:t>作为判定依据。</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评价工作等级按《环境影响评价技术导则 大气环境》（HJ2.2-2018）规定的分级判据进行划分（见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_Ref20734 \h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4</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），如污染物数i大于1，取P中最大值（Pmax）。</w:t>
      </w:r>
    </w:p>
    <w:p>
      <w:pPr>
        <w:pStyle w:val="203"/>
        <w:spacing w:before="163"/>
        <w:rPr>
          <w:color w:val="000000" w:themeColor="text1"/>
          <w:highlight w:val="none"/>
          <w14:textFill>
            <w14:solidFill>
              <w14:schemeClr w14:val="tx1"/>
            </w14:solidFill>
          </w14:textFill>
        </w:rPr>
      </w:pPr>
      <w:bookmarkStart w:id="78" w:name="_Ref143334905"/>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78"/>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大气评价工作等级</w:t>
      </w:r>
    </w:p>
    <w:tbl>
      <w:tblPr>
        <w:tblStyle w:val="5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567"/>
        <w:gridCol w:w="4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214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评价工作等级</w:t>
            </w:r>
          </w:p>
        </w:tc>
        <w:tc>
          <w:tcPr>
            <w:tcW w:w="285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14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2854" w:type="pct"/>
            <w:vAlign w:val="center"/>
          </w:tcPr>
          <w:p>
            <w:pPr>
              <w:pStyle w:val="297"/>
              <w:rPr>
                <w:rFonts w:eastAsia="Times New Roman"/>
                <w:color w:val="000000" w:themeColor="text1"/>
                <w:highlight w:val="none"/>
                <w14:textFill>
                  <w14:solidFill>
                    <w14:schemeClr w14:val="tx1"/>
                  </w14:solidFill>
                </w14:textFill>
              </w:rPr>
            </w:pPr>
            <w:r>
              <w:rPr>
                <w:rFonts w:eastAsia="Times New Roman"/>
                <w:color w:val="000000" w:themeColor="text1"/>
                <w:highlight w:val="none"/>
                <w14:textFill>
                  <w14:solidFill>
                    <w14:schemeClr w14:val="tx1"/>
                  </w14:solidFill>
                </w14:textFill>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14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2854" w:type="pct"/>
            <w:vAlign w:val="center"/>
          </w:tcPr>
          <w:p>
            <w:pPr>
              <w:pStyle w:val="297"/>
              <w:rPr>
                <w:rFonts w:eastAsia="Times New Roman"/>
                <w:color w:val="000000" w:themeColor="text1"/>
                <w:highlight w:val="none"/>
                <w14:textFill>
                  <w14:solidFill>
                    <w14:schemeClr w14:val="tx1"/>
                  </w14:solidFill>
                </w14:textFill>
              </w:rPr>
            </w:pPr>
            <w:r>
              <w:rPr>
                <w:rFonts w:eastAsia="Times New Roman"/>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Pmax</w:t>
            </w: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14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2854" w:type="pct"/>
            <w:vAlign w:val="center"/>
          </w:tcPr>
          <w:p>
            <w:pPr>
              <w:pStyle w:val="297"/>
              <w:rPr>
                <w:rFonts w:eastAsia="Times New Roman"/>
                <w:color w:val="000000" w:themeColor="text1"/>
                <w:highlight w:val="none"/>
                <w14:textFill>
                  <w14:solidFill>
                    <w14:schemeClr w14:val="tx1"/>
                  </w14:solidFill>
                </w14:textFill>
              </w:rPr>
            </w:pPr>
            <w:r>
              <w:rPr>
                <w:rFonts w:eastAsia="Times New Roman"/>
                <w:color w:val="000000" w:themeColor="text1"/>
                <w:highlight w:val="none"/>
                <w14:textFill>
                  <w14:solidFill>
                    <w14:schemeClr w14:val="tx1"/>
                  </w14:solidFill>
                </w14:textFill>
              </w:rPr>
              <w:t>P</w:t>
            </w:r>
            <w:r>
              <w:rPr>
                <w:rFonts w:eastAsia="Times New Roman"/>
                <w:color w:val="000000" w:themeColor="text1"/>
                <w:position w:val="-1"/>
                <w:highlight w:val="none"/>
                <w14:textFill>
                  <w14:solidFill>
                    <w14:schemeClr w14:val="tx1"/>
                  </w14:solidFill>
                </w14:textFill>
              </w:rPr>
              <w:t>max</w:t>
            </w:r>
            <w:r>
              <w:rPr>
                <w:color w:val="000000" w:themeColor="text1"/>
                <w:highlight w:val="none"/>
                <w14:textFill>
                  <w14:solidFill>
                    <w14:schemeClr w14:val="tx1"/>
                  </w14:solidFill>
                </w14:textFill>
              </w:rPr>
              <w:t>＜</w:t>
            </w:r>
            <w:r>
              <w:rPr>
                <w:rFonts w:eastAsia="Times New Roman"/>
                <w:color w:val="000000" w:themeColor="text1"/>
                <w:highlight w:val="none"/>
                <w14:textFill>
                  <w14:solidFill>
                    <w14:schemeClr w14:val="tx1"/>
                  </w14:solidFill>
                </w14:textFill>
              </w:rPr>
              <w:t>1%</w:t>
            </w:r>
          </w:p>
        </w:tc>
      </w:tr>
    </w:tbl>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表2.6-5  主要大气污染物估算模型计算结果表</w:t>
      </w:r>
    </w:p>
    <w:tbl>
      <w:tblPr>
        <w:tblStyle w:val="54"/>
        <w:tblW w:w="49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8"/>
        <w:gridCol w:w="1038"/>
        <w:gridCol w:w="1789"/>
        <w:gridCol w:w="1819"/>
        <w:gridCol w:w="1207"/>
        <w:gridCol w:w="10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tblHeader/>
          <w:jc w:val="center"/>
        </w:trPr>
        <w:tc>
          <w:tcPr>
            <w:tcW w:w="872" w:type="pct"/>
            <w:shd w:val="clear" w:color="auto" w:fill="auto"/>
            <w:vAlign w:val="center"/>
          </w:tcPr>
          <w:p>
            <w:pPr>
              <w:pStyle w:val="255"/>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污染源</w:t>
            </w:r>
          </w:p>
        </w:tc>
        <w:tc>
          <w:tcPr>
            <w:tcW w:w="621" w:type="pct"/>
            <w:shd w:val="clear" w:color="auto" w:fill="auto"/>
            <w:vAlign w:val="center"/>
          </w:tcPr>
          <w:p>
            <w:pPr>
              <w:pStyle w:val="255"/>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污染物</w:t>
            </w:r>
          </w:p>
        </w:tc>
        <w:tc>
          <w:tcPr>
            <w:tcW w:w="1070" w:type="pct"/>
            <w:shd w:val="clear" w:color="auto" w:fill="auto"/>
            <w:vAlign w:val="center"/>
          </w:tcPr>
          <w:p>
            <w:pPr>
              <w:pStyle w:val="255"/>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最大落地浓度</w:t>
            </w:r>
          </w:p>
          <w:p>
            <w:pPr>
              <w:pStyle w:val="255"/>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C</w:t>
            </w:r>
            <w:r>
              <w:rPr>
                <w:rFonts w:eastAsia="黑体" w:cs="Times New Roman"/>
                <w:b/>
                <w:bCs/>
                <w:color w:val="000000" w:themeColor="text1"/>
                <w:highlight w:val="none"/>
                <w:vertAlign w:val="subscript"/>
                <w14:textFill>
                  <w14:solidFill>
                    <w14:schemeClr w14:val="tx1"/>
                  </w14:solidFill>
                </w14:textFill>
              </w:rPr>
              <w:t>i</w:t>
            </w:r>
            <w:r>
              <w:rPr>
                <w:rFonts w:hint="eastAsia" w:eastAsia="黑体" w:cs="Times New Roman"/>
                <w:b/>
                <w:bCs/>
                <w:color w:val="000000" w:themeColor="text1"/>
                <w:highlight w:val="none"/>
                <w:vertAlign w:val="subscript"/>
                <w14:textFill>
                  <w14:solidFill>
                    <w14:schemeClr w14:val="tx1"/>
                  </w14:solidFill>
                </w14:textFill>
              </w:rPr>
              <w:t>(</w:t>
            </w:r>
            <w:r>
              <w:rPr>
                <w:rFonts w:eastAsia="黑体" w:cs="Times New Roman"/>
                <w:b/>
                <w:bCs/>
                <w:color w:val="000000" w:themeColor="text1"/>
                <w:highlight w:val="none"/>
                <w14:textFill>
                  <w14:solidFill>
                    <w14:schemeClr w14:val="tx1"/>
                  </w14:solidFill>
                </w14:textFill>
              </w:rPr>
              <w:t>μg/m</w:t>
            </w:r>
            <w:r>
              <w:rPr>
                <w:rFonts w:eastAsia="黑体" w:cs="Times New Roman"/>
                <w:b/>
                <w:bCs/>
                <w:color w:val="000000" w:themeColor="text1"/>
                <w:highlight w:val="none"/>
                <w:vertAlign w:val="superscript"/>
                <w14:textFill>
                  <w14:solidFill>
                    <w14:schemeClr w14:val="tx1"/>
                  </w14:solidFill>
                </w14:textFill>
              </w:rPr>
              <w:t>3</w:t>
            </w:r>
            <w:r>
              <w:rPr>
                <w:rFonts w:hint="eastAsia" w:eastAsia="黑体" w:cs="Times New Roman"/>
                <w:b/>
                <w:bCs/>
                <w:color w:val="000000" w:themeColor="text1"/>
                <w:highlight w:val="none"/>
                <w:vertAlign w:val="superscript"/>
                <w14:textFill>
                  <w14:solidFill>
                    <w14:schemeClr w14:val="tx1"/>
                  </w14:solidFill>
                </w14:textFill>
              </w:rPr>
              <w:t>)</w:t>
            </w:r>
          </w:p>
        </w:tc>
        <w:tc>
          <w:tcPr>
            <w:tcW w:w="1088" w:type="pct"/>
            <w:vAlign w:val="center"/>
          </w:tcPr>
          <w:p>
            <w:pPr>
              <w:pStyle w:val="255"/>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环境标准C</w:t>
            </w:r>
            <w:r>
              <w:rPr>
                <w:rFonts w:eastAsia="黑体" w:cs="Times New Roman"/>
                <w:b/>
                <w:bCs/>
                <w:color w:val="000000" w:themeColor="text1"/>
                <w:highlight w:val="none"/>
                <w:vertAlign w:val="subscript"/>
                <w14:textFill>
                  <w14:solidFill>
                    <w14:schemeClr w14:val="tx1"/>
                  </w14:solidFill>
                </w14:textFill>
              </w:rPr>
              <w:t>0i</w:t>
            </w:r>
            <w:r>
              <w:rPr>
                <w:rFonts w:eastAsia="黑体" w:cs="Times New Roman"/>
                <w:b/>
                <w:bCs/>
                <w:color w:val="000000" w:themeColor="text1"/>
                <w:highlight w:val="none"/>
                <w14:textFill>
                  <w14:solidFill>
                    <w14:schemeClr w14:val="tx1"/>
                  </w14:solidFill>
                </w14:textFill>
              </w:rPr>
              <w:t>（μg/m</w:t>
            </w:r>
            <w:r>
              <w:rPr>
                <w:rFonts w:eastAsia="黑体" w:cs="Times New Roman"/>
                <w:b/>
                <w:bCs/>
                <w:color w:val="000000" w:themeColor="text1"/>
                <w:highlight w:val="none"/>
                <w:vertAlign w:val="superscript"/>
                <w14:textFill>
                  <w14:solidFill>
                    <w14:schemeClr w14:val="tx1"/>
                  </w14:solidFill>
                </w14:textFill>
              </w:rPr>
              <w:t>3</w:t>
            </w:r>
            <w:r>
              <w:rPr>
                <w:rFonts w:eastAsia="黑体" w:cs="Times New Roman"/>
                <w:b/>
                <w:bCs/>
                <w:color w:val="000000" w:themeColor="text1"/>
                <w:highlight w:val="none"/>
                <w14:textFill>
                  <w14:solidFill>
                    <w14:schemeClr w14:val="tx1"/>
                  </w14:solidFill>
                </w14:textFill>
              </w:rPr>
              <w:t>）</w:t>
            </w:r>
          </w:p>
        </w:tc>
        <w:tc>
          <w:tcPr>
            <w:tcW w:w="722" w:type="pct"/>
            <w:shd w:val="clear" w:color="auto" w:fill="auto"/>
            <w:vAlign w:val="center"/>
          </w:tcPr>
          <w:p>
            <w:pPr>
              <w:pStyle w:val="255"/>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P</w:t>
            </w:r>
            <w:r>
              <w:rPr>
                <w:rFonts w:eastAsia="黑体" w:cs="Times New Roman"/>
                <w:b/>
                <w:bCs/>
                <w:color w:val="000000" w:themeColor="text1"/>
                <w:highlight w:val="none"/>
                <w:vertAlign w:val="subscript"/>
                <w14:textFill>
                  <w14:solidFill>
                    <w14:schemeClr w14:val="tx1"/>
                  </w14:solidFill>
                </w14:textFill>
              </w:rPr>
              <w:t>max</w:t>
            </w:r>
            <w:r>
              <w:rPr>
                <w:rFonts w:hint="eastAsia" w:eastAsia="黑体" w:cs="Times New Roman"/>
                <w:b/>
                <w:bCs/>
                <w:color w:val="000000" w:themeColor="text1"/>
                <w:highlight w:val="none"/>
                <w:vertAlign w:val="subscript"/>
                <w14:textFill>
                  <w14:solidFill>
                    <w14:schemeClr w14:val="tx1"/>
                  </w14:solidFill>
                </w14:textFill>
              </w:rPr>
              <w:t>(</w:t>
            </w:r>
            <w:r>
              <w:rPr>
                <w:rFonts w:eastAsia="黑体" w:cs="Times New Roman"/>
                <w:b/>
                <w:bCs/>
                <w:color w:val="000000" w:themeColor="text1"/>
                <w:highlight w:val="none"/>
                <w14:textFill>
                  <w14:solidFill>
                    <w14:schemeClr w14:val="tx1"/>
                  </w14:solidFill>
                </w14:textFill>
              </w:rPr>
              <w:t>%</w:t>
            </w:r>
            <w:r>
              <w:rPr>
                <w:rFonts w:hint="eastAsia" w:eastAsia="黑体" w:cs="Times New Roman"/>
                <w:b/>
                <w:bCs/>
                <w:color w:val="000000" w:themeColor="text1"/>
                <w:highlight w:val="none"/>
                <w14:textFill>
                  <w14:solidFill>
                    <w14:schemeClr w14:val="tx1"/>
                  </w14:solidFill>
                </w14:textFill>
              </w:rPr>
              <w:t>)</w:t>
            </w:r>
          </w:p>
        </w:tc>
        <w:tc>
          <w:tcPr>
            <w:tcW w:w="625" w:type="pct"/>
            <w:vAlign w:val="center"/>
          </w:tcPr>
          <w:p>
            <w:pPr>
              <w:pStyle w:val="255"/>
              <w:rPr>
                <w:rFonts w:eastAsia="黑体" w:cs="Times New Roman"/>
                <w:b/>
                <w:bCs/>
                <w:color w:val="000000" w:themeColor="text1"/>
                <w:highlight w:val="none"/>
                <w14:textFill>
                  <w14:solidFill>
                    <w14:schemeClr w14:val="tx1"/>
                  </w14:solidFill>
                </w14:textFill>
              </w:rPr>
            </w:pPr>
            <w:r>
              <w:rPr>
                <w:rFonts w:eastAsia="黑体" w:cs="Times New Roman"/>
                <w:b/>
                <w:bCs/>
                <w:color w:val="000000" w:themeColor="text1"/>
                <w:highlight w:val="none"/>
                <w14:textFill>
                  <w14:solidFill>
                    <w14:schemeClr w14:val="tx1"/>
                  </w14:solidFill>
                </w14:textFill>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blHeader/>
          <w:jc w:val="center"/>
        </w:trPr>
        <w:tc>
          <w:tcPr>
            <w:tcW w:w="872" w:type="pct"/>
            <w:vMerge w:val="restart"/>
            <w:shd w:val="clear" w:color="auto" w:fill="auto"/>
            <w:vAlign w:val="center"/>
          </w:tcPr>
          <w:p>
            <w:pPr>
              <w:pStyle w:val="255"/>
              <w:rPr>
                <w:rFonts w:eastAsia="黑体" w:cs="Times New Roman"/>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水套炉</w:t>
            </w:r>
            <w:r>
              <w:rPr>
                <w:rFonts w:cs="Times New Roman"/>
                <w:bCs/>
                <w:color w:val="000000" w:themeColor="text1"/>
                <w:highlight w:val="none"/>
                <w14:textFill>
                  <w14:solidFill>
                    <w14:schemeClr w14:val="tx1"/>
                  </w14:solidFill>
                </w14:textFill>
              </w:rPr>
              <w:t>燃烧废气</w:t>
            </w:r>
          </w:p>
        </w:tc>
        <w:tc>
          <w:tcPr>
            <w:tcW w:w="621" w:type="pct"/>
            <w:shd w:val="clear" w:color="auto" w:fill="auto"/>
            <w:vAlign w:val="center"/>
          </w:tcPr>
          <w:p>
            <w:pPr>
              <w:pStyle w:val="255"/>
              <w:rPr>
                <w:rFonts w:eastAsia="黑体" w:cs="Times New Roman"/>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颗粒物</w:t>
            </w:r>
          </w:p>
        </w:tc>
        <w:tc>
          <w:tcPr>
            <w:tcW w:w="1070" w:type="pct"/>
            <w:shd w:val="clear" w:color="auto" w:fill="auto"/>
            <w:vAlign w:val="center"/>
          </w:tcPr>
          <w:p>
            <w:pPr>
              <w:spacing w:before="16" w:beforeLines="5" w:after="16"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2.88</w:t>
            </w:r>
          </w:p>
        </w:tc>
        <w:tc>
          <w:tcPr>
            <w:tcW w:w="1088" w:type="pct"/>
            <w:vAlign w:val="center"/>
          </w:tcPr>
          <w:p>
            <w:pPr>
              <w:spacing w:before="16" w:beforeLines="5" w:after="16"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900</w:t>
            </w:r>
          </w:p>
        </w:tc>
        <w:tc>
          <w:tcPr>
            <w:tcW w:w="722" w:type="pct"/>
            <w:shd w:val="clear" w:color="auto" w:fill="auto"/>
            <w:vAlign w:val="center"/>
          </w:tcPr>
          <w:p>
            <w:pPr>
              <w:spacing w:before="16" w:beforeLines="5" w:after="16"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0</w:t>
            </w:r>
            <w:r>
              <w:rPr>
                <w:rFonts w:hint="eastAsia"/>
                <w:bCs/>
                <w:color w:val="000000" w:themeColor="text1"/>
                <w:sz w:val="21"/>
                <w:szCs w:val="21"/>
                <w:highlight w:val="none"/>
                <w14:textFill>
                  <w14:solidFill>
                    <w14:schemeClr w14:val="tx1"/>
                  </w14:solidFill>
                </w14:textFill>
              </w:rPr>
              <w:t>.32</w:t>
            </w:r>
          </w:p>
        </w:tc>
        <w:tc>
          <w:tcPr>
            <w:tcW w:w="625" w:type="pct"/>
            <w:vAlign w:val="center"/>
          </w:tcPr>
          <w:p>
            <w:pPr>
              <w:spacing w:before="16" w:beforeLines="5" w:after="16"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blHeader/>
          <w:jc w:val="center"/>
        </w:trPr>
        <w:tc>
          <w:tcPr>
            <w:tcW w:w="872" w:type="pct"/>
            <w:vMerge w:val="continue"/>
            <w:shd w:val="clear" w:color="auto" w:fill="auto"/>
            <w:vAlign w:val="center"/>
          </w:tcPr>
          <w:p>
            <w:pPr>
              <w:pStyle w:val="255"/>
              <w:rPr>
                <w:rFonts w:cs="Times New Roman"/>
                <w:bCs/>
                <w:color w:val="000000" w:themeColor="text1"/>
                <w:highlight w:val="none"/>
                <w14:textFill>
                  <w14:solidFill>
                    <w14:schemeClr w14:val="tx1"/>
                  </w14:solidFill>
                </w14:textFill>
              </w:rPr>
            </w:pPr>
          </w:p>
        </w:tc>
        <w:tc>
          <w:tcPr>
            <w:tcW w:w="621" w:type="pct"/>
            <w:shd w:val="clear" w:color="auto" w:fill="auto"/>
            <w:vAlign w:val="center"/>
          </w:tcPr>
          <w:p>
            <w:pPr>
              <w:pStyle w:val="255"/>
              <w:rPr>
                <w:rFonts w:eastAsia="黑体" w:cs="Times New Roman"/>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NO</w:t>
            </w:r>
            <w:r>
              <w:rPr>
                <w:rFonts w:cs="Times New Roman"/>
                <w:bCs/>
                <w:color w:val="000000" w:themeColor="text1"/>
                <w:highlight w:val="none"/>
                <w:vertAlign w:val="subscript"/>
                <w14:textFill>
                  <w14:solidFill>
                    <w14:schemeClr w14:val="tx1"/>
                  </w14:solidFill>
                </w14:textFill>
              </w:rPr>
              <w:t>X</w:t>
            </w:r>
          </w:p>
        </w:tc>
        <w:tc>
          <w:tcPr>
            <w:tcW w:w="1070" w:type="pct"/>
            <w:shd w:val="clear" w:color="auto" w:fill="auto"/>
            <w:vAlign w:val="center"/>
          </w:tcPr>
          <w:p>
            <w:pPr>
              <w:spacing w:before="16" w:beforeLines="5" w:after="16"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18.6</w:t>
            </w:r>
          </w:p>
        </w:tc>
        <w:tc>
          <w:tcPr>
            <w:tcW w:w="1088" w:type="pct"/>
            <w:vAlign w:val="center"/>
          </w:tcPr>
          <w:p>
            <w:pPr>
              <w:spacing w:before="16" w:beforeLines="5" w:after="16"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250</w:t>
            </w:r>
          </w:p>
        </w:tc>
        <w:tc>
          <w:tcPr>
            <w:tcW w:w="722" w:type="pct"/>
            <w:shd w:val="clear" w:color="auto" w:fill="auto"/>
            <w:vAlign w:val="center"/>
          </w:tcPr>
          <w:p>
            <w:pPr>
              <w:spacing w:before="16" w:beforeLines="5" w:after="16"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7.44</w:t>
            </w:r>
          </w:p>
        </w:tc>
        <w:tc>
          <w:tcPr>
            <w:tcW w:w="625" w:type="pct"/>
            <w:vAlign w:val="center"/>
          </w:tcPr>
          <w:p>
            <w:pPr>
              <w:spacing w:before="16" w:beforeLines="5" w:after="16" w:afterLines="5" w:line="240" w:lineRule="exact"/>
              <w:ind w:left="-72" w:leftChars="-30" w:right="-72" w:rightChars="-30" w:firstLine="0" w:firstLineChars="0"/>
              <w:jc w:val="center"/>
              <w:rPr>
                <w:bCs/>
                <w:color w:val="000000" w:themeColor="text1"/>
                <w:sz w:val="21"/>
                <w:szCs w:val="21"/>
                <w:highlight w:val="none"/>
                <w14:textFill>
                  <w14:solidFill>
                    <w14:schemeClr w14:val="tx1"/>
                  </w14:solidFill>
                </w14:textFill>
              </w:rPr>
            </w:pPr>
            <w:r>
              <w:rPr>
                <w:bCs/>
                <w:color w:val="000000" w:themeColor="text1"/>
                <w:sz w:val="21"/>
                <w:szCs w:val="21"/>
                <w:highlight w:val="none"/>
                <w14:textFill>
                  <w14:solidFill>
                    <w14:schemeClr w14:val="tx1"/>
                  </w14:solidFill>
                </w14:textFill>
              </w:rPr>
              <w:t>二级</w:t>
            </w:r>
          </w:p>
        </w:tc>
      </w:tr>
    </w:tbl>
    <w:p>
      <w:pPr>
        <w:tabs>
          <w:tab w:val="left" w:pos="0"/>
        </w:tabs>
        <w:spacing w:before="163" w:beforeLines="50"/>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根据表2.6-5判定结果，本项目废气最大地面环境空气质量浓度占标率小于10%，根据《环境影响评价技术导则 大气环境》（HJ2.2-2018）分级判据，确定本项目整体环境空气评价等级为二级</w:t>
      </w:r>
      <w:r>
        <w:rPr>
          <w:rFonts w:hint="eastAsia"/>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（2）评价范围</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根据《环境影响评价技术导则大气环境》（HJ 2.2-2018），</w:t>
      </w:r>
      <w:r>
        <w:rPr>
          <w:bCs/>
          <w:color w:val="000000" w:themeColor="text1"/>
          <w:szCs w:val="24"/>
          <w:highlight w:val="none"/>
          <w14:textFill>
            <w14:solidFill>
              <w14:schemeClr w14:val="tx1"/>
            </w14:solidFill>
          </w14:textFill>
        </w:rPr>
        <w:t>本次大气环境评价范围为以</w:t>
      </w:r>
      <w:r>
        <w:rPr>
          <w:rFonts w:hint="eastAsia"/>
          <w:bCs/>
          <w:color w:val="000000" w:themeColor="text1"/>
          <w:szCs w:val="24"/>
          <w:highlight w:val="none"/>
          <w14:textFill>
            <w14:solidFill>
              <w14:schemeClr w14:val="tx1"/>
            </w14:solidFill>
          </w14:textFill>
        </w:rPr>
        <w:t>大湾</w:t>
      </w:r>
      <w:r>
        <w:rPr>
          <w:rFonts w:hint="eastAsia"/>
          <w:bCs/>
          <w:color w:val="000000" w:themeColor="text1"/>
          <w:szCs w:val="24"/>
          <w:highlight w:val="none"/>
          <w:lang w:eastAsia="zh-CN"/>
          <w14:textFill>
            <w14:solidFill>
              <w14:schemeClr w14:val="tx1"/>
            </w14:solidFill>
          </w14:textFill>
        </w:rPr>
        <w:t>408试采站</w:t>
      </w:r>
      <w:r>
        <w:rPr>
          <w:bCs/>
          <w:color w:val="000000" w:themeColor="text1"/>
          <w:szCs w:val="24"/>
          <w:highlight w:val="none"/>
          <w14:textFill>
            <w14:solidFill>
              <w14:schemeClr w14:val="tx1"/>
            </w14:solidFill>
          </w14:textFill>
        </w:rPr>
        <w:t>所在地为中心点，边长为5.0km的矩形区域，总评价范围约25km</w:t>
      </w:r>
      <w:r>
        <w:rPr>
          <w:bCs/>
          <w:color w:val="000000" w:themeColor="text1"/>
          <w:szCs w:val="24"/>
          <w:highlight w:val="none"/>
          <w:vertAlign w:val="superscript"/>
          <w14:textFill>
            <w14:solidFill>
              <w14:schemeClr w14:val="tx1"/>
            </w14:solidFill>
          </w14:textFill>
        </w:rPr>
        <w:t>2</w:t>
      </w:r>
      <w:r>
        <w:rPr>
          <w:bCs/>
          <w:color w:val="000000" w:themeColor="text1"/>
          <w:szCs w:val="24"/>
          <w:highlight w:val="none"/>
          <w14:textFill>
            <w14:solidFill>
              <w14:schemeClr w14:val="tx1"/>
            </w14:solidFill>
          </w14:textFill>
        </w:rPr>
        <w:t>。本次评价重点关注井场、试采站周边500m范围内的大气环境保护目标</w:t>
      </w:r>
      <w:r>
        <w:rPr>
          <w:rFonts w:cs="Times New Roman"/>
          <w:color w:val="000000" w:themeColor="text1"/>
          <w:szCs w:val="24"/>
          <w:highlight w:val="none"/>
          <w14:textFill>
            <w14:solidFill>
              <w14:schemeClr w14:val="tx1"/>
            </w14:solidFill>
          </w14:textFill>
        </w:rPr>
        <w:t>和</w:t>
      </w:r>
      <w:r>
        <w:rPr>
          <w:rFonts w:hint="eastAsia" w:cs="Times New Roman"/>
          <w:color w:val="000000" w:themeColor="text1"/>
          <w:szCs w:val="24"/>
          <w:highlight w:val="none"/>
          <w14:textFill>
            <w14:solidFill>
              <w14:schemeClr w14:val="tx1"/>
            </w14:solidFill>
          </w14:textFill>
        </w:rPr>
        <w:t>大湾408-3井场</w:t>
      </w:r>
      <w:r>
        <w:rPr>
          <w:rFonts w:hint="eastAsia" w:cs="Times New Roman"/>
          <w:color w:val="000000" w:themeColor="text1"/>
          <w:highlight w:val="none"/>
          <w14:textFill>
            <w14:solidFill>
              <w14:schemeClr w14:val="tx1"/>
            </w14:solidFill>
          </w14:textFill>
        </w:rPr>
        <w:t>～大湾</w:t>
      </w:r>
      <w:r>
        <w:rPr>
          <w:rFonts w:hint="eastAsia" w:cs="Times New Roman"/>
          <w:color w:val="000000" w:themeColor="text1"/>
          <w:highlight w:val="none"/>
          <w:lang w:eastAsia="zh-CN"/>
          <w14:textFill>
            <w14:solidFill>
              <w14:schemeClr w14:val="tx1"/>
            </w14:solidFill>
          </w14:textFill>
        </w:rPr>
        <w:t>408试采站</w:t>
      </w:r>
      <w:r>
        <w:rPr>
          <w:rFonts w:cs="Times New Roman"/>
          <w:color w:val="000000" w:themeColor="text1"/>
          <w:highlight w:val="none"/>
          <w14:textFill>
            <w14:solidFill>
              <w14:schemeClr w14:val="tx1"/>
            </w14:solidFill>
          </w14:textFill>
        </w:rPr>
        <w:t>之间的</w:t>
      </w:r>
      <w:r>
        <w:rPr>
          <w:rFonts w:hint="eastAsia" w:cs="Times New Roman"/>
          <w:color w:val="000000" w:themeColor="text1"/>
          <w:highlight w:val="none"/>
          <w14:textFill>
            <w14:solidFill>
              <w14:schemeClr w14:val="tx1"/>
            </w14:solidFill>
          </w14:textFill>
        </w:rPr>
        <w:t>集输</w:t>
      </w:r>
      <w:r>
        <w:rPr>
          <w:rFonts w:cs="Times New Roman"/>
          <w:color w:val="000000" w:themeColor="text1"/>
          <w:highlight w:val="none"/>
          <w14:textFill>
            <w14:solidFill>
              <w14:schemeClr w14:val="tx1"/>
            </w14:solidFill>
          </w14:textFill>
        </w:rPr>
        <w:t>管道两侧</w:t>
      </w:r>
      <w:r>
        <w:rPr>
          <w:rFonts w:hint="eastAsia" w:cs="Times New Roman"/>
          <w:color w:val="000000" w:themeColor="text1"/>
          <w:highlight w:val="none"/>
          <w14:textFill>
            <w14:solidFill>
              <w14:schemeClr w14:val="tx1"/>
            </w14:solidFill>
          </w14:textFill>
        </w:rPr>
        <w:t>2</w:t>
      </w:r>
      <w:r>
        <w:rPr>
          <w:rFonts w:cs="Times New Roman"/>
          <w:color w:val="000000" w:themeColor="text1"/>
          <w:highlight w:val="none"/>
          <w14:textFill>
            <w14:solidFill>
              <w14:schemeClr w14:val="tx1"/>
            </w14:solidFill>
          </w14:textFill>
        </w:rPr>
        <w:t>00m范围</w:t>
      </w:r>
      <w:r>
        <w:rPr>
          <w:rFonts w:cs="Times New Roman"/>
          <w:color w:val="000000" w:themeColor="text1"/>
          <w:szCs w:val="24"/>
          <w:highlight w:val="none"/>
          <w14:textFill>
            <w14:solidFill>
              <w14:schemeClr w14:val="tx1"/>
            </w14:solidFill>
          </w14:textFill>
        </w:rPr>
        <w:t>。</w:t>
      </w:r>
    </w:p>
    <w:p>
      <w:pPr>
        <w:tabs>
          <w:tab w:val="left" w:pos="0"/>
        </w:tabs>
        <w:ind w:firstLine="480"/>
        <w:jc w:val="center"/>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w:t>
      </w:r>
    </w:p>
    <w:p>
      <w:pPr>
        <w:pStyle w:val="4"/>
        <w:spacing w:before="0" w:beforeLines="0"/>
        <w:ind w:firstLine="480"/>
        <w:rPr>
          <w:color w:val="000000" w:themeColor="text1"/>
          <w:highlight w:val="none"/>
          <w:lang w:eastAsia="zh-CN"/>
          <w14:textFill>
            <w14:solidFill>
              <w14:schemeClr w14:val="tx1"/>
            </w14:solidFill>
          </w14:textFill>
        </w:rPr>
      </w:pPr>
      <w:bookmarkStart w:id="79" w:name="_Toc120173073"/>
      <w:r>
        <w:rPr>
          <w:color w:val="000000" w:themeColor="text1"/>
          <w:highlight w:val="none"/>
          <w:lang w:eastAsia="zh-CN"/>
          <w14:textFill>
            <w14:solidFill>
              <w14:schemeClr w14:val="tx1"/>
            </w14:solidFill>
          </w14:textFill>
        </w:rPr>
        <w:t>声环境</w:t>
      </w:r>
      <w:bookmarkEnd w:id="79"/>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（1）评价工作等级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 声环境》（HJ2.4-2021）规定，声环境评价等级的划分依据建设项目所在区域的声环境功能区类别，建设项目建设前后所在区域的声环境质量变化程度，受建设项目影响人口的数量。本项目位于《声环境质量标准》（GB3096-2008）2类区域，</w:t>
      </w:r>
      <w:r>
        <w:rPr>
          <w:bCs/>
          <w:color w:val="000000" w:themeColor="text1"/>
          <w:szCs w:val="24"/>
          <w:highlight w:val="none"/>
          <w14:textFill>
            <w14:solidFill>
              <w14:schemeClr w14:val="tx1"/>
            </w14:solidFill>
          </w14:textFill>
        </w:rPr>
        <w:t>主要为施工期噪声影响，建设前后评价范围内敏感目标噪声级增高不超过5dB（A），受噪声影响人口数量变化不大。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因此，参照《环境影响评价技术导则 声环境》（HJ2.4-2021）第5条的规定，本工程的声环境影响评价工作等级定为二级。</w:t>
      </w:r>
    </w:p>
    <w:p>
      <w:pPr>
        <w:pStyle w:val="203"/>
        <w:spacing w:before="163"/>
        <w:rPr>
          <w:color w:val="000000" w:themeColor="text1"/>
          <w:highlight w:val="none"/>
          <w14:textFill>
            <w14:solidFill>
              <w14:schemeClr w14:val="tx1"/>
            </w14:solidFill>
          </w14:textFill>
        </w:rPr>
      </w:pPr>
      <w:bookmarkStart w:id="80" w:name="_Ref20734"/>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bookmarkEnd w:id="8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声环境评价等级判别表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3"/>
        <w:gridCol w:w="2268"/>
        <w:gridCol w:w="2513"/>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划分依据</w:t>
            </w:r>
          </w:p>
        </w:tc>
        <w:tc>
          <w:tcPr>
            <w:tcW w:w="226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项目情况</w:t>
            </w:r>
          </w:p>
        </w:tc>
        <w:tc>
          <w:tcPr>
            <w:tcW w:w="251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影响识别</w:t>
            </w:r>
          </w:p>
        </w:tc>
        <w:tc>
          <w:tcPr>
            <w:tcW w:w="117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评级等级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区域声环境功能区类别</w:t>
            </w:r>
          </w:p>
        </w:tc>
        <w:tc>
          <w:tcPr>
            <w:tcW w:w="226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农村地区</w:t>
            </w:r>
          </w:p>
        </w:tc>
        <w:tc>
          <w:tcPr>
            <w:tcW w:w="251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2类地区</w:t>
            </w:r>
          </w:p>
        </w:tc>
        <w:tc>
          <w:tcPr>
            <w:tcW w:w="1178"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本项目建设前后所在区域的声环境质量变化程度</w:t>
            </w:r>
          </w:p>
        </w:tc>
        <w:tc>
          <w:tcPr>
            <w:tcW w:w="2268"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试采期</w:t>
            </w:r>
            <w:r>
              <w:rPr>
                <w:color w:val="000000" w:themeColor="text1"/>
                <w:highlight w:val="none"/>
                <w14:textFill>
                  <w14:solidFill>
                    <w14:schemeClr w14:val="tx1"/>
                  </w14:solidFill>
                </w14:textFill>
              </w:rPr>
              <w:t>厂界噪声达标，区域声环境质量变化程度小</w:t>
            </w:r>
          </w:p>
        </w:tc>
        <w:tc>
          <w:tcPr>
            <w:tcW w:w="2513"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项目建设前后</w:t>
            </w:r>
            <w:r>
              <w:rPr>
                <w:color w:val="000000" w:themeColor="text1"/>
                <w:highlight w:val="none"/>
                <w14:textFill>
                  <w14:solidFill>
                    <w14:schemeClr w14:val="tx1"/>
                  </w14:solidFill>
                </w14:textFill>
              </w:rPr>
              <w:t>变化幅度小于3dB（A）</w:t>
            </w:r>
          </w:p>
        </w:tc>
        <w:tc>
          <w:tcPr>
            <w:tcW w:w="1178"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受影响人口的数量</w:t>
            </w:r>
          </w:p>
        </w:tc>
        <w:tc>
          <w:tcPr>
            <w:tcW w:w="226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井场声环境评价范围内</w:t>
            </w:r>
            <w:r>
              <w:rPr>
                <w:rFonts w:hint="eastAsia"/>
                <w:color w:val="000000" w:themeColor="text1"/>
                <w:highlight w:val="none"/>
                <w14:textFill>
                  <w14:solidFill>
                    <w14:schemeClr w14:val="tx1"/>
                  </w14:solidFill>
                </w14:textFill>
              </w:rPr>
              <w:t>仅少量</w:t>
            </w:r>
            <w:r>
              <w:rPr>
                <w:color w:val="000000" w:themeColor="text1"/>
                <w:highlight w:val="none"/>
                <w14:textFill>
                  <w14:solidFill>
                    <w14:schemeClr w14:val="tx1"/>
                  </w14:solidFill>
                </w14:textFill>
              </w:rPr>
              <w:t>居民敏感目标分布</w:t>
            </w:r>
            <w:r>
              <w:rPr>
                <w:rFonts w:hint="eastAsia"/>
                <w:color w:val="000000" w:themeColor="text1"/>
                <w:highlight w:val="none"/>
                <w14:textFill>
                  <w14:solidFill>
                    <w14:schemeClr w14:val="tx1"/>
                  </w14:solidFill>
                </w14:textFill>
              </w:rPr>
              <w:t>且距离较远</w:t>
            </w:r>
          </w:p>
        </w:tc>
        <w:tc>
          <w:tcPr>
            <w:tcW w:w="2513"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项目建设前后</w:t>
            </w:r>
            <w:r>
              <w:rPr>
                <w:color w:val="000000" w:themeColor="text1"/>
                <w:highlight w:val="none"/>
                <w14:textFill>
                  <w14:solidFill>
                    <w14:schemeClr w14:val="tx1"/>
                  </w14:solidFill>
                </w14:textFill>
              </w:rPr>
              <w:t>受噪声影响人口数量</w:t>
            </w:r>
            <w:r>
              <w:rPr>
                <w:rFonts w:hint="eastAsia"/>
                <w:color w:val="000000" w:themeColor="text1"/>
                <w:highlight w:val="none"/>
                <w14:textFill>
                  <w14:solidFill>
                    <w14:schemeClr w14:val="tx1"/>
                  </w14:solidFill>
                </w14:textFill>
              </w:rPr>
              <w:t>变化不大</w:t>
            </w:r>
          </w:p>
        </w:tc>
        <w:tc>
          <w:tcPr>
            <w:tcW w:w="1178" w:type="dxa"/>
            <w:vMerge w:val="continue"/>
            <w:vAlign w:val="center"/>
          </w:tcPr>
          <w:p>
            <w:pPr>
              <w:pStyle w:val="297"/>
              <w:rPr>
                <w:color w:val="000000" w:themeColor="text1"/>
                <w:highlight w:val="none"/>
                <w14:textFill>
                  <w14:solidFill>
                    <w14:schemeClr w14:val="tx1"/>
                  </w14:solidFill>
                </w14:textFill>
              </w:rPr>
            </w:pP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（2）评价范围</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根据</w:t>
      </w:r>
      <w:r>
        <w:rPr>
          <w:bCs/>
          <w:color w:val="000000" w:themeColor="text1"/>
          <w:highlight w:val="none"/>
          <w14:textFill>
            <w14:solidFill>
              <w14:schemeClr w14:val="tx1"/>
            </w14:solidFill>
          </w14:textFill>
        </w:rPr>
        <w:t>《环境影响评价技术导则 声环境》（HJ2.4-2021）</w:t>
      </w:r>
      <w:r>
        <w:rPr>
          <w:rFonts w:hint="eastAsia"/>
          <w:color w:val="000000" w:themeColor="text1"/>
          <w:highlight w:val="none"/>
          <w14:textFill>
            <w14:solidFill>
              <w14:schemeClr w14:val="tx1"/>
            </w14:solidFill>
          </w14:textFill>
        </w:rPr>
        <w:t>中第6</w:t>
      </w:r>
      <w:r>
        <w:rPr>
          <w:color w:val="000000" w:themeColor="text1"/>
          <w:highlight w:val="none"/>
          <w14:textFill>
            <w14:solidFill>
              <w14:schemeClr w14:val="tx1"/>
            </w14:solidFill>
          </w14:textFill>
        </w:rPr>
        <w:t>.1.2</w:t>
      </w:r>
      <w:r>
        <w:rPr>
          <w:rFonts w:hint="eastAsia"/>
          <w:color w:val="000000" w:themeColor="text1"/>
          <w:highlight w:val="none"/>
          <w14:textFill>
            <w14:solidFill>
              <w14:schemeClr w14:val="tx1"/>
            </w14:solidFill>
          </w14:textFill>
        </w:rPr>
        <w:t>节的规定，确定为本项目施工期声环境评价范围为</w:t>
      </w:r>
      <w:r>
        <w:rPr>
          <w:rFonts w:cs="Times New Roman"/>
          <w:color w:val="000000" w:themeColor="text1"/>
          <w:highlight w:val="none"/>
          <w14:textFill>
            <w14:solidFill>
              <w14:schemeClr w14:val="tx1"/>
            </w14:solidFill>
          </w14:textFill>
        </w:rPr>
        <w:t>占地范围（含</w:t>
      </w:r>
      <w:r>
        <w:rPr>
          <w:rFonts w:hint="eastAsia" w:cs="Times New Roman"/>
          <w:color w:val="000000" w:themeColor="text1"/>
          <w:highlight w:val="none"/>
          <w14:textFill>
            <w14:solidFill>
              <w14:schemeClr w14:val="tx1"/>
            </w14:solidFill>
          </w14:textFill>
        </w:rPr>
        <w:t>拟建集输管线</w:t>
      </w:r>
      <w:r>
        <w:rPr>
          <w:rFonts w:cs="Times New Roman"/>
          <w:color w:val="000000" w:themeColor="text1"/>
          <w:highlight w:val="none"/>
          <w14:textFill>
            <w14:solidFill>
              <w14:schemeClr w14:val="tx1"/>
            </w14:solidFill>
          </w14:textFill>
        </w:rPr>
        <w:t>）周边200m范围</w:t>
      </w:r>
      <w:r>
        <w:rPr>
          <w:rFonts w:hint="eastAsia"/>
          <w:color w:val="000000" w:themeColor="text1"/>
          <w:highlight w:val="none"/>
          <w14:textFill>
            <w14:solidFill>
              <w14:schemeClr w14:val="tx1"/>
            </w14:solidFill>
          </w14:textFill>
        </w:rPr>
        <w:t>；试采期声环境评价范围为大湾408-3井场试采站周边200m范围</w:t>
      </w:r>
      <w:r>
        <w:rPr>
          <w:rFonts w:cs="Times New Roman"/>
          <w:bCs/>
          <w:color w:val="000000" w:themeColor="text1"/>
          <w:szCs w:val="24"/>
          <w:highlight w:val="none"/>
          <w14:textFill>
            <w14:solidFill>
              <w14:schemeClr w14:val="tx1"/>
            </w14:solidFill>
          </w14:textFill>
        </w:rPr>
        <w:t>。</w:t>
      </w:r>
    </w:p>
    <w:p>
      <w:pPr>
        <w:tabs>
          <w:tab w:val="left" w:pos="0"/>
        </w:tabs>
        <w:ind w:firstLine="480"/>
        <w:jc w:val="center"/>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w:t>
      </w:r>
    </w:p>
    <w:p>
      <w:pPr>
        <w:pStyle w:val="4"/>
        <w:spacing w:before="0" w:beforeLines="0"/>
        <w:ind w:firstLine="480"/>
        <w:rPr>
          <w:color w:val="000000" w:themeColor="text1"/>
          <w:highlight w:val="none"/>
          <w:lang w:eastAsia="zh-CN"/>
          <w14:textFill>
            <w14:solidFill>
              <w14:schemeClr w14:val="tx1"/>
            </w14:solidFill>
          </w14:textFill>
        </w:rPr>
      </w:pPr>
      <w:bookmarkStart w:id="81" w:name="_Toc120173074"/>
      <w:r>
        <w:rPr>
          <w:color w:val="000000" w:themeColor="text1"/>
          <w:highlight w:val="none"/>
          <w:lang w:eastAsia="zh-CN"/>
          <w14:textFill>
            <w14:solidFill>
              <w14:schemeClr w14:val="tx1"/>
            </w14:solidFill>
          </w14:textFill>
        </w:rPr>
        <w:t>土壤环境</w:t>
      </w:r>
      <w:bookmarkEnd w:id="81"/>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评价工作等级</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根据《环境影响评价技术导则陆地石油天然气开发建设项目》（HJ349-2023），本项目所在区域属于非土壤盐化、酸化和碱化地区，按照土壤污染影响型，按相应等级开展评价工作。</w:t>
      </w:r>
      <w:r>
        <w:rPr>
          <w:rFonts w:cs="Times New Roman"/>
          <w:color w:val="000000" w:themeColor="text1"/>
          <w:szCs w:val="24"/>
          <w:highlight w:val="none"/>
          <w14:textFill>
            <w14:solidFill>
              <w14:schemeClr w14:val="tx1"/>
            </w14:solidFill>
          </w14:textFill>
        </w:rPr>
        <w:t>根据《环境影响评价技术导则 土壤环境（试行）》（HJ964-2018），本项目为天然气开采（B072），属于Ⅱ类建设项目。</w:t>
      </w:r>
      <w:r>
        <w:rPr>
          <w:rFonts w:hint="eastAsia" w:cs="Times New Roman"/>
          <w:bCs/>
          <w:color w:val="000000" w:themeColor="text1"/>
          <w:szCs w:val="24"/>
          <w:highlight w:val="none"/>
          <w14:textFill>
            <w14:solidFill>
              <w14:schemeClr w14:val="tx1"/>
            </w14:solidFill>
          </w14:textFill>
        </w:rPr>
        <w:t>根据《环境影响评价技术导则陆地石油天然气开发建设项目》（HJ349-2023），常规天然气和页岩气、致密气等非常规天然气开采井场、站场（含净化厂）等工程，油类和废水等输送管道，按照</w:t>
      </w:r>
      <w:r>
        <w:rPr>
          <w:rFonts w:cs="Times New Roman"/>
          <w:bCs/>
          <w:color w:val="000000" w:themeColor="text1"/>
          <w:szCs w:val="24"/>
          <w:highlight w:val="none"/>
          <w14:textFill>
            <w14:solidFill>
              <w14:schemeClr w14:val="tx1"/>
            </w14:solidFill>
          </w14:textFill>
        </w:rPr>
        <w:t>Ⅱ</w:t>
      </w:r>
      <w:r>
        <w:rPr>
          <w:rFonts w:hint="eastAsia" w:cs="Times New Roman"/>
          <w:bCs/>
          <w:color w:val="000000" w:themeColor="text1"/>
          <w:szCs w:val="24"/>
          <w:highlight w:val="none"/>
          <w14:textFill>
            <w14:solidFill>
              <w14:schemeClr w14:val="tx1"/>
            </w14:solidFill>
          </w14:textFill>
        </w:rPr>
        <w:t>类建设项目开展土壤环境影响评价。天然气管道按照Ⅳ类建设项目开展土壤环境影响评价。本项目井场和试采站按照</w:t>
      </w:r>
      <w:r>
        <w:rPr>
          <w:rFonts w:cs="Times New Roman"/>
          <w:bCs/>
          <w:color w:val="000000" w:themeColor="text1"/>
          <w:szCs w:val="24"/>
          <w:highlight w:val="none"/>
          <w14:textFill>
            <w14:solidFill>
              <w14:schemeClr w14:val="tx1"/>
            </w14:solidFill>
          </w14:textFill>
        </w:rPr>
        <w:t>Ⅱ</w:t>
      </w:r>
      <w:r>
        <w:rPr>
          <w:rFonts w:hint="eastAsia" w:cs="Times New Roman"/>
          <w:bCs/>
          <w:color w:val="000000" w:themeColor="text1"/>
          <w:szCs w:val="24"/>
          <w:highlight w:val="none"/>
          <w14:textFill>
            <w14:solidFill>
              <w14:schemeClr w14:val="tx1"/>
            </w14:solidFill>
          </w14:textFill>
        </w:rPr>
        <w:t>类建设项目开展土壤环境影响评价，集输管线为天然气和废水（采出水）混输管线，也按照</w:t>
      </w:r>
      <w:r>
        <w:rPr>
          <w:rFonts w:cs="Times New Roman"/>
          <w:bCs/>
          <w:color w:val="000000" w:themeColor="text1"/>
          <w:szCs w:val="24"/>
          <w:highlight w:val="none"/>
          <w14:textFill>
            <w14:solidFill>
              <w14:schemeClr w14:val="tx1"/>
            </w14:solidFill>
          </w14:textFill>
        </w:rPr>
        <w:t>Ⅱ</w:t>
      </w:r>
      <w:r>
        <w:rPr>
          <w:rFonts w:hint="eastAsia" w:cs="Times New Roman"/>
          <w:bCs/>
          <w:color w:val="000000" w:themeColor="text1"/>
          <w:szCs w:val="24"/>
          <w:highlight w:val="none"/>
          <w14:textFill>
            <w14:solidFill>
              <w14:schemeClr w14:val="tx1"/>
            </w14:solidFill>
          </w14:textFill>
        </w:rPr>
        <w:t>类建设项目开展土壤环境影响评价。</w:t>
      </w:r>
      <w:r>
        <w:rPr>
          <w:rFonts w:hint="eastAsia" w:cs="Times New Roman"/>
          <w:color w:val="000000" w:themeColor="text1"/>
          <w:szCs w:val="24"/>
          <w:highlight w:val="none"/>
          <w14:textFill>
            <w14:solidFill>
              <w14:schemeClr w14:val="tx1"/>
            </w14:solidFill>
          </w14:textFill>
        </w:rPr>
        <w:t>本项目</w:t>
      </w:r>
      <w:r>
        <w:rPr>
          <w:rFonts w:cs="Times New Roman"/>
          <w:color w:val="000000" w:themeColor="text1"/>
          <w:szCs w:val="24"/>
          <w:highlight w:val="none"/>
          <w14:textFill>
            <w14:solidFill>
              <w14:schemeClr w14:val="tx1"/>
            </w14:solidFill>
          </w14:textFill>
        </w:rPr>
        <w:t>周边环境敏感程度判别依据见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_Ref143334890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5</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，土壤环境影响评价工作等级划分见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_Ref143334896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6</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63"/>
        <w:rPr>
          <w:color w:val="000000" w:themeColor="text1"/>
          <w:highlight w:val="none"/>
          <w14:textFill>
            <w14:solidFill>
              <w14:schemeClr w14:val="tx1"/>
            </w14:solidFill>
          </w14:textFill>
        </w:rPr>
      </w:pPr>
      <w:bookmarkStart w:id="82" w:name="_Ref14333489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bookmarkEnd w:id="8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污染影响型项目敏感程度分级表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9"/>
        <w:gridCol w:w="6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敏感程度</w:t>
            </w:r>
          </w:p>
        </w:tc>
        <w:tc>
          <w:tcPr>
            <w:tcW w:w="642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w:t>
            </w:r>
          </w:p>
        </w:tc>
        <w:tc>
          <w:tcPr>
            <w:tcW w:w="642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642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642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其他情况</w:t>
            </w:r>
          </w:p>
        </w:tc>
      </w:tr>
    </w:tbl>
    <w:p>
      <w:pPr>
        <w:pStyle w:val="203"/>
        <w:spacing w:before="163"/>
        <w:rPr>
          <w:color w:val="000000" w:themeColor="text1"/>
          <w:highlight w:val="none"/>
          <w14:textFill>
            <w14:solidFill>
              <w14:schemeClr w14:val="tx1"/>
            </w14:solidFill>
          </w14:textFill>
        </w:rPr>
      </w:pPr>
      <w:bookmarkStart w:id="83" w:name="_Ref14333489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8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污染影响型评价工作等级划分表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5"/>
        <w:gridCol w:w="730"/>
        <w:gridCol w:w="730"/>
        <w:gridCol w:w="731"/>
        <w:gridCol w:w="731"/>
        <w:gridCol w:w="731"/>
        <w:gridCol w:w="731"/>
        <w:gridCol w:w="731"/>
        <w:gridCol w:w="731"/>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Merge w:val="restart"/>
            <w:tcBorders>
              <w:tl2br w:val="single" w:color="auto" w:sz="4" w:space="0"/>
            </w:tcBorders>
            <w:vAlign w:val="center"/>
          </w:tcPr>
          <w:p>
            <w:pPr>
              <w:pStyle w:val="297"/>
              <w:jc w:val="righ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占地规模</w:t>
            </w:r>
          </w:p>
          <w:p>
            <w:pPr>
              <w:pStyle w:val="297"/>
              <w:jc w:val="left"/>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 xml:space="preserve">敏感程度 </w:t>
            </w:r>
          </w:p>
        </w:tc>
        <w:tc>
          <w:tcPr>
            <w:tcW w:w="219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I类</w:t>
            </w:r>
          </w:p>
        </w:tc>
        <w:tc>
          <w:tcPr>
            <w:tcW w:w="2193" w:type="dxa"/>
            <w:gridSpan w:val="3"/>
          </w:tcPr>
          <w:p>
            <w:pPr>
              <w:pStyle w:val="297"/>
              <w:rPr>
                <w:color w:val="000000" w:themeColor="text1"/>
                <w:highlight w:val="none"/>
                <w14:textFill>
                  <w14:solidFill>
                    <w14:schemeClr w14:val="tx1"/>
                  </w14:solidFill>
                </w14:textFill>
              </w:rPr>
            </w:pPr>
            <w:r>
              <w:rPr>
                <w:color w:val="000000" w:themeColor="text1"/>
                <w:highlight w:val="none"/>
                <w:shd w:val="pct10" w:color="auto" w:fill="FFFFFF"/>
                <w14:textFill>
                  <w14:solidFill>
                    <w14:schemeClr w14:val="tx1"/>
                  </w14:solidFill>
                </w14:textFill>
              </w:rPr>
              <w:t>II类</w:t>
            </w:r>
          </w:p>
        </w:tc>
        <w:tc>
          <w:tcPr>
            <w:tcW w:w="2193" w:type="dxa"/>
            <w:gridSpan w:val="3"/>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Merge w:val="continue"/>
            <w:tcBorders>
              <w:tl2br w:val="single" w:color="auto" w:sz="4" w:space="0"/>
            </w:tcBorders>
            <w:vAlign w:val="center"/>
          </w:tcPr>
          <w:p>
            <w:pPr>
              <w:pStyle w:val="297"/>
              <w:rPr>
                <w:color w:val="000000" w:themeColor="text1"/>
                <w:highlight w:val="none"/>
                <w14:textFill>
                  <w14:solidFill>
                    <w14:schemeClr w14:val="tx1"/>
                  </w14:solidFill>
                </w14:textFill>
              </w:rPr>
            </w:pPr>
          </w:p>
        </w:tc>
        <w:tc>
          <w:tcPr>
            <w:tcW w:w="73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w:t>
            </w:r>
          </w:p>
        </w:tc>
        <w:tc>
          <w:tcPr>
            <w:tcW w:w="73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w:t>
            </w:r>
          </w:p>
        </w:tc>
        <w:tc>
          <w:tcPr>
            <w:tcW w:w="73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shd w:val="pct10" w:color="auto" w:fill="FFFFFF"/>
                <w14:textFill>
                  <w14:solidFill>
                    <w14:schemeClr w14:val="tx1"/>
                  </w14:solidFill>
                </w14:textFill>
              </w:rPr>
              <w:t>小</w:t>
            </w:r>
          </w:p>
        </w:tc>
        <w:tc>
          <w:tcPr>
            <w:tcW w:w="73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Align w:val="center"/>
          </w:tcPr>
          <w:p>
            <w:pPr>
              <w:pStyle w:val="297"/>
              <w:rPr>
                <w:color w:val="000000" w:themeColor="text1"/>
                <w:highlight w:val="none"/>
                <w14:textFill>
                  <w14:solidFill>
                    <w14:schemeClr w14:val="tx1"/>
                  </w14:solidFill>
                </w14:textFill>
              </w:rPr>
            </w:pPr>
            <w:r>
              <w:rPr>
                <w:color w:val="000000" w:themeColor="text1"/>
                <w:highlight w:val="none"/>
                <w:shd w:val="pct10" w:color="auto" w:fill="FFFFFF"/>
                <w14:textFill>
                  <w14:solidFill>
                    <w14:schemeClr w14:val="tx1"/>
                  </w14:solidFill>
                </w14:textFill>
              </w:rPr>
              <w:t>敏感</w:t>
            </w:r>
          </w:p>
        </w:tc>
        <w:tc>
          <w:tcPr>
            <w:tcW w:w="73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shd w:val="pct10" w:color="auto" w:fill="FFFFFF"/>
                <w14:textFill>
                  <w14:solidFill>
                    <w14:schemeClr w14:val="tx1"/>
                  </w14:solidFill>
                </w14:textFill>
              </w:rPr>
              <w:t>二级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较敏感</w:t>
            </w:r>
          </w:p>
        </w:tc>
        <w:tc>
          <w:tcPr>
            <w:tcW w:w="73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不敏感</w:t>
            </w:r>
          </w:p>
        </w:tc>
        <w:tc>
          <w:tcPr>
            <w:tcW w:w="73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三级</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73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2" w:type="dxa"/>
            <w:gridSpan w:val="10"/>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注：“-”表示可不开展土壤环境影响评价工作。</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根据现场调查和收集资料，项目及周边存在耕地等土壤环境敏感目标，土壤环境敏感；建设项目占地主要为临时占地</w:t>
      </w:r>
      <w:r>
        <w:rPr>
          <w:rFonts w:hint="eastAsia" w:cs="Times New Roman"/>
          <w:color w:val="000000" w:themeColor="text1"/>
          <w:szCs w:val="24"/>
          <w:highlight w:val="none"/>
          <w14:textFill>
            <w14:solidFill>
              <w14:schemeClr w14:val="tx1"/>
            </w14:solidFill>
          </w14:textFill>
        </w:rPr>
        <w:t>，本项目共计新增占地1.7314hm</w:t>
      </w:r>
      <w:r>
        <w:rPr>
          <w:rFonts w:cs="Times New Roman"/>
          <w:color w:val="000000" w:themeColor="text1"/>
          <w:szCs w:val="24"/>
          <w:highlight w:val="none"/>
          <w:vertAlign w:val="superscript"/>
          <w14:textFill>
            <w14:solidFill>
              <w14:schemeClr w14:val="tx1"/>
            </w14:solidFill>
          </w14:textFill>
        </w:rPr>
        <w:t>2</w:t>
      </w:r>
      <w:r>
        <w:rPr>
          <w:rFonts w:cs="Times New Roman"/>
          <w:color w:val="000000" w:themeColor="text1"/>
          <w:szCs w:val="24"/>
          <w:highlight w:val="none"/>
          <w14:textFill>
            <w14:solidFill>
              <w14:schemeClr w14:val="tx1"/>
            </w14:solidFill>
          </w14:textFill>
        </w:rPr>
        <w:t>小于5hm</w:t>
      </w:r>
      <w:r>
        <w:rPr>
          <w:rFonts w:cs="Times New Roman"/>
          <w:color w:val="000000" w:themeColor="text1"/>
          <w:szCs w:val="24"/>
          <w:highlight w:val="none"/>
          <w:vertAlign w:val="superscript"/>
          <w14:textFill>
            <w14:solidFill>
              <w14:schemeClr w14:val="tx1"/>
            </w14:solidFill>
          </w14:textFill>
        </w:rPr>
        <w:t>2</w:t>
      </w:r>
      <w:r>
        <w:rPr>
          <w:rFonts w:cs="Times New Roman"/>
          <w:color w:val="000000" w:themeColor="text1"/>
          <w:szCs w:val="24"/>
          <w:highlight w:val="none"/>
          <w14:textFill>
            <w14:solidFill>
              <w14:schemeClr w14:val="tx1"/>
            </w14:solidFill>
          </w14:textFill>
        </w:rPr>
        <w:t>，因此占地规模</w:t>
      </w:r>
      <w:r>
        <w:rPr>
          <w:rFonts w:hint="eastAsia" w:cs="Times New Roman"/>
          <w:color w:val="000000" w:themeColor="text1"/>
          <w:szCs w:val="24"/>
          <w:highlight w:val="none"/>
          <w14:textFill>
            <w14:solidFill>
              <w14:schemeClr w14:val="tx1"/>
            </w14:solidFill>
          </w14:textFill>
        </w:rPr>
        <w:t>均</w:t>
      </w:r>
      <w:r>
        <w:rPr>
          <w:rFonts w:cs="Times New Roman"/>
          <w:color w:val="000000" w:themeColor="text1"/>
          <w:szCs w:val="24"/>
          <w:highlight w:val="none"/>
          <w14:textFill>
            <w14:solidFill>
              <w14:schemeClr w14:val="tx1"/>
            </w14:solidFill>
          </w14:textFill>
        </w:rPr>
        <w:t>为小型。因此，根据污染影响型评价工作等级划分表，本项目</w:t>
      </w:r>
      <w:r>
        <w:rPr>
          <w:rFonts w:hint="eastAsia" w:cs="Times New Roman"/>
          <w:bCs/>
          <w:color w:val="000000" w:themeColor="text1"/>
          <w:szCs w:val="24"/>
          <w:highlight w:val="none"/>
          <w14:textFill>
            <w14:solidFill>
              <w14:schemeClr w14:val="tx1"/>
            </w14:solidFill>
          </w14:textFill>
        </w:rPr>
        <w:t>井场和试采站和集输管线</w:t>
      </w:r>
      <w:r>
        <w:rPr>
          <w:rFonts w:cs="Times New Roman"/>
          <w:color w:val="000000" w:themeColor="text1"/>
          <w:szCs w:val="24"/>
          <w:highlight w:val="none"/>
          <w14:textFill>
            <w14:solidFill>
              <w14:schemeClr w14:val="tx1"/>
            </w14:solidFill>
          </w14:textFill>
        </w:rPr>
        <w:t>土壤环境影响评价等级</w:t>
      </w:r>
      <w:r>
        <w:rPr>
          <w:rFonts w:hint="eastAsia" w:cs="Times New Roman"/>
          <w:color w:val="000000" w:themeColor="text1"/>
          <w:szCs w:val="24"/>
          <w:highlight w:val="none"/>
          <w14:textFill>
            <w14:solidFill>
              <w14:schemeClr w14:val="tx1"/>
            </w14:solidFill>
          </w14:textFill>
        </w:rPr>
        <w:t>均</w:t>
      </w:r>
      <w:r>
        <w:rPr>
          <w:rFonts w:cs="Times New Roman"/>
          <w:color w:val="000000" w:themeColor="text1"/>
          <w:szCs w:val="24"/>
          <w:highlight w:val="none"/>
          <w14:textFill>
            <w14:solidFill>
              <w14:schemeClr w14:val="tx1"/>
            </w14:solidFill>
          </w14:textFill>
        </w:rPr>
        <w:t>为二级。</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（2）评价范围</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根据《环境影响评价技术导则 土壤环境（试行）》（HJ964-2018），本项目土壤环境评价范围为项目</w:t>
      </w:r>
      <w:r>
        <w:rPr>
          <w:rFonts w:hint="eastAsia" w:cs="Times New Roman"/>
          <w:color w:val="000000" w:themeColor="text1"/>
          <w:szCs w:val="24"/>
          <w:highlight w:val="none"/>
          <w14:textFill>
            <w14:solidFill>
              <w14:schemeClr w14:val="tx1"/>
            </w14:solidFill>
          </w14:textFill>
        </w:rPr>
        <w:t>（包括井场、放喷池、清水池、集输管线等）</w:t>
      </w:r>
      <w:r>
        <w:rPr>
          <w:rFonts w:cs="Times New Roman"/>
          <w:color w:val="000000" w:themeColor="text1"/>
          <w:szCs w:val="24"/>
          <w:highlight w:val="none"/>
          <w14:textFill>
            <w14:solidFill>
              <w14:schemeClr w14:val="tx1"/>
            </w14:solidFill>
          </w14:textFill>
        </w:rPr>
        <w:t>占地范围内全部和占地范围外</w:t>
      </w:r>
      <w:r>
        <w:rPr>
          <w:rFonts w:hint="eastAsia" w:cs="Times New Roman"/>
          <w:color w:val="000000" w:themeColor="text1"/>
          <w:szCs w:val="24"/>
          <w:highlight w:val="none"/>
          <w14:textFill>
            <w14:solidFill>
              <w14:schemeClr w14:val="tx1"/>
            </w14:solidFill>
          </w14:textFill>
        </w:rPr>
        <w:t>200</w:t>
      </w:r>
      <w:r>
        <w:rPr>
          <w:rFonts w:cs="Times New Roman"/>
          <w:color w:val="000000" w:themeColor="text1"/>
          <w:szCs w:val="24"/>
          <w:highlight w:val="none"/>
          <w14:textFill>
            <w14:solidFill>
              <w14:schemeClr w14:val="tx1"/>
            </w14:solidFill>
          </w14:textFill>
        </w:rPr>
        <w:t>m</w:t>
      </w:r>
      <w:r>
        <w:rPr>
          <w:rFonts w:cs="Times New Roman"/>
          <w:bCs/>
          <w:color w:val="000000" w:themeColor="text1"/>
          <w:szCs w:val="24"/>
          <w:highlight w:val="none"/>
          <w14:textFill>
            <w14:solidFill>
              <w14:schemeClr w14:val="tx1"/>
            </w14:solidFill>
          </w14:textFill>
        </w:rPr>
        <w:t>。</w:t>
      </w:r>
    </w:p>
    <w:p>
      <w:pPr>
        <w:tabs>
          <w:tab w:val="left" w:pos="0"/>
        </w:tabs>
        <w:ind w:firstLine="480"/>
        <w:jc w:val="center"/>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w:t>
      </w:r>
    </w:p>
    <w:p>
      <w:pPr>
        <w:pStyle w:val="4"/>
        <w:spacing w:before="0" w:beforeLines="0"/>
        <w:ind w:firstLine="480"/>
        <w:rPr>
          <w:color w:val="000000" w:themeColor="text1"/>
          <w:highlight w:val="none"/>
          <w:lang w:eastAsia="zh-CN"/>
          <w14:textFill>
            <w14:solidFill>
              <w14:schemeClr w14:val="tx1"/>
            </w14:solidFill>
          </w14:textFill>
        </w:rPr>
      </w:pPr>
      <w:bookmarkStart w:id="84" w:name="_Toc120173075"/>
      <w:r>
        <w:rPr>
          <w:color w:val="000000" w:themeColor="text1"/>
          <w:highlight w:val="none"/>
          <w:lang w:eastAsia="zh-CN"/>
          <w14:textFill>
            <w14:solidFill>
              <w14:schemeClr w14:val="tx1"/>
            </w14:solidFill>
          </w14:textFill>
        </w:rPr>
        <w:t>生态环境</w:t>
      </w:r>
      <w:bookmarkEnd w:id="84"/>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评价工作等级</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根据《环境影响评价技术导则</w:t>
      </w:r>
      <w:r>
        <w:rPr>
          <w:rFonts w:ascii="Times New Roman" w:hAnsi="Times New Roman"/>
          <w:color w:val="000000" w:themeColor="text1"/>
          <w:spacing w:val="-8"/>
          <w:highlight w:val="none"/>
          <w:lang w:eastAsia="zh-CN"/>
          <w14:textFill>
            <w14:solidFill>
              <w14:schemeClr w14:val="tx1"/>
            </w14:solidFill>
          </w14:textFill>
        </w:rPr>
        <w:t xml:space="preserve"> </w:t>
      </w:r>
      <w:r>
        <w:rPr>
          <w:rFonts w:ascii="Times New Roman" w:hAnsi="Times New Roman"/>
          <w:color w:val="000000" w:themeColor="text1"/>
          <w:highlight w:val="none"/>
          <w:lang w:eastAsia="zh-CN"/>
          <w14:textFill>
            <w14:solidFill>
              <w14:schemeClr w14:val="tx1"/>
            </w14:solidFill>
          </w14:textFill>
        </w:rPr>
        <w:t>生态影响》（HJ19-2022），判断本项目是否涉及下文a~f，以此来确定本项目生态环境评价工作等级：</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生态影响评价工作等级判定表</w:t>
      </w:r>
    </w:p>
    <w:tbl>
      <w:tblPr>
        <w:tblStyle w:val="55"/>
        <w:tblW w:w="0" w:type="auto"/>
        <w:tblInd w:w="1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4819"/>
        <w:gridCol w:w="2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481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导则规定</w:t>
            </w:r>
          </w:p>
        </w:tc>
        <w:tc>
          <w:tcPr>
            <w:tcW w:w="248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481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a）涉及国家公园、自然保护区、世界自然遗产、重要生境时，评价等级为一级</w:t>
            </w:r>
          </w:p>
        </w:tc>
        <w:tc>
          <w:tcPr>
            <w:tcW w:w="248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481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b）涉及自然公园时，评价等级为二级</w:t>
            </w:r>
          </w:p>
        </w:tc>
        <w:tc>
          <w:tcPr>
            <w:tcW w:w="248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481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c）涉及生态保护红线时，评价等级不低于二级</w:t>
            </w:r>
          </w:p>
        </w:tc>
        <w:tc>
          <w:tcPr>
            <w:tcW w:w="248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481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d）根据HJ2.3判断属于水文要素影响型且地表水评价等级不低于二级的建设项目，生态影响评价等级不低于二级</w:t>
            </w:r>
          </w:p>
        </w:tc>
        <w:tc>
          <w:tcPr>
            <w:tcW w:w="248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481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e）根据HJ610、HJ964判断地下水水位或土壤影响范围内分布有天然林、公益林、湿地等生态保护目标的建设项目，生态影响评价等级不低于二级</w:t>
            </w:r>
          </w:p>
        </w:tc>
        <w:tc>
          <w:tcPr>
            <w:tcW w:w="2489" w:type="dxa"/>
            <w:vAlign w:val="center"/>
          </w:tcPr>
          <w:p>
            <w:pPr>
              <w:pStyle w:val="297"/>
              <w:jc w:val="left"/>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①本项目为</w:t>
            </w:r>
            <w:r>
              <w:rPr>
                <w:rFonts w:hint="eastAsia"/>
                <w:color w:val="000000" w:themeColor="text1"/>
                <w:szCs w:val="21"/>
                <w:highlight w:val="none"/>
                <w14:textFill>
                  <w14:solidFill>
                    <w14:schemeClr w14:val="tx1"/>
                  </w14:solidFill>
                </w14:textFill>
              </w:rPr>
              <w:t>钻井及试采工程</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虽钻井过程中将涉及地下含水层，但本项目在钻井过程中，在钻遇地下可能的含水层时采用较为清洁的清水钻或水基钻井液，同时井下设置套管保护，封绝地下含水层，因此，本项目</w:t>
            </w:r>
            <w:r>
              <w:rPr>
                <w:color w:val="000000" w:themeColor="text1"/>
                <w:szCs w:val="21"/>
                <w:highlight w:val="none"/>
                <w14:textFill>
                  <w14:solidFill>
                    <w14:schemeClr w14:val="tx1"/>
                  </w14:solidFill>
                </w14:textFill>
              </w:rPr>
              <w:t>对地下水水位影响较小；②根据本项目的林地叠图</w:t>
            </w:r>
            <w:r>
              <w:rPr>
                <w:rFonts w:hint="eastAsia"/>
                <w:color w:val="000000" w:themeColor="text1"/>
                <w:szCs w:val="21"/>
                <w:highlight w:val="none"/>
                <w14:textFill>
                  <w14:solidFill>
                    <w14:schemeClr w14:val="tx1"/>
                  </w14:solidFill>
                </w14:textFill>
              </w:rPr>
              <w:t>（附图12、附图13）</w:t>
            </w:r>
            <w:r>
              <w:rPr>
                <w:color w:val="000000" w:themeColor="text1"/>
                <w:szCs w:val="21"/>
                <w:highlight w:val="none"/>
                <w14:textFill>
                  <w14:solidFill>
                    <w14:schemeClr w14:val="tx1"/>
                  </w14:solidFill>
                </w14:textFill>
              </w:rPr>
              <w:t>资料可知</w:t>
            </w:r>
            <w:r>
              <w:rPr>
                <w:rFonts w:hint="eastAsia"/>
                <w:color w:val="000000" w:themeColor="text1"/>
                <w:szCs w:val="21"/>
                <w:highlight w:val="none"/>
                <w14:textFill>
                  <w14:solidFill>
                    <w14:schemeClr w14:val="tx1"/>
                  </w14:solidFill>
                </w14:textFill>
              </w:rPr>
              <w:t>，本项目</w:t>
            </w:r>
            <w:r>
              <w:rPr>
                <w:bCs/>
                <w:color w:val="000000" w:themeColor="text1"/>
                <w:szCs w:val="21"/>
                <w:highlight w:val="none"/>
                <w14:textFill>
                  <w14:solidFill>
                    <w14:schemeClr w14:val="tx1"/>
                  </w14:solidFill>
                </w14:textFill>
              </w:rPr>
              <w:t>土壤评价范围内</w:t>
            </w:r>
            <w:r>
              <w:rPr>
                <w:rFonts w:hint="eastAsia"/>
                <w:bCs/>
                <w:color w:val="000000" w:themeColor="text1"/>
                <w:szCs w:val="21"/>
                <w:highlight w:val="none"/>
                <w14:textFill>
                  <w14:solidFill>
                    <w14:schemeClr w14:val="tx1"/>
                  </w14:solidFill>
                </w14:textFill>
              </w:rPr>
              <w:t>有天然林、公益林分布，</w:t>
            </w:r>
            <w:r>
              <w:rPr>
                <w:bCs/>
                <w:color w:val="000000" w:themeColor="text1"/>
                <w:szCs w:val="21"/>
                <w:highlight w:val="none"/>
                <w14:textFill>
                  <w14:solidFill>
                    <w14:schemeClr w14:val="tx1"/>
                  </w14:solidFill>
                </w14:textFill>
              </w:rPr>
              <w:t>土壤评价范围内涉及公益林和天然林，最近天然林位于井场东南侧50m；最近公益林位于井场东南侧50m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481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f）当工程占地规模大于20km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时（包括永久和临时占用陆域和水域），评价等级不低于二级；改扩建项目的占地范围以新增占地（包括陆域和水域）确定</w:t>
            </w:r>
          </w:p>
        </w:tc>
        <w:tc>
          <w:tcPr>
            <w:tcW w:w="248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481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建设项目涉及经论证对保护生物多样性具有重要意义的区域时，可适当上调评价等级</w:t>
            </w:r>
          </w:p>
        </w:tc>
        <w:tc>
          <w:tcPr>
            <w:tcW w:w="248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481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在矿山开采可能导致矿区土地利用类型明显改变，或拦河闸坝建设可能明显改变水文情势等情况下，评价等级应上调一级</w:t>
            </w:r>
          </w:p>
        </w:tc>
        <w:tc>
          <w:tcPr>
            <w:tcW w:w="248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本项目占地</w:t>
      </w:r>
      <w:r>
        <w:rPr>
          <w:rFonts w:hint="eastAsia" w:cs="Times New Roman"/>
          <w:bCs/>
          <w:color w:val="000000" w:themeColor="text1"/>
          <w:szCs w:val="24"/>
          <w:highlight w:val="none"/>
          <w14:textFill>
            <w14:solidFill>
              <w14:schemeClr w14:val="tx1"/>
            </w14:solidFill>
          </w14:textFill>
        </w:rPr>
        <w:t>1.7314hm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井场占地范围不涉及国家公园、自然保护区、世界自然遗产、重要生境、湿地、饮用水源保护区、基本草原、重点生态功能保护区、沙化土地封禁保护区等敏感目标，属一般区域，但项目评价范围内涉及公益林和天然林，最近天然林位于井场东南侧50m，最近公益林位于井场东南侧50m；故陆生生态环境影响评价工作等级定为二级。</w:t>
      </w:r>
    </w:p>
    <w:p>
      <w:pPr>
        <w:ind w:firstLine="480"/>
        <w:rPr>
          <w:rFonts w:cs="Times New Roman"/>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项目评价区无较大的地表水体分布，</w:t>
      </w:r>
      <w:r>
        <w:rPr>
          <w:rFonts w:hint="eastAsia" w:cs="Times New Roman"/>
          <w:color w:val="000000" w:themeColor="text1"/>
          <w:szCs w:val="24"/>
          <w:highlight w:val="none"/>
          <w14:textFill>
            <w14:solidFill>
              <w14:schemeClr w14:val="tx1"/>
            </w14:solidFill>
          </w14:textFill>
        </w:rPr>
        <w:t>管线较短且无沟渠、河流穿越</w:t>
      </w:r>
      <w:r>
        <w:rPr>
          <w:rFonts w:hint="eastAsia" w:cs="Times New Roman"/>
          <w:bCs/>
          <w:color w:val="000000" w:themeColor="text1"/>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项目评价范围不涉及水域，</w:t>
      </w:r>
      <w:r>
        <w:rPr>
          <w:rFonts w:hint="eastAsia" w:cs="Times New Roman"/>
          <w:color w:val="000000" w:themeColor="text1"/>
          <w:szCs w:val="24"/>
          <w:highlight w:val="none"/>
          <w14:textFill>
            <w14:solidFill>
              <w14:schemeClr w14:val="tx1"/>
            </w14:solidFill>
          </w14:textFill>
        </w:rPr>
        <w:t>同时本</w:t>
      </w:r>
      <w:r>
        <w:rPr>
          <w:rFonts w:cs="Times New Roman"/>
          <w:color w:val="000000" w:themeColor="text1"/>
          <w:szCs w:val="24"/>
          <w:highlight w:val="none"/>
          <w14:textFill>
            <w14:solidFill>
              <w14:schemeClr w14:val="tx1"/>
            </w14:solidFill>
          </w14:textFill>
        </w:rPr>
        <w:t>项目废水不外排</w:t>
      </w:r>
      <w:r>
        <w:rPr>
          <w:rFonts w:hint="eastAsia" w:cs="Times New Roman"/>
          <w:color w:val="000000" w:themeColor="text1"/>
          <w:szCs w:val="24"/>
          <w:highlight w:val="none"/>
          <w14:textFill>
            <w14:solidFill>
              <w14:schemeClr w14:val="tx1"/>
            </w14:solidFill>
          </w14:textFill>
        </w:rPr>
        <w:t>。因此，本项目</w:t>
      </w:r>
      <w:r>
        <w:rPr>
          <w:rFonts w:cs="Times New Roman"/>
          <w:color w:val="000000" w:themeColor="text1"/>
          <w:szCs w:val="24"/>
          <w:highlight w:val="none"/>
          <w14:textFill>
            <w14:solidFill>
              <w14:schemeClr w14:val="tx1"/>
            </w14:solidFill>
          </w14:textFill>
        </w:rPr>
        <w:t>无需进行水生生态评价</w:t>
      </w:r>
      <w:r>
        <w:rPr>
          <w:rFonts w:cs="Times New Roman"/>
          <w:color w:val="000000" w:themeColor="text1"/>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（2）评价范围</w:t>
      </w:r>
    </w:p>
    <w:p>
      <w:pPr>
        <w:ind w:firstLine="480"/>
        <w:rPr>
          <w:rFonts w:cs="Times New Roman"/>
          <w:bCs/>
          <w:color w:val="000000" w:themeColor="text1"/>
          <w:szCs w:val="24"/>
          <w:highlight w:val="none"/>
          <w14:textFill>
            <w14:solidFill>
              <w14:schemeClr w14:val="tx1"/>
            </w14:solidFill>
          </w14:textFill>
        </w:rPr>
      </w:pPr>
      <w:bookmarkStart w:id="85" w:name="_Hlk155272651"/>
      <w:r>
        <w:rPr>
          <w:rFonts w:cs="Times New Roman"/>
          <w:bCs/>
          <w:color w:val="000000" w:themeColor="text1"/>
          <w:szCs w:val="24"/>
          <w:highlight w:val="none"/>
          <w14:textFill>
            <w14:solidFill>
              <w14:schemeClr w14:val="tx1"/>
            </w14:solidFill>
          </w14:textFill>
        </w:rPr>
        <w:t>根据《环境影响评价技术导则 生态影响》（HJ19-2022）、《环境影响评价技术导则</w:t>
      </w:r>
      <w:r>
        <w:rPr>
          <w:rFonts w:hint="eastAsia" w:cs="Times New Roman"/>
          <w:bCs/>
          <w:color w:val="000000" w:themeColor="text1"/>
          <w:szCs w:val="24"/>
          <w:highlight w:val="none"/>
          <w14:textFill>
            <w14:solidFill>
              <w14:schemeClr w14:val="tx1"/>
            </w14:solidFill>
          </w14:textFill>
        </w:rPr>
        <w:t xml:space="preserve"> </w:t>
      </w:r>
      <w:r>
        <w:rPr>
          <w:rFonts w:cs="Times New Roman"/>
          <w:bCs/>
          <w:color w:val="000000" w:themeColor="text1"/>
          <w:szCs w:val="24"/>
          <w:highlight w:val="none"/>
          <w14:textFill>
            <w14:solidFill>
              <w14:schemeClr w14:val="tx1"/>
            </w14:solidFill>
          </w14:textFill>
        </w:rPr>
        <w:t>陆地石油天然气开发建设项目》（HJ349-2023）</w:t>
      </w:r>
      <w:r>
        <w:rPr>
          <w:rFonts w:hint="eastAsia" w:cs="Times New Roman"/>
          <w:bCs/>
          <w:color w:val="000000" w:themeColor="text1"/>
          <w:szCs w:val="24"/>
          <w:highlight w:val="none"/>
          <w14:textFill>
            <w14:solidFill>
              <w14:schemeClr w14:val="tx1"/>
            </w14:solidFill>
          </w14:textFill>
        </w:rPr>
        <w:t>。本次生态评价范围确定原则如下：</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a）生态影响评价应能够充分体现生态完整性和生物多样性保护要求，涵盖评价项目全部活动的直接影响区域和间接影响区域。评价范围应依据评价项目对生态因子的影响方式、影响程度和生态因子之间的相互影响和相互依存关系确定。可综合考虑评价项目与项目区的气候过程、水文过程、生物过程等生物地球化学循环过程的相互作用关系，以评价项目影响区域所涉及的完整气候单元、水文单元、生态单元、地理单元界限为参照边界。</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b</w:t>
      </w:r>
      <w:r>
        <w:rPr>
          <w:rFonts w:cs="Times New Roman"/>
          <w:bCs/>
          <w:color w:val="000000" w:themeColor="text1"/>
          <w:szCs w:val="24"/>
          <w:highlight w:val="none"/>
          <w14:textFill>
            <w14:solidFill>
              <w14:schemeClr w14:val="tx1"/>
            </w14:solidFill>
          </w14:textFill>
        </w:rPr>
        <w:t>）井场、站场（含净化厂）等工程以场界周围50米范围、集输管道等线性工程两侧外延300米为评价范围。通过大气、地表水、噪声等环境要素间接影响生态保护目标的项目，其评价范围应涵盖污染物排放产生的间接生态影响区域。</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c</w:t>
      </w:r>
      <w:r>
        <w:rPr>
          <w:rFonts w:cs="Times New Roman"/>
          <w:bCs/>
          <w:color w:val="000000" w:themeColor="text1"/>
          <w:szCs w:val="24"/>
          <w:highlight w:val="none"/>
          <w14:textFill>
            <w14:solidFill>
              <w14:schemeClr w14:val="tx1"/>
            </w14:solidFill>
          </w14:textFill>
        </w:rPr>
        <w:t>）占用生态敏感区的工程，应根据生态敏感区的主要生态功能、保护对象等合理确定评价范围。线性工程穿越生态敏感区时，以线路穿越段向两端外延1千米、线路中心线向两侧外延1千米为评价范围，并结合生态敏感区主要保护对象的分布、生态学特征、项目的穿越方式、周边地形地貌等适当调整。</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本项目不涉及直接占用</w:t>
      </w:r>
      <w:r>
        <w:rPr>
          <w:rFonts w:cs="Times New Roman"/>
          <w:bCs/>
          <w:color w:val="000000" w:themeColor="text1"/>
          <w:szCs w:val="24"/>
          <w:highlight w:val="none"/>
          <w14:textFill>
            <w14:solidFill>
              <w14:schemeClr w14:val="tx1"/>
            </w14:solidFill>
          </w14:textFill>
        </w:rPr>
        <w:t>生态敏感区</w:t>
      </w:r>
      <w:r>
        <w:rPr>
          <w:rFonts w:hint="eastAsia" w:cs="Times New Roman"/>
          <w:bCs/>
          <w:color w:val="000000" w:themeColor="text1"/>
          <w:szCs w:val="24"/>
          <w:highlight w:val="none"/>
          <w14:textFill>
            <w14:solidFill>
              <w14:schemeClr w14:val="tx1"/>
            </w14:solidFill>
          </w14:textFill>
        </w:rPr>
        <w:t>。因此，本次评价根据上述</w:t>
      </w:r>
      <w:r>
        <w:rPr>
          <w:rFonts w:cs="Times New Roman"/>
          <w:bCs/>
          <w:color w:val="000000" w:themeColor="text1"/>
          <w:szCs w:val="24"/>
          <w:highlight w:val="none"/>
          <w14:textFill>
            <w14:solidFill>
              <w14:schemeClr w14:val="tx1"/>
            </w14:solidFill>
          </w14:textFill>
        </w:rPr>
        <w:t>评价范围的划分原则和本项目现场踏勘调查实际情况，依据项目建设对生态因子的影响方式、影响程度和生态因子之间的相互影响和相互依存关系，确定评价范围如下：</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站场工程：</w:t>
      </w:r>
      <w:r>
        <w:rPr>
          <w:rFonts w:cs="Times New Roman"/>
          <w:bCs/>
          <w:color w:val="000000" w:themeColor="text1"/>
          <w:szCs w:val="24"/>
          <w:highlight w:val="none"/>
          <w14:textFill>
            <w14:solidFill>
              <w14:schemeClr w14:val="tx1"/>
            </w14:solidFill>
          </w14:textFill>
        </w:rPr>
        <w:t>主要</w:t>
      </w:r>
      <w:r>
        <w:rPr>
          <w:rFonts w:hint="eastAsia" w:cs="Times New Roman"/>
          <w:bCs/>
          <w:color w:val="000000" w:themeColor="text1"/>
          <w:szCs w:val="24"/>
          <w:highlight w:val="none"/>
          <w14:textFill>
            <w14:solidFill>
              <w14:schemeClr w14:val="tx1"/>
            </w14:solidFill>
          </w14:textFill>
        </w:rPr>
        <w:t>包含井场（含边坡）、表土与弃土临时堆场、清水池、放喷池及放喷管线、生活区</w:t>
      </w:r>
      <w:r>
        <w:rPr>
          <w:rFonts w:cs="Times New Roman"/>
          <w:bCs/>
          <w:color w:val="000000" w:themeColor="text1"/>
          <w:szCs w:val="24"/>
          <w:highlight w:val="none"/>
          <w14:textFill>
            <w14:solidFill>
              <w14:schemeClr w14:val="tx1"/>
            </w14:solidFill>
          </w14:textFill>
        </w:rPr>
        <w:t>占地等</w:t>
      </w:r>
      <w:r>
        <w:rPr>
          <w:rFonts w:hint="eastAsia" w:cs="Times New Roman"/>
          <w:bCs/>
          <w:color w:val="000000" w:themeColor="text1"/>
          <w:szCs w:val="24"/>
          <w:highlight w:val="none"/>
          <w14:textFill>
            <w14:solidFill>
              <w14:schemeClr w14:val="tx1"/>
            </w14:solidFill>
          </w14:textFill>
        </w:rPr>
        <w:t>，考虑到土壤影响评价范围为200m，本次站场工程生态评价范围由5</w:t>
      </w:r>
      <w:r>
        <w:rPr>
          <w:rFonts w:cs="Times New Roman"/>
          <w:bCs/>
          <w:color w:val="000000" w:themeColor="text1"/>
          <w:szCs w:val="24"/>
          <w:highlight w:val="none"/>
          <w14:textFill>
            <w14:solidFill>
              <w14:schemeClr w14:val="tx1"/>
            </w14:solidFill>
          </w14:textFill>
        </w:rPr>
        <w:t>0m</w:t>
      </w:r>
      <w:r>
        <w:rPr>
          <w:rFonts w:hint="eastAsia" w:cs="Times New Roman"/>
          <w:bCs/>
          <w:color w:val="000000" w:themeColor="text1"/>
          <w:szCs w:val="24"/>
          <w:highlight w:val="none"/>
          <w14:textFill>
            <w14:solidFill>
              <w14:schemeClr w14:val="tx1"/>
            </w14:solidFill>
          </w14:textFill>
        </w:rPr>
        <w:t>扩展至200m。</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线性工程：主要包括进场道路、集输管线等。以进场道路、集输管道</w:t>
      </w:r>
      <w:r>
        <w:rPr>
          <w:rFonts w:cs="Times New Roman"/>
          <w:bCs/>
          <w:color w:val="000000" w:themeColor="text1"/>
          <w:szCs w:val="24"/>
          <w:highlight w:val="none"/>
          <w14:textFill>
            <w14:solidFill>
              <w14:schemeClr w14:val="tx1"/>
            </w14:solidFill>
          </w14:textFill>
        </w:rPr>
        <w:t>两侧300m</w:t>
      </w:r>
      <w:r>
        <w:rPr>
          <w:rFonts w:hint="eastAsia" w:cs="Times New Roman"/>
          <w:bCs/>
          <w:color w:val="000000" w:themeColor="text1"/>
          <w:szCs w:val="24"/>
          <w:highlight w:val="none"/>
          <w14:textFill>
            <w14:solidFill>
              <w14:schemeClr w14:val="tx1"/>
            </w14:solidFill>
          </w14:textFill>
        </w:rPr>
        <w:t>的范围内的区域。</w:t>
      </w:r>
    </w:p>
    <w:bookmarkEnd w:id="85"/>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结合上述要求，本项目</w:t>
      </w:r>
      <w:r>
        <w:rPr>
          <w:rFonts w:cs="Times New Roman"/>
          <w:bCs/>
          <w:color w:val="000000" w:themeColor="text1"/>
          <w:szCs w:val="24"/>
          <w:highlight w:val="none"/>
          <w14:textFill>
            <w14:solidFill>
              <w14:schemeClr w14:val="tx1"/>
            </w14:solidFill>
          </w14:textFill>
        </w:rPr>
        <w:t>主要以井场及边坡、主放喷池及管线、副放喷池及边坡、副放喷管线及施工便道、表土堆放区、弃土区、生活营区占地等周边200m为主体，同时考虑与项目区的气候过程、水文过程、生物过程等生物地球化学循环过程的相互作用关系，以项目影响区域所涉及的完整气候单元、水文单元、生态单元、地理单元界限为参照边界进行修正和完善，最终确定评价范围，面积为30.85hm</w:t>
      </w:r>
      <w:r>
        <w:rPr>
          <w:rFonts w:hint="eastAsia" w:cs="Times New Roman"/>
          <w:bCs/>
          <w:color w:val="000000" w:themeColor="text1"/>
          <w:szCs w:val="24"/>
          <w:highlight w:val="none"/>
          <w:vertAlign w:val="superscript"/>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w:t>
      </w:r>
    </w:p>
    <w:p>
      <w:pPr>
        <w:pStyle w:val="4"/>
        <w:spacing w:before="0" w:beforeLines="0"/>
        <w:ind w:firstLine="480"/>
        <w:rPr>
          <w:color w:val="000000" w:themeColor="text1"/>
          <w:highlight w:val="none"/>
          <w:lang w:eastAsia="zh-CN"/>
          <w14:textFill>
            <w14:solidFill>
              <w14:schemeClr w14:val="tx1"/>
            </w14:solidFill>
          </w14:textFill>
        </w:rPr>
      </w:pPr>
      <w:bookmarkStart w:id="86" w:name="_Toc120173076"/>
      <w:r>
        <w:rPr>
          <w:color w:val="000000" w:themeColor="text1"/>
          <w:highlight w:val="none"/>
          <w:lang w:eastAsia="zh-CN"/>
          <w14:textFill>
            <w14:solidFill>
              <w14:schemeClr w14:val="tx1"/>
            </w14:solidFill>
          </w14:textFill>
        </w:rPr>
        <w:t>环境风险</w:t>
      </w:r>
      <w:bookmarkEnd w:id="86"/>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评价工作等级</w:t>
      </w:r>
      <w:r>
        <w:rPr>
          <w:rFonts w:hint="eastAsia" w:cs="Times New Roman"/>
          <w:bCs/>
          <w:color w:val="000000" w:themeColor="text1"/>
          <w:szCs w:val="24"/>
          <w:highlight w:val="none"/>
          <w14:textFill>
            <w14:solidFill>
              <w14:schemeClr w14:val="tx1"/>
            </w14:solidFill>
          </w14:textFill>
        </w:rPr>
        <w:t xml:space="preserve"> </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详细评价工作等级判定过程见后文6</w:t>
      </w:r>
      <w:r>
        <w:rPr>
          <w:rFonts w:cs="Times New Roman"/>
          <w:bCs/>
          <w:color w:val="000000" w:themeColor="text1"/>
          <w:szCs w:val="24"/>
          <w:highlight w:val="none"/>
          <w14:textFill>
            <w14:solidFill>
              <w14:schemeClr w14:val="tx1"/>
            </w14:solidFill>
          </w14:textFill>
        </w:rPr>
        <w:t>.1</w:t>
      </w:r>
      <w:r>
        <w:rPr>
          <w:rFonts w:hint="eastAsia" w:cs="Times New Roman"/>
          <w:bCs/>
          <w:color w:val="000000" w:themeColor="text1"/>
          <w:szCs w:val="24"/>
          <w:highlight w:val="none"/>
          <w14:textFill>
            <w14:solidFill>
              <w14:schemeClr w14:val="tx1"/>
            </w14:solidFill>
          </w14:textFill>
        </w:rPr>
        <w:t>小结，此处仅罗列判定结果。</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评价等级根据《建设项目环境风险评价技术导则》（HJ169-2018）评价等级划分原则，建设项目环境风险评价工作等级判定标准表见下表。</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表2.6-9 环境风险评价分级判定</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586"/>
        <w:gridCol w:w="1601"/>
        <w:gridCol w:w="1916"/>
        <w:gridCol w:w="1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环境风险潜势</w:t>
            </w:r>
          </w:p>
        </w:tc>
        <w:tc>
          <w:tcPr>
            <w:tcW w:w="158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Ⅳ、Ⅴ</w:t>
            </w:r>
            <w:r>
              <w:rPr>
                <w:color w:val="000000" w:themeColor="text1"/>
                <w:highlight w:val="none"/>
                <w:vertAlign w:val="superscript"/>
                <w14:textFill>
                  <w14:solidFill>
                    <w14:schemeClr w14:val="tx1"/>
                  </w14:solidFill>
                </w14:textFill>
              </w:rPr>
              <w:t>+</w:t>
            </w:r>
          </w:p>
        </w:tc>
        <w:tc>
          <w:tcPr>
            <w:tcW w:w="16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Ⅲ</w:t>
            </w:r>
          </w:p>
        </w:tc>
        <w:tc>
          <w:tcPr>
            <w:tcW w:w="1916" w:type="dxa"/>
            <w:vAlign w:val="center"/>
          </w:tcPr>
          <w:p>
            <w:pPr>
              <w:pStyle w:val="297"/>
              <w:rPr>
                <w:color w:val="000000" w:themeColor="text1"/>
                <w:highlight w:val="none"/>
                <w:shd w:val="pct10" w:color="auto" w:fill="FFFFFF"/>
                <w14:textFill>
                  <w14:solidFill>
                    <w14:schemeClr w14:val="tx1"/>
                  </w14:solidFill>
                </w14:textFill>
              </w:rPr>
            </w:pPr>
            <w:r>
              <w:rPr>
                <w:color w:val="000000" w:themeColor="text1"/>
                <w:highlight w:val="none"/>
                <w:shd w:val="pct10" w:color="auto" w:fill="FFFFFF"/>
                <w14:textFill>
                  <w14:solidFill>
                    <w14:schemeClr w14:val="tx1"/>
                  </w14:solidFill>
                </w14:textFill>
              </w:rPr>
              <w:t>Ⅱ</w:t>
            </w:r>
          </w:p>
        </w:tc>
        <w:tc>
          <w:tcPr>
            <w:tcW w:w="156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评价工作等级</w:t>
            </w:r>
          </w:p>
        </w:tc>
        <w:tc>
          <w:tcPr>
            <w:tcW w:w="158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16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1916" w:type="dxa"/>
            <w:vAlign w:val="center"/>
          </w:tcPr>
          <w:p>
            <w:pPr>
              <w:pStyle w:val="297"/>
              <w:rPr>
                <w:color w:val="000000" w:themeColor="text1"/>
                <w:highlight w:val="none"/>
                <w:shd w:val="pct10" w:color="auto" w:fill="FFFFFF"/>
                <w14:textFill>
                  <w14:solidFill>
                    <w14:schemeClr w14:val="tx1"/>
                  </w14:solidFill>
                </w14:textFill>
              </w:rPr>
            </w:pPr>
            <w:r>
              <w:rPr>
                <w:color w:val="000000" w:themeColor="text1"/>
                <w:highlight w:val="none"/>
                <w:shd w:val="pct10" w:color="auto" w:fill="FFFFFF"/>
                <w14:textFill>
                  <w14:solidFill>
                    <w14:schemeClr w14:val="tx1"/>
                  </w14:solidFill>
                </w14:textFill>
              </w:rPr>
              <w:t>三</w:t>
            </w:r>
          </w:p>
        </w:tc>
        <w:tc>
          <w:tcPr>
            <w:tcW w:w="156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2" w:type="dxa"/>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 是相对于详细评价工作内容而言，在描述危险物质、环境影响途径、环境危害后果、</w:t>
            </w:r>
          </w:p>
          <w:p>
            <w:pPr>
              <w:pStyle w:val="297"/>
              <w:rPr>
                <w:color w:val="000000" w:themeColor="text1"/>
                <w:highlight w:val="none"/>
                <w:shd w:val="pct10" w:color="auto" w:fill="FFFFFF"/>
                <w14:textFill>
                  <w14:solidFill>
                    <w14:schemeClr w14:val="tx1"/>
                  </w14:solidFill>
                </w14:textFill>
              </w:rPr>
            </w:pPr>
            <w:r>
              <w:rPr>
                <w:color w:val="000000" w:themeColor="text1"/>
                <w:highlight w:val="none"/>
                <w14:textFill>
                  <w14:solidFill>
                    <w14:schemeClr w14:val="tx1"/>
                  </w14:solidFill>
                </w14:textFill>
              </w:rPr>
              <w:t>风险防范措施等方面给出定性的说明。</w:t>
            </w:r>
          </w:p>
        </w:tc>
      </w:tr>
    </w:tbl>
    <w:p>
      <w:pPr>
        <w:pStyle w:val="21"/>
        <w:spacing w:before="163" w:beforeLines="50"/>
        <w:ind w:left="0" w:firstLine="480"/>
        <w:jc w:val="both"/>
        <w:rPr>
          <w:rFonts w:ascii="Times New Roman" w:hAnsi="Times New Roman" w:cstheme="minorBidi"/>
          <w:color w:val="000000" w:themeColor="text1"/>
          <w:kern w:val="2"/>
          <w:szCs w:val="22"/>
          <w:highlight w:val="none"/>
          <w:lang w:eastAsia="zh-CN"/>
          <w14:textFill>
            <w14:solidFill>
              <w14:schemeClr w14:val="tx1"/>
            </w14:solidFill>
          </w14:textFill>
        </w:rPr>
      </w:pPr>
      <w:r>
        <w:rPr>
          <w:rFonts w:hint="eastAsia"/>
          <w:bCs/>
          <w:snapToGrid w:val="0"/>
          <w:color w:val="000000" w:themeColor="text1"/>
          <w:highlight w:val="none"/>
          <w:lang w:eastAsia="zh-CN"/>
          <w14:textFill>
            <w14:solidFill>
              <w14:schemeClr w14:val="tx1"/>
            </w14:solidFill>
          </w14:textFill>
        </w:rPr>
        <w:t>钻井</w:t>
      </w:r>
      <w:r>
        <w:rPr>
          <w:rFonts w:ascii="Times New Roman" w:hAnsi="Times New Roman"/>
          <w:bCs/>
          <w:snapToGrid w:val="0"/>
          <w:color w:val="000000" w:themeColor="text1"/>
          <w:highlight w:val="none"/>
          <w:lang w:eastAsia="zh-CN"/>
          <w14:textFill>
            <w14:solidFill>
              <w14:schemeClr w14:val="tx1"/>
            </w14:solidFill>
          </w14:textFill>
        </w:rPr>
        <w:t>施工期天然气所含的甲烷、硫化氢和油类物质的Q值计算结果为</w:t>
      </w:r>
      <w:r>
        <w:rPr>
          <w:rFonts w:hint="eastAsia" w:ascii="Times New Roman" w:hAnsi="Times New Roman"/>
          <w:bCs/>
          <w:snapToGrid w:val="0"/>
          <w:color w:val="000000" w:themeColor="text1"/>
          <w:highlight w:val="none"/>
          <w:lang w:eastAsia="zh-CN"/>
          <w14:textFill>
            <w14:solidFill>
              <w14:schemeClr w14:val="tx1"/>
            </w14:solidFill>
          </w14:textFill>
        </w:rPr>
        <w:t>2.57</w:t>
      </w:r>
      <w:r>
        <w:rPr>
          <w:rFonts w:ascii="Times New Roman" w:hAnsi="Times New Roman"/>
          <w:bCs/>
          <w:snapToGrid w:val="0"/>
          <w:color w:val="000000" w:themeColor="text1"/>
          <w:highlight w:val="none"/>
          <w:lang w:eastAsia="zh-CN"/>
          <w14:textFill>
            <w14:solidFill>
              <w14:schemeClr w14:val="tx1"/>
            </w14:solidFill>
          </w14:textFill>
        </w:rPr>
        <w:t>，Q值＞1</w:t>
      </w:r>
      <w:r>
        <w:rPr>
          <w:bCs/>
          <w:snapToGrid w:val="0"/>
          <w:color w:val="000000" w:themeColor="text1"/>
          <w:highlight w:val="none"/>
          <w:lang w:eastAsia="zh-CN"/>
          <w14:textFill>
            <w14:solidFill>
              <w14:schemeClr w14:val="tx1"/>
            </w14:solidFill>
          </w14:textFill>
        </w:rPr>
        <w:t>；储层改造阶段的风险物质</w:t>
      </w:r>
      <w:r>
        <w:rPr>
          <w:color w:val="000000" w:themeColor="text1"/>
          <w:kern w:val="2"/>
          <w:highlight w:val="none"/>
          <w:lang w:eastAsia="zh-CN"/>
          <w14:textFill>
            <w14:solidFill>
              <w14:schemeClr w14:val="tx1"/>
            </w14:solidFill>
          </w14:textFill>
        </w:rPr>
        <w:t>盐酸和柴油的</w:t>
      </w:r>
      <w:r>
        <w:rPr>
          <w:bCs/>
          <w:snapToGrid w:val="0"/>
          <w:color w:val="000000" w:themeColor="text1"/>
          <w:highlight w:val="none"/>
          <w:lang w:eastAsia="zh-CN"/>
          <w14:textFill>
            <w14:solidFill>
              <w14:schemeClr w14:val="tx1"/>
            </w14:solidFill>
          </w14:textFill>
        </w:rPr>
        <w:t>Q值计算结果为</w:t>
      </w:r>
      <w:r>
        <w:rPr>
          <w:rFonts w:hint="eastAsia"/>
          <w:color w:val="000000" w:themeColor="text1"/>
          <w:highlight w:val="none"/>
          <w:lang w:eastAsia="zh-CN"/>
          <w14:textFill>
            <w14:solidFill>
              <w14:schemeClr w14:val="tx1"/>
            </w14:solidFill>
          </w14:textFill>
        </w:rPr>
        <w:t>0</w:t>
      </w:r>
      <w:r>
        <w:rPr>
          <w:color w:val="000000" w:themeColor="text1"/>
          <w:highlight w:val="none"/>
          <w:lang w:eastAsia="zh-CN"/>
          <w14:textFill>
            <w14:solidFill>
              <w14:schemeClr w14:val="tx1"/>
            </w14:solidFill>
          </w14:textFill>
        </w:rPr>
        <w:t>.606</w:t>
      </w:r>
      <w:r>
        <w:rPr>
          <w:bCs/>
          <w:snapToGrid w:val="0"/>
          <w:color w:val="000000" w:themeColor="text1"/>
          <w:highlight w:val="none"/>
          <w:lang w:eastAsia="zh-CN"/>
          <w14:textFill>
            <w14:solidFill>
              <w14:schemeClr w14:val="tx1"/>
            </w14:solidFill>
          </w14:textFill>
        </w:rPr>
        <w:t>，Q值＜1；试采期</w:t>
      </w:r>
      <w:r>
        <w:rPr>
          <w:rFonts w:hint="eastAsia"/>
          <w:bCs/>
          <w:snapToGrid w:val="0"/>
          <w:color w:val="000000" w:themeColor="text1"/>
          <w:highlight w:val="none"/>
          <w:lang w:eastAsia="zh-CN"/>
          <w14:textFill>
            <w14:solidFill>
              <w14:schemeClr w14:val="tx1"/>
            </w14:solidFill>
          </w14:textFill>
        </w:rPr>
        <w:t>站内</w:t>
      </w:r>
      <w:r>
        <w:rPr>
          <w:bCs/>
          <w:snapToGrid w:val="0"/>
          <w:color w:val="000000" w:themeColor="text1"/>
          <w:highlight w:val="none"/>
          <w:lang w:eastAsia="zh-CN"/>
          <w14:textFill>
            <w14:solidFill>
              <w14:schemeClr w14:val="tx1"/>
            </w14:solidFill>
          </w14:textFill>
        </w:rPr>
        <w:t>天然气所含的</w:t>
      </w:r>
      <w:r>
        <w:rPr>
          <w:rFonts w:hint="eastAsia"/>
          <w:bCs/>
          <w:snapToGrid w:val="0"/>
          <w:color w:val="000000" w:themeColor="text1"/>
          <w:highlight w:val="none"/>
          <w:lang w:eastAsia="zh-CN"/>
          <w14:textFill>
            <w14:solidFill>
              <w14:schemeClr w14:val="tx1"/>
            </w14:solidFill>
          </w14:textFill>
        </w:rPr>
        <w:t>甲烷</w:t>
      </w:r>
      <w:r>
        <w:rPr>
          <w:bCs/>
          <w:snapToGrid w:val="0"/>
          <w:color w:val="000000" w:themeColor="text1"/>
          <w:highlight w:val="none"/>
          <w:lang w:eastAsia="zh-CN"/>
          <w14:textFill>
            <w14:solidFill>
              <w14:schemeClr w14:val="tx1"/>
            </w14:solidFill>
          </w14:textFill>
        </w:rPr>
        <w:t>的Q值计算结果为</w:t>
      </w:r>
      <w:r>
        <w:rPr>
          <w:rFonts w:hint="eastAsia"/>
          <w:color w:val="000000" w:themeColor="text1"/>
          <w:highlight w:val="none"/>
          <w:lang w:eastAsia="zh-CN"/>
          <w14:textFill>
            <w14:solidFill>
              <w14:schemeClr w14:val="tx1"/>
            </w14:solidFill>
          </w14:textFill>
        </w:rPr>
        <w:t>0</w:t>
      </w:r>
      <w:r>
        <w:rPr>
          <w:color w:val="000000" w:themeColor="text1"/>
          <w:highlight w:val="none"/>
          <w:lang w:eastAsia="zh-CN"/>
          <w14:textFill>
            <w14:solidFill>
              <w14:schemeClr w14:val="tx1"/>
            </w14:solidFill>
          </w14:textFill>
        </w:rPr>
        <w:t>.0</w:t>
      </w:r>
      <w:r>
        <w:rPr>
          <w:rFonts w:hint="eastAsia"/>
          <w:color w:val="000000" w:themeColor="text1"/>
          <w:highlight w:val="none"/>
          <w:lang w:eastAsia="zh-CN"/>
          <w14:textFill>
            <w14:solidFill>
              <w14:schemeClr w14:val="tx1"/>
            </w14:solidFill>
          </w14:textFill>
        </w:rPr>
        <w:t>78</w:t>
      </w:r>
      <w:r>
        <w:rPr>
          <w:bCs/>
          <w:snapToGrid w:val="0"/>
          <w:color w:val="000000" w:themeColor="text1"/>
          <w:highlight w:val="none"/>
          <w:lang w:eastAsia="zh-CN"/>
          <w14:textFill>
            <w14:solidFill>
              <w14:schemeClr w14:val="tx1"/>
            </w14:solidFill>
          </w14:textFill>
        </w:rPr>
        <w:t>，Q值＜1</w:t>
      </w:r>
      <w:r>
        <w:rPr>
          <w:rFonts w:hint="eastAsia"/>
          <w:bCs/>
          <w:snapToGrid w:val="0"/>
          <w:color w:val="000000" w:themeColor="text1"/>
          <w:highlight w:val="none"/>
          <w:lang w:eastAsia="zh-CN"/>
          <w14:textFill>
            <w14:solidFill>
              <w14:schemeClr w14:val="tx1"/>
            </w14:solidFill>
          </w14:textFill>
        </w:rPr>
        <w:t>；</w:t>
      </w:r>
      <w:r>
        <w:rPr>
          <w:bCs/>
          <w:snapToGrid w:val="0"/>
          <w:color w:val="000000" w:themeColor="text1"/>
          <w:highlight w:val="none"/>
          <w:lang w:eastAsia="zh-CN"/>
          <w14:textFill>
            <w14:solidFill>
              <w14:schemeClr w14:val="tx1"/>
            </w14:solidFill>
          </w14:textFill>
        </w:rPr>
        <w:t>试采期</w:t>
      </w:r>
      <w:r>
        <w:rPr>
          <w:rFonts w:hint="eastAsia"/>
          <w:bCs/>
          <w:snapToGrid w:val="0"/>
          <w:color w:val="000000" w:themeColor="text1"/>
          <w:highlight w:val="none"/>
          <w:lang w:eastAsia="zh-CN"/>
          <w14:textFill>
            <w14:solidFill>
              <w14:schemeClr w14:val="tx1"/>
            </w14:solidFill>
          </w14:textFill>
        </w:rPr>
        <w:t>集输管线</w:t>
      </w:r>
      <w:r>
        <w:rPr>
          <w:bCs/>
          <w:snapToGrid w:val="0"/>
          <w:color w:val="000000" w:themeColor="text1"/>
          <w:highlight w:val="none"/>
          <w:lang w:eastAsia="zh-CN"/>
          <w14:textFill>
            <w14:solidFill>
              <w14:schemeClr w14:val="tx1"/>
            </w14:solidFill>
          </w14:textFill>
        </w:rPr>
        <w:t>天然气所含的甲烷的Q值计算结果为</w:t>
      </w:r>
      <w:r>
        <w:rPr>
          <w:rFonts w:hint="eastAsia"/>
          <w:color w:val="000000" w:themeColor="text1"/>
          <w:highlight w:val="none"/>
          <w:lang w:eastAsia="zh-CN"/>
          <w14:textFill>
            <w14:solidFill>
              <w14:schemeClr w14:val="tx1"/>
            </w14:solidFill>
          </w14:textFill>
        </w:rPr>
        <w:t>0</w:t>
      </w:r>
      <w:r>
        <w:rPr>
          <w:color w:val="000000" w:themeColor="text1"/>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0012</w:t>
      </w:r>
      <w:r>
        <w:rPr>
          <w:bCs/>
          <w:snapToGrid w:val="0"/>
          <w:color w:val="000000" w:themeColor="text1"/>
          <w:highlight w:val="none"/>
          <w:lang w:eastAsia="zh-CN"/>
          <w14:textFill>
            <w14:solidFill>
              <w14:schemeClr w14:val="tx1"/>
            </w14:solidFill>
          </w14:textFill>
        </w:rPr>
        <w:t>，Q值＜1</w:t>
      </w:r>
      <w:r>
        <w:rPr>
          <w:bCs/>
          <w:color w:val="000000" w:themeColor="text1"/>
          <w:highlight w:val="none"/>
          <w:lang w:eastAsia="zh-CN"/>
          <w14:textFill>
            <w14:solidFill>
              <w14:schemeClr w14:val="tx1"/>
            </w14:solidFill>
          </w14:textFill>
        </w:rPr>
        <w:t>。根据后文环境风险分析，该项目环境风险潜势为</w:t>
      </w:r>
      <w:r>
        <w:rPr>
          <w:color w:val="000000" w:themeColor="text1"/>
          <w:szCs w:val="21"/>
          <w:highlight w:val="none"/>
          <w:lang w:eastAsia="zh-CN"/>
          <w14:textFill>
            <w14:solidFill>
              <w14:schemeClr w14:val="tx1"/>
            </w14:solidFill>
          </w14:textFill>
        </w:rPr>
        <w:t>Ⅱ</w:t>
      </w:r>
      <w:r>
        <w:rPr>
          <w:rFonts w:ascii="Times New Roman" w:hAnsi="Times New Roman" w:cstheme="minorBidi"/>
          <w:color w:val="000000" w:themeColor="text1"/>
          <w:kern w:val="2"/>
          <w:szCs w:val="22"/>
          <w:highlight w:val="none"/>
          <w:lang w:eastAsia="zh-CN"/>
          <w14:textFill>
            <w14:solidFill>
              <w14:schemeClr w14:val="tx1"/>
            </w14:solidFill>
          </w14:textFill>
        </w:rPr>
        <w:t>。</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环境风险评价工作等级划分</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586"/>
        <w:gridCol w:w="1601"/>
        <w:gridCol w:w="1916"/>
        <w:gridCol w:w="1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环境风险潜势</w:t>
            </w:r>
          </w:p>
        </w:tc>
        <w:tc>
          <w:tcPr>
            <w:tcW w:w="158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Ⅳ、Ⅴ</w:t>
            </w:r>
            <w:r>
              <w:rPr>
                <w:color w:val="000000" w:themeColor="text1"/>
                <w:highlight w:val="none"/>
                <w:vertAlign w:val="superscript"/>
                <w14:textFill>
                  <w14:solidFill>
                    <w14:schemeClr w14:val="tx1"/>
                  </w14:solidFill>
                </w14:textFill>
              </w:rPr>
              <w:t>+</w:t>
            </w:r>
          </w:p>
        </w:tc>
        <w:tc>
          <w:tcPr>
            <w:tcW w:w="16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Ⅲ</w:t>
            </w:r>
          </w:p>
        </w:tc>
        <w:tc>
          <w:tcPr>
            <w:tcW w:w="1916" w:type="dxa"/>
            <w:vAlign w:val="center"/>
          </w:tcPr>
          <w:p>
            <w:pPr>
              <w:pStyle w:val="297"/>
              <w:rPr>
                <w:color w:val="000000" w:themeColor="text1"/>
                <w:highlight w:val="none"/>
                <w:shd w:val="pct10" w:color="auto" w:fill="FFFFFF"/>
                <w14:textFill>
                  <w14:solidFill>
                    <w14:schemeClr w14:val="tx1"/>
                  </w14:solidFill>
                </w14:textFill>
              </w:rPr>
            </w:pPr>
            <w:r>
              <w:rPr>
                <w:color w:val="000000" w:themeColor="text1"/>
                <w:highlight w:val="none"/>
                <w:shd w:val="pct10" w:color="auto" w:fill="FFFFFF"/>
                <w14:textFill>
                  <w14:solidFill>
                    <w14:schemeClr w14:val="tx1"/>
                  </w14:solidFill>
                </w14:textFill>
              </w:rPr>
              <w:t>Ⅱ</w:t>
            </w:r>
          </w:p>
        </w:tc>
        <w:tc>
          <w:tcPr>
            <w:tcW w:w="156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评价工作等级</w:t>
            </w:r>
          </w:p>
        </w:tc>
        <w:tc>
          <w:tcPr>
            <w:tcW w:w="158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16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1916" w:type="dxa"/>
            <w:vAlign w:val="center"/>
          </w:tcPr>
          <w:p>
            <w:pPr>
              <w:pStyle w:val="297"/>
              <w:rPr>
                <w:color w:val="000000" w:themeColor="text1"/>
                <w:highlight w:val="none"/>
                <w:shd w:val="pct10" w:color="auto" w:fill="FFFFFF"/>
                <w14:textFill>
                  <w14:solidFill>
                    <w14:schemeClr w14:val="tx1"/>
                  </w14:solidFill>
                </w14:textFill>
              </w:rPr>
            </w:pPr>
            <w:r>
              <w:rPr>
                <w:color w:val="000000" w:themeColor="text1"/>
                <w:highlight w:val="none"/>
                <w:shd w:val="pct10" w:color="auto" w:fill="FFFFFF"/>
                <w14:textFill>
                  <w14:solidFill>
                    <w14:schemeClr w14:val="tx1"/>
                  </w14:solidFill>
                </w14:textFill>
              </w:rPr>
              <w:t>三</w:t>
            </w:r>
          </w:p>
        </w:tc>
        <w:tc>
          <w:tcPr>
            <w:tcW w:w="156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2" w:type="dxa"/>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 是相对于详细评价工作内容而言，在描述危险物质、环境影响途径、环境危害后果、</w:t>
            </w:r>
          </w:p>
          <w:p>
            <w:pPr>
              <w:pStyle w:val="297"/>
              <w:rPr>
                <w:color w:val="000000" w:themeColor="text1"/>
                <w:highlight w:val="none"/>
                <w:shd w:val="pct10" w:color="auto" w:fill="FFFFFF"/>
                <w14:textFill>
                  <w14:solidFill>
                    <w14:schemeClr w14:val="tx1"/>
                  </w14:solidFill>
                </w14:textFill>
              </w:rPr>
            </w:pPr>
            <w:r>
              <w:rPr>
                <w:color w:val="000000" w:themeColor="text1"/>
                <w:highlight w:val="none"/>
                <w14:textFill>
                  <w14:solidFill>
                    <w14:schemeClr w14:val="tx1"/>
                  </w14:solidFill>
                </w14:textFill>
              </w:rPr>
              <w:t>风险防范措施等方面给出定性的说明。</w:t>
            </w:r>
          </w:p>
        </w:tc>
      </w:tr>
    </w:tbl>
    <w:p>
      <w:pPr>
        <w:ind w:firstLine="480"/>
        <w:rPr>
          <w:rFonts w:cs="Times New Roman"/>
          <w:color w:val="000000" w:themeColor="text1"/>
          <w:szCs w:val="24"/>
          <w:highlight w:val="none"/>
          <w14:textFill>
            <w14:solidFill>
              <w14:schemeClr w14:val="tx1"/>
            </w14:solidFill>
          </w14:textFill>
        </w:rPr>
      </w:pP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根据上述环境风险潜势初判结果，本项目需做“三级评价”。</w:t>
      </w:r>
    </w:p>
    <w:p>
      <w:pPr>
        <w:pStyle w:val="21"/>
        <w:spacing w:before="0"/>
        <w:ind w:left="0" w:firstLine="482"/>
        <w:jc w:val="both"/>
        <w:rPr>
          <w:rFonts w:ascii="Times New Roman" w:hAnsi="Times New Roman" w:cstheme="minorBidi"/>
          <w:color w:val="000000" w:themeColor="text1"/>
          <w:kern w:val="2"/>
          <w:szCs w:val="22"/>
          <w:highlight w:val="none"/>
          <w:lang w:eastAsia="zh-CN"/>
          <w14:textFill>
            <w14:solidFill>
              <w14:schemeClr w14:val="tx1"/>
            </w14:solidFill>
          </w14:textFill>
        </w:rPr>
      </w:pPr>
      <w:r>
        <w:rPr>
          <w:b/>
          <w:color w:val="000000" w:themeColor="text1"/>
          <w:highlight w:val="none"/>
          <w:lang w:eastAsia="zh-CN"/>
          <w14:textFill>
            <w14:solidFill>
              <w14:schemeClr w14:val="tx1"/>
            </w14:solidFill>
          </w14:textFill>
        </w:rPr>
        <w:t>但考虑到硫化氢毒性较大，一旦发生井喷事故后对环境空气影响较大，进而会对周边居民生命财产安全造成影响，因此本次评价将环境风险评价等级中的大气环境定为二级，地下水环境、地表水环境仍为三级评价，</w:t>
      </w:r>
      <w:r>
        <w:rPr>
          <w:rFonts w:hint="eastAsia"/>
          <w:b/>
          <w:color w:val="000000" w:themeColor="text1"/>
          <w:highlight w:val="none"/>
          <w:lang w:eastAsia="zh-CN"/>
          <w14:textFill>
            <w14:solidFill>
              <w14:schemeClr w14:val="tx1"/>
            </w14:solidFill>
          </w14:textFill>
        </w:rPr>
        <w:t>考虑到事故状态下的环境风险较大，本次评价环境风险等级按照</w:t>
      </w:r>
      <w:r>
        <w:rPr>
          <w:b/>
          <w:color w:val="000000" w:themeColor="text1"/>
          <w:highlight w:val="none"/>
          <w:lang w:eastAsia="zh-CN"/>
          <w14:textFill>
            <w14:solidFill>
              <w14:schemeClr w14:val="tx1"/>
            </w14:solidFill>
          </w14:textFill>
        </w:rPr>
        <w:t>二级</w:t>
      </w:r>
      <w:r>
        <w:rPr>
          <w:rFonts w:hint="eastAsia"/>
          <w:b/>
          <w:color w:val="000000" w:themeColor="text1"/>
          <w:highlight w:val="none"/>
          <w:lang w:eastAsia="zh-CN"/>
          <w14:textFill>
            <w14:solidFill>
              <w14:schemeClr w14:val="tx1"/>
            </w14:solidFill>
          </w14:textFill>
        </w:rPr>
        <w:t>进行评价。</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（2）评价范围</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本次评价</w:t>
      </w:r>
      <w:r>
        <w:rPr>
          <w:rFonts w:cs="Times New Roman"/>
          <w:color w:val="000000" w:themeColor="text1"/>
          <w:szCs w:val="24"/>
          <w:highlight w:val="none"/>
          <w14:textFill>
            <w14:solidFill>
              <w14:schemeClr w14:val="tx1"/>
            </w14:solidFill>
          </w14:textFill>
        </w:rPr>
        <w:t>地下水环境、地表水环境不设置环境风险评价范围，只对涉及的危险物质、环境影响途径、环境危害、风险防范措施等方面给出定性的说明；大气环境风险评价范围确定为井口周边5km范围，具体评价范围与敏感目标分布见后。</w:t>
      </w:r>
    </w:p>
    <w:p>
      <w:pPr>
        <w:pStyle w:val="3"/>
        <w:spacing w:before="0" w:beforeLines="0"/>
        <w:rPr>
          <w:color w:val="000000" w:themeColor="text1"/>
          <w:highlight w:val="none"/>
          <w:lang w:eastAsia="zh-CN"/>
          <w14:textFill>
            <w14:solidFill>
              <w14:schemeClr w14:val="tx1"/>
            </w14:solidFill>
          </w14:textFill>
        </w:rPr>
      </w:pPr>
      <w:bookmarkStart w:id="87" w:name="_Toc21775"/>
      <w:r>
        <w:rPr>
          <w:color w:val="000000" w:themeColor="text1"/>
          <w:highlight w:val="none"/>
          <w:lang w:eastAsia="zh-CN"/>
          <w14:textFill>
            <w14:solidFill>
              <w14:schemeClr w14:val="tx1"/>
            </w14:solidFill>
          </w14:textFill>
        </w:rPr>
        <w:t>相关政策、规范符合性分析</w:t>
      </w:r>
      <w:bookmarkEnd w:id="87"/>
    </w:p>
    <w:p>
      <w:pPr>
        <w:pStyle w:val="4"/>
        <w:spacing w:before="0" w:beforeLines="0"/>
        <w:ind w:firstLine="480"/>
        <w:rPr>
          <w:color w:val="000000" w:themeColor="text1"/>
          <w:highlight w:val="none"/>
          <w:lang w:eastAsia="zh-CN"/>
          <w14:textFill>
            <w14:solidFill>
              <w14:schemeClr w14:val="tx1"/>
            </w14:solidFill>
          </w14:textFill>
        </w:rPr>
      </w:pPr>
      <w:bookmarkStart w:id="88" w:name="_Toc120173078"/>
      <w:r>
        <w:rPr>
          <w:color w:val="000000" w:themeColor="text1"/>
          <w:highlight w:val="none"/>
          <w:lang w:eastAsia="zh-CN"/>
          <w14:textFill>
            <w14:solidFill>
              <w14:schemeClr w14:val="tx1"/>
            </w14:solidFill>
          </w14:textFill>
        </w:rPr>
        <w:t>产业政策及相关文件符合性分析</w:t>
      </w:r>
      <w:bookmarkEnd w:id="88"/>
    </w:p>
    <w:p>
      <w:pPr>
        <w:tabs>
          <w:tab w:val="left" w:pos="0"/>
        </w:tabs>
        <w:ind w:firstLine="480"/>
        <w:rPr>
          <w:rFonts w:cs="Times New Roman"/>
          <w:bCs/>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根据《产业结构调整指导目录（2024年本）》（</w:t>
      </w:r>
      <w:r>
        <w:rPr>
          <w:rFonts w:hint="eastAsia"/>
          <w:color w:val="000000" w:themeColor="text1"/>
          <w:highlight w:val="none"/>
          <w14:textFill>
            <w14:solidFill>
              <w14:schemeClr w14:val="tx1"/>
            </w14:solidFill>
          </w14:textFill>
        </w:rPr>
        <w:t>中华人民共和国国家发展和改革委员会令第7号</w:t>
      </w:r>
      <w:r>
        <w:rPr>
          <w:color w:val="000000" w:themeColor="text1"/>
          <w:highlight w:val="none"/>
          <w14:textFill>
            <w14:solidFill>
              <w14:schemeClr w14:val="tx1"/>
            </w14:solidFill>
          </w14:textFill>
        </w:rPr>
        <w:t>），该项目属于其中第一</w:t>
      </w:r>
      <w:r>
        <w:rPr>
          <w:rFonts w:ascii="宋体" w:hAnsi="宋体"/>
          <w:color w:val="000000" w:themeColor="text1"/>
          <w:highlight w:val="none"/>
          <w14:textFill>
            <w14:solidFill>
              <w14:schemeClr w14:val="tx1"/>
            </w14:solidFill>
          </w14:textFill>
        </w:rPr>
        <w:t>类“鼓励类”第七条“石油天然气”第一款“石油天然气开采”</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因此本项目符合国家产业政策</w:t>
      </w:r>
      <w:r>
        <w:rPr>
          <w:bCs/>
          <w:color w:val="000000" w:themeColor="text1"/>
          <w:szCs w:val="24"/>
          <w:highlight w:val="none"/>
          <w14:textFill>
            <w14:solidFill>
              <w14:schemeClr w14:val="tx1"/>
            </w14:solidFill>
          </w14:textFill>
        </w:rPr>
        <w:t>。</w:t>
      </w:r>
    </w:p>
    <w:p>
      <w:pPr>
        <w:pStyle w:val="4"/>
        <w:spacing w:before="0" w:beforeLines="0"/>
        <w:ind w:left="480" w:firstLineChars="0"/>
        <w:rPr>
          <w:b/>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用地及空间</w:t>
      </w:r>
      <w:r>
        <w:rPr>
          <w:color w:val="000000" w:themeColor="text1"/>
          <w:highlight w:val="none"/>
          <w:lang w:eastAsia="zh-CN"/>
          <w14:textFill>
            <w14:solidFill>
              <w14:schemeClr w14:val="tx1"/>
            </w14:solidFill>
          </w14:textFill>
        </w:rPr>
        <w:t>符合性分析</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本项目与周边</w:t>
      </w:r>
      <w:r>
        <w:rPr>
          <w:rFonts w:hint="eastAsia"/>
          <w:color w:val="000000" w:themeColor="text1"/>
          <w:highlight w:val="none"/>
          <w14:textFill>
            <w14:solidFill>
              <w14:schemeClr w14:val="tx1"/>
            </w14:solidFill>
          </w14:textFill>
        </w:rPr>
        <w:t>永久</w:t>
      </w:r>
      <w:r>
        <w:rPr>
          <w:color w:val="000000" w:themeColor="text1"/>
          <w:highlight w:val="none"/>
          <w14:textFill>
            <w14:solidFill>
              <w14:schemeClr w14:val="tx1"/>
            </w14:solidFill>
          </w14:textFill>
        </w:rPr>
        <w:t>基本农田位置关系</w:t>
      </w:r>
    </w:p>
    <w:p>
      <w:pPr>
        <w:pStyle w:val="21"/>
        <w:spacing w:before="0"/>
        <w:ind w:left="0" w:firstLine="0" w:firstLineChars="0"/>
        <w:jc w:val="center"/>
        <w:rPr>
          <w:rFonts w:hint="eastAsia"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本项目为新建，</w:t>
      </w:r>
      <w:r>
        <w:rPr>
          <w:rFonts w:hint="eastAsia"/>
          <w:color w:val="000000" w:themeColor="text1"/>
          <w:highlight w:val="none"/>
          <w:lang w:eastAsia="zh-CN"/>
          <w14:textFill>
            <w14:solidFill>
              <w14:schemeClr w14:val="tx1"/>
            </w14:solidFill>
          </w14:textFill>
        </w:rPr>
        <w:t>通过</w:t>
      </w:r>
      <w:r>
        <w:rPr>
          <w:rFonts w:ascii="Times New Roman" w:hAnsi="Times New Roman"/>
          <w:color w:val="000000" w:themeColor="text1"/>
          <w:highlight w:val="none"/>
          <w:lang w:eastAsia="zh-CN"/>
          <w14:textFill>
            <w14:solidFill>
              <w14:schemeClr w14:val="tx1"/>
            </w14:solidFill>
          </w14:textFill>
        </w:rPr>
        <w:t>与宣汉县自然资源局</w:t>
      </w:r>
      <w:r>
        <w:rPr>
          <w:rFonts w:hint="eastAsia" w:ascii="Times New Roman" w:hAnsi="Times New Roman"/>
          <w:color w:val="000000" w:themeColor="text1"/>
          <w:highlight w:val="none"/>
          <w:lang w:eastAsia="zh-CN"/>
          <w14:textFill>
            <w14:solidFill>
              <w14:schemeClr w14:val="tx1"/>
            </w14:solidFill>
          </w14:textFill>
        </w:rPr>
        <w:t>永久</w:t>
      </w:r>
      <w:r>
        <w:rPr>
          <w:rFonts w:ascii="Times New Roman" w:hAnsi="Times New Roman"/>
          <w:color w:val="000000" w:themeColor="text1"/>
          <w:highlight w:val="none"/>
          <w:lang w:eastAsia="zh-CN"/>
          <w14:textFill>
            <w14:solidFill>
              <w14:schemeClr w14:val="tx1"/>
            </w14:solidFill>
          </w14:textFill>
        </w:rPr>
        <w:t>基本农田分布图叠图分析本项目</w:t>
      </w:r>
      <w:r>
        <w:rPr>
          <w:rFonts w:hint="eastAsia" w:ascii="Times New Roman" w:hAnsi="Times New Roman"/>
          <w:color w:val="000000" w:themeColor="text1"/>
          <w:highlight w:val="none"/>
          <w:lang w:eastAsia="zh-CN"/>
          <w14:textFill>
            <w14:solidFill>
              <w14:schemeClr w14:val="tx1"/>
            </w14:solidFill>
          </w14:textFill>
        </w:rPr>
        <w:t>新增占地不占用基本农田，仅利旧</w:t>
      </w:r>
      <w:r>
        <w:rPr>
          <w:rFonts w:ascii="Times New Roman" w:hAnsi="Times New Roman"/>
          <w:color w:val="000000" w:themeColor="text1"/>
          <w:highlight w:val="none"/>
          <w:lang w:eastAsia="zh-CN"/>
          <w14:textFill>
            <w14:solidFill>
              <w14:schemeClr w14:val="tx1"/>
            </w14:solidFill>
          </w14:textFill>
        </w:rPr>
        <w:t>临时</w:t>
      </w:r>
      <w:r>
        <w:rPr>
          <w:rFonts w:hint="eastAsia" w:ascii="Times New Roman" w:hAnsi="Times New Roman"/>
          <w:color w:val="000000" w:themeColor="text1"/>
          <w:highlight w:val="none"/>
          <w:lang w:eastAsia="zh-CN"/>
          <w14:textFill>
            <w14:solidFill>
              <w14:schemeClr w14:val="tx1"/>
            </w14:solidFill>
          </w14:textFill>
        </w:rPr>
        <w:t>占用永久基本农田1090</w:t>
      </w:r>
      <w:r>
        <w:rPr>
          <w:rFonts w:ascii="Times New Roman" w:hAnsi="Times New Roman"/>
          <w:color w:val="000000" w:themeColor="text1"/>
          <w:highlight w:val="none"/>
          <w:lang w:eastAsia="zh-CN"/>
          <w14:textFill>
            <w14:solidFill>
              <w14:schemeClr w14:val="tx1"/>
            </w14:solidFill>
          </w14:textFill>
        </w:rPr>
        <w:t>m</w:t>
      </w:r>
      <w:r>
        <w:rPr>
          <w:rFonts w:ascii="Times New Roman" w:hAnsi="Times New Roman"/>
          <w:color w:val="000000" w:themeColor="text1"/>
          <w:highlight w:val="none"/>
          <w:vertAlign w:val="superscript"/>
          <w:lang w:eastAsia="zh-CN"/>
          <w14:textFill>
            <w14:solidFill>
              <w14:schemeClr w14:val="tx1"/>
            </w14:solidFill>
          </w14:textFill>
        </w:rPr>
        <w:t>2</w:t>
      </w:r>
      <w:r>
        <w:rPr>
          <w:rFonts w:ascii="Times New Roman" w:hAnsi="Times New Roman"/>
          <w:color w:val="000000" w:themeColor="text1"/>
          <w:highlight w:val="none"/>
          <w:lang w:eastAsia="zh-CN"/>
          <w14:textFill>
            <w14:solidFill>
              <w14:schemeClr w14:val="tx1"/>
            </w14:solidFill>
          </w14:textFill>
        </w:rPr>
        <w:t>（</w:t>
      </w:r>
      <w:r>
        <w:rPr>
          <w:rFonts w:hint="eastAsia" w:ascii="Times New Roman" w:hAnsi="Times New Roman"/>
          <w:color w:val="000000" w:themeColor="text1"/>
          <w:highlight w:val="none"/>
          <w:lang w:eastAsia="zh-CN"/>
          <w14:textFill>
            <w14:solidFill>
              <w14:schemeClr w14:val="tx1"/>
            </w14:solidFill>
          </w14:textFill>
        </w:rPr>
        <w:t>井场主体已避让基本农田，但由周边场地地势条件制约，利旧大湾408井场原有的主放喷池及清水池不可避免的临时占用基本农田）</w:t>
      </w:r>
      <w:r>
        <w:rPr>
          <w:rFonts w:ascii="Times New Roman" w:hAnsi="Times New Roman"/>
          <w:color w:val="000000" w:themeColor="text1"/>
          <w:highlight w:val="none"/>
          <w:lang w:eastAsia="zh-CN"/>
          <w14:textFill>
            <w14:solidFill>
              <w14:schemeClr w14:val="tx1"/>
            </w14:solidFill>
          </w14:textFill>
        </w:rPr>
        <w:t>，其与周边</w:t>
      </w:r>
      <w:r>
        <w:rPr>
          <w:rFonts w:hint="eastAsia" w:ascii="Times New Roman" w:hAnsi="Times New Roman"/>
          <w:color w:val="000000" w:themeColor="text1"/>
          <w:highlight w:val="none"/>
          <w:lang w:eastAsia="zh-CN"/>
          <w14:textFill>
            <w14:solidFill>
              <w14:schemeClr w14:val="tx1"/>
            </w14:solidFill>
          </w14:textFill>
        </w:rPr>
        <w:t>永久</w:t>
      </w:r>
      <w:r>
        <w:rPr>
          <w:rFonts w:ascii="Times New Roman" w:hAnsi="Times New Roman"/>
          <w:color w:val="000000" w:themeColor="text1"/>
          <w:highlight w:val="none"/>
          <w:lang w:eastAsia="zh-CN"/>
          <w14:textFill>
            <w14:solidFill>
              <w14:schemeClr w14:val="tx1"/>
            </w14:solidFill>
          </w14:textFill>
        </w:rPr>
        <w:t>基本农田位置关系见附图</w:t>
      </w:r>
      <w:r>
        <w:rPr>
          <w:rFonts w:hint="eastAsia" w:ascii="Times New Roman" w:hAnsi="Times New Roman"/>
          <w:color w:val="000000" w:themeColor="text1"/>
          <w:highlight w:val="none"/>
          <w:lang w:eastAsia="zh-CN"/>
          <w14:textFill>
            <w14:solidFill>
              <w14:schemeClr w14:val="tx1"/>
            </w14:solidFill>
          </w14:textFill>
        </w:rPr>
        <w:t>7</w:t>
      </w:r>
      <w:r>
        <w:rPr>
          <w:rFonts w:ascii="Times New Roman" w:hAnsi="Times New Roman"/>
          <w:color w:val="000000" w:themeColor="text1"/>
          <w:highlight w:val="none"/>
          <w:lang w:eastAsia="zh-CN"/>
          <w14:textFill>
            <w14:solidFill>
              <w14:schemeClr w14:val="tx1"/>
            </w14:solidFill>
          </w14:textFill>
        </w:rPr>
        <w:t>。</w:t>
      </w:r>
      <w:r>
        <w:rPr>
          <w:rFonts w:hint="eastAsia" w:ascii="Times New Roman" w:hAnsi="Times New Roman"/>
          <w:color w:val="000000" w:themeColor="text1"/>
          <w:highlight w:val="none"/>
          <w:lang w:eastAsia="zh-CN"/>
          <w14:textFill>
            <w14:solidFill>
              <w14:schemeClr w14:val="tx1"/>
            </w14:solidFill>
          </w14:textFill>
        </w:rPr>
        <w:t>放喷池及清水池与周边主要情况见下图。</w:t>
      </w:r>
    </w:p>
    <w:p>
      <w:pPr>
        <w:pStyle w:val="21"/>
        <w:spacing w:before="0"/>
        <w:ind w:left="0" w:firstLine="0" w:firstLineChars="0"/>
        <w:jc w:val="center"/>
        <w:rPr>
          <w:rFonts w:hint="eastAsia"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w:t>
      </w:r>
    </w:p>
    <w:p>
      <w:pPr>
        <w:pStyle w:val="21"/>
        <w:spacing w:before="0"/>
        <w:ind w:left="0" w:firstLine="482"/>
        <w:jc w:val="both"/>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b/>
          <w:bCs/>
          <w:color w:val="000000" w:themeColor="text1"/>
          <w:highlight w:val="none"/>
          <w:lang w:eastAsia="zh-CN"/>
          <w14:textFill>
            <w14:solidFill>
              <w14:schemeClr w14:val="tx1"/>
            </w14:solidFill>
          </w14:textFill>
        </w:rPr>
        <w:t>利旧的放喷池、清水池不可避让基本农田的唯一性说明：</w:t>
      </w:r>
      <w:r>
        <w:rPr>
          <w:rFonts w:hint="eastAsia" w:ascii="Times New Roman" w:hAnsi="Times New Roman"/>
          <w:color w:val="000000" w:themeColor="text1"/>
          <w:highlight w:val="none"/>
          <w:lang w:eastAsia="zh-CN"/>
          <w14:textFill>
            <w14:solidFill>
              <w14:schemeClr w14:val="tx1"/>
            </w14:solidFill>
          </w14:textFill>
        </w:rPr>
        <w:t>根据上图，结合《大湾409井台钻井及试采工程环境影响报告书》，同时从外环境关系来看，井场拟建地西北侧、北侧、东侧、东南侧、南侧区域均为林木茂密，且地质条件不稳定的山地区域，若设置放喷池及清水池，则施工过程会造成大量的林木砍伐，且东北侧、东南侧林地属性为（天然林、公益林），同时上述区域地质条件不稳定，容易造成垮塌事故，则会增加废水泄漏污染周边环境的可能。此外，井场东南侧区域虽然地势条件较好，但是有基本农田和耕地保护红线分布，且场地处于地势低洼处，不方便废水转运。因此，综合考虑，林木砍伐因素，生态保护目标分布（天然林、公益林分布）因素和场地地质条件因素，选址井场西北侧两座山体中部地势较平坦的区域来建设清水池和放喷池，虽然其占用一定基本农田，但是属于临时占用，在施工结束后将对其进行复垦，对其影响较小。</w:t>
      </w:r>
      <w:r>
        <w:rPr>
          <w:rFonts w:hint="eastAsia" w:ascii="Times New Roman" w:hAnsi="Times New Roman"/>
          <w:b/>
          <w:bCs/>
          <w:color w:val="000000" w:themeColor="text1"/>
          <w:highlight w:val="none"/>
          <w:lang w:eastAsia="zh-CN"/>
          <w14:textFill>
            <w14:solidFill>
              <w14:schemeClr w14:val="tx1"/>
            </w14:solidFill>
          </w14:textFill>
        </w:rPr>
        <w:t>综上所述，</w:t>
      </w:r>
      <w:r>
        <w:rPr>
          <w:rFonts w:hint="eastAsia"/>
          <w:b/>
          <w:bCs/>
          <w:color w:val="000000" w:themeColor="text1"/>
          <w:highlight w:val="none"/>
          <w:lang w:eastAsia="zh-CN"/>
          <w14:textFill>
            <w14:solidFill>
              <w14:schemeClr w14:val="tx1"/>
            </w14:solidFill>
          </w14:textFill>
        </w:rPr>
        <w:t>由于利旧的</w:t>
      </w:r>
      <w:r>
        <w:rPr>
          <w:rFonts w:hint="eastAsia" w:ascii="Times New Roman" w:hAnsi="Times New Roman"/>
          <w:b/>
          <w:bCs/>
          <w:color w:val="000000" w:themeColor="text1"/>
          <w:highlight w:val="none"/>
          <w:lang w:eastAsia="zh-CN"/>
          <w14:textFill>
            <w14:solidFill>
              <w14:schemeClr w14:val="tx1"/>
            </w14:solidFill>
          </w14:textFill>
        </w:rPr>
        <w:t>放喷池、清水池</w:t>
      </w:r>
      <w:r>
        <w:rPr>
          <w:rFonts w:hint="eastAsia"/>
          <w:b/>
          <w:bCs/>
          <w:color w:val="000000" w:themeColor="text1"/>
          <w:highlight w:val="none"/>
          <w:lang w:eastAsia="zh-CN"/>
          <w14:textFill>
            <w14:solidFill>
              <w14:schemeClr w14:val="tx1"/>
            </w14:solidFill>
          </w14:textFill>
        </w:rPr>
        <w:t>均已建，且其在选址阶段</w:t>
      </w:r>
      <w:r>
        <w:rPr>
          <w:rFonts w:hint="eastAsia" w:ascii="Times New Roman" w:hAnsi="Times New Roman"/>
          <w:b/>
          <w:bCs/>
          <w:color w:val="000000" w:themeColor="text1"/>
          <w:highlight w:val="none"/>
          <w:lang w:eastAsia="zh-CN"/>
          <w14:textFill>
            <w14:solidFill>
              <w14:schemeClr w14:val="tx1"/>
            </w14:solidFill>
          </w14:textFill>
        </w:rPr>
        <w:t>占用基本农田不可避让</w:t>
      </w:r>
      <w:r>
        <w:rPr>
          <w:rFonts w:hint="eastAsia"/>
          <w:b/>
          <w:bCs/>
          <w:color w:val="000000" w:themeColor="text1"/>
          <w:highlight w:val="none"/>
          <w:lang w:eastAsia="zh-CN"/>
          <w14:textFill>
            <w14:solidFill>
              <w14:schemeClr w14:val="tx1"/>
            </w14:solidFill>
          </w14:textFill>
        </w:rPr>
        <w:t>，因此，本工程利旧该设施仍不可避免占用基本农田，但是本项目新增占地均已避让基本农田</w:t>
      </w:r>
      <w:r>
        <w:rPr>
          <w:rFonts w:hint="eastAsia" w:ascii="Times New Roman" w:hAnsi="Times New Roman"/>
          <w:b/>
          <w:bCs/>
          <w:color w:val="000000" w:themeColor="text1"/>
          <w:highlight w:val="none"/>
          <w:lang w:eastAsia="zh-CN"/>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本项目与《基本农田保护条例》符合性分析</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《基本农田保护条例》（国务院第257号）中第十五条提到，基本农田保护区经依法划定后，任何单位和个人不得改变或者占用。国家能源、交通、水利、军事设施等重点建设项目选址确实无法避开</w:t>
      </w:r>
      <w:r>
        <w:rPr>
          <w:rFonts w:hint="eastAsia"/>
          <w:color w:val="000000" w:themeColor="text1"/>
          <w:highlight w:val="none"/>
          <w14:textFill>
            <w14:solidFill>
              <w14:schemeClr w14:val="tx1"/>
            </w14:solidFill>
          </w14:textFill>
        </w:rPr>
        <w:t>永久</w:t>
      </w:r>
      <w:r>
        <w:rPr>
          <w:color w:val="000000" w:themeColor="text1"/>
          <w:highlight w:val="none"/>
          <w14:textFill>
            <w14:solidFill>
              <w14:schemeClr w14:val="tx1"/>
            </w14:solidFill>
          </w14:textFill>
        </w:rPr>
        <w:t>基本农田，需要</w:t>
      </w:r>
      <w:r>
        <w:rPr>
          <w:rFonts w:hint="eastAsia"/>
          <w:color w:val="000000" w:themeColor="text1"/>
          <w:highlight w:val="none"/>
          <w14:textFill>
            <w14:solidFill>
              <w14:schemeClr w14:val="tx1"/>
            </w14:solidFill>
          </w14:textFill>
        </w:rPr>
        <w:t>占用永久基本农田</w:t>
      </w:r>
      <w:r>
        <w:rPr>
          <w:color w:val="000000" w:themeColor="text1"/>
          <w:highlight w:val="none"/>
          <w14:textFill>
            <w14:solidFill>
              <w14:schemeClr w14:val="tx1"/>
            </w14:solidFill>
          </w14:textFill>
        </w:rPr>
        <w:t>，涉及农用地转用或者征收土地的，必须经国务院批准。</w:t>
      </w:r>
      <w:r>
        <w:rPr>
          <w:rFonts w:hint="eastAsia"/>
          <w:color w:val="000000" w:themeColor="text1"/>
          <w:highlight w:val="none"/>
          <w14:textFill>
            <w14:solidFill>
              <w14:schemeClr w14:val="tx1"/>
            </w14:solidFill>
          </w14:textFill>
        </w:rPr>
        <w:t>占用永久基本农田</w:t>
      </w:r>
      <w:r>
        <w:rPr>
          <w:color w:val="000000" w:themeColor="text1"/>
          <w:highlight w:val="none"/>
          <w14:textFill>
            <w14:solidFill>
              <w14:schemeClr w14:val="tx1"/>
            </w14:solidFill>
          </w14:textFill>
        </w:rPr>
        <w:t>的单位应当按照县级以上地方人民政府的要求，将所</w:t>
      </w:r>
      <w:r>
        <w:rPr>
          <w:rFonts w:hint="eastAsia"/>
          <w:color w:val="000000" w:themeColor="text1"/>
          <w:highlight w:val="none"/>
          <w14:textFill>
            <w14:solidFill>
              <w14:schemeClr w14:val="tx1"/>
            </w14:solidFill>
          </w14:textFill>
        </w:rPr>
        <w:t>占用永久基本农田</w:t>
      </w:r>
      <w:r>
        <w:rPr>
          <w:color w:val="000000" w:themeColor="text1"/>
          <w:highlight w:val="none"/>
          <w14:textFill>
            <w14:solidFill>
              <w14:schemeClr w14:val="tx1"/>
            </w14:solidFill>
          </w14:textFill>
        </w:rPr>
        <w:t>耕作层的土壤用于新开垦耕地、劣质地或者其他耕地的土壤改良。</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根据自然资源部印发《关于做好占用永久基本农田重大建设项目用地预审的通知》（自然资规〔2018〕3号）相关规定明确以下六类项目经批准可以占用永久基本农田：</w:t>
      </w:r>
      <w:r>
        <w:rPr>
          <w:rFonts w:ascii="宋体"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其他能源项目，包括国家级规划明确的且符合国家产业政策的能源开采、油气管线、水电、核电项目</w:t>
      </w:r>
      <w:r>
        <w:rPr>
          <w:rFonts w:ascii="宋体"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；以及自然资源部印发《两部关于加强和改进永久基本农田保护工作的通知》（自然资规〔2019〕1号）中相关规定，</w:t>
      </w:r>
      <w:r>
        <w:rPr>
          <w:rFonts w:ascii="宋体"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矿业权申请人依法申请战略性矿产探矿权，开展地质勘查需临时用地的，应依法办理临时用地审批手续。石油、天然气、页岩气、煤层气等油气战略性矿产的地质勘查，经批准可临时占用永久基本农田布设探井。在试采和取得采矿权后转为开采井的，可直接依法办理农用地转用和土地征收审批手续，按规定补划永久基本农田。</w:t>
      </w:r>
      <w:r>
        <w:rPr>
          <w:rFonts w:ascii="宋体" w:hAnsi="宋体"/>
          <w:color w:val="000000" w:themeColor="text1"/>
          <w:highlight w:val="none"/>
          <w14:textFill>
            <w14:solidFill>
              <w14:schemeClr w14:val="tx1"/>
            </w14:solidFill>
          </w14:textFill>
        </w:rPr>
        <w:t>”</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根据四川省自然资源厅《关于解决油气勘探开发用地问题的复函》（川自然资函〔2019〕197号）文件要求，油气勘探开发项目可在无法避让</w:t>
      </w:r>
      <w:r>
        <w:rPr>
          <w:rFonts w:hint="eastAsia"/>
          <w:color w:val="000000" w:themeColor="text1"/>
          <w:highlight w:val="none"/>
          <w14:textFill>
            <w14:solidFill>
              <w14:schemeClr w14:val="tx1"/>
            </w14:solidFill>
          </w14:textFill>
        </w:rPr>
        <w:t>永久</w:t>
      </w:r>
      <w:r>
        <w:rPr>
          <w:color w:val="000000" w:themeColor="text1"/>
          <w:highlight w:val="none"/>
          <w14:textFill>
            <w14:solidFill>
              <w14:schemeClr w14:val="tx1"/>
            </w14:solidFill>
          </w14:textFill>
        </w:rPr>
        <w:t>基本农田的情况下，办理临时用地。</w:t>
      </w:r>
    </w:p>
    <w:p>
      <w:pPr>
        <w:pStyle w:val="125"/>
        <w:ind w:firstLine="482"/>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本项目为天然气</w:t>
      </w:r>
      <w:r>
        <w:rPr>
          <w:rFonts w:hint="eastAsia"/>
          <w:b/>
          <w:bCs/>
          <w:color w:val="000000" w:themeColor="text1"/>
          <w:highlight w:val="none"/>
          <w14:textFill>
            <w14:solidFill>
              <w14:schemeClr w14:val="tx1"/>
            </w14:solidFill>
          </w14:textFill>
        </w:rPr>
        <w:t>试验性</w:t>
      </w:r>
      <w:r>
        <w:rPr>
          <w:b/>
          <w:bCs/>
          <w:color w:val="000000" w:themeColor="text1"/>
          <w:highlight w:val="none"/>
          <w14:textFill>
            <w14:solidFill>
              <w14:schemeClr w14:val="tx1"/>
            </w14:solidFill>
          </w14:textFill>
        </w:rPr>
        <w:t>探井</w:t>
      </w:r>
      <w:r>
        <w:rPr>
          <w:rFonts w:hint="eastAsia"/>
          <w:b/>
          <w:bCs/>
          <w:color w:val="000000" w:themeColor="text1"/>
          <w:highlight w:val="none"/>
          <w14:textFill>
            <w14:solidFill>
              <w14:schemeClr w14:val="tx1"/>
            </w14:solidFill>
          </w14:textFill>
        </w:rPr>
        <w:t>及试采</w:t>
      </w:r>
      <w:r>
        <w:rPr>
          <w:b/>
          <w:bCs/>
          <w:color w:val="000000" w:themeColor="text1"/>
          <w:highlight w:val="none"/>
          <w14:textFill>
            <w14:solidFill>
              <w14:schemeClr w14:val="tx1"/>
            </w14:solidFill>
          </w14:textFill>
        </w:rPr>
        <w:t>工程，</w:t>
      </w:r>
      <w:r>
        <w:rPr>
          <w:color w:val="000000" w:themeColor="text1"/>
          <w:highlight w:val="none"/>
          <w14:textFill>
            <w14:solidFill>
              <w14:schemeClr w14:val="tx1"/>
            </w14:solidFill>
          </w14:textFill>
        </w:rPr>
        <w:t>符合国家产业政策，项目占地均为临时占地，项目不涉及占用生态保护红线，</w:t>
      </w:r>
      <w:r>
        <w:rPr>
          <w:rFonts w:hint="eastAsia"/>
          <w:color w:val="000000" w:themeColor="text1"/>
          <w:highlight w:val="none"/>
          <w14:textFill>
            <w14:solidFill>
              <w14:schemeClr w14:val="tx1"/>
            </w14:solidFill>
          </w14:textFill>
        </w:rPr>
        <w:t>仅利旧的主放喷池及清水池</w:t>
      </w:r>
      <w:r>
        <w:rPr>
          <w:color w:val="000000" w:themeColor="text1"/>
          <w:highlight w:val="none"/>
          <w14:textFill>
            <w14:solidFill>
              <w14:schemeClr w14:val="tx1"/>
            </w14:solidFill>
          </w14:textFill>
        </w:rPr>
        <w:t>涉及</w:t>
      </w:r>
      <w:r>
        <w:rPr>
          <w:rFonts w:hint="eastAsia"/>
          <w:color w:val="000000" w:themeColor="text1"/>
          <w:highlight w:val="none"/>
          <w14:textFill>
            <w14:solidFill>
              <w14:schemeClr w14:val="tx1"/>
            </w14:solidFill>
          </w14:textFill>
        </w:rPr>
        <w:t>永久</w:t>
      </w:r>
      <w:r>
        <w:rPr>
          <w:color w:val="000000" w:themeColor="text1"/>
          <w:highlight w:val="none"/>
          <w14:textFill>
            <w14:solidFill>
              <w14:schemeClr w14:val="tx1"/>
            </w14:solidFill>
          </w14:textFill>
        </w:rPr>
        <w:t>基本农田。建设单位对临时占地除了在施工中采取措施减少</w:t>
      </w:r>
      <w:r>
        <w:rPr>
          <w:rFonts w:hint="eastAsia"/>
          <w:color w:val="000000" w:themeColor="text1"/>
          <w:highlight w:val="none"/>
          <w14:textFill>
            <w14:solidFill>
              <w14:schemeClr w14:val="tx1"/>
            </w14:solidFill>
          </w14:textFill>
        </w:rPr>
        <w:t>永久</w:t>
      </w:r>
      <w:r>
        <w:rPr>
          <w:color w:val="000000" w:themeColor="text1"/>
          <w:highlight w:val="none"/>
          <w14:textFill>
            <w14:solidFill>
              <w14:schemeClr w14:val="tx1"/>
            </w14:solidFill>
          </w14:textFill>
        </w:rPr>
        <w:t>基本农田破坏外，在施工结束后，对开挖破坏段耕地质量的恢复，除补偿因临时占地对农田产量的直接损失外，还将考虑施工结束后因土壤结构破坏、养分流失而造成的影响，对农作物产量的间接损失以及土壤恢复进行补偿，以用于耕作层土恢复。本项目属于（自然资规〔2018〕3号）中明确的</w:t>
      </w:r>
      <w:r>
        <w:rPr>
          <w:rFonts w:ascii="宋体"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符合国家产业政策的能源开采</w:t>
      </w:r>
      <w:r>
        <w:rPr>
          <w:rFonts w:ascii="宋体"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以及</w:t>
      </w:r>
      <w:r>
        <w:rPr>
          <w:rFonts w:ascii="宋体"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《自然资源部农业农村部关于加强和改进永久基本农田保护工作的通知》（自然资规〔2019〕1号）</w:t>
      </w:r>
      <w:r>
        <w:rPr>
          <w:rFonts w:ascii="宋体"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范畴。因此，</w:t>
      </w:r>
      <w:r>
        <w:rPr>
          <w:rFonts w:hint="eastAsia"/>
          <w:color w:val="000000" w:themeColor="text1"/>
          <w:highlight w:val="none"/>
          <w14:textFill>
            <w14:solidFill>
              <w14:schemeClr w14:val="tx1"/>
            </w14:solidFill>
          </w14:textFill>
        </w:rPr>
        <w:t>由于利旧的主放喷池及清水池涉及占用基本农田的手续已在前期大湾408井台钻井及试采工程中统一办理（见附件8），本工程仅需按</w:t>
      </w:r>
      <w:r>
        <w:rPr>
          <w:color w:val="000000" w:themeColor="text1"/>
          <w:highlight w:val="none"/>
          <w14:textFill>
            <w14:solidFill>
              <w14:schemeClr w14:val="tx1"/>
            </w14:solidFill>
          </w14:textFill>
        </w:rPr>
        <w:t>在施工结束后，</w:t>
      </w:r>
      <w:r>
        <w:rPr>
          <w:rFonts w:hint="eastAsia"/>
          <w:color w:val="000000" w:themeColor="text1"/>
          <w:highlight w:val="none"/>
          <w14:textFill>
            <w14:solidFill>
              <w14:schemeClr w14:val="tx1"/>
            </w14:solidFill>
          </w14:textFill>
        </w:rPr>
        <w:t>按要求对占用基本农田的利旧设施采取恢复措施后，即可满足基本农田的相关保护要求</w:t>
      </w:r>
      <w:r>
        <w:rPr>
          <w:color w:val="000000" w:themeColor="text1"/>
          <w:highlight w:val="none"/>
          <w14:textFill>
            <w14:solidFill>
              <w14:schemeClr w14:val="tx1"/>
            </w14:solidFill>
          </w14:textFill>
        </w:rPr>
        <w:t>。</w:t>
      </w:r>
    </w:p>
    <w:p>
      <w:pPr>
        <w:pStyle w:val="5"/>
        <w:ind w:firstLine="482"/>
        <w:rPr>
          <w:b/>
          <w:color w:val="000000" w:themeColor="text1"/>
          <w:kern w:val="0"/>
          <w:szCs w:val="21"/>
          <w:highlight w:val="none"/>
          <w14:textFill>
            <w14:solidFill>
              <w14:schemeClr w14:val="tx1"/>
            </w14:solidFill>
          </w14:textFill>
        </w:rPr>
      </w:pPr>
      <w:r>
        <w:rPr>
          <w:b/>
          <w:color w:val="000000" w:themeColor="text1"/>
          <w:kern w:val="0"/>
          <w:szCs w:val="21"/>
          <w:highlight w:val="none"/>
          <w14:textFill>
            <w14:solidFill>
              <w14:schemeClr w14:val="tx1"/>
            </w14:solidFill>
          </w14:textFill>
        </w:rPr>
        <w:t>本项目</w:t>
      </w:r>
      <w:r>
        <w:rPr>
          <w:rFonts w:hint="eastAsia"/>
          <w:b/>
          <w:color w:val="000000" w:themeColor="text1"/>
          <w:kern w:val="0"/>
          <w:szCs w:val="21"/>
          <w:highlight w:val="none"/>
          <w14:textFill>
            <w14:solidFill>
              <w14:schemeClr w14:val="tx1"/>
            </w14:solidFill>
          </w14:textFill>
        </w:rPr>
        <w:t>与《</w:t>
      </w:r>
      <w:r>
        <w:rPr>
          <w:b/>
          <w:color w:val="000000" w:themeColor="text1"/>
          <w:kern w:val="0"/>
          <w:szCs w:val="21"/>
          <w:highlight w:val="none"/>
          <w14:textFill>
            <w14:solidFill>
              <w14:schemeClr w14:val="tx1"/>
            </w14:solidFill>
          </w14:textFill>
        </w:rPr>
        <w:t>自然资源部办公厅关于进一步做好基础设施建设使用临时用地保障工作的通知</w:t>
      </w:r>
      <w:r>
        <w:rPr>
          <w:rFonts w:hint="eastAsia"/>
          <w:b/>
          <w:color w:val="000000" w:themeColor="text1"/>
          <w:kern w:val="0"/>
          <w:szCs w:val="21"/>
          <w:highlight w:val="none"/>
          <w14:textFill>
            <w14:solidFill>
              <w14:schemeClr w14:val="tx1"/>
            </w14:solidFill>
          </w14:textFill>
        </w:rPr>
        <w:t>》</w:t>
      </w:r>
      <w:r>
        <w:rPr>
          <w:b/>
          <w:color w:val="000000" w:themeColor="text1"/>
          <w:kern w:val="0"/>
          <w:szCs w:val="21"/>
          <w:highlight w:val="none"/>
          <w14:textFill>
            <w14:solidFill>
              <w14:schemeClr w14:val="tx1"/>
            </w14:solidFill>
          </w14:textFill>
        </w:rPr>
        <w:t>（自然资办函〔2024〕2159号）的符合性分析</w:t>
      </w:r>
    </w:p>
    <w:p>
      <w:pPr>
        <w:pStyle w:val="646"/>
        <w:ind w:firstLine="480"/>
        <w:rPr>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根据自然资源部办公厅关于进一步做好基础设施建设使用临时用地保障工作的通知（自然资办函〔2024〕2159号）中提出“能源（含能源基础设施建设中的油气探采合一涉及的钻井及配套设施）、交通、水利等基础设施使用临时用地，</w:t>
      </w:r>
      <w:r>
        <w:rPr>
          <w:rFonts w:hint="eastAsia"/>
          <w:b/>
          <w:bCs/>
          <w:color w:val="000000" w:themeColor="text1"/>
          <w:sz w:val="24"/>
          <w:szCs w:val="24"/>
          <w:highlight w:val="none"/>
          <w:lang w:eastAsia="zh-CN"/>
          <w14:textFill>
            <w14:solidFill>
              <w14:schemeClr w14:val="tx1"/>
            </w14:solidFill>
          </w14:textFill>
        </w:rPr>
        <w:t>首次申请使用期限不满四年的，用地单位可申请继续使用，总期限不超过四年</w:t>
      </w:r>
      <w:r>
        <w:rPr>
          <w:rFonts w:hint="eastAsia"/>
          <w:color w:val="000000" w:themeColor="text1"/>
          <w:sz w:val="24"/>
          <w:szCs w:val="24"/>
          <w:highlight w:val="none"/>
          <w:lang w:eastAsia="zh-CN"/>
          <w14:textFill>
            <w14:solidFill>
              <w14:schemeClr w14:val="tx1"/>
            </w14:solidFill>
          </w14:textFill>
        </w:rPr>
        <w:t>。申请继续使用的临时用地，应当符合临时用地使用要求、不改变用地位置和批准用途、不扩大用地规模和使用范围、确保完成复垦任务，由具备相应审批权限的自然资源主管部门批准，使用年限连续计算。”</w:t>
      </w:r>
    </w:p>
    <w:p>
      <w:pPr>
        <w:pStyle w:val="646"/>
        <w:ind w:firstLine="480"/>
        <w:rPr>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本项目属于能源项目，且建设单位正在同步办理相关用地手续，项目实施满足《自然资源部办公厅关于进一步做好基础设施建设使用临时用地保障工作的通知》（自然资办函〔2024〕2159号）。建设单位在钻井工程施工过程中应做好临时占地表土集中堆放、截排水沟、表面覆盖等水土流失控制措施，临时占用应及时按土地复垦方式实施临时占地生态恢复，确保临时占地土地使用功能不降低。</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与</w:t>
      </w:r>
      <w:r>
        <w:rPr>
          <w:color w:val="000000" w:themeColor="text1"/>
          <w:highlight w:val="none"/>
          <w14:textFill>
            <w14:solidFill>
              <w14:schemeClr w14:val="tx1"/>
            </w14:solidFill>
          </w14:textFill>
        </w:rPr>
        <w:t>《自然资源部关于规范临时用地管理的通知》（自然资规〔2021〕2号）</w:t>
      </w:r>
      <w:r>
        <w:rPr>
          <w:rFonts w:hint="eastAsia"/>
          <w:color w:val="000000" w:themeColor="text1"/>
          <w:highlight w:val="none"/>
          <w14:textFill>
            <w14:solidFill>
              <w14:schemeClr w14:val="tx1"/>
            </w14:solidFill>
          </w14:textFill>
        </w:rPr>
        <w:t>、《四川省自然资源厅关于进一步明确临时用地管理有关事项的通知》（川自然资规〔2022〕3号）</w:t>
      </w:r>
      <w:r>
        <w:rPr>
          <w:color w:val="000000" w:themeColor="text1"/>
          <w:highlight w:val="none"/>
          <w14:textFill>
            <w14:solidFill>
              <w14:schemeClr w14:val="tx1"/>
            </w14:solidFill>
          </w14:textFill>
        </w:rPr>
        <w:t>的符合性分析</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本项目与《自然资源部关于规范临时用地管理的通知》（自然资规〔2021〕2号）、《四川省自然资源厅关于进一步明确临时用地管理有关事项的通知》（川自然资规〔2022〕3号）的符合性见下表：</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 xml:space="preserve"> 与《自然资源部关于规范临时用地管理的通知》和《四川省自然资源厅关于进一步明确临时用地管理有关事项的通知》的符合性分析</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84"/>
        <w:gridCol w:w="4163"/>
        <w:gridCol w:w="2607"/>
        <w:gridCol w:w="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2532"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自然资源部关于规范临时用地管理的通知要求</w:t>
            </w:r>
          </w:p>
        </w:tc>
        <w:tc>
          <w:tcPr>
            <w:tcW w:w="158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w:t>
            </w:r>
          </w:p>
        </w:tc>
        <w:tc>
          <w:tcPr>
            <w:tcW w:w="527"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2532" w:type="pct"/>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进一步规范临时用地审批。临时用地审批权不得下放或委托相关部门行使。涉及占用耕地和永久基本农田的临时用地，由市级自然资源主管部门负责审批，不涉及的由县级自然资源主管部门负责审批。需要临时使用林地的，应当按照《中华人民共和国森林法》有关规定进行临时用地审批。临时用地位于地质灾害易发区进行工程建设的，申请人应按照《地质灾害防治条例》有关规定提供地质灾害危险性评估报告，并落实防治措施</w:t>
            </w:r>
            <w:r>
              <w:rPr>
                <w:color w:val="000000" w:themeColor="text1"/>
                <w:highlight w:val="none"/>
                <w14:textFill>
                  <w14:solidFill>
                    <w14:schemeClr w14:val="tx1"/>
                  </w14:solidFill>
                </w14:textFill>
              </w:rPr>
              <w:t>。</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w:t>
            </w:r>
            <w:r>
              <w:rPr>
                <w:rFonts w:hint="eastAsia"/>
                <w:color w:val="000000" w:themeColor="text1"/>
                <w:highlight w:val="none"/>
                <w14:textFill>
                  <w14:solidFill>
                    <w14:schemeClr w14:val="tx1"/>
                  </w14:solidFill>
                </w14:textFill>
              </w:rPr>
              <w:t>项目利旧的主放喷池及清水池涉及占用基本农田的手续已在前期大湾408井台钻井及试采工程中统一办理（见附件8），本工程仅需按</w:t>
            </w:r>
            <w:r>
              <w:rPr>
                <w:color w:val="000000" w:themeColor="text1"/>
                <w:highlight w:val="none"/>
                <w14:textFill>
                  <w14:solidFill>
                    <w14:schemeClr w14:val="tx1"/>
                  </w14:solidFill>
                </w14:textFill>
              </w:rPr>
              <w:t>在施工结束后，</w:t>
            </w:r>
            <w:r>
              <w:rPr>
                <w:rFonts w:hint="eastAsia"/>
                <w:color w:val="000000" w:themeColor="text1"/>
                <w:highlight w:val="none"/>
                <w14:textFill>
                  <w14:solidFill>
                    <w14:schemeClr w14:val="tx1"/>
                  </w14:solidFill>
                </w14:textFill>
              </w:rPr>
              <w:t>按要求对占用基本农田的利旧设施采取恢复措施后，即可满足基本农田的相关保护要求。此外，本项目还将严格按照《地质灾害防治条例》有关规定提供地质灾害危险性评估报告，并落实防治措施</w:t>
            </w:r>
            <w:r>
              <w:rPr>
                <w:color w:val="000000" w:themeColor="text1"/>
                <w:highlight w:val="none"/>
                <w14:textFill>
                  <w14:solidFill>
                    <w14:schemeClr w14:val="tx1"/>
                  </w14:solidFill>
                </w14:textFill>
              </w:rPr>
              <w:t>。</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2532" w:type="pct"/>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进一步落实临时用地恢复责任。县级自然资源主管部门负责审查临时用地土地复垦方案，并在土地复垦义务人完成复垦工作后，会同农业农村等相关部门开展复垦验收。审批临时用地的市、县级自然资源主管部门，应通知申请人根据《土地复垦条例实施办法》有关规定办理土地复垦费用预存手续</w:t>
            </w:r>
            <w:r>
              <w:rPr>
                <w:color w:val="000000" w:themeColor="text1"/>
                <w:highlight w:val="none"/>
                <w14:textFill>
                  <w14:solidFill>
                    <w14:schemeClr w14:val="tx1"/>
                  </w14:solidFill>
                </w14:textFill>
              </w:rPr>
              <w:t>。</w:t>
            </w:r>
          </w:p>
        </w:tc>
        <w:tc>
          <w:tcPr>
            <w:tcW w:w="1586" w:type="pct"/>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本项目严格缴纳复垦保证金，根据《土地复垦条例实施办法》有关规定办理土地复垦费用预存手续。</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2532" w:type="pct"/>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进一步强化永久基本农田特殊保护。市、县级自然资源主管部门要严格耕地用途管制，临时用地应尽量不占或少占耕地，原则上不占用永久基本农田。确需占用永久基本农田的，县级自然资源主管部门应在前期选址阶段，实地核实永久基本农田地块的空间位置、地类、面积、质量状况、利用现状等，组织编制临时用地踏勘报告，并对占用永久基本农田的必要性和合理性进行严格论证，报市级自然资源主管部门审查</w:t>
            </w:r>
            <w:r>
              <w:rPr>
                <w:color w:val="000000" w:themeColor="text1"/>
                <w:highlight w:val="none"/>
                <w14:textFill>
                  <w14:solidFill>
                    <w14:schemeClr w14:val="tx1"/>
                  </w14:solidFill>
                </w14:textFill>
              </w:rPr>
              <w:t>。</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本项目新增用地</w:t>
            </w:r>
            <w:r>
              <w:rPr>
                <w:rFonts w:hint="eastAsia"/>
                <w:color w:val="000000" w:themeColor="text1"/>
                <w:highlight w:val="none"/>
                <w14:textFill>
                  <w14:solidFill>
                    <w14:schemeClr w14:val="tx1"/>
                  </w14:solidFill>
                </w14:textFill>
              </w:rPr>
              <w:t>不</w:t>
            </w:r>
            <w:r>
              <w:rPr>
                <w:color w:val="000000" w:themeColor="text1"/>
                <w:highlight w:val="none"/>
                <w14:textFill>
                  <w14:solidFill>
                    <w14:schemeClr w14:val="tx1"/>
                  </w14:solidFill>
                </w14:textFill>
              </w:rPr>
              <w:t>涉及</w:t>
            </w:r>
            <w:r>
              <w:rPr>
                <w:rFonts w:hint="eastAsia"/>
                <w:color w:val="000000" w:themeColor="text1"/>
                <w:highlight w:val="none"/>
                <w14:textFill>
                  <w14:solidFill>
                    <w14:schemeClr w14:val="tx1"/>
                  </w14:solidFill>
                </w14:textFill>
              </w:rPr>
              <w:t>永久</w:t>
            </w:r>
            <w:r>
              <w:rPr>
                <w:color w:val="000000" w:themeColor="text1"/>
                <w:highlight w:val="none"/>
                <w14:textFill>
                  <w14:solidFill>
                    <w14:schemeClr w14:val="tx1"/>
                  </w14:solidFill>
                </w14:textFill>
              </w:rPr>
              <w:t>基本农田，</w:t>
            </w:r>
            <w:r>
              <w:rPr>
                <w:rFonts w:hint="eastAsia"/>
                <w:color w:val="000000" w:themeColor="text1"/>
                <w:highlight w:val="none"/>
                <w14:textFill>
                  <w14:solidFill>
                    <w14:schemeClr w14:val="tx1"/>
                  </w14:solidFill>
                </w14:textFill>
              </w:rPr>
              <w:t>利旧的主放喷池及清水池涉及占用基本农田的手续已在前期大湾408井台钻井及试采工程中统一办理（见附件8），</w:t>
            </w:r>
            <w:r>
              <w:rPr>
                <w:color w:val="000000" w:themeColor="text1"/>
                <w:highlight w:val="none"/>
                <w14:textFill>
                  <w14:solidFill>
                    <w14:schemeClr w14:val="tx1"/>
                  </w14:solidFill>
                </w14:textFill>
              </w:rPr>
              <w:t>本项目临时用地施工结束后将</w:t>
            </w:r>
            <w:r>
              <w:rPr>
                <w:rFonts w:hint="eastAsia"/>
                <w:color w:val="000000" w:themeColor="text1"/>
                <w:highlight w:val="none"/>
                <w14:textFill>
                  <w14:solidFill>
                    <w14:schemeClr w14:val="tx1"/>
                  </w14:solidFill>
                </w14:textFill>
              </w:rPr>
              <w:t>对其</w:t>
            </w:r>
            <w:r>
              <w:rPr>
                <w:color w:val="000000" w:themeColor="text1"/>
                <w:highlight w:val="none"/>
                <w14:textFill>
                  <w14:solidFill>
                    <w14:schemeClr w14:val="tx1"/>
                  </w14:solidFill>
                </w14:textFill>
              </w:rPr>
              <w:t>立即进行复垦</w:t>
            </w:r>
            <w:r>
              <w:rPr>
                <w:rFonts w:hint="eastAsia"/>
                <w:color w:val="000000" w:themeColor="text1"/>
                <w:highlight w:val="none"/>
                <w14:textFill>
                  <w14:solidFill>
                    <w14:schemeClr w14:val="tx1"/>
                  </w14:solidFill>
                </w14:textFill>
              </w:rPr>
              <w:t>。</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2532" w:type="pct"/>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进一步严格临时用地监管。市、县级自然资源主管部门应按照相关规定对临时用地选址、审批、备案、使用、复垦进行严格审核把关、依法监督检查，严禁违规认定临时用地，严禁在法律法规规定的禁止区域审批临时用地，严禁擅自扩大临时用地审批范围和延长使用期限，严禁以临时用地名义规避建设用地审批手续特别是建设占用耕地和永久基本农田，要坚持节约集约用地，切实保障临时用地依法管理、有序使用、及时恢复</w:t>
            </w:r>
            <w:r>
              <w:rPr>
                <w:color w:val="000000" w:themeColor="text1"/>
                <w:highlight w:val="none"/>
                <w14:textFill>
                  <w14:solidFill>
                    <w14:schemeClr w14:val="tx1"/>
                  </w14:solidFill>
                </w14:textFill>
              </w:rPr>
              <w:t>。</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w:t>
            </w:r>
            <w:r>
              <w:rPr>
                <w:rFonts w:hint="eastAsia"/>
                <w:color w:val="000000" w:themeColor="text1"/>
                <w:highlight w:val="none"/>
                <w14:textFill>
                  <w14:solidFill>
                    <w14:schemeClr w14:val="tx1"/>
                  </w14:solidFill>
                </w14:textFill>
              </w:rPr>
              <w:t>坚持节约集约用地，切实保障临时用地依法管理、有序使用、及时恢复。</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5"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2532" w:type="pct"/>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进一步加强临时用地监督检查。自然资源厅建立定期抽查和定期通报制度，组织厅机关相关处（室、局）和直属单位对全省临时用地审批、备案、使用、复垦情况进行监督检查，加强临时用地信息化管理，对不符合用地要求和未按要求完成复垦任务的，予以公开通报，责令限期改正，并依据法律法规的规定对违法违规问题严肃处理。</w:t>
            </w:r>
          </w:p>
        </w:tc>
        <w:tc>
          <w:tcPr>
            <w:tcW w:w="1586" w:type="pct"/>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建设单位严格按照主管部门要求办理临时用地手续，并严禁超范围占用，及时对临时用地进行复垦。</w:t>
            </w:r>
          </w:p>
        </w:tc>
        <w:tc>
          <w:tcPr>
            <w:tcW w:w="527"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w:t>
            </w:r>
          </w:p>
        </w:tc>
      </w:tr>
    </w:tbl>
    <w:p>
      <w:pPr>
        <w:pStyle w:val="21"/>
        <w:spacing w:before="163" w:beforeLines="5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综上所述，本项目新增的临时占地与《自然资源部关于规范临时用地管理的通知》（自然资规〔2021〕2号）、《四川省自然资源厅关于进一步明确临时用地管理有关事项的通知》（川自然资规〔2022〕3号）中相关要求相符</w:t>
      </w:r>
      <w:r>
        <w:rPr>
          <w:rFonts w:hint="eastAsia" w:ascii="Times New Roman" w:hAnsi="Times New Roman"/>
          <w:color w:val="000000" w:themeColor="text1"/>
          <w:highlight w:val="none"/>
          <w:lang w:eastAsia="zh-CN"/>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与《达州市生态环境局办公室关于进一步加强固废污染防治工作通知》（达市环办发〔2019〕49号）</w:t>
      </w:r>
      <w:r>
        <w:rPr>
          <w:color w:val="000000" w:themeColor="text1"/>
          <w:highlight w:val="none"/>
          <w14:textFill>
            <w14:solidFill>
              <w14:schemeClr w14:val="tx1"/>
            </w14:solidFill>
          </w14:textFill>
        </w:rPr>
        <w:t>的符合性分析</w:t>
      </w:r>
    </w:p>
    <w:p>
      <w:pPr>
        <w:pStyle w:val="21"/>
        <w:spacing w:before="0"/>
        <w:ind w:left="0" w:firstLine="480"/>
        <w:jc w:val="both"/>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根据《达州市生态环境局办公室关于进一步加强固体废物污染防治工作的通知》（达市环办发〔</w:t>
      </w:r>
      <w:r>
        <w:rPr>
          <w:color w:val="000000" w:themeColor="text1"/>
          <w:highlight w:val="none"/>
          <w:lang w:eastAsia="zh-CN"/>
          <w14:textFill>
            <w14:solidFill>
              <w14:schemeClr w14:val="tx1"/>
            </w14:solidFill>
          </w14:textFill>
        </w:rPr>
        <w:t>2021〕24号）</w:t>
      </w:r>
      <w:r>
        <w:rPr>
          <w:rFonts w:hint="eastAsia"/>
          <w:color w:val="000000" w:themeColor="text1"/>
          <w:highlight w:val="none"/>
          <w:lang w:eastAsia="zh-CN"/>
          <w14:textFill>
            <w14:solidFill>
              <w14:schemeClr w14:val="tx1"/>
            </w14:solidFill>
          </w14:textFill>
        </w:rPr>
        <w:t>中的</w:t>
      </w:r>
      <w:r>
        <w:rPr>
          <w:color w:val="000000" w:themeColor="text1"/>
          <w:highlight w:val="none"/>
          <w:lang w:eastAsia="zh-CN"/>
          <w14:textFill>
            <w14:solidFill>
              <w14:schemeClr w14:val="tx1"/>
            </w14:solidFill>
          </w14:textFill>
        </w:rPr>
        <w:t>要求，本项目</w:t>
      </w:r>
      <w:r>
        <w:rPr>
          <w:rFonts w:hint="eastAsia"/>
          <w:color w:val="000000" w:themeColor="text1"/>
          <w:highlight w:val="none"/>
          <w:lang w:eastAsia="zh-CN"/>
          <w14:textFill>
            <w14:solidFill>
              <w14:schemeClr w14:val="tx1"/>
            </w14:solidFill>
          </w14:textFill>
        </w:rPr>
        <w:t>施工期</w:t>
      </w:r>
      <w:r>
        <w:rPr>
          <w:color w:val="000000" w:themeColor="text1"/>
          <w:highlight w:val="none"/>
          <w:lang w:eastAsia="zh-CN"/>
          <w14:textFill>
            <w14:solidFill>
              <w14:schemeClr w14:val="tx1"/>
            </w14:solidFill>
          </w14:textFill>
        </w:rPr>
        <w:t>产生的生活垃圾交由环卫</w:t>
      </w:r>
      <w:r>
        <w:rPr>
          <w:rFonts w:hint="eastAsia"/>
          <w:color w:val="000000" w:themeColor="text1"/>
          <w:highlight w:val="none"/>
          <w:lang w:eastAsia="zh-CN"/>
          <w14:textFill>
            <w14:solidFill>
              <w14:schemeClr w14:val="tx1"/>
            </w14:solidFill>
          </w14:textFill>
        </w:rPr>
        <w:t>部门</w:t>
      </w:r>
      <w:r>
        <w:rPr>
          <w:color w:val="000000" w:themeColor="text1"/>
          <w:highlight w:val="none"/>
          <w:lang w:eastAsia="zh-CN"/>
          <w14:textFill>
            <w14:solidFill>
              <w14:schemeClr w14:val="tx1"/>
            </w14:solidFill>
          </w14:textFill>
        </w:rPr>
        <w:t>处置，本项目水基钻井固废经泥浆不落地工艺固液分离后在泥浆不落地装置附近设置钻井固废暂存区由收集罐收集后临时暂存，及时就近交给依法取得生态环境部门关于利用和处置相关工业固体废物项目环评批复、具有处理处置相应固体废物能力并配套建设有废气、废水、固废等污染物治理设施的单位进行资源化利用。</w:t>
      </w:r>
      <w:r>
        <w:rPr>
          <w:rFonts w:hint="eastAsia"/>
          <w:color w:val="000000" w:themeColor="text1"/>
          <w:highlight w:val="none"/>
          <w:lang w:eastAsia="zh-CN"/>
          <w14:textFill>
            <w14:solidFill>
              <w14:schemeClr w14:val="tx1"/>
            </w14:solidFill>
          </w14:textFill>
        </w:rPr>
        <w:t>仅三开段钻遇特殊地层时，才会涉及油基钻井</w:t>
      </w:r>
      <w:r>
        <w:rPr>
          <w:color w:val="000000" w:themeColor="text1"/>
          <w:highlight w:val="none"/>
          <w:lang w:eastAsia="zh-CN"/>
          <w14:textFill>
            <w14:solidFill>
              <w14:schemeClr w14:val="tx1"/>
            </w14:solidFill>
          </w14:textFill>
        </w:rPr>
        <w:t>，产生的油基钻井废泥浆及岩屑由危废暂存场所（采取必要的防风、防晒、防雨、防漏、防渗、防腐以及其他环境污染防治措施，不得露天堆放危险废物）暂存，定期交由资质单位处置。</w:t>
      </w:r>
      <w:r>
        <w:rPr>
          <w:rFonts w:hint="eastAsia"/>
          <w:color w:val="000000" w:themeColor="text1"/>
          <w:highlight w:val="none"/>
          <w:lang w:eastAsia="zh-CN"/>
          <w14:textFill>
            <w14:solidFill>
              <w14:schemeClr w14:val="tx1"/>
            </w14:solidFill>
          </w14:textFill>
        </w:rPr>
        <w:t>本项目不涉及尾矿库、排土场和渣场等，也不使用农药，污染物</w:t>
      </w:r>
      <w:r>
        <w:rPr>
          <w:color w:val="000000" w:themeColor="text1"/>
          <w:highlight w:val="none"/>
          <w:lang w:eastAsia="zh-CN"/>
          <w14:textFill>
            <w14:solidFill>
              <w14:schemeClr w14:val="tx1"/>
            </w14:solidFill>
          </w14:textFill>
        </w:rPr>
        <w:t>均不会进入农田。</w:t>
      </w:r>
      <w:r>
        <w:rPr>
          <w:rFonts w:hint="eastAsia"/>
          <w:color w:val="000000" w:themeColor="text1"/>
          <w:highlight w:val="none"/>
          <w:lang w:eastAsia="zh-CN"/>
          <w14:textFill>
            <w14:solidFill>
              <w14:schemeClr w14:val="tx1"/>
            </w14:solidFill>
          </w14:textFill>
        </w:rPr>
        <w:t xml:space="preserve">   </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因此，本项目的固废处置措施，与《达州市生态环境局办公室关于进一步加强固废污染防治工作通知》（达市环办发〔2019〕49号）</w:t>
      </w:r>
      <w:r>
        <w:rPr>
          <w:rFonts w:ascii="Times New Roman" w:hAnsi="Times New Roman"/>
          <w:color w:val="000000" w:themeColor="text1"/>
          <w:highlight w:val="none"/>
          <w:lang w:eastAsia="zh-CN"/>
          <w14:textFill>
            <w14:solidFill>
              <w14:schemeClr w14:val="tx1"/>
            </w14:solidFill>
          </w14:textFill>
        </w:rPr>
        <w:t>中</w:t>
      </w:r>
      <w:r>
        <w:rPr>
          <w:rFonts w:hint="eastAsia" w:ascii="Times New Roman" w:hAnsi="Times New Roman"/>
          <w:color w:val="000000" w:themeColor="text1"/>
          <w:highlight w:val="none"/>
          <w:lang w:eastAsia="zh-CN"/>
          <w14:textFill>
            <w14:solidFill>
              <w14:schemeClr w14:val="tx1"/>
            </w14:solidFill>
          </w14:textFill>
        </w:rPr>
        <w:t>的要</w:t>
      </w:r>
      <w:r>
        <w:rPr>
          <w:rFonts w:ascii="Times New Roman" w:hAnsi="Times New Roman"/>
          <w:color w:val="000000" w:themeColor="text1"/>
          <w:highlight w:val="none"/>
          <w:lang w:eastAsia="zh-CN"/>
          <w14:textFill>
            <w14:solidFill>
              <w14:schemeClr w14:val="tx1"/>
            </w14:solidFill>
          </w14:textFill>
        </w:rPr>
        <w:t>相关要求相符</w:t>
      </w:r>
      <w:r>
        <w:rPr>
          <w:rFonts w:hint="eastAsia" w:ascii="Times New Roman" w:hAnsi="Times New Roman"/>
          <w:color w:val="000000" w:themeColor="text1"/>
          <w:highlight w:val="none"/>
          <w:lang w:eastAsia="zh-CN"/>
          <w14:textFill>
            <w14:solidFill>
              <w14:schemeClr w14:val="tx1"/>
            </w14:solidFill>
          </w14:textFill>
        </w:rPr>
        <w:t>。</w:t>
      </w:r>
    </w:p>
    <w:p>
      <w:pPr>
        <w:pStyle w:val="5"/>
        <w:ind w:firstLine="480"/>
        <w:rPr>
          <w:color w:val="000000" w:themeColor="text1"/>
          <w:highlight w:val="none"/>
          <w14:textFill>
            <w14:solidFill>
              <w14:schemeClr w14:val="tx1"/>
            </w14:solidFill>
          </w14:textFill>
        </w:rPr>
      </w:pPr>
      <w:bookmarkStart w:id="89" w:name="_Toc120173081"/>
      <w:r>
        <w:rPr>
          <w:color w:val="000000" w:themeColor="text1"/>
          <w:highlight w:val="none"/>
          <w14:textFill>
            <w14:solidFill>
              <w14:schemeClr w14:val="tx1"/>
            </w14:solidFill>
          </w14:textFill>
        </w:rPr>
        <w:t>与</w:t>
      </w:r>
      <w:r>
        <w:rPr>
          <w:rFonts w:hint="eastAsia"/>
          <w:color w:val="000000" w:themeColor="text1"/>
          <w:highlight w:val="none"/>
          <w14:textFill>
            <w14:solidFill>
              <w14:schemeClr w14:val="tx1"/>
            </w14:solidFill>
          </w14:textFill>
        </w:rPr>
        <w:t>城乡</w:t>
      </w:r>
      <w:r>
        <w:rPr>
          <w:color w:val="000000" w:themeColor="text1"/>
          <w:highlight w:val="none"/>
          <w14:textFill>
            <w14:solidFill>
              <w14:schemeClr w14:val="tx1"/>
            </w14:solidFill>
          </w14:textFill>
        </w:rPr>
        <w:t>规划符合性分析</w:t>
      </w:r>
      <w:bookmarkEnd w:id="89"/>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根据现场调查</w:t>
      </w:r>
      <w:r>
        <w:rPr>
          <w:rFonts w:hint="eastAsia" w:ascii="Times New Roman" w:hAnsi="Times New Roman"/>
          <w:color w:val="000000" w:themeColor="text1"/>
          <w:highlight w:val="none"/>
          <w:lang w:eastAsia="zh-CN"/>
          <w14:textFill>
            <w14:solidFill>
              <w14:schemeClr w14:val="tx1"/>
            </w14:solidFill>
          </w14:textFill>
        </w:rPr>
        <w:t>和</w:t>
      </w:r>
      <w:r>
        <w:rPr>
          <w:rFonts w:hint="eastAsia"/>
          <w:color w:val="000000" w:themeColor="text1"/>
          <w:highlight w:val="none"/>
          <w:lang w:eastAsia="zh-CN"/>
          <w14:textFill>
            <w14:solidFill>
              <w14:schemeClr w14:val="tx1"/>
            </w14:solidFill>
          </w14:textFill>
        </w:rPr>
        <w:t>与宣汉县城镇开发边界叠图</w:t>
      </w:r>
      <w:r>
        <w:rPr>
          <w:color w:val="000000" w:themeColor="text1"/>
          <w:highlight w:val="none"/>
          <w:lang w:eastAsia="zh-CN"/>
          <w14:textFill>
            <w14:solidFill>
              <w14:schemeClr w14:val="tx1"/>
            </w14:solidFill>
          </w14:textFill>
        </w:rPr>
        <w:t>，</w:t>
      </w:r>
      <w:r>
        <w:rPr>
          <w:rFonts w:ascii="Times New Roman" w:hAnsi="Times New Roman"/>
          <w:color w:val="000000" w:themeColor="text1"/>
          <w:highlight w:val="none"/>
          <w:lang w:eastAsia="zh-CN"/>
          <w14:textFill>
            <w14:solidFill>
              <w14:schemeClr w14:val="tx1"/>
            </w14:solidFill>
          </w14:textFill>
        </w:rPr>
        <w:t>项目位于农村地区，距离</w:t>
      </w:r>
      <w:r>
        <w:rPr>
          <w:rFonts w:hint="eastAsia" w:ascii="Times New Roman" w:hAnsi="Times New Roman"/>
          <w:color w:val="000000" w:themeColor="text1"/>
          <w:highlight w:val="none"/>
          <w:lang w:eastAsia="zh-CN"/>
          <w14:textFill>
            <w14:solidFill>
              <w14:schemeClr w14:val="tx1"/>
            </w14:solidFill>
          </w14:textFill>
        </w:rPr>
        <w:t>罗文</w:t>
      </w:r>
      <w:r>
        <w:rPr>
          <w:rFonts w:ascii="Times New Roman" w:hAnsi="Times New Roman"/>
          <w:color w:val="000000" w:themeColor="text1"/>
          <w:highlight w:val="none"/>
          <w:lang w:eastAsia="zh-CN"/>
          <w14:textFill>
            <w14:solidFill>
              <w14:schemeClr w14:val="tx1"/>
            </w14:solidFill>
          </w14:textFill>
        </w:rPr>
        <w:t>镇约4.7km，</w:t>
      </w:r>
      <w:r>
        <w:rPr>
          <w:rFonts w:hint="eastAsia" w:ascii="Times New Roman" w:hAnsi="Times New Roman"/>
          <w:color w:val="000000" w:themeColor="text1"/>
          <w:highlight w:val="none"/>
          <w:lang w:eastAsia="zh-CN"/>
          <w14:textFill>
            <w14:solidFill>
              <w14:schemeClr w14:val="tx1"/>
            </w14:solidFill>
          </w14:textFill>
        </w:rPr>
        <w:t>距离黄金镇5</w:t>
      </w:r>
      <w:r>
        <w:rPr>
          <w:rFonts w:ascii="Times New Roman" w:hAnsi="Times New Roman"/>
          <w:color w:val="000000" w:themeColor="text1"/>
          <w:highlight w:val="none"/>
          <w:lang w:eastAsia="zh-CN"/>
          <w14:textFill>
            <w14:solidFill>
              <w14:schemeClr w14:val="tx1"/>
            </w14:solidFill>
          </w14:textFill>
        </w:rPr>
        <w:t>.2</w:t>
      </w:r>
      <w:r>
        <w:rPr>
          <w:rFonts w:hint="eastAsia" w:ascii="Times New Roman" w:hAnsi="Times New Roman"/>
          <w:color w:val="000000" w:themeColor="text1"/>
          <w:highlight w:val="none"/>
          <w:lang w:eastAsia="zh-CN"/>
          <w14:textFill>
            <w14:solidFill>
              <w14:schemeClr w14:val="tx1"/>
            </w14:solidFill>
          </w14:textFill>
        </w:rPr>
        <w:t>km，</w:t>
      </w:r>
      <w:r>
        <w:rPr>
          <w:rFonts w:ascii="Times New Roman" w:hAnsi="Times New Roman"/>
          <w:color w:val="000000" w:themeColor="text1"/>
          <w:highlight w:val="none"/>
          <w:lang w:eastAsia="zh-CN"/>
          <w14:textFill>
            <w14:solidFill>
              <w14:schemeClr w14:val="tx1"/>
            </w14:solidFill>
          </w14:textFill>
        </w:rPr>
        <w:t>距离毛坝镇约7.2km，远离乡镇，不涉及乡镇规划建城范围</w:t>
      </w:r>
      <w:r>
        <w:rPr>
          <w:color w:val="000000" w:themeColor="text1"/>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同时对照项目与区域城镇开发边界套合图（附图7），项目未处于城镇开发边界范围内</w:t>
      </w:r>
      <w:r>
        <w:rPr>
          <w:rFonts w:ascii="Times New Roman" w:hAnsi="Times New Roman"/>
          <w:color w:val="000000" w:themeColor="text1"/>
          <w:highlight w:val="none"/>
          <w:lang w:eastAsia="zh-CN"/>
          <w14:textFill>
            <w14:solidFill>
              <w14:schemeClr w14:val="tx1"/>
            </w14:solidFill>
          </w14:textFill>
        </w:rPr>
        <w:t>。</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综上所述，</w:t>
      </w:r>
      <w:r>
        <w:rPr>
          <w:color w:val="000000" w:themeColor="text1"/>
          <w:highlight w:val="none"/>
          <w:lang w:eastAsia="zh-CN"/>
          <w14:textFill>
            <w14:solidFill>
              <w14:schemeClr w14:val="tx1"/>
            </w14:solidFill>
          </w14:textFill>
        </w:rPr>
        <w:t>本项目选址符合当地城乡规划。</w:t>
      </w:r>
      <w:r>
        <w:rPr>
          <w:rFonts w:ascii="Times New Roman" w:hAnsi="Times New Roman"/>
          <w:color w:val="000000" w:themeColor="text1"/>
          <w:highlight w:val="none"/>
          <w:lang w:eastAsia="zh-CN"/>
          <w14:textFill>
            <w14:solidFill>
              <w14:schemeClr w14:val="tx1"/>
            </w14:solidFill>
          </w14:textFill>
        </w:rPr>
        <w:t>项目建设前，建设单位应向宣汉县自然资源和规划局提出工程用地申请，得到批复后方可动工。</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与达州市“三区三线”的符合性分析</w:t>
      </w:r>
    </w:p>
    <w:p>
      <w:pPr>
        <w:pStyle w:val="21"/>
        <w:tabs>
          <w:tab w:val="left" w:pos="863"/>
        </w:tabs>
        <w:spacing w:before="0"/>
        <w:ind w:left="0" w:firstLine="480"/>
        <w:rPr>
          <w:rFonts w:ascii="Times New Roman" w:hAnsi="Times New Roman"/>
          <w:color w:val="000000" w:themeColor="text1"/>
          <w:kern w:val="2"/>
          <w:szCs w:val="22"/>
          <w:highlight w:val="none"/>
          <w:lang w:eastAsia="zh-CN"/>
          <w14:textFill>
            <w14:solidFill>
              <w14:schemeClr w14:val="tx1"/>
            </w14:solidFill>
          </w14:textFill>
        </w:rPr>
      </w:pPr>
      <w:r>
        <w:rPr>
          <w:rFonts w:hint="eastAsia" w:ascii="Times New Roman" w:hAnsi="Times New Roman"/>
          <w:color w:val="000000" w:themeColor="text1"/>
          <w:kern w:val="2"/>
          <w:szCs w:val="22"/>
          <w:highlight w:val="none"/>
          <w:lang w:eastAsia="zh-CN"/>
          <w14:textFill>
            <w14:solidFill>
              <w14:schemeClr w14:val="tx1"/>
            </w14:solidFill>
          </w14:textFill>
        </w:rPr>
        <w:t>（1）与达州市《达州市国土空间总体规划（2021-2035）》的符合性分析</w:t>
      </w:r>
    </w:p>
    <w:p>
      <w:pPr>
        <w:pStyle w:val="21"/>
        <w:tabs>
          <w:tab w:val="left" w:pos="863"/>
        </w:tabs>
        <w:spacing w:before="0"/>
        <w:ind w:left="0" w:firstLine="480"/>
        <w:rPr>
          <w:rFonts w:hint="eastAsia"/>
          <w:color w:val="000000" w:themeColor="text1"/>
          <w:highlight w:val="none"/>
          <w:lang w:eastAsia="zh-CN"/>
          <w14:textFill>
            <w14:solidFill>
              <w14:schemeClr w14:val="tx1"/>
            </w14:solidFill>
          </w14:textFill>
        </w:rPr>
      </w:pPr>
      <w:r>
        <w:rPr>
          <w:rFonts w:hint="eastAsia" w:ascii="Times New Roman" w:hAnsi="Times New Roman"/>
          <w:color w:val="000000" w:themeColor="text1"/>
          <w:kern w:val="2"/>
          <w:szCs w:val="22"/>
          <w:highlight w:val="none"/>
          <w:lang w:eastAsia="zh-CN"/>
          <w14:textFill>
            <w14:solidFill>
              <w14:schemeClr w14:val="tx1"/>
            </w14:solidFill>
          </w14:textFill>
        </w:rPr>
        <w:t>根据《达州市国土空间总体规划（2021-2035）》中的要求：“强化底线约束，严格管控‘</w:t>
      </w:r>
      <w:r>
        <w:rPr>
          <w:rFonts w:ascii="Times New Roman" w:hAnsi="Times New Roman"/>
          <w:color w:val="000000" w:themeColor="text1"/>
          <w:kern w:val="2"/>
          <w:szCs w:val="22"/>
          <w:highlight w:val="none"/>
          <w:lang w:eastAsia="zh-CN"/>
          <w14:textFill>
            <w14:solidFill>
              <w14:schemeClr w14:val="tx1"/>
            </w14:solidFill>
          </w14:textFill>
        </w:rPr>
        <w:t>三线</w:t>
      </w:r>
      <w:r>
        <w:rPr>
          <w:rFonts w:hint="eastAsia" w:ascii="Times New Roman" w:hAnsi="Times New Roman"/>
          <w:color w:val="000000" w:themeColor="text1"/>
          <w:kern w:val="2"/>
          <w:szCs w:val="22"/>
          <w:highlight w:val="none"/>
          <w:lang w:eastAsia="zh-CN"/>
          <w14:textFill>
            <w14:solidFill>
              <w14:schemeClr w14:val="tx1"/>
            </w14:solidFill>
          </w14:textFill>
        </w:rPr>
        <w:t>’</w:t>
      </w:r>
      <w:r>
        <w:rPr>
          <w:rFonts w:ascii="Times New Roman" w:hAnsi="Times New Roman"/>
          <w:color w:val="000000" w:themeColor="text1"/>
          <w:kern w:val="2"/>
          <w:szCs w:val="22"/>
          <w:highlight w:val="none"/>
          <w:lang w:eastAsia="zh-CN"/>
          <w14:textFill>
            <w14:solidFill>
              <w14:schemeClr w14:val="tx1"/>
            </w14:solidFill>
          </w14:textFill>
        </w:rPr>
        <w:t>。优化市域空间总体格局，形成</w:t>
      </w:r>
      <w:r>
        <w:rPr>
          <w:rFonts w:hint="eastAsia" w:ascii="Times New Roman" w:hAnsi="Times New Roman"/>
          <w:color w:val="000000" w:themeColor="text1"/>
          <w:kern w:val="2"/>
          <w:szCs w:val="22"/>
          <w:highlight w:val="none"/>
          <w:lang w:eastAsia="zh-CN"/>
          <w14:textFill>
            <w14:solidFill>
              <w14:schemeClr w14:val="tx1"/>
            </w14:solidFill>
          </w14:textFill>
        </w:rPr>
        <w:t>‘</w:t>
      </w:r>
      <w:r>
        <w:rPr>
          <w:rFonts w:ascii="Times New Roman" w:hAnsi="Times New Roman"/>
          <w:color w:val="000000" w:themeColor="text1"/>
          <w:kern w:val="2"/>
          <w:szCs w:val="22"/>
          <w:highlight w:val="none"/>
          <w:lang w:eastAsia="zh-CN"/>
          <w14:textFill>
            <w14:solidFill>
              <w14:schemeClr w14:val="tx1"/>
            </w14:solidFill>
          </w14:textFill>
        </w:rPr>
        <w:t>北特中都南粮，一屏两廊三带、一核两翼六轴</w:t>
      </w:r>
      <w:r>
        <w:rPr>
          <w:rFonts w:hint="eastAsia" w:ascii="Times New Roman" w:hAnsi="Times New Roman"/>
          <w:color w:val="000000" w:themeColor="text1"/>
          <w:kern w:val="2"/>
          <w:szCs w:val="22"/>
          <w:highlight w:val="none"/>
          <w:lang w:eastAsia="zh-CN"/>
          <w14:textFill>
            <w14:solidFill>
              <w14:schemeClr w14:val="tx1"/>
            </w14:solidFill>
          </w14:textFill>
        </w:rPr>
        <w:t>’的市域总体格局”。本项目位于达州市中部区域的宣汉县，属于《达州市国土空间总体规划（2021-2035）》中的</w:t>
      </w:r>
      <w:bookmarkStart w:id="90" w:name="_Hlk143336328"/>
      <w:r>
        <w:rPr>
          <w:rFonts w:hint="eastAsia" w:ascii="Times New Roman" w:hAnsi="Times New Roman"/>
          <w:color w:val="000000" w:themeColor="text1"/>
          <w:kern w:val="2"/>
          <w:szCs w:val="22"/>
          <w:highlight w:val="none"/>
          <w:lang w:eastAsia="zh-CN"/>
          <w14:textFill>
            <w14:solidFill>
              <w14:schemeClr w14:val="tx1"/>
            </w14:solidFill>
          </w14:textFill>
        </w:rPr>
        <w:t>北部生态农业产业区内</w:t>
      </w:r>
      <w:bookmarkEnd w:id="90"/>
      <w:r>
        <w:rPr>
          <w:rFonts w:hint="eastAsia" w:ascii="Times New Roman" w:hAnsi="Times New Roman"/>
          <w:color w:val="000000" w:themeColor="text1"/>
          <w:kern w:val="2"/>
          <w:szCs w:val="22"/>
          <w:highlight w:val="none"/>
          <w:lang w:eastAsia="zh-CN"/>
          <w14:textFill>
            <w14:solidFill>
              <w14:schemeClr w14:val="tx1"/>
            </w14:solidFill>
          </w14:textFill>
        </w:rPr>
        <w:t>，</w:t>
      </w:r>
      <w:r>
        <w:rPr>
          <w:rFonts w:ascii="Times New Roman" w:hAnsi="Times New Roman"/>
          <w:color w:val="000000" w:themeColor="text1"/>
          <w:kern w:val="2"/>
          <w:szCs w:val="22"/>
          <w:highlight w:val="none"/>
          <w:lang w:eastAsia="zh-CN"/>
          <w14:textFill>
            <w14:solidFill>
              <w14:schemeClr w14:val="tx1"/>
            </w14:solidFill>
          </w14:textFill>
        </w:rPr>
        <w:t>本项目为</w:t>
      </w:r>
      <w:r>
        <w:rPr>
          <w:rFonts w:hint="eastAsia" w:ascii="Times New Roman" w:hAnsi="Times New Roman"/>
          <w:color w:val="000000" w:themeColor="text1"/>
          <w:kern w:val="2"/>
          <w:szCs w:val="22"/>
          <w:highlight w:val="none"/>
          <w:lang w:eastAsia="zh-CN"/>
          <w14:textFill>
            <w14:solidFill>
              <w14:schemeClr w14:val="tx1"/>
            </w14:solidFill>
          </w14:textFill>
        </w:rPr>
        <w:t>天然气试验性探井及试采工程项目，</w:t>
      </w:r>
      <w:r>
        <w:rPr>
          <w:rFonts w:ascii="Times New Roman" w:hAnsi="Times New Roman"/>
          <w:color w:val="000000" w:themeColor="text1"/>
          <w:kern w:val="2"/>
          <w:szCs w:val="22"/>
          <w:highlight w:val="none"/>
          <w:lang w:eastAsia="zh-CN"/>
          <w14:textFill>
            <w14:solidFill>
              <w14:schemeClr w14:val="tx1"/>
            </w14:solidFill>
          </w14:textFill>
        </w:rPr>
        <w:t>工程建设将会涉及一部分</w:t>
      </w:r>
      <w:r>
        <w:rPr>
          <w:rFonts w:hint="eastAsia" w:ascii="Times New Roman" w:hAnsi="Times New Roman"/>
          <w:color w:val="000000" w:themeColor="text1"/>
          <w:kern w:val="2"/>
          <w:szCs w:val="22"/>
          <w:highlight w:val="none"/>
          <w:lang w:eastAsia="zh-CN"/>
          <w14:textFill>
            <w14:solidFill>
              <w14:schemeClr w14:val="tx1"/>
            </w14:solidFill>
          </w14:textFill>
        </w:rPr>
        <w:t>永久基本</w:t>
      </w:r>
      <w:r>
        <w:rPr>
          <w:rFonts w:ascii="Times New Roman" w:hAnsi="Times New Roman"/>
          <w:color w:val="000000" w:themeColor="text1"/>
          <w:kern w:val="2"/>
          <w:szCs w:val="22"/>
          <w:highlight w:val="none"/>
          <w:lang w:eastAsia="zh-CN"/>
          <w14:textFill>
            <w14:solidFill>
              <w14:schemeClr w14:val="tx1"/>
            </w14:solidFill>
          </w14:textFill>
        </w:rPr>
        <w:t>农田</w:t>
      </w:r>
      <w:r>
        <w:rPr>
          <w:rFonts w:hint="eastAsia" w:ascii="Times New Roman" w:hAnsi="Times New Roman"/>
          <w:color w:val="000000" w:themeColor="text1"/>
          <w:kern w:val="2"/>
          <w:szCs w:val="22"/>
          <w:highlight w:val="none"/>
          <w:lang w:eastAsia="zh-CN"/>
          <w14:textFill>
            <w14:solidFill>
              <w14:schemeClr w14:val="tx1"/>
            </w14:solidFill>
          </w14:textFill>
        </w:rPr>
        <w:t>（仅</w:t>
      </w:r>
      <w:r>
        <w:rPr>
          <w:rFonts w:hint="eastAsia"/>
          <w:color w:val="000000" w:themeColor="text1"/>
          <w:highlight w:val="none"/>
          <w:lang w:eastAsia="zh-CN"/>
          <w14:textFill>
            <w14:solidFill>
              <w14:schemeClr w14:val="tx1"/>
            </w14:solidFill>
          </w14:textFill>
        </w:rPr>
        <w:t>利旧的主放喷池及清水池涉及占用基本农田的手续已在前期大湾408井台钻井及试采工程中统一办理（见附件8））</w:t>
      </w:r>
      <w:r>
        <w:rPr>
          <w:rFonts w:ascii="Times New Roman" w:hAnsi="Times New Roman"/>
          <w:color w:val="000000" w:themeColor="text1"/>
          <w:kern w:val="2"/>
          <w:szCs w:val="22"/>
          <w:highlight w:val="none"/>
          <w:lang w:eastAsia="zh-CN"/>
          <w14:textFill>
            <w14:solidFill>
              <w14:schemeClr w14:val="tx1"/>
            </w14:solidFill>
          </w14:textFill>
        </w:rPr>
        <w:t>，</w:t>
      </w:r>
      <w:r>
        <w:rPr>
          <w:rFonts w:hint="eastAsia" w:ascii="Times New Roman" w:hAnsi="Times New Roman"/>
          <w:color w:val="000000" w:themeColor="text1"/>
          <w:kern w:val="2"/>
          <w:szCs w:val="22"/>
          <w:highlight w:val="none"/>
          <w:lang w:eastAsia="zh-CN"/>
          <w14:textFill>
            <w14:solidFill>
              <w14:schemeClr w14:val="tx1"/>
            </w14:solidFill>
          </w14:textFill>
        </w:rPr>
        <w:t>总体上项目占地面积较小，建设单位将按相关要求办理用地手续并采取永久基本农田占用补偿措施</w:t>
      </w:r>
      <w:r>
        <w:rPr>
          <w:rFonts w:ascii="Times New Roman" w:hAnsi="Times New Roman"/>
          <w:color w:val="000000" w:themeColor="text1"/>
          <w:kern w:val="2"/>
          <w:szCs w:val="22"/>
          <w:highlight w:val="none"/>
          <w:lang w:eastAsia="zh-CN"/>
          <w14:textFill>
            <w14:solidFill>
              <w14:schemeClr w14:val="tx1"/>
            </w14:solidFill>
          </w14:textFill>
        </w:rPr>
        <w:t>，</w:t>
      </w:r>
      <w:r>
        <w:rPr>
          <w:rFonts w:hint="eastAsia" w:ascii="Times New Roman" w:hAnsi="Times New Roman"/>
          <w:color w:val="000000" w:themeColor="text1"/>
          <w:kern w:val="2"/>
          <w:szCs w:val="22"/>
          <w:highlight w:val="none"/>
          <w:lang w:eastAsia="zh-CN"/>
          <w14:textFill>
            <w14:solidFill>
              <w14:schemeClr w14:val="tx1"/>
            </w14:solidFill>
          </w14:textFill>
        </w:rPr>
        <w:t>并且</w:t>
      </w:r>
      <w:r>
        <w:rPr>
          <w:rFonts w:ascii="Times New Roman" w:hAnsi="Times New Roman"/>
          <w:color w:val="000000" w:themeColor="text1"/>
          <w:kern w:val="2"/>
          <w:szCs w:val="22"/>
          <w:highlight w:val="none"/>
          <w:lang w:eastAsia="zh-CN"/>
          <w14:textFill>
            <w14:solidFill>
              <w14:schemeClr w14:val="tx1"/>
            </w14:solidFill>
          </w14:textFill>
        </w:rPr>
        <w:t>施工结束后将对临时占地区域</w:t>
      </w:r>
      <w:r>
        <w:rPr>
          <w:rFonts w:hint="eastAsia" w:ascii="Times New Roman" w:hAnsi="Times New Roman"/>
          <w:color w:val="000000" w:themeColor="text1"/>
          <w:kern w:val="2"/>
          <w:szCs w:val="22"/>
          <w:highlight w:val="none"/>
          <w:lang w:eastAsia="zh-CN"/>
          <w14:textFill>
            <w14:solidFill>
              <w14:schemeClr w14:val="tx1"/>
            </w14:solidFill>
          </w14:textFill>
        </w:rPr>
        <w:t>进行</w:t>
      </w:r>
      <w:r>
        <w:rPr>
          <w:rFonts w:ascii="Times New Roman" w:hAnsi="Times New Roman"/>
          <w:color w:val="000000" w:themeColor="text1"/>
          <w:kern w:val="2"/>
          <w:szCs w:val="22"/>
          <w:highlight w:val="none"/>
          <w:lang w:eastAsia="zh-CN"/>
          <w14:textFill>
            <w14:solidFill>
              <w14:schemeClr w14:val="tx1"/>
            </w14:solidFill>
          </w14:textFill>
        </w:rPr>
        <w:t>复垦。</w:t>
      </w:r>
      <w:r>
        <w:rPr>
          <w:rFonts w:hint="eastAsia" w:ascii="Times New Roman" w:hAnsi="Times New Roman"/>
          <w:color w:val="000000" w:themeColor="text1"/>
          <w:kern w:val="2"/>
          <w:szCs w:val="22"/>
          <w:highlight w:val="none"/>
          <w:lang w:eastAsia="zh-CN"/>
          <w14:textFill>
            <w14:solidFill>
              <w14:schemeClr w14:val="tx1"/>
            </w14:solidFill>
          </w14:textFill>
        </w:rPr>
        <w:t>从总体而言，项目的建设不会对达州市国土空间总体规划造成较大影响。因此，项目的建设符合《达州市国土空间总体规划（2021-2035）》。</w:t>
      </w:r>
    </w:p>
    <w:p>
      <w:pPr>
        <w:pStyle w:val="21"/>
        <w:tabs>
          <w:tab w:val="left" w:pos="863"/>
        </w:tabs>
        <w:spacing w:before="0"/>
        <w:ind w:left="0" w:firstLine="480"/>
        <w:rPr>
          <w:rFonts w:ascii="Times New Roman" w:hAnsi="Times New Roman"/>
          <w:color w:val="000000" w:themeColor="text1"/>
          <w:kern w:val="2"/>
          <w:szCs w:val="22"/>
          <w:highlight w:val="none"/>
          <w:lang w:eastAsia="zh-CN"/>
          <w14:textFill>
            <w14:solidFill>
              <w14:schemeClr w14:val="tx1"/>
            </w14:solidFill>
          </w14:textFill>
        </w:rPr>
      </w:pPr>
      <w:r>
        <w:rPr>
          <w:rFonts w:hint="eastAsia" w:ascii="Times New Roman" w:hAnsi="Times New Roman"/>
          <w:color w:val="000000" w:themeColor="text1"/>
          <w:kern w:val="2"/>
          <w:szCs w:val="22"/>
          <w:highlight w:val="none"/>
          <w:lang w:eastAsia="zh-CN"/>
          <w14:textFill>
            <w14:solidFill>
              <w14:schemeClr w14:val="tx1"/>
            </w14:solidFill>
          </w14:textFill>
        </w:rPr>
        <w:t>（2）与达州市“三区三线”的符合性分析</w:t>
      </w:r>
    </w:p>
    <w:p>
      <w:pPr>
        <w:pStyle w:val="21"/>
        <w:tabs>
          <w:tab w:val="left" w:pos="863"/>
        </w:tabs>
        <w:spacing w:before="0"/>
        <w:ind w:left="0" w:firstLine="480"/>
        <w:rPr>
          <w:rFonts w:ascii="Times New Roman" w:hAnsi="Times New Roman"/>
          <w:color w:val="000000" w:themeColor="text1"/>
          <w:kern w:val="2"/>
          <w:szCs w:val="22"/>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通过与宣汉县自然资源局</w:t>
      </w:r>
      <w:r>
        <w:rPr>
          <w:rFonts w:hint="eastAsia" w:ascii="Times New Roman" w:hAnsi="Times New Roman"/>
          <w:color w:val="000000" w:themeColor="text1"/>
          <w:kern w:val="2"/>
          <w:szCs w:val="22"/>
          <w:highlight w:val="none"/>
          <w:lang w:eastAsia="zh-CN"/>
          <w14:textFill>
            <w14:solidFill>
              <w14:schemeClr w14:val="tx1"/>
            </w14:solidFill>
          </w14:textFill>
        </w:rPr>
        <w:t>“三区三线”划分数据叠图可知，本项目</w:t>
      </w:r>
      <w:r>
        <w:rPr>
          <w:rFonts w:hint="eastAsia" w:ascii="Times New Roman" w:hAnsi="Times New Roman"/>
          <w:color w:val="000000" w:themeColor="text1"/>
          <w:highlight w:val="none"/>
          <w:lang w:eastAsia="zh-CN"/>
          <w14:textFill>
            <w14:solidFill>
              <w14:schemeClr w14:val="tx1"/>
            </w14:solidFill>
          </w14:textFill>
        </w:rPr>
        <w:t>施工期临时占用永久基本农田约1090</w:t>
      </w:r>
      <w:r>
        <w:rPr>
          <w:rFonts w:ascii="Times New Roman" w:hAnsi="Times New Roman"/>
          <w:color w:val="000000" w:themeColor="text1"/>
          <w:highlight w:val="none"/>
          <w:lang w:eastAsia="zh-CN"/>
          <w14:textFill>
            <w14:solidFill>
              <w14:schemeClr w14:val="tx1"/>
            </w14:solidFill>
          </w14:textFill>
        </w:rPr>
        <w:t>m</w:t>
      </w:r>
      <w:r>
        <w:rPr>
          <w:rFonts w:ascii="Times New Roman" w:hAnsi="Times New Roman"/>
          <w:color w:val="000000" w:themeColor="text1"/>
          <w:highlight w:val="none"/>
          <w:vertAlign w:val="superscript"/>
          <w:lang w:eastAsia="zh-CN"/>
          <w14:textFill>
            <w14:solidFill>
              <w14:schemeClr w14:val="tx1"/>
            </w14:solidFill>
          </w14:textFill>
        </w:rPr>
        <w:t>2</w:t>
      </w:r>
      <w:r>
        <w:rPr>
          <w:rStyle w:val="65"/>
          <w:rFonts w:hint="eastAsia" w:ascii="Calibri" w:hAnsi="Calibri"/>
          <w:color w:val="000000" w:themeColor="text1"/>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利旧的主放喷池及清水池涉及占用基本农田的手续已在前期大湾408井台钻井及试采工程中统一办理（见附件8））</w:t>
      </w:r>
      <w:r>
        <w:rPr>
          <w:rFonts w:hint="eastAsia" w:ascii="Times New Roman" w:hAnsi="Times New Roman"/>
          <w:color w:val="000000" w:themeColor="text1"/>
          <w:highlight w:val="none"/>
          <w:lang w:eastAsia="zh-CN"/>
          <w14:textFill>
            <w14:solidFill>
              <w14:schemeClr w14:val="tx1"/>
            </w14:solidFill>
          </w14:textFill>
        </w:rPr>
        <w:t>；选址</w:t>
      </w:r>
      <w:r>
        <w:rPr>
          <w:rFonts w:ascii="Times New Roman" w:hAnsi="Times New Roman"/>
          <w:color w:val="000000" w:themeColor="text1"/>
          <w:highlight w:val="none"/>
          <w:lang w:eastAsia="zh-CN"/>
          <w14:textFill>
            <w14:solidFill>
              <w14:schemeClr w14:val="tx1"/>
            </w14:solidFill>
          </w14:textFill>
        </w:rPr>
        <w:t>距离</w:t>
      </w:r>
      <w:r>
        <w:rPr>
          <w:rFonts w:hint="eastAsia" w:ascii="Times New Roman" w:hAnsi="Times New Roman"/>
          <w:color w:val="000000" w:themeColor="text1"/>
          <w:highlight w:val="none"/>
          <w:lang w:eastAsia="zh-CN"/>
          <w14:textFill>
            <w14:solidFill>
              <w14:schemeClr w14:val="tx1"/>
            </w14:solidFill>
          </w14:textFill>
        </w:rPr>
        <w:t>罗文</w:t>
      </w:r>
      <w:r>
        <w:rPr>
          <w:rFonts w:ascii="Times New Roman" w:hAnsi="Times New Roman"/>
          <w:color w:val="000000" w:themeColor="text1"/>
          <w:highlight w:val="none"/>
          <w:lang w:eastAsia="zh-CN"/>
          <w14:textFill>
            <w14:solidFill>
              <w14:schemeClr w14:val="tx1"/>
            </w14:solidFill>
          </w14:textFill>
        </w:rPr>
        <w:t>镇约4.7km，</w:t>
      </w:r>
      <w:r>
        <w:rPr>
          <w:rFonts w:hint="eastAsia" w:ascii="Times New Roman" w:hAnsi="Times New Roman"/>
          <w:color w:val="000000" w:themeColor="text1"/>
          <w:highlight w:val="none"/>
          <w:lang w:eastAsia="zh-CN"/>
          <w14:textFill>
            <w14:solidFill>
              <w14:schemeClr w14:val="tx1"/>
            </w14:solidFill>
          </w14:textFill>
        </w:rPr>
        <w:t>距离黄金镇5</w:t>
      </w:r>
      <w:r>
        <w:rPr>
          <w:rFonts w:ascii="Times New Roman" w:hAnsi="Times New Roman"/>
          <w:color w:val="000000" w:themeColor="text1"/>
          <w:highlight w:val="none"/>
          <w:lang w:eastAsia="zh-CN"/>
          <w14:textFill>
            <w14:solidFill>
              <w14:schemeClr w14:val="tx1"/>
            </w14:solidFill>
          </w14:textFill>
        </w:rPr>
        <w:t>.2</w:t>
      </w:r>
      <w:r>
        <w:rPr>
          <w:rFonts w:hint="eastAsia" w:ascii="Times New Roman" w:hAnsi="Times New Roman"/>
          <w:color w:val="000000" w:themeColor="text1"/>
          <w:highlight w:val="none"/>
          <w:lang w:eastAsia="zh-CN"/>
          <w14:textFill>
            <w14:solidFill>
              <w14:schemeClr w14:val="tx1"/>
            </w14:solidFill>
          </w14:textFill>
        </w:rPr>
        <w:t>km，</w:t>
      </w:r>
      <w:r>
        <w:rPr>
          <w:rFonts w:ascii="Times New Roman" w:hAnsi="Times New Roman"/>
          <w:color w:val="000000" w:themeColor="text1"/>
          <w:highlight w:val="none"/>
          <w:lang w:eastAsia="zh-CN"/>
          <w14:textFill>
            <w14:solidFill>
              <w14:schemeClr w14:val="tx1"/>
            </w14:solidFill>
          </w14:textFill>
        </w:rPr>
        <w:t>距离毛坝镇约7.2km，远离乡镇，不涉及乡镇规划建城范围</w:t>
      </w:r>
      <w:r>
        <w:rPr>
          <w:rFonts w:hint="eastAsia" w:ascii="Times New Roman" w:hAnsi="Times New Roman"/>
          <w:color w:val="000000" w:themeColor="text1"/>
          <w:highlight w:val="none"/>
          <w:lang w:eastAsia="zh-CN"/>
          <w14:textFill>
            <w14:solidFill>
              <w14:schemeClr w14:val="tx1"/>
            </w14:solidFill>
          </w14:textFill>
        </w:rPr>
        <w:t>；选址距离</w:t>
      </w:r>
      <w:r>
        <w:rPr>
          <w:rFonts w:hint="eastAsia"/>
          <w:color w:val="000000" w:themeColor="text1"/>
          <w:highlight w:val="none"/>
          <w:lang w:eastAsia="zh-CN"/>
          <w14:textFill>
            <w14:solidFill>
              <w14:schemeClr w14:val="tx1"/>
            </w14:solidFill>
          </w14:textFill>
        </w:rPr>
        <w:t>不涉及生态红线。</w:t>
      </w:r>
      <w:r>
        <w:rPr>
          <w:rFonts w:hint="eastAsia" w:ascii="Times New Roman" w:hAnsi="Times New Roman"/>
          <w:color w:val="000000" w:themeColor="text1"/>
          <w:kern w:val="2"/>
          <w:szCs w:val="22"/>
          <w:highlight w:val="none"/>
          <w:lang w:eastAsia="zh-CN"/>
          <w14:textFill>
            <w14:solidFill>
              <w14:schemeClr w14:val="tx1"/>
            </w14:solidFill>
          </w14:textFill>
        </w:rPr>
        <w:t>根据</w:t>
      </w:r>
      <w:r>
        <w:rPr>
          <w:rFonts w:ascii="Times New Roman" w:hAnsi="Times New Roman"/>
          <w:color w:val="000000" w:themeColor="text1"/>
          <w:kern w:val="2"/>
          <w:szCs w:val="22"/>
          <w:highlight w:val="none"/>
          <w:lang w:eastAsia="zh-CN"/>
          <w14:textFill>
            <w14:solidFill>
              <w14:schemeClr w14:val="tx1"/>
            </w14:solidFill>
          </w14:textFill>
        </w:rPr>
        <w:t>达州市</w:t>
      </w:r>
      <w:r>
        <w:rPr>
          <w:color w:val="000000" w:themeColor="text1"/>
          <w:kern w:val="2"/>
          <w:szCs w:val="22"/>
          <w:highlight w:val="none"/>
          <w:lang w:eastAsia="zh-CN"/>
          <w14:textFill>
            <w14:solidFill>
              <w14:schemeClr w14:val="tx1"/>
            </w14:solidFill>
          </w14:textFill>
        </w:rPr>
        <w:t>“三区三线”</w:t>
      </w:r>
      <w:r>
        <w:rPr>
          <w:rFonts w:hint="eastAsia" w:ascii="Times New Roman" w:hAnsi="Times New Roman"/>
          <w:color w:val="000000" w:themeColor="text1"/>
          <w:kern w:val="2"/>
          <w:szCs w:val="22"/>
          <w:highlight w:val="none"/>
          <w:lang w:eastAsia="zh-CN"/>
          <w14:textFill>
            <w14:solidFill>
              <w14:schemeClr w14:val="tx1"/>
            </w14:solidFill>
          </w14:textFill>
        </w:rPr>
        <w:t>的管控要求，项目与</w:t>
      </w:r>
      <w:r>
        <w:rPr>
          <w:rFonts w:ascii="Times New Roman" w:hAnsi="Times New Roman"/>
          <w:color w:val="000000" w:themeColor="text1"/>
          <w:kern w:val="2"/>
          <w:szCs w:val="22"/>
          <w:highlight w:val="none"/>
          <w:lang w:eastAsia="zh-CN"/>
          <w14:textFill>
            <w14:solidFill>
              <w14:schemeClr w14:val="tx1"/>
            </w14:solidFill>
          </w14:textFill>
        </w:rPr>
        <w:t>达州市</w:t>
      </w:r>
      <w:r>
        <w:rPr>
          <w:color w:val="000000" w:themeColor="text1"/>
          <w:kern w:val="2"/>
          <w:szCs w:val="22"/>
          <w:highlight w:val="none"/>
          <w:lang w:eastAsia="zh-CN"/>
          <w14:textFill>
            <w14:solidFill>
              <w14:schemeClr w14:val="tx1"/>
            </w14:solidFill>
          </w14:textFill>
        </w:rPr>
        <w:t>“三区三线”</w:t>
      </w:r>
      <w:r>
        <w:rPr>
          <w:rFonts w:hint="eastAsia" w:ascii="Times New Roman" w:hAnsi="Times New Roman"/>
          <w:color w:val="000000" w:themeColor="text1"/>
          <w:kern w:val="2"/>
          <w:szCs w:val="22"/>
          <w:highlight w:val="none"/>
          <w:lang w:eastAsia="zh-CN"/>
          <w14:textFill>
            <w14:solidFill>
              <w14:schemeClr w14:val="tx1"/>
            </w14:solidFill>
          </w14:textFill>
        </w:rPr>
        <w:t>的</w:t>
      </w:r>
      <w:r>
        <w:rPr>
          <w:rFonts w:ascii="Times New Roman" w:hAnsi="Times New Roman"/>
          <w:color w:val="000000" w:themeColor="text1"/>
          <w:kern w:val="2"/>
          <w:szCs w:val="22"/>
          <w:highlight w:val="none"/>
          <w:lang w:eastAsia="zh-CN"/>
          <w14:textFill>
            <w14:solidFill>
              <w14:schemeClr w14:val="tx1"/>
            </w14:solidFill>
          </w14:textFill>
        </w:rPr>
        <w:t>符合性分析</w:t>
      </w:r>
      <w:r>
        <w:rPr>
          <w:rFonts w:hint="eastAsia" w:ascii="Times New Roman" w:hAnsi="Times New Roman"/>
          <w:color w:val="000000" w:themeColor="text1"/>
          <w:kern w:val="2"/>
          <w:szCs w:val="22"/>
          <w:highlight w:val="none"/>
          <w:lang w:eastAsia="zh-CN"/>
          <w14:textFill>
            <w14:solidFill>
              <w14:schemeClr w14:val="tx1"/>
            </w14:solidFill>
          </w14:textFill>
        </w:rPr>
        <w:t>如下：</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与达州市“三区三线”符合性分析</w:t>
      </w:r>
    </w:p>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640"/>
        <w:gridCol w:w="3600"/>
        <w:gridCol w:w="3400"/>
        <w:gridCol w:w="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0" w:type="dxa"/>
            <w:tcMar>
              <w:left w:w="57" w:type="dxa"/>
              <w:right w:w="57"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3600" w:type="dxa"/>
            <w:tcMar>
              <w:left w:w="57" w:type="dxa"/>
              <w:right w:w="57"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相关要求</w:t>
            </w:r>
          </w:p>
        </w:tc>
        <w:tc>
          <w:tcPr>
            <w:tcW w:w="3400" w:type="dxa"/>
            <w:tcMar>
              <w:left w:w="57" w:type="dxa"/>
              <w:right w:w="57"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本项目情况</w:t>
            </w:r>
          </w:p>
        </w:tc>
        <w:tc>
          <w:tcPr>
            <w:tcW w:w="580" w:type="dxa"/>
            <w:tcMar>
              <w:left w:w="57" w:type="dxa"/>
              <w:right w:w="57"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6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城镇空间：以城镇居民生产、生活为主体功能的国土空间，包括城镇建设空间、工矿建设空间以及部分乡级政府驻地的开发建设空间。</w:t>
            </w:r>
          </w:p>
        </w:tc>
        <w:tc>
          <w:tcPr>
            <w:tcW w:w="34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本项目为新增占地建设，占地范围为农田</w:t>
            </w:r>
            <w:r>
              <w:rPr>
                <w:rFonts w:hint="eastAsia"/>
                <w:color w:val="000000" w:themeColor="text1"/>
                <w:highlight w:val="none"/>
                <w14:textFill>
                  <w14:solidFill>
                    <w14:schemeClr w14:val="tx1"/>
                  </w14:solidFill>
                </w14:textFill>
              </w:rPr>
              <w:t>和耕地等</w:t>
            </w:r>
            <w:r>
              <w:rPr>
                <w:color w:val="000000" w:themeColor="text1"/>
                <w:highlight w:val="none"/>
                <w14:textFill>
                  <w14:solidFill>
                    <w14:schemeClr w14:val="tx1"/>
                  </w14:solidFill>
                </w14:textFill>
              </w:rPr>
              <w:t>，不涉及城镇建设用地</w:t>
            </w:r>
            <w:r>
              <w:rPr>
                <w:rFonts w:hint="eastAsia"/>
                <w:color w:val="000000" w:themeColor="text1"/>
                <w:highlight w:val="none"/>
                <w14:textFill>
                  <w14:solidFill>
                    <w14:schemeClr w14:val="tx1"/>
                  </w14:solidFill>
                </w14:textFill>
              </w:rPr>
              <w:t>。</w:t>
            </w:r>
          </w:p>
        </w:tc>
        <w:tc>
          <w:tcPr>
            <w:tcW w:w="58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6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农业空间：以农业生产和农村居民生活为主体功能，承担农产品生产和农村生活功能的国土空间，主要包括永久基本农田、一般农田等农业生产用地以及村庄等农村生活用地。</w:t>
            </w:r>
          </w:p>
        </w:tc>
        <w:tc>
          <w:tcPr>
            <w:tcW w:w="3400" w:type="dxa"/>
            <w:vMerge w:val="restart"/>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本项目为新增占地建设，工程建设将会涉及一部分</w:t>
            </w:r>
            <w:r>
              <w:rPr>
                <w:rFonts w:hint="eastAsia"/>
                <w:color w:val="000000" w:themeColor="text1"/>
                <w:highlight w:val="none"/>
                <w14:textFill>
                  <w14:solidFill>
                    <w14:schemeClr w14:val="tx1"/>
                  </w14:solidFill>
                </w14:textFill>
              </w:rPr>
              <w:t>永久基本</w:t>
            </w:r>
            <w:r>
              <w:rPr>
                <w:color w:val="000000" w:themeColor="text1"/>
                <w:highlight w:val="none"/>
                <w14:textFill>
                  <w14:solidFill>
                    <w14:schemeClr w14:val="tx1"/>
                  </w14:solidFill>
                </w14:textFill>
              </w:rPr>
              <w:t>农田</w:t>
            </w:r>
            <w:r>
              <w:rPr>
                <w:rFonts w:hint="eastAsia"/>
                <w:color w:val="000000" w:themeColor="text1"/>
                <w:highlight w:val="none"/>
                <w14:textFill>
                  <w14:solidFill>
                    <w14:schemeClr w14:val="tx1"/>
                  </w14:solidFill>
                </w14:textFill>
              </w:rPr>
              <w:t>（仅利旧的主放喷池及清水池涉及占用基本农田的手续已在前期大湾408井台钻井及试采工程中统一办理（见附件8））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施工结束后将对临时占地区域</w:t>
            </w:r>
            <w:r>
              <w:rPr>
                <w:rFonts w:hint="eastAsia"/>
                <w:color w:val="000000" w:themeColor="text1"/>
                <w:highlight w:val="none"/>
                <w14:textFill>
                  <w14:solidFill>
                    <w14:schemeClr w14:val="tx1"/>
                  </w14:solidFill>
                </w14:textFill>
              </w:rPr>
              <w:t>进行</w:t>
            </w:r>
            <w:r>
              <w:rPr>
                <w:color w:val="000000" w:themeColor="text1"/>
                <w:highlight w:val="none"/>
                <w14:textFill>
                  <w14:solidFill>
                    <w14:schemeClr w14:val="tx1"/>
                  </w14:solidFill>
                </w14:textFill>
              </w:rPr>
              <w:t>复垦。</w:t>
            </w:r>
          </w:p>
        </w:tc>
        <w:tc>
          <w:tcPr>
            <w:tcW w:w="58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6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生态空间：具有自然属性的，以提供生态服务或生态产品为主体功能的国土空间，包括森林、草原、湿地、河流、湖泊、滩涂、荒地、荒漠等。</w:t>
            </w:r>
          </w:p>
        </w:tc>
        <w:tc>
          <w:tcPr>
            <w:tcW w:w="3400" w:type="dxa"/>
            <w:vMerge w:val="continue"/>
            <w:tcMar>
              <w:left w:w="57" w:type="dxa"/>
              <w:right w:w="57" w:type="dxa"/>
            </w:tcMar>
            <w:vAlign w:val="center"/>
          </w:tcPr>
          <w:p>
            <w:pPr>
              <w:pStyle w:val="297"/>
              <w:jc w:val="left"/>
              <w:rPr>
                <w:color w:val="000000" w:themeColor="text1"/>
                <w:highlight w:val="none"/>
                <w14:textFill>
                  <w14:solidFill>
                    <w14:schemeClr w14:val="tx1"/>
                  </w14:solidFill>
                </w14:textFill>
              </w:rPr>
            </w:pPr>
          </w:p>
        </w:tc>
        <w:tc>
          <w:tcPr>
            <w:tcW w:w="58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6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生态保护红线：是在生态空间范围内具有特殊重要的生态功能、必须强制性严格保护的区域，是保障和维护国家生态安全的底线和生命线。</w:t>
            </w:r>
          </w:p>
        </w:tc>
        <w:tc>
          <w:tcPr>
            <w:tcW w:w="34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本项目不涉及生态保护红线。</w:t>
            </w:r>
          </w:p>
        </w:tc>
        <w:tc>
          <w:tcPr>
            <w:tcW w:w="58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36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永久基本农田保护红线：是按照一定时期人口和社会经济发展对农产品的需求，依法确定的不得占用、不得开发、需要永久性保护的耕地空间边界。</w:t>
            </w:r>
          </w:p>
        </w:tc>
        <w:tc>
          <w:tcPr>
            <w:tcW w:w="34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本项目为新增占地建设，工程建设将会涉及一部分</w:t>
            </w:r>
            <w:r>
              <w:rPr>
                <w:rFonts w:hint="eastAsia"/>
                <w:color w:val="000000" w:themeColor="text1"/>
                <w:highlight w:val="none"/>
                <w14:textFill>
                  <w14:solidFill>
                    <w14:schemeClr w14:val="tx1"/>
                  </w14:solidFill>
                </w14:textFill>
              </w:rPr>
              <w:t>永久基本</w:t>
            </w:r>
            <w:r>
              <w:rPr>
                <w:color w:val="000000" w:themeColor="text1"/>
                <w:highlight w:val="none"/>
                <w14:textFill>
                  <w14:solidFill>
                    <w14:schemeClr w14:val="tx1"/>
                  </w14:solidFill>
                </w14:textFill>
              </w:rPr>
              <w:t>农田</w:t>
            </w:r>
            <w:r>
              <w:rPr>
                <w:rFonts w:hint="eastAsia"/>
                <w:color w:val="000000" w:themeColor="text1"/>
                <w:highlight w:val="none"/>
                <w14:textFill>
                  <w14:solidFill>
                    <w14:schemeClr w14:val="tx1"/>
                  </w14:solidFill>
                </w14:textFill>
              </w:rPr>
              <w:t>（仅利旧的主放喷池及清水池涉及占用基本农田的手续已在前期大湾408井台钻井及试采工程中统一办理（见附件8））</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建设单位已按相关要求办理用地手续并采取永久基本农田占用补偿措施</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并且</w:t>
            </w:r>
            <w:r>
              <w:rPr>
                <w:color w:val="000000" w:themeColor="text1"/>
                <w:highlight w:val="none"/>
                <w14:textFill>
                  <w14:solidFill>
                    <w14:schemeClr w14:val="tx1"/>
                  </w14:solidFill>
                </w14:textFill>
              </w:rPr>
              <w:t>施工结束后将对临时占地区域</w:t>
            </w:r>
            <w:r>
              <w:rPr>
                <w:rFonts w:hint="eastAsia"/>
                <w:color w:val="000000" w:themeColor="text1"/>
                <w:highlight w:val="none"/>
                <w14:textFill>
                  <w14:solidFill>
                    <w14:schemeClr w14:val="tx1"/>
                  </w14:solidFill>
                </w14:textFill>
              </w:rPr>
              <w:t>进行</w:t>
            </w:r>
            <w:r>
              <w:rPr>
                <w:color w:val="000000" w:themeColor="text1"/>
                <w:highlight w:val="none"/>
                <w14:textFill>
                  <w14:solidFill>
                    <w14:schemeClr w14:val="tx1"/>
                  </w14:solidFill>
                </w14:textFill>
              </w:rPr>
              <w:t>复垦。</w:t>
            </w:r>
          </w:p>
        </w:tc>
        <w:tc>
          <w:tcPr>
            <w:tcW w:w="58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4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36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城镇开发边界：在一定时期内，可以进行城镇开发和集中建设的地域空间边界，包括城镇现状建成区、优化发展区，以及因城镇建设发展需要必须实行规划控制的区域。</w:t>
            </w:r>
          </w:p>
        </w:tc>
        <w:tc>
          <w:tcPr>
            <w:tcW w:w="3400"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本项目不涉及城镇开发区。</w:t>
            </w:r>
          </w:p>
        </w:tc>
        <w:tc>
          <w:tcPr>
            <w:tcW w:w="580"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kinsoku w:val="0"/>
        <w:wordWrap w:val="0"/>
        <w:autoSpaceDE w:val="0"/>
        <w:autoSpaceDN w:val="0"/>
        <w:spacing w:before="163"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综上所述，本项目与区域</w:t>
      </w:r>
      <w:r>
        <w:rPr>
          <w:rFonts w:ascii="宋体" w:hAnsi="宋体" w:cs="Times New Roman"/>
          <w:color w:val="000000" w:themeColor="text1"/>
          <w:highlight w:val="none"/>
          <w14:textFill>
            <w14:solidFill>
              <w14:schemeClr w14:val="tx1"/>
            </w14:solidFill>
          </w14:textFill>
        </w:rPr>
        <w:t>“三区三线”</w:t>
      </w:r>
      <w:r>
        <w:rPr>
          <w:rFonts w:cs="Times New Roman"/>
          <w:color w:val="000000" w:themeColor="text1"/>
          <w:highlight w:val="none"/>
          <w14:textFill>
            <w14:solidFill>
              <w14:schemeClr w14:val="tx1"/>
            </w14:solidFill>
          </w14:textFill>
        </w:rPr>
        <w:t>相符</w:t>
      </w:r>
      <w:r>
        <w:rPr>
          <w:rFonts w:hint="eastAsia" w:cs="Times New Roman"/>
          <w:color w:val="000000" w:themeColor="text1"/>
          <w:highlight w:val="none"/>
          <w14:textFill>
            <w14:solidFill>
              <w14:schemeClr w14:val="tx1"/>
            </w14:solidFill>
          </w14:textFill>
        </w:rPr>
        <w:t>，</w:t>
      </w:r>
      <w:r>
        <w:rPr>
          <w:rFonts w:hint="eastAsia"/>
          <w:caps/>
          <w:color w:val="000000" w:themeColor="text1"/>
          <w:spacing w:val="20"/>
          <w:highlight w:val="none"/>
          <w14:textFill>
            <w14:solidFill>
              <w14:schemeClr w14:val="tx1"/>
            </w14:solidFill>
          </w14:textFill>
        </w:rPr>
        <w:t>具体本项目与宣汉县“三区三线”的位置关系见附图7、附图8</w:t>
      </w:r>
      <w:r>
        <w:rPr>
          <w:rFonts w:cs="Times New Roman"/>
          <w:color w:val="000000" w:themeColor="text1"/>
          <w:highlight w:val="none"/>
          <w14:textFill>
            <w14:solidFill>
              <w14:schemeClr w14:val="tx1"/>
            </w14:solidFill>
          </w14:textFill>
        </w:rPr>
        <w:t>。</w:t>
      </w:r>
    </w:p>
    <w:p>
      <w:pPr>
        <w:pStyle w:val="4"/>
        <w:spacing w:before="0" w:beforeLines="0"/>
        <w:ind w:left="480" w:firstLineChars="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与石油天然气开采行业相关技术规范符合性分析</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与《石油天然气开采业污染防治技术政策》的符合性分析</w:t>
      </w:r>
    </w:p>
    <w:p>
      <w:pPr>
        <w:autoSpaceDE w:val="0"/>
        <w:autoSpaceDN w:val="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根据《石油天然气开采业污染防治技术政策》（〔2012〕18号），本项目与《石油天然气开采业污染防治技术政策》符合性分析见下表。</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与《石油天然气开采业污染防治技术政策》符合性分析表</w:t>
      </w:r>
    </w:p>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3510"/>
        <w:gridCol w:w="2846"/>
        <w:gridCol w:w="9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3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354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技术政策要求</w:t>
            </w:r>
          </w:p>
        </w:tc>
        <w:tc>
          <w:tcPr>
            <w:tcW w:w="287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本工程内容</w:t>
            </w:r>
          </w:p>
        </w:tc>
        <w:tc>
          <w:tcPr>
            <w:tcW w:w="93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7357"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清洁生产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油气田建设应总体规划，优化布局，整体开发，减少占地和油气损失，实现油气和废物的集中收集、处理处置。</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本项目属于</w:t>
            </w:r>
            <w:r>
              <w:rPr>
                <w:rFonts w:hint="eastAsia"/>
                <w:color w:val="000000" w:themeColor="text1"/>
                <w:highlight w:val="none"/>
                <w14:textFill>
                  <w14:solidFill>
                    <w14:schemeClr w14:val="tx1"/>
                  </w14:solidFill>
                </w14:textFill>
              </w:rPr>
              <w:t>天然气勘探试采</w:t>
            </w:r>
            <w:r>
              <w:rPr>
                <w:color w:val="000000" w:themeColor="text1"/>
                <w:highlight w:val="none"/>
                <w14:textFill>
                  <w14:solidFill>
                    <w14:schemeClr w14:val="tx1"/>
                  </w14:solidFill>
                </w14:textFill>
              </w:rPr>
              <w:t>和管线建设，占地较少，废水、固废收集后集中交由相应具有处置能力的单位处理处置。</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油气田开发不得使用含有国际公约禁用化学物质的油气田化学剂，逐步淘汰微毒及以上油气田化学剂，鼓励使用无毒油气田化学剂。</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本项目无国际公约禁用化学物质，符合要求。</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在油气勘探过程中，宜使用环保型炸药和可控震源，应采取防渗等措施预防燃料泄漏对环境的污染。</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本项目无需炸药，油罐区设置地面硬化防渗、围堰</w:t>
            </w:r>
            <w:r>
              <w:rPr>
                <w:rFonts w:hint="eastAsia"/>
                <w:color w:val="000000" w:themeColor="text1"/>
                <w:highlight w:val="none"/>
                <w14:textFill>
                  <w14:solidFill>
                    <w14:schemeClr w14:val="tx1"/>
                  </w14:solidFill>
                </w14:textFill>
              </w:rPr>
              <w:t>等</w:t>
            </w:r>
            <w:r>
              <w:rPr>
                <w:color w:val="000000" w:themeColor="text1"/>
                <w:highlight w:val="none"/>
                <w14:textFill>
                  <w14:solidFill>
                    <w14:schemeClr w14:val="tx1"/>
                  </w14:solidFill>
                </w14:textFill>
              </w:rPr>
              <w:t>，可预防燃料泄漏对环境的污染。</w:t>
            </w:r>
            <w:r>
              <w:rPr>
                <w:rFonts w:hint="eastAsia"/>
                <w:color w:val="000000" w:themeColor="text1"/>
                <w:highlight w:val="none"/>
                <w14:textFill>
                  <w14:solidFill>
                    <w14:schemeClr w14:val="tx1"/>
                  </w14:solidFill>
                </w14:textFill>
              </w:rPr>
              <w:t>符合要求</w:t>
            </w:r>
            <w:r>
              <w:rPr>
                <w:color w:val="000000" w:themeColor="text1"/>
                <w:highlight w:val="none"/>
                <w14:textFill>
                  <w14:solidFill>
                    <w14:schemeClr w14:val="tx1"/>
                  </w14:solidFill>
                </w14:textFill>
              </w:rPr>
              <w:t>。</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在钻井过程中，鼓励采用环境友好的钻井液体系；配备完善的固控设备，钻井液循环率达到95%以上；钻井过程产生的废水应回用。</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本项目采用水基钻井液</w:t>
            </w:r>
            <w:r>
              <w:rPr>
                <w:rFonts w:hint="eastAsia"/>
                <w:color w:val="000000" w:themeColor="text1"/>
                <w:highlight w:val="none"/>
                <w14:textFill>
                  <w14:solidFill>
                    <w14:schemeClr w14:val="tx1"/>
                  </w14:solidFill>
                </w14:textFill>
              </w:rPr>
              <w:t>，仅三</w:t>
            </w:r>
            <w:r>
              <w:rPr>
                <w:color w:val="000000" w:themeColor="text1"/>
                <w:highlight w:val="none"/>
                <w14:textFill>
                  <w14:solidFill>
                    <w14:schemeClr w14:val="tx1"/>
                  </w14:solidFill>
                </w14:textFill>
              </w:rPr>
              <w:t>开段可能会转为油基钻井，固控设备完善，钻井液循环率达到95%以上，钻井废水处理回用，符合要求。</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井下作业过程中，酸化液和压裂液宜集中配制，酸化残液、压裂残液和返排液应回收利用或进行无害化处置，压裂放喷返排入罐率应达到100%。酸化、压裂作业和试油（气）过程应采取防喷、地面管线防刺、防漏、防溢等措施。</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本项目压裂液运输到现场集中配置，现场采取了防漏、防溢措施，酸化残液、压裂残液和返排液</w:t>
            </w:r>
            <w:r>
              <w:rPr>
                <w:rFonts w:hint="eastAsia"/>
                <w:color w:val="000000" w:themeColor="text1"/>
                <w:highlight w:val="none"/>
                <w14:textFill>
                  <w14:solidFill>
                    <w14:schemeClr w14:val="tx1"/>
                  </w14:solidFill>
                </w14:textFill>
              </w:rPr>
              <w:t>等全部收集并</w:t>
            </w:r>
            <w:r>
              <w:rPr>
                <w:color w:val="000000" w:themeColor="text1"/>
                <w:highlight w:val="none"/>
                <w14:textFill>
                  <w14:solidFill>
                    <w14:schemeClr w14:val="tx1"/>
                  </w14:solidFill>
                </w14:textFill>
              </w:rPr>
              <w:t>外运处理。压裂作业和试油（气）过程</w:t>
            </w:r>
            <w:r>
              <w:rPr>
                <w:rFonts w:hint="eastAsia"/>
                <w:color w:val="000000" w:themeColor="text1"/>
                <w:highlight w:val="none"/>
                <w14:textFill>
                  <w14:solidFill>
                    <w14:schemeClr w14:val="tx1"/>
                  </w14:solidFill>
                </w14:textFill>
              </w:rPr>
              <w:t>将</w:t>
            </w:r>
            <w:r>
              <w:rPr>
                <w:color w:val="000000" w:themeColor="text1"/>
                <w:highlight w:val="none"/>
                <w14:textFill>
                  <w14:solidFill>
                    <w14:schemeClr w14:val="tx1"/>
                  </w14:solidFill>
                </w14:textFill>
              </w:rPr>
              <w:t>采取防喷、地面管线防刺、防漏、防溢等措施</w:t>
            </w:r>
            <w:r>
              <w:rPr>
                <w:rFonts w:hint="eastAsia"/>
                <w:color w:val="000000" w:themeColor="text1"/>
                <w:highlight w:val="none"/>
                <w14:textFill>
                  <w14:solidFill>
                    <w14:schemeClr w14:val="tx1"/>
                  </w14:solidFill>
                </w14:textFill>
              </w:rPr>
              <w:t>，符合要求</w:t>
            </w:r>
            <w:r>
              <w:rPr>
                <w:color w:val="000000" w:themeColor="text1"/>
                <w:highlight w:val="none"/>
                <w14:textFill>
                  <w14:solidFill>
                    <w14:schemeClr w14:val="tx1"/>
                  </w14:solidFill>
                </w14:textFill>
              </w:rPr>
              <w:t>。</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7357"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生态保护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在开发过程中，伴生气应回收利用，减少温室气体排放，不具备回收利用条件的，应充分燃烧，伴生气回收利用率应达到 80%以上；站场放空天然气应充分燃烧。燃烧放空设施应避开鸟类迁徙通道。</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放喷过程中不具备利用条件，在放喷池进行充分燃烧。放喷池未位于鸟类迁徙通道上。</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7357"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钻井和井下作业过程中，鼓励污油、污水进入生产流程循环利用，未进入生产流程的污油、污水应采用固液分离、废水处理一体化装置等处理后达标外排。在油气开发过程中，未回注的油气田采出水宜采用混凝气浮和生化处理相结合的方式。</w:t>
            </w:r>
          </w:p>
        </w:tc>
        <w:tc>
          <w:tcPr>
            <w:tcW w:w="2873" w:type="dxa"/>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钻井过程中产生的钻井废水经不落地装置处理后回用于配制钻井液，剩余不能回用部分通过密闭罐车定期拉运至赵家坝污水处理站处理达标后管输至普光3井回注站回注；洗井废水及压裂返排液临时暂存于压裂液储罐内，优先回用于气田周边其他井场配置压裂液使用，若周边井场暂无法使用或压裂返排液水质无法满足回用要求时，则通过密闭罐车定期拉运至赵家坝污水处理站处理达标后管输至普光3井回注站回注，不外排。</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固体废物收集、贮存、处理处置设施应按照标准要求采取防渗措施。试油（气）后应立即封闭废弃钻井液贮池。</w:t>
            </w:r>
          </w:p>
        </w:tc>
        <w:tc>
          <w:tcPr>
            <w:tcW w:w="2873" w:type="dxa"/>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钻井过程中按相关要求进行固废收集、贮存和处理，并采取相应防渗措施。试油（气）后将对清洁化操作平台清理后封闭</w:t>
            </w:r>
            <w:r>
              <w:rPr>
                <w:color w:val="000000" w:themeColor="text1"/>
                <w:highlight w:val="none"/>
                <w14:textFill>
                  <w14:solidFill>
                    <w14:schemeClr w14:val="tx1"/>
                  </w14:solidFill>
                </w14:textFill>
              </w:rPr>
              <w:t>。</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回收落地原油，以及原油处理、废水处理产生的油泥（砂）等中的油类物质，含油污泥资源化利用率应达到90%以上，残余固体废物应按照《国家危险废物名录》和危险废物鉴别标准识别，根据识别结果资源化利用或无害化处置。</w:t>
            </w:r>
          </w:p>
        </w:tc>
        <w:tc>
          <w:tcPr>
            <w:tcW w:w="2873" w:type="dxa"/>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不涉及原油，本工程在井口及易产生油污的生产设施底部进行防渗处理，收集可能产生的废油，完钻后统一收集交有资质单位处置。</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对受到油污染的土壤宜采取生物或物化方法进行修复。</w:t>
            </w:r>
          </w:p>
        </w:tc>
        <w:tc>
          <w:tcPr>
            <w:tcW w:w="2873" w:type="dxa"/>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不涉及原油，废油很少，通过采取防渗措施，总体不会造成土壤的油污染。</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w:t>
            </w:r>
          </w:p>
        </w:tc>
        <w:tc>
          <w:tcPr>
            <w:tcW w:w="7357"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运行风险和环境管理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油气田企业应制定环境保护管理规定，建立并运行健康、安全与环境管理体系。</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建设单位制定</w:t>
            </w:r>
            <w:r>
              <w:rPr>
                <w:rFonts w:hint="eastAsia"/>
                <w:color w:val="000000" w:themeColor="text1"/>
                <w:highlight w:val="none"/>
                <w14:textFill>
                  <w14:solidFill>
                    <w14:schemeClr w14:val="tx1"/>
                  </w14:solidFill>
                </w14:textFill>
              </w:rPr>
              <w:t>了</w:t>
            </w:r>
            <w:r>
              <w:rPr>
                <w:color w:val="000000" w:themeColor="text1"/>
                <w:highlight w:val="none"/>
                <w14:textFill>
                  <w14:solidFill>
                    <w14:schemeClr w14:val="tx1"/>
                  </w14:solidFill>
                </w14:textFill>
              </w:rPr>
              <w:t>完善的环境保护管理规定，并建立</w:t>
            </w:r>
            <w:r>
              <w:rPr>
                <w:rFonts w:hint="eastAsia"/>
                <w:color w:val="000000" w:themeColor="text1"/>
                <w:highlight w:val="none"/>
                <w14:textFill>
                  <w14:solidFill>
                    <w14:schemeClr w14:val="tx1"/>
                  </w14:solidFill>
                </w14:textFill>
              </w:rPr>
              <w:t>了</w:t>
            </w:r>
            <w:r>
              <w:rPr>
                <w:color w:val="000000" w:themeColor="text1"/>
                <w:highlight w:val="none"/>
                <w14:textFill>
                  <w14:solidFill>
                    <w14:schemeClr w14:val="tx1"/>
                  </w14:solidFill>
                </w14:textFill>
              </w:rPr>
              <w:t>运行健康、安全与环境管理体系。</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加强油气田建设、开发过程的环境监督管理。油气田建设过程应开展工程环境监理。</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建设单位制定</w:t>
            </w:r>
            <w:r>
              <w:rPr>
                <w:rFonts w:hint="eastAsia"/>
                <w:color w:val="000000" w:themeColor="text1"/>
                <w:highlight w:val="none"/>
                <w14:textFill>
                  <w14:solidFill>
                    <w14:schemeClr w14:val="tx1"/>
                  </w14:solidFill>
                </w14:textFill>
              </w:rPr>
              <w:t>了</w:t>
            </w:r>
            <w:r>
              <w:rPr>
                <w:color w:val="000000" w:themeColor="text1"/>
                <w:highlight w:val="none"/>
                <w14:textFill>
                  <w14:solidFill>
                    <w14:schemeClr w14:val="tx1"/>
                  </w14:solidFill>
                </w14:textFill>
              </w:rPr>
              <w:t>完善的环境监督与管理制度体系和环境监督管理计划。</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在开发过程中，企业应加强油气井套管的检测和维护，防止油气泄漏污染地下水。</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本项目制定了套管检测和维护计划和制度，防止天然气泄漏污染地下水。</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油气田企业应建立环境保护人员培训制度，环境监测人员、统计人员、污染治理设施操作人员应经培训合格后上岗。</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建设单位设置有专门的环境管理部门，并制定有完善的培训制度。</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35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油气田企业应对开发过程进行环境风险因素识别，制定突发环境事件应急预案并定期进行演练。应开展特征污染物监测工作，采取环境风险防范和应急措施，防止发生由突发性油气泄漏产生的环境事故。</w:t>
            </w:r>
          </w:p>
        </w:tc>
        <w:tc>
          <w:tcPr>
            <w:tcW w:w="287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建设单位严格按照要求设置突发环境事件应急预案，并定期举行演练。在井场周边设置有事故监测点，实时监测危险因子。</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autoSpaceDE w:val="0"/>
        <w:autoSpaceDN w:val="0"/>
        <w:spacing w:before="163"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由上表可见，本项目与《石油天然气开采业污染防治技术政策》符合。</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与《关于进一步加强石油天然气行业环境影响评价管理的通知》符合性分析</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根据《关于进一步加强石油天然气行业环境影响评价管理的通知》（环办环评函〔2019〕910号），本项目符合性分析如下。</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与《关于进一步加强石油天然气行业环境影响评价管理的通知》符合性分析表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85"/>
        <w:gridCol w:w="4163"/>
        <w:gridCol w:w="2607"/>
        <w:gridCol w:w="8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2532"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技术政策要求</w:t>
            </w:r>
          </w:p>
        </w:tc>
        <w:tc>
          <w:tcPr>
            <w:tcW w:w="158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527"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4644" w:type="pct"/>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推进规划环境影响评价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油气企业在编制内部相关油气开发专项规划时，鼓励同步编制规划环境影响报告书。</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w:t>
            </w:r>
            <w:r>
              <w:rPr>
                <w:rFonts w:hint="eastAsia"/>
                <w:color w:val="000000" w:themeColor="text1"/>
                <w:highlight w:val="none"/>
                <w14:textFill>
                  <w14:solidFill>
                    <w14:schemeClr w14:val="tx1"/>
                  </w14:solidFill>
                </w14:textFill>
              </w:rPr>
              <w:t>编制相关</w:t>
            </w:r>
            <w:r>
              <w:rPr>
                <w:color w:val="000000" w:themeColor="text1"/>
                <w:highlight w:val="none"/>
                <w14:textFill>
                  <w14:solidFill>
                    <w14:schemeClr w14:val="tx1"/>
                  </w14:solidFill>
                </w14:textFill>
              </w:rPr>
              <w:t>油气开发专项规划环境影响报告书。</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非强制性要求，不违背。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4644" w:type="pct"/>
            <w:gridSpan w:val="3"/>
            <w:vAlign w:val="center"/>
          </w:tcPr>
          <w:p>
            <w:pPr>
              <w:pStyle w:val="297"/>
              <w:rPr>
                <w:rFonts w:hint="eastAsia" w:ascii="宋体" w:hAnsi="宋体"/>
                <w:color w:val="000000" w:themeColor="text1"/>
                <w:highlight w:val="none"/>
                <w14:textFill>
                  <w14:solidFill>
                    <w14:schemeClr w14:val="tx1"/>
                  </w14:solidFill>
                </w14:textFill>
              </w:rPr>
            </w:pPr>
            <w:r>
              <w:rPr>
                <w:rFonts w:ascii="宋体" w:hAnsi="宋体"/>
                <w:color w:val="000000" w:themeColor="text1"/>
                <w:highlight w:val="none"/>
                <w14:textFill>
                  <w14:solidFill>
                    <w14:schemeClr w14:val="tx1"/>
                  </w14:solidFill>
                </w14:textFill>
              </w:rPr>
              <w:t>深化项目环评“放管服”改革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开采项目（含新开发和滚动开发项目）原则上应当以区块为单位开展环评（以下简称区块环评），一般包括区块内拟建的新井、加密井、调整井、站场、设备、管道和电缆及其更换工程、弃置工程及配套工程等。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tc>
        <w:tc>
          <w:tcPr>
            <w:tcW w:w="1586" w:type="pct"/>
            <w:vAlign w:val="center"/>
          </w:tcPr>
          <w:p>
            <w:pPr>
              <w:spacing w:before="1" w:line="240" w:lineRule="auto"/>
              <w:ind w:right="157" w:firstLine="420"/>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2007年，《中国石化普光气田开发及川气东送管道工程环境影响报告书》经原环保部审批，报告中已分析了普光气田主体区块相关内容。2018年6月，中原油田普光分公司组织开展了普光气田开发工程环境影响后评价，明确了普光气田主体区块的建设内容和建设进度，后评价报告在国家生态环境部进行备案，非含新开发和滚动开发项目。</w:t>
            </w:r>
          </w:p>
          <w:p>
            <w:pPr>
              <w:spacing w:before="1" w:line="240" w:lineRule="auto"/>
              <w:ind w:right="157" w:firstLine="422"/>
              <w:rPr>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本项目</w:t>
            </w:r>
            <w:r>
              <w:rPr>
                <w:rFonts w:hint="eastAsia" w:cs="Times New Roman"/>
                <w:b/>
                <w:bCs/>
                <w:color w:val="000000" w:themeColor="text1"/>
                <w:sz w:val="21"/>
                <w:szCs w:val="21"/>
                <w:highlight w:val="none"/>
                <w14:textFill>
                  <w14:solidFill>
                    <w14:schemeClr w14:val="tx1"/>
                  </w14:solidFill>
                </w14:textFill>
              </w:rPr>
              <w:t>位于</w:t>
            </w:r>
            <w:r>
              <w:rPr>
                <w:rFonts w:cs="Times New Roman"/>
                <w:b/>
                <w:bCs/>
                <w:color w:val="000000" w:themeColor="text1"/>
                <w:sz w:val="21"/>
                <w:szCs w:val="21"/>
                <w:highlight w:val="none"/>
                <w14:textFill>
                  <w14:solidFill>
                    <w14:schemeClr w14:val="tx1"/>
                  </w14:solidFill>
                </w14:textFill>
              </w:rPr>
              <w:t>普光气田</w:t>
            </w:r>
            <w:r>
              <w:rPr>
                <w:rFonts w:hint="eastAsia" w:cs="Times New Roman"/>
                <w:b/>
                <w:bCs/>
                <w:color w:val="000000" w:themeColor="text1"/>
                <w:sz w:val="21"/>
                <w:szCs w:val="21"/>
                <w:highlight w:val="none"/>
                <w14:textFill>
                  <w14:solidFill>
                    <w14:schemeClr w14:val="tx1"/>
                  </w14:solidFill>
                </w14:textFill>
              </w:rPr>
              <w:t>内</w:t>
            </w:r>
            <w:r>
              <w:rPr>
                <w:rFonts w:hint="eastAsia"/>
                <w:b/>
                <w:bCs/>
                <w:color w:val="000000" w:themeColor="text1"/>
                <w:sz w:val="21"/>
                <w:szCs w:val="21"/>
                <w:highlight w:val="none"/>
                <w14:textFill>
                  <w14:solidFill>
                    <w14:schemeClr w14:val="tx1"/>
                  </w14:solidFill>
                </w14:textFill>
              </w:rPr>
              <w:t>的</w:t>
            </w:r>
            <w:r>
              <w:rPr>
                <w:rFonts w:hint="eastAsia"/>
                <w:b/>
                <w:bCs/>
                <w:color w:val="000000" w:themeColor="text1"/>
                <w:sz w:val="21"/>
                <w:szCs w:val="21"/>
                <w:highlight w:val="none"/>
                <w:lang w:eastAsia="zh-CN"/>
                <w14:textFill>
                  <w14:solidFill>
                    <w14:schemeClr w14:val="tx1"/>
                  </w14:solidFill>
                </w14:textFill>
              </w:rPr>
              <w:t>***</w:t>
            </w:r>
            <w:r>
              <w:rPr>
                <w:rFonts w:hint="eastAsia"/>
                <w:b/>
                <w:bCs/>
                <w:color w:val="000000" w:themeColor="text1"/>
                <w:sz w:val="21"/>
                <w:szCs w:val="21"/>
                <w:highlight w:val="none"/>
                <w14:textFill>
                  <w14:solidFill>
                    <w14:schemeClr w14:val="tx1"/>
                  </w14:solidFill>
                </w14:textFill>
              </w:rPr>
              <w:t>区块内</w:t>
            </w:r>
            <w:r>
              <w:rPr>
                <w:b/>
                <w:bCs/>
                <w:color w:val="000000" w:themeColor="text1"/>
                <w:sz w:val="21"/>
                <w:szCs w:val="21"/>
                <w:highlight w:val="none"/>
                <w14:textFill>
                  <w14:solidFill>
                    <w14:schemeClr w14:val="tx1"/>
                  </w14:solidFill>
                </w14:textFill>
              </w:rPr>
              <w:t>，</w:t>
            </w:r>
            <w:r>
              <w:rPr>
                <w:rFonts w:hint="eastAsia"/>
                <w:b/>
                <w:bCs/>
                <w:color w:val="000000" w:themeColor="text1"/>
                <w:sz w:val="21"/>
                <w:szCs w:val="21"/>
                <w:highlight w:val="none"/>
                <w14:textFill>
                  <w14:solidFill>
                    <w14:schemeClr w14:val="tx1"/>
                  </w14:solidFill>
                </w14:textFill>
              </w:rPr>
              <w:t>其建设目的是在先期实施的大湾408-1井、大湾408-2井后，对</w:t>
            </w:r>
            <w:r>
              <w:rPr>
                <w:rFonts w:hint="eastAsia"/>
                <w:b/>
                <w:bCs/>
                <w:color w:val="000000" w:themeColor="text1"/>
                <w:sz w:val="21"/>
                <w:szCs w:val="21"/>
                <w:highlight w:val="none"/>
                <w:lang w:eastAsia="zh-CN"/>
                <w14:textFill>
                  <w14:solidFill>
                    <w14:schemeClr w14:val="tx1"/>
                  </w14:solidFill>
                </w14:textFill>
              </w:rPr>
              <w:t>***</w:t>
            </w:r>
            <w:r>
              <w:rPr>
                <w:rFonts w:hint="eastAsia"/>
                <w:b/>
                <w:bCs/>
                <w:color w:val="000000" w:themeColor="text1"/>
                <w:sz w:val="21"/>
                <w:szCs w:val="21"/>
                <w:highlight w:val="none"/>
                <w14:textFill>
                  <w14:solidFill>
                    <w14:schemeClr w14:val="tx1"/>
                  </w14:solidFill>
                </w14:textFill>
              </w:rPr>
              <w:t>区域</w:t>
            </w:r>
            <w:r>
              <w:rPr>
                <w:b/>
                <w:bCs/>
                <w:color w:val="000000" w:themeColor="text1"/>
                <w:sz w:val="21"/>
                <w:szCs w:val="21"/>
                <w:highlight w:val="none"/>
                <w14:textFill>
                  <w14:solidFill>
                    <w14:schemeClr w14:val="tx1"/>
                  </w14:solidFill>
                </w14:textFill>
              </w:rPr>
              <w:t>内断裂系统</w:t>
            </w:r>
            <w:r>
              <w:rPr>
                <w:rFonts w:hint="eastAsia"/>
                <w:b/>
                <w:bCs/>
                <w:color w:val="000000" w:themeColor="text1"/>
                <w:sz w:val="21"/>
                <w:szCs w:val="21"/>
                <w:highlight w:val="none"/>
                <w14:textFill>
                  <w14:solidFill>
                    <w14:schemeClr w14:val="tx1"/>
                  </w14:solidFill>
                </w14:textFill>
              </w:rPr>
              <w:t>和储层情况有了新的认识基础上，同时，为了进一步加深对</w:t>
            </w:r>
            <w:r>
              <w:rPr>
                <w:rFonts w:hint="eastAsia"/>
                <w:b/>
                <w:bCs/>
                <w:color w:val="000000" w:themeColor="text1"/>
                <w:sz w:val="21"/>
                <w:szCs w:val="21"/>
                <w:highlight w:val="none"/>
                <w:lang w:eastAsia="zh-CN"/>
                <w14:textFill>
                  <w14:solidFill>
                    <w14:schemeClr w14:val="tx1"/>
                  </w14:solidFill>
                </w14:textFill>
              </w:rPr>
              <w:t>***</w:t>
            </w:r>
            <w:r>
              <w:rPr>
                <w:rFonts w:hint="eastAsia"/>
                <w:b/>
                <w:bCs/>
                <w:color w:val="000000" w:themeColor="text1"/>
                <w:sz w:val="21"/>
                <w:szCs w:val="21"/>
                <w:highlight w:val="none"/>
                <w14:textFill>
                  <w14:solidFill>
                    <w14:schemeClr w14:val="tx1"/>
                  </w14:solidFill>
                </w14:textFill>
              </w:rPr>
              <w:t>构造区</w:t>
            </w:r>
            <w:r>
              <w:rPr>
                <w:b/>
                <w:bCs/>
                <w:color w:val="000000" w:themeColor="text1"/>
                <w:sz w:val="21"/>
                <w:szCs w:val="21"/>
                <w:highlight w:val="none"/>
                <w14:textFill>
                  <w14:solidFill>
                    <w14:schemeClr w14:val="tx1"/>
                  </w14:solidFill>
                </w14:textFill>
              </w:rPr>
              <w:t>东</w:t>
            </w:r>
            <w:r>
              <w:rPr>
                <w:rFonts w:hint="eastAsia"/>
                <w:b/>
                <w:bCs/>
                <w:color w:val="000000" w:themeColor="text1"/>
                <w:sz w:val="21"/>
                <w:szCs w:val="21"/>
                <w:highlight w:val="none"/>
                <w14:textFill>
                  <w14:solidFill>
                    <w14:schemeClr w14:val="tx1"/>
                  </w14:solidFill>
                </w14:textFill>
              </w:rPr>
              <w:t>侧</w:t>
            </w:r>
            <w:r>
              <w:rPr>
                <w:b/>
                <w:bCs/>
                <w:color w:val="000000" w:themeColor="text1"/>
                <w:sz w:val="21"/>
                <w:szCs w:val="21"/>
                <w:highlight w:val="none"/>
                <w14:textFill>
                  <w14:solidFill>
                    <w14:schemeClr w14:val="tx1"/>
                  </w14:solidFill>
                </w14:textFill>
              </w:rPr>
              <w:t>复杂带</w:t>
            </w:r>
            <w:r>
              <w:rPr>
                <w:rFonts w:hint="eastAsia"/>
                <w:b/>
                <w:bCs/>
                <w:color w:val="000000" w:themeColor="text1"/>
                <w:sz w:val="21"/>
                <w:szCs w:val="21"/>
                <w:highlight w:val="none"/>
                <w14:textFill>
                  <w14:solidFill>
                    <w14:schemeClr w14:val="tx1"/>
                  </w14:solidFill>
                </w14:textFill>
              </w:rPr>
              <w:t>（断块2～断块3之间）</w:t>
            </w:r>
            <w:r>
              <w:rPr>
                <w:rFonts w:hint="eastAsia"/>
                <w:b/>
                <w:bCs/>
                <w:color w:val="000000" w:themeColor="text1"/>
                <w:sz w:val="21"/>
                <w:szCs w:val="21"/>
                <w:highlight w:val="none"/>
                <w:lang w:eastAsia="zh-CN"/>
                <w14:textFill>
                  <w14:solidFill>
                    <w14:schemeClr w14:val="tx1"/>
                  </w14:solidFill>
                </w14:textFill>
              </w:rPr>
              <w:t>***</w:t>
            </w:r>
            <w:r>
              <w:rPr>
                <w:rFonts w:hint="eastAsia"/>
                <w:b/>
                <w:bCs/>
                <w:color w:val="000000" w:themeColor="text1"/>
                <w:sz w:val="21"/>
                <w:szCs w:val="21"/>
                <w:highlight w:val="none"/>
                <w14:textFill>
                  <w14:solidFill>
                    <w14:schemeClr w14:val="tx1"/>
                  </w14:solidFill>
                </w14:textFill>
              </w:rPr>
              <w:t>的</w:t>
            </w:r>
            <w:r>
              <w:rPr>
                <w:rFonts w:hint="eastAsia"/>
                <w:b/>
                <w:bCs/>
                <w:color w:val="000000" w:themeColor="text1"/>
                <w:sz w:val="21"/>
                <w:szCs w:val="21"/>
                <w:highlight w:val="none"/>
                <w14:textFill>
                  <w14:solidFill>
                    <w14:schemeClr w14:val="tx1"/>
                  </w14:solidFill>
                </w14:textFill>
              </w:rPr>
              <w:fldChar w:fldCharType="begin"/>
            </w:r>
            <w:r>
              <w:rPr>
                <w:rFonts w:hint="eastAsia"/>
                <w:b/>
                <w:bCs/>
                <w:color w:val="000000" w:themeColor="text1"/>
                <w:sz w:val="21"/>
                <w:szCs w:val="21"/>
                <w:highlight w:val="none"/>
                <w14:textFill>
                  <w14:solidFill>
                    <w14:schemeClr w14:val="tx1"/>
                  </w14:solidFill>
                </w14:textFill>
              </w:rPr>
              <w:instrText xml:space="preserve"> = 2 \* ROMAN \* MERGEFORMAT </w:instrText>
            </w:r>
            <w:r>
              <w:rPr>
                <w:rFonts w:hint="eastAsia"/>
                <w:b/>
                <w:bCs/>
                <w:color w:val="000000" w:themeColor="text1"/>
                <w:sz w:val="21"/>
                <w:szCs w:val="21"/>
                <w:highlight w:val="none"/>
                <w14:textFill>
                  <w14:solidFill>
                    <w14:schemeClr w14:val="tx1"/>
                  </w14:solidFill>
                </w14:textFill>
              </w:rPr>
              <w:fldChar w:fldCharType="separate"/>
            </w:r>
            <w:r>
              <w:rPr>
                <w:rFonts w:hint="eastAsia"/>
                <w:b/>
                <w:bCs/>
                <w:color w:val="000000" w:themeColor="text1"/>
                <w:sz w:val="21"/>
                <w:szCs w:val="21"/>
                <w:highlight w:val="none"/>
                <w14:textFill>
                  <w14:solidFill>
                    <w14:schemeClr w14:val="tx1"/>
                  </w14:solidFill>
                </w14:textFill>
              </w:rPr>
              <w:t>II</w:t>
            </w:r>
            <w:r>
              <w:rPr>
                <w:rFonts w:hint="eastAsia"/>
                <w:b/>
                <w:bCs/>
                <w:color w:val="000000" w:themeColor="text1"/>
                <w:sz w:val="21"/>
                <w:szCs w:val="21"/>
                <w:highlight w:val="none"/>
                <w14:textFill>
                  <w14:solidFill>
                    <w14:schemeClr w14:val="tx1"/>
                  </w14:solidFill>
                </w14:textFill>
              </w:rPr>
              <w:fldChar w:fldCharType="end"/>
            </w:r>
            <w:r>
              <w:rPr>
                <w:rFonts w:hint="eastAsia"/>
                <w:b/>
                <w:bCs/>
                <w:color w:val="000000" w:themeColor="text1"/>
                <w:sz w:val="21"/>
                <w:szCs w:val="21"/>
                <w:highlight w:val="none"/>
                <w14:textFill>
                  <w14:solidFill>
                    <w14:schemeClr w14:val="tx1"/>
                  </w14:solidFill>
                </w14:textFill>
              </w:rPr>
              <w:t>类气层的储量问题研究，从地层、构造、沉积、储层、含气性、气水关系、储层改造条件等多个方面对</w:t>
            </w:r>
            <w:r>
              <w:rPr>
                <w:rFonts w:hint="eastAsia"/>
                <w:b/>
                <w:bCs/>
                <w:color w:val="000000" w:themeColor="text1"/>
                <w:sz w:val="21"/>
                <w:szCs w:val="21"/>
                <w:highlight w:val="none"/>
                <w:lang w:eastAsia="zh-CN"/>
                <w14:textFill>
                  <w14:solidFill>
                    <w14:schemeClr w14:val="tx1"/>
                  </w14:solidFill>
                </w14:textFill>
              </w:rPr>
              <w:t>***</w:t>
            </w:r>
            <w:r>
              <w:rPr>
                <w:rFonts w:hint="eastAsia"/>
                <w:b/>
                <w:bCs/>
                <w:color w:val="000000" w:themeColor="text1"/>
                <w:sz w:val="21"/>
                <w:szCs w:val="21"/>
                <w:highlight w:val="none"/>
                <w14:textFill>
                  <w14:solidFill>
                    <w14:schemeClr w14:val="tx1"/>
                  </w14:solidFill>
                </w14:textFill>
              </w:rPr>
              <w:t>区块开展深入研究而部署的一口试验性探井。</w:t>
            </w:r>
          </w:p>
          <w:p>
            <w:pPr>
              <w:spacing w:before="1" w:line="240" w:lineRule="auto"/>
              <w:ind w:right="157" w:firstLine="420"/>
              <w:rPr>
                <w:rFonts w:cs="Times New Roman"/>
                <w:color w:val="000000" w:themeColor="text1"/>
                <w:sz w:val="21"/>
                <w:szCs w:val="20"/>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因普光气田属于高含硫气田，其地质结构较为复杂，且目前对区域产能储量仍未探明，因此，在该区域部署探井一口进行试采，不属于老区块内的新井、加</w:t>
            </w:r>
            <w:r>
              <w:rPr>
                <w:rFonts w:hint="eastAsia" w:cs="Times New Roman"/>
                <w:color w:val="000000" w:themeColor="text1"/>
                <w:sz w:val="21"/>
                <w:szCs w:val="20"/>
                <w:highlight w:val="none"/>
                <w14:textFill>
                  <w14:solidFill>
                    <w14:schemeClr w14:val="tx1"/>
                  </w14:solidFill>
                </w14:textFill>
              </w:rPr>
              <w:t>密井、调整井、站场、设备、管道和电缆及其更换工程、弃置工程及配套工程等。</w:t>
            </w:r>
          </w:p>
          <w:p>
            <w:pPr>
              <w:spacing w:before="1" w:line="240" w:lineRule="auto"/>
              <w:ind w:right="157" w:firstLine="420"/>
              <w:rPr>
                <w:color w:val="000000" w:themeColor="text1"/>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本次评价提出了有效的生态环境保护和环境风险防范措施。充分论证了施工期和试采期各污染物处置的可行性。</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w:t>
            </w:r>
          </w:p>
        </w:tc>
        <w:tc>
          <w:tcPr>
            <w:tcW w:w="4644" w:type="pct"/>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强化生态环境保护措施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涉及向地表水体排放污染物的陆地油气开采项目，应当符合国家和地方污染物排放标准，满足重点污染物排放总量控制要求。</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本项目涉及施工期和试采期废水均</w:t>
            </w:r>
            <w:r>
              <w:rPr>
                <w:rFonts w:hint="eastAsia"/>
                <w:color w:val="000000" w:themeColor="text1"/>
                <w:highlight w:val="none"/>
                <w14:textFill>
                  <w14:solidFill>
                    <w14:schemeClr w14:val="tx1"/>
                  </w14:solidFill>
                </w14:textFill>
              </w:rPr>
              <w:t>采取回用及</w:t>
            </w:r>
            <w:r>
              <w:rPr>
                <w:color w:val="000000" w:themeColor="text1"/>
                <w:highlight w:val="none"/>
                <w14:textFill>
                  <w14:solidFill>
                    <w14:schemeClr w14:val="tx1"/>
                  </w14:solidFill>
                </w14:textFill>
              </w:rPr>
              <w:t>回注处理，无废水外排。</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涉及废水回注的，应当论证回注的环境可行性，采取切实可行的地下水污染防治和监控措施，不得回注与油气开采无关的废水，严禁造成地下水污染。在相关行业污染控制标准发布前，回注的开采废水应当经处理并符合《碎屑岩油藏注水水质推荐指标及分析方法》（SY/T5329）等相关标准要求后回注，同步采取切实可行措施防治污染。回注目的层应当为地质构造封闭地层，一般应当回注到现役油气藏或枯竭废弃油气藏。</w:t>
            </w:r>
          </w:p>
        </w:tc>
        <w:tc>
          <w:tcPr>
            <w:tcW w:w="2607" w:type="dxa"/>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本项目钻井阶段产生的</w:t>
            </w:r>
            <w:r>
              <w:rPr>
                <w:color w:val="000000" w:themeColor="text1"/>
                <w:highlight w:val="none"/>
                <w14:textFill>
                  <w14:solidFill>
                    <w14:schemeClr w14:val="tx1"/>
                  </w14:solidFill>
                </w14:textFill>
              </w:rPr>
              <w:t>钻井废水、场地初期雨水</w:t>
            </w:r>
            <w:r>
              <w:rPr>
                <w:rFonts w:hint="eastAsia"/>
                <w:color w:val="000000" w:themeColor="text1"/>
                <w:highlight w:val="none"/>
                <w14:textFill>
                  <w14:solidFill>
                    <w14:schemeClr w14:val="tx1"/>
                  </w14:solidFill>
                </w14:textFill>
              </w:rPr>
              <w:t>，以及</w:t>
            </w:r>
            <w:r>
              <w:rPr>
                <w:color w:val="000000" w:themeColor="text1"/>
                <w:highlight w:val="none"/>
                <w14:textFill>
                  <w14:solidFill>
                    <w14:schemeClr w14:val="tx1"/>
                  </w14:solidFill>
                </w14:textFill>
              </w:rPr>
              <w:t>储层改造阶段产生的压裂返排液及洗井废水</w:t>
            </w:r>
            <w:r>
              <w:rPr>
                <w:rFonts w:hint="eastAsia"/>
                <w:color w:val="000000" w:themeColor="text1"/>
                <w:highlight w:val="none"/>
                <w14:textFill>
                  <w14:solidFill>
                    <w14:schemeClr w14:val="tx1"/>
                  </w14:solidFill>
                </w14:textFill>
              </w:rPr>
              <w:t>都优先考虑回用，不能回用的部分</w:t>
            </w:r>
            <w:r>
              <w:rPr>
                <w:color w:val="000000" w:themeColor="text1"/>
                <w:highlight w:val="none"/>
                <w14:textFill>
                  <w14:solidFill>
                    <w14:schemeClr w14:val="tx1"/>
                  </w14:solidFill>
                </w14:textFill>
              </w:rPr>
              <w:t>定期装车拉运至</w:t>
            </w:r>
            <w:r>
              <w:rPr>
                <w:rFonts w:hint="eastAsia"/>
                <w:color w:val="000000" w:themeColor="text1"/>
                <w:highlight w:val="none"/>
                <w14:textFill>
                  <w14:solidFill>
                    <w14:schemeClr w14:val="tx1"/>
                  </w14:solidFill>
                </w14:textFill>
              </w:rPr>
              <w:t>赵家坝污水处理站</w:t>
            </w:r>
            <w:r>
              <w:rPr>
                <w:color w:val="000000" w:themeColor="text1"/>
                <w:highlight w:val="none"/>
                <w14:textFill>
                  <w14:solidFill>
                    <w14:schemeClr w14:val="tx1"/>
                  </w14:solidFill>
                </w14:textFill>
              </w:rPr>
              <w:t>处理达标后经</w:t>
            </w:r>
            <w:r>
              <w:rPr>
                <w:rFonts w:hint="eastAsia"/>
                <w:color w:val="000000" w:themeColor="text1"/>
                <w:highlight w:val="none"/>
                <w14:textFill>
                  <w14:solidFill>
                    <w14:schemeClr w14:val="tx1"/>
                  </w14:solidFill>
                </w14:textFill>
              </w:rPr>
              <w:t>普光3井回注站回注，不外排。</w:t>
            </w:r>
          </w:p>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赵家坝污水处理站</w:t>
            </w:r>
            <w:r>
              <w:rPr>
                <w:color w:val="000000" w:themeColor="text1"/>
                <w:highlight w:val="none"/>
                <w14:textFill>
                  <w14:solidFill>
                    <w14:schemeClr w14:val="tx1"/>
                  </w14:solidFill>
                </w14:textFill>
              </w:rPr>
              <w:t>和</w:t>
            </w:r>
            <w:r>
              <w:rPr>
                <w:rFonts w:hint="eastAsia"/>
                <w:color w:val="000000" w:themeColor="text1"/>
                <w:highlight w:val="none"/>
                <w14:textFill>
                  <w14:solidFill>
                    <w14:schemeClr w14:val="tx1"/>
                  </w14:solidFill>
                </w14:textFill>
              </w:rPr>
              <w:t>普光3井回注站</w:t>
            </w:r>
            <w:r>
              <w:rPr>
                <w:color w:val="000000" w:themeColor="text1"/>
                <w:highlight w:val="none"/>
                <w14:textFill>
                  <w14:solidFill>
                    <w14:schemeClr w14:val="tx1"/>
                  </w14:solidFill>
                </w14:textFill>
              </w:rPr>
              <w:t>已取得环评批复，并已开展竣工环保验收，并在其环评报告中充分论述了回注的环境可行性、污染防治措施、全过程生态环境保护及风险防控措施、监控要求等内容，满足要求。</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开采产生的废弃油基泥浆、含油钻屑及其他固体废物，应当遵循减量化、资源化、无害化原则，按照国家和地方有关固体废物的管理规定进行处置。鼓励企业自建含油污泥集中式处理和综合利用设施，提高废弃油基泥浆和含油钻屑及其处理产物的综合利用率。油气开采项目产生的危险废物，应当按照《建设项目危险废物环境影响评价指南》要求评价。</w:t>
            </w:r>
          </w:p>
        </w:tc>
        <w:tc>
          <w:tcPr>
            <w:tcW w:w="2607" w:type="dxa"/>
            <w:vAlign w:val="center"/>
          </w:tcPr>
          <w:p>
            <w:pPr>
              <w:pStyle w:val="297"/>
              <w:jc w:val="left"/>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本项目正常情况下不涉及油基钻井工艺，无废弃油基泥浆、含油钻屑产生。</w:t>
            </w:r>
            <w:r>
              <w:rPr>
                <w:rFonts w:hint="eastAsia"/>
                <w:color w:val="000000" w:themeColor="text1"/>
                <w:szCs w:val="21"/>
                <w:highlight w:val="none"/>
                <w14:textFill>
                  <w14:solidFill>
                    <w14:schemeClr w14:val="tx1"/>
                  </w14:solidFill>
                </w14:textFill>
              </w:rPr>
              <w:t>仅三开采用</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14:textFill>
                  <w14:solidFill>
                    <w14:schemeClr w14:val="tx1"/>
                  </w14:solidFill>
                </w14:textFill>
              </w:rPr>
              <w:t>钻井液（若三开钻遇特地层，则采用油基钻井液）</w:t>
            </w:r>
            <w:r>
              <w:rPr>
                <w:color w:val="000000" w:themeColor="text1"/>
                <w:szCs w:val="21"/>
                <w:highlight w:val="none"/>
                <w14:textFill>
                  <w14:solidFill>
                    <w14:schemeClr w14:val="tx1"/>
                  </w14:solidFill>
                </w14:textFill>
              </w:rPr>
              <w:t>泥浆，产生的废弃油基泥浆、含油钻屑及其他固体废物，遵循了减量化、资源化、无害化原则，并按照国家和地方有关固体废物的管理规定交由资质单位处置，本次评价已按照《建设项目危险废物环境影响评价指南》要求进行了评价</w:t>
            </w:r>
            <w:r>
              <w:rPr>
                <w:color w:val="000000" w:themeColor="text1"/>
                <w:highlight w:val="none"/>
                <w14:textFill>
                  <w14:solidFill>
                    <w14:schemeClr w14:val="tx1"/>
                  </w14:solidFill>
                </w14:textFill>
              </w:rPr>
              <w:t>。</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陆地油气开采项目的建设单位应当对挥发性有机物液体储存和装载损失、废水液面逸散、设备与管线组件泄漏、非正常工况等挥发性有机物无组织排放源进行有效管控，通过采取设备密闭、废气有效收集及配套高效末端处理设施等措施，有效控制挥发性有机物和恶臭气体无组织排放。涉及高含硫天然气开采的，应当强化钻井、输送、净化等环节环境风险防范措施。含硫气田回注采出水，应当采取有效措施减少废水处理站和回注井场硫化氢的无组织排放。高含硫天然气净化厂应当采用先进高效硫磺回收工艺，减少二氧化硫排放。井场加热炉、锅炉、压缩机等排放大气污染物的设备，应当优先使用清洁燃料，废气排放应当满足国家和地方大气污染物排放标准要求。</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本项目天然气均密闭输送</w:t>
            </w:r>
            <w:r>
              <w:rPr>
                <w:color w:val="000000" w:themeColor="text1"/>
                <w:szCs w:val="21"/>
                <w:highlight w:val="none"/>
                <w14:textFill>
                  <w14:solidFill>
                    <w14:schemeClr w14:val="tx1"/>
                  </w14:solidFill>
                </w14:textFill>
              </w:rPr>
              <w:t>，有效降低挥发性有机物无组织排放量</w:t>
            </w:r>
            <w:r>
              <w:rPr>
                <w:color w:val="000000" w:themeColor="text1"/>
                <w:highlight w:val="none"/>
                <w14:textFill>
                  <w14:solidFill>
                    <w14:schemeClr w14:val="tx1"/>
                  </w14:solidFill>
                </w14:textFill>
              </w:rPr>
              <w:t>。不涉及天然气净化。强化了钻井、输送等环节环境风险防范措施。集气站</w:t>
            </w:r>
            <w:r>
              <w:rPr>
                <w:rFonts w:hint="eastAsia"/>
                <w:color w:val="000000" w:themeColor="text1"/>
                <w:highlight w:val="none"/>
                <w14:textFill>
                  <w14:solidFill>
                    <w14:schemeClr w14:val="tx1"/>
                  </w14:solidFill>
                </w14:textFill>
              </w:rPr>
              <w:t>水套</w:t>
            </w:r>
            <w:r>
              <w:rPr>
                <w:color w:val="000000" w:themeColor="text1"/>
                <w:highlight w:val="none"/>
                <w14:textFill>
                  <w14:solidFill>
                    <w14:schemeClr w14:val="tx1"/>
                  </w14:solidFill>
                </w14:textFill>
              </w:rPr>
              <w:t>加热炉与火炬长明灯采用的燃料气为</w:t>
            </w:r>
            <w:r>
              <w:rPr>
                <w:rFonts w:hint="eastAsia"/>
                <w:color w:val="000000" w:themeColor="text1"/>
                <w:highlight w:val="none"/>
                <w14:textFill>
                  <w14:solidFill>
                    <w14:schemeClr w14:val="tx1"/>
                  </w14:solidFill>
                </w14:textFill>
              </w:rPr>
              <w:t>自产含硫天然气</w:t>
            </w:r>
            <w:r>
              <w:rPr>
                <w:color w:val="000000" w:themeColor="text1"/>
                <w:highlight w:val="none"/>
                <w14:textFill>
                  <w14:solidFill>
                    <w14:schemeClr w14:val="tx1"/>
                  </w14:solidFill>
                </w14:textFill>
              </w:rPr>
              <w:t>作为燃料，满足国家大气污染物排放标准。</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应当尽量减少施工占地、缩短施工时间、选择合理施工方式、落实环境敏感区管控要求以及其他生态环境保护措施，降低生态环境影响。钻井和压裂设备应当优先使用网电、高标准清洁燃油，减少废气排放。选用低噪声设备，避免噪声扰民。施工结束后，应当及时落实环评提出的生态 保护措施。</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项目按标准化井场进行建设，试采井站在</w:t>
            </w: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原钻井平台占地范围内实施。本次评价已提出施工结束后，应当及时落实生态保护措施。</w:t>
            </w:r>
          </w:p>
        </w:tc>
        <w:tc>
          <w:tcPr>
            <w:tcW w:w="527" w:type="pct"/>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6</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陆地油气长输管道项目，原则上应当单独编制环评文件。</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本项目不涉及油气长输管道。</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7</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储存项目，选址尽量远离环境敏感区。加强甲烷及挥发性有机物的泄漏检测，落实地下水污染防治和跟踪监测要求，采取有效措施做好环境风险防范与环境应急管理；盐穴储气库项目还应当严格落实采卤造腔期和管道施工期的生态环境保护措施，妥善处理采出水。</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本项目不涉及油气储存。本项目进行了非甲烷总烃监测，同时站场内设置了可燃气体报警仪、硫化氢气体检测仪、硫化氢气体报警仪。本次评价</w:t>
            </w:r>
            <w:r>
              <w:rPr>
                <w:rFonts w:hint="eastAsia"/>
                <w:color w:val="000000" w:themeColor="text1"/>
                <w:highlight w:val="none"/>
                <w14:textFill>
                  <w14:solidFill>
                    <w14:schemeClr w14:val="tx1"/>
                  </w14:solidFill>
                </w14:textFill>
              </w:rPr>
              <w:t>提出</w:t>
            </w:r>
            <w:r>
              <w:rPr>
                <w:color w:val="000000" w:themeColor="text1"/>
                <w:highlight w:val="none"/>
                <w14:textFill>
                  <w14:solidFill>
                    <w14:schemeClr w14:val="tx1"/>
                  </w14:solidFill>
                </w14:textFill>
              </w:rPr>
              <w:t>了地下水污染防治和跟踪监测要求。</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8</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油气企业应当加强风险防控，按规定编制突发环境事件应急预案，报所在地生态环境主管部门备案。海洋油气勘探开发溢油应急计划报相关海域生态环境监督管理局备案。</w:t>
            </w:r>
          </w:p>
        </w:tc>
        <w:tc>
          <w:tcPr>
            <w:tcW w:w="1586" w:type="pct"/>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本次评价要求</w:t>
            </w:r>
            <w:r>
              <w:rPr>
                <w:color w:val="000000" w:themeColor="text1"/>
                <w:highlight w:val="none"/>
                <w14:textFill>
                  <w14:solidFill>
                    <w14:schemeClr w14:val="tx1"/>
                  </w14:solidFill>
                </w14:textFill>
              </w:rPr>
              <w:t>建设单位严格按照相关要求编制突发环境事件应急预案，并报所在地生态环境主管部门备案。</w:t>
            </w:r>
          </w:p>
        </w:tc>
        <w:tc>
          <w:tcPr>
            <w:tcW w:w="52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综上所述，本项目符合《关于进一步加强石油天然气行业环境影响评价管理的通知》（环办环评函〔2019〕910号）的相关要求。</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与《陆上石油天然气开采业绿色矿山建设规范》（DZ/T0317-2018）符合性分析</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《陆上石油天然气开采业绿色矿山建设规范》（DZ/T 0317-2018）规定了陆上石油和天然气开采行业绿色矿山矿区环境、资源开发方式、资源综合利用、节能减排、科技创新与信息化、企业管理与企业形象方面的要求。</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本项目与《陆上石油天然气开采业绿色矿山建设规范》（DZ/T0317-2018）的符合性分析详见表2.7-</w:t>
      </w:r>
      <w:r>
        <w:rPr>
          <w:rFonts w:hint="eastAsia"/>
          <w:bCs/>
          <w:color w:val="000000" w:themeColor="text1"/>
          <w:szCs w:val="24"/>
          <w:highlight w:val="none"/>
          <w14:textFill>
            <w14:solidFill>
              <w14:schemeClr w14:val="tx1"/>
            </w14:solidFill>
          </w14:textFill>
        </w:rPr>
        <w:t>6</w:t>
      </w:r>
      <w:r>
        <w:rPr>
          <w:bCs/>
          <w:color w:val="000000" w:themeColor="text1"/>
          <w:szCs w:val="24"/>
          <w:highlight w:val="none"/>
          <w14:textFill>
            <w14:solidFill>
              <w14:schemeClr w14:val="tx1"/>
            </w14:solidFill>
          </w14:textFill>
        </w:rPr>
        <w:t>。</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6  本项目与绿色矿山建设规范符合性分析</w:t>
      </w:r>
    </w:p>
    <w:tbl>
      <w:tblPr>
        <w:tblStyle w:val="54"/>
        <w:tblW w:w="8220" w:type="dxa"/>
        <w:jc w:val="center"/>
        <w:tblLayout w:type="fixed"/>
        <w:tblCellMar>
          <w:top w:w="0" w:type="dxa"/>
          <w:left w:w="28" w:type="dxa"/>
          <w:bottom w:w="0" w:type="dxa"/>
          <w:right w:w="28" w:type="dxa"/>
        </w:tblCellMar>
      </w:tblPr>
      <w:tblGrid>
        <w:gridCol w:w="690"/>
        <w:gridCol w:w="3416"/>
        <w:gridCol w:w="3418"/>
        <w:gridCol w:w="696"/>
      </w:tblGrid>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内容</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基本要求</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相符性</w:t>
            </w:r>
          </w:p>
        </w:tc>
      </w:tr>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矿区环境</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矿区功能分区布局合理、矿区应绿化、美化，整体环境整洁美观生产、运输、储存等管理规范有序</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建立有管理机构、制定管理制度、运行有序，管理规范；矿区地面道路、供水、供电、卫生、环保等基础配套设施完善，道路平整规范，油气生产、储运过程安全有序</w:t>
            </w:r>
            <w:r>
              <w:rPr>
                <w:rFonts w:hint="eastAsia"/>
                <w:color w:val="000000" w:themeColor="text1"/>
                <w:highlight w:val="none"/>
                <w14:textFill>
                  <w14:solidFill>
                    <w14:schemeClr w14:val="tx1"/>
                  </w14:solidFill>
                </w14:textFill>
              </w:rPr>
              <w:t>。</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资源开发方式</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资源开发应与环境保护、资源保护、城乡建设</w:t>
            </w:r>
            <w:r>
              <w:rPr>
                <w:rFonts w:hint="eastAsia"/>
                <w:color w:val="000000" w:themeColor="text1"/>
                <w:highlight w:val="none"/>
                <w14:textFill>
                  <w14:solidFill>
                    <w14:schemeClr w14:val="tx1"/>
                  </w14:solidFill>
                </w14:textFill>
              </w:rPr>
              <w:t>相</w:t>
            </w:r>
            <w:r>
              <w:rPr>
                <w:color w:val="000000" w:themeColor="text1"/>
                <w:highlight w:val="none"/>
                <w14:textFill>
                  <w14:solidFill>
                    <w14:schemeClr w14:val="tx1"/>
                  </w14:solidFill>
                </w14:textFill>
              </w:rPr>
              <w:t>协调，最大限度减少对自然环境的扰动和破坏，选择资源节约型、环境友好型开发方式因矿制宜选择开采工艺和装备，符合清洁生产要求应贯彻“边开采、边治理、边恢复”的原则，及时治理恢复矿区地质环境，复垦矿区压占和损毁土地</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优化了平台布局；钻井期间采用网电钻井，减少柴油使用，符合清洁生产要求；施工结束后对无后续开发计划临时占地进行覆土和绿化</w:t>
            </w:r>
            <w:r>
              <w:rPr>
                <w:rFonts w:hint="eastAsia"/>
                <w:color w:val="000000" w:themeColor="text1"/>
                <w:highlight w:val="none"/>
                <w14:textFill>
                  <w14:solidFill>
                    <w14:schemeClr w14:val="tx1"/>
                  </w14:solidFill>
                </w14:textFill>
              </w:rPr>
              <w:t>。</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资源综合利用</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按照减量化、资源化、再利用的原则，综合开发利用油气藏共伴生资源，综合利用固体废弃物、废水等，发展循环经济</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水基岩屑减量化后交由固废烧结厂进行烧结后综合利用；压裂返排液优先回用于本项目压裂工段及周边平台压裂工段，不能回用的用罐车拉运至</w:t>
            </w:r>
            <w:r>
              <w:rPr>
                <w:rFonts w:hint="eastAsia"/>
                <w:color w:val="000000" w:themeColor="text1"/>
                <w:highlight w:val="none"/>
                <w14:textFill>
                  <w14:solidFill>
                    <w14:schemeClr w14:val="tx1"/>
                  </w14:solidFill>
                </w14:textFill>
              </w:rPr>
              <w:t>赵家坝污水处理站</w:t>
            </w:r>
            <w:r>
              <w:rPr>
                <w:color w:val="000000" w:themeColor="text1"/>
                <w:highlight w:val="none"/>
                <w14:textFill>
                  <w14:solidFill>
                    <w14:schemeClr w14:val="tx1"/>
                  </w14:solidFill>
                </w14:textFill>
              </w:rPr>
              <w:t>处理达标后经</w:t>
            </w:r>
            <w:r>
              <w:rPr>
                <w:rFonts w:hint="eastAsia"/>
                <w:color w:val="000000" w:themeColor="text1"/>
                <w:highlight w:val="none"/>
                <w14:textFill>
                  <w14:solidFill>
                    <w14:schemeClr w14:val="tx1"/>
                  </w14:solidFill>
                </w14:textFill>
              </w:rPr>
              <w:t>普光3井回注站回注，不外排。</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节能减排</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建立油气田生产安全过程能耗核算体系，通过采取节能减排措施，控制并减少单位产品能耗、物耗、水耗，减少“三废”排放</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降低能耗，本工程采取如下节能措施：（1）放空阀采用密封性和可靠性良好的阀门减少放空漏失量；（2）选用高效加热炉，节约能量，同时减少天然气消耗量；（3）充分利用井口的压力，以满足不设增压设备直接外输的工艺，降低项目耗电量；（4）在满足工艺和安全要求的情况下，尽可能采用节电型产品</w:t>
            </w:r>
            <w:r>
              <w:rPr>
                <w:rFonts w:hint="eastAsia"/>
                <w:color w:val="000000" w:themeColor="text1"/>
                <w:highlight w:val="none"/>
                <w14:textFill>
                  <w14:solidFill>
                    <w14:schemeClr w14:val="tx1"/>
                  </w14:solidFill>
                </w14:textFill>
              </w:rPr>
              <w:t>。</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科技创新与信息化</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建立科技研发对话，推广转化科技成果，加大技术改造力度，推动产业升级建设数字化油气田，实现企业生产、经营、管理的信息化</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普光分公司建立有信息化监控管理体系</w:t>
            </w:r>
            <w:r>
              <w:rPr>
                <w:rFonts w:hint="eastAsia"/>
                <w:color w:val="000000" w:themeColor="text1"/>
                <w:highlight w:val="none"/>
                <w14:textFill>
                  <w14:solidFill>
                    <w14:schemeClr w14:val="tx1"/>
                  </w14:solidFill>
                </w14:textFill>
              </w:rPr>
              <w:t>。</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企业管理与企业形象</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应建立涵盖产权、责任、管理和文化等方面的企业管理制度应建立质量管理体系、环境管理体系和职业健康安全管理体系，确保质量、环境、职业健康与安全的管理</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建设单位建立了相关管理制度；建立了质量管理体系、HSE管理体系和职业健康安全管理体系</w:t>
            </w:r>
            <w:r>
              <w:rPr>
                <w:rFonts w:hint="eastAsia"/>
                <w:color w:val="000000" w:themeColor="text1"/>
                <w:highlight w:val="none"/>
                <w14:textFill>
                  <w14:solidFill>
                    <w14:schemeClr w14:val="tx1"/>
                  </w14:solidFill>
                </w14:textFill>
              </w:rPr>
              <w:t>。</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pStyle w:val="5"/>
        <w:numPr>
          <w:ilvl w:val="3"/>
          <w:numId w:val="0"/>
        </w:numPr>
        <w:ind w:left="480" w:leftChars="200"/>
        <w:rPr>
          <w:rFonts w:eastAsia="宋体"/>
          <w:bCs w:val="0"/>
          <w:color w:val="000000" w:themeColor="text1"/>
          <w:szCs w:val="20"/>
          <w:highlight w:val="none"/>
          <w14:textFill>
            <w14:solidFill>
              <w14:schemeClr w14:val="tx1"/>
            </w14:solidFill>
          </w14:textFill>
        </w:rPr>
      </w:pPr>
    </w:p>
    <w:p>
      <w:pPr>
        <w:pStyle w:val="5"/>
        <w:numPr>
          <w:ilvl w:val="3"/>
          <w:numId w:val="0"/>
        </w:numPr>
        <w:ind w:left="480" w:leftChars="200"/>
        <w:rPr>
          <w:rFonts w:eastAsia="宋体"/>
          <w:bCs w:val="0"/>
          <w:color w:val="000000" w:themeColor="text1"/>
          <w:szCs w:val="20"/>
          <w:highlight w:val="none"/>
          <w14:textFill>
            <w14:solidFill>
              <w14:schemeClr w14:val="tx1"/>
            </w14:solidFill>
          </w14:textFill>
        </w:rPr>
      </w:pPr>
      <w:r>
        <w:rPr>
          <w:rFonts w:hint="eastAsia" w:eastAsia="宋体"/>
          <w:bCs w:val="0"/>
          <w:color w:val="000000" w:themeColor="text1"/>
          <w:szCs w:val="20"/>
          <w:highlight w:val="none"/>
          <w14:textFill>
            <w14:solidFill>
              <w14:schemeClr w14:val="tx1"/>
            </w14:solidFill>
          </w14:textFill>
        </w:rPr>
        <w:t>综上所述，本项目与《陆上石油天然气开采业绿色矿山建设规范》相符合。</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与《石油天然气项目土地复垦与生态修复技术规范》符合性分析</w:t>
      </w:r>
    </w:p>
    <w:p>
      <w:pPr>
        <w:pStyle w:val="252"/>
        <w:adjustRightInd w:val="0"/>
        <w:snapToGrid w:val="0"/>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本项目与</w:t>
      </w:r>
      <w:r>
        <w:rPr>
          <w:rFonts w:hint="eastAsia"/>
          <w:color w:val="000000" w:themeColor="text1"/>
          <w:highlight w:val="none"/>
          <w14:textFill>
            <w14:solidFill>
              <w14:schemeClr w14:val="tx1"/>
            </w14:solidFill>
          </w14:textFill>
        </w:rPr>
        <w:t>《石油天然气项目土地复垦与生态修复技术规范》（GB/T 4396-2024）的</w:t>
      </w:r>
      <w:r>
        <w:rPr>
          <w:color w:val="000000" w:themeColor="text1"/>
          <w:szCs w:val="24"/>
          <w:highlight w:val="none"/>
          <w14:textFill>
            <w14:solidFill>
              <w14:schemeClr w14:val="tx1"/>
            </w14:solidFill>
          </w14:textFill>
        </w:rPr>
        <w:t>符合性分析见下表：</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8  本项目与《石油天然气项目土地复垦与生态修复技术规范》符合性分析</w:t>
      </w:r>
    </w:p>
    <w:tbl>
      <w:tblPr>
        <w:tblStyle w:val="54"/>
        <w:tblW w:w="8220" w:type="dxa"/>
        <w:jc w:val="center"/>
        <w:tblLayout w:type="fixed"/>
        <w:tblCellMar>
          <w:top w:w="0" w:type="dxa"/>
          <w:left w:w="28" w:type="dxa"/>
          <w:bottom w:w="0" w:type="dxa"/>
          <w:right w:w="28" w:type="dxa"/>
        </w:tblCellMar>
      </w:tblPr>
      <w:tblGrid>
        <w:gridCol w:w="690"/>
        <w:gridCol w:w="3416"/>
        <w:gridCol w:w="3418"/>
        <w:gridCol w:w="696"/>
      </w:tblGrid>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内容</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基本要求</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相符性</w:t>
            </w:r>
          </w:p>
        </w:tc>
      </w:tr>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总体要求</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遵循“山水林田湖草沙”一体化保护修复理念，坚持节约优先、保护优先、自然恢复为主的方针，规范油气项目土地复垦与生态修复工作，应通过采取减缓保护、预防控制与复垦修复多种措施，推动复垦修复与矿产资源开采统一规划、统筹实施，及时复垦利用损毁土地，恢复并提升油气项目区生态系统多样性、稳定性、可持续性，协同推进绿色矿山建设，实现人与自然和谐共生。</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本项目为含硫天然气勘探及试采项目，拟</w:t>
            </w:r>
            <w:r>
              <w:rPr>
                <w:color w:val="000000" w:themeColor="text1"/>
                <w:highlight w:val="none"/>
                <w14:textFill>
                  <w14:solidFill>
                    <w14:schemeClr w14:val="tx1"/>
                  </w14:solidFill>
                </w14:textFill>
              </w:rPr>
              <w:t>通过采取</w:t>
            </w:r>
            <w:r>
              <w:rPr>
                <w:rFonts w:hint="eastAsia"/>
                <w:color w:val="000000" w:themeColor="text1"/>
                <w:highlight w:val="none"/>
                <w14:textFill>
                  <w14:solidFill>
                    <w14:schemeClr w14:val="tx1"/>
                  </w14:solidFill>
                </w14:textFill>
              </w:rPr>
              <w:t>的</w:t>
            </w:r>
            <w:r>
              <w:rPr>
                <w:color w:val="000000" w:themeColor="text1"/>
                <w:highlight w:val="none"/>
                <w14:textFill>
                  <w14:solidFill>
                    <w14:schemeClr w14:val="tx1"/>
                  </w14:solidFill>
                </w14:textFill>
              </w:rPr>
              <w:t>减缓保护、预防控制与复垦修复</w:t>
            </w:r>
            <w:r>
              <w:rPr>
                <w:rFonts w:hint="eastAsia"/>
                <w:color w:val="000000" w:themeColor="text1"/>
                <w:highlight w:val="none"/>
                <w14:textFill>
                  <w14:solidFill>
                    <w14:schemeClr w14:val="tx1"/>
                  </w14:solidFill>
                </w14:textFill>
              </w:rPr>
              <w:t>等</w:t>
            </w:r>
            <w:r>
              <w:rPr>
                <w:color w:val="000000" w:themeColor="text1"/>
                <w:highlight w:val="none"/>
                <w14:textFill>
                  <w14:solidFill>
                    <w14:schemeClr w14:val="tx1"/>
                  </w14:solidFill>
                </w14:textFill>
              </w:rPr>
              <w:t>多种措施，推动复垦修复与矿产资源开采统一规划、统筹实施，及时复垦利用损毁土地，恢复并提升油气项目区生态系统多样性、稳定性、可持续性，协同推进绿色矿山建设，实现人与自然和谐共生。</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vMerge w:val="restart"/>
            <w:tcBorders>
              <w:top w:val="single" w:color="000000" w:sz="4" w:space="0"/>
              <w:left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复垦修复措施</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再使用的井场临时用地应及时实施复垦修复工程；不再留续使用的井场建设用地区，宜及时开展复垦修复工作。由于井场用地点多、线长、单宗用地面积小等特征，整地、景观规划设计、水系连通等地貌重塑、景观营建工程建设标准应与周边保持一致与协调。</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本项目为含硫天然气勘探及试采项目，在确定项目试采期结束后，若井场</w:t>
            </w:r>
            <w:r>
              <w:rPr>
                <w:color w:val="000000" w:themeColor="text1"/>
                <w:highlight w:val="none"/>
                <w14:textFill>
                  <w14:solidFill>
                    <w14:schemeClr w14:val="tx1"/>
                  </w14:solidFill>
                </w14:textFill>
              </w:rPr>
              <w:t>不再</w:t>
            </w:r>
            <w:r>
              <w:rPr>
                <w:rFonts w:hint="eastAsia"/>
                <w:color w:val="000000" w:themeColor="text1"/>
                <w:highlight w:val="none"/>
                <w14:textFill>
                  <w14:solidFill>
                    <w14:schemeClr w14:val="tx1"/>
                  </w14:solidFill>
                </w14:textFill>
              </w:rPr>
              <w:t>继续</w:t>
            </w:r>
            <w:r>
              <w:rPr>
                <w:color w:val="000000" w:themeColor="text1"/>
                <w:highlight w:val="none"/>
                <w14:textFill>
                  <w14:solidFill>
                    <w14:schemeClr w14:val="tx1"/>
                  </w14:solidFill>
                </w14:textFill>
              </w:rPr>
              <w:t>使用</w:t>
            </w:r>
            <w:r>
              <w:rPr>
                <w:rFonts w:hint="eastAsia"/>
                <w:color w:val="000000" w:themeColor="text1"/>
                <w:highlight w:val="none"/>
                <w14:textFill>
                  <w14:solidFill>
                    <w14:schemeClr w14:val="tx1"/>
                  </w14:solidFill>
                </w14:textFill>
              </w:rPr>
              <w:t>后，将</w:t>
            </w:r>
            <w:r>
              <w:rPr>
                <w:color w:val="000000" w:themeColor="text1"/>
                <w:highlight w:val="none"/>
                <w14:textFill>
                  <w14:solidFill>
                    <w14:schemeClr w14:val="tx1"/>
                  </w14:solidFill>
                </w14:textFill>
              </w:rPr>
              <w:t>及时实施复垦修复工程；</w:t>
            </w:r>
            <w:r>
              <w:rPr>
                <w:rFonts w:hint="eastAsia"/>
                <w:color w:val="000000" w:themeColor="text1"/>
                <w:highlight w:val="none"/>
                <w14:textFill>
                  <w14:solidFill>
                    <w14:schemeClr w14:val="tx1"/>
                  </w14:solidFill>
                </w14:textFill>
              </w:rPr>
              <w:t>对</w:t>
            </w:r>
            <w:r>
              <w:rPr>
                <w:color w:val="000000" w:themeColor="text1"/>
                <w:highlight w:val="none"/>
                <w14:textFill>
                  <w14:solidFill>
                    <w14:schemeClr w14:val="tx1"/>
                  </w14:solidFill>
                </w14:textFill>
              </w:rPr>
              <w:t>不再留续使用的井场建设用地区，宜及时开展复垦修复工作。</w:t>
            </w:r>
            <w:r>
              <w:rPr>
                <w:rFonts w:hint="eastAsia"/>
                <w:color w:val="000000" w:themeColor="text1"/>
                <w:highlight w:val="none"/>
                <w14:textFill>
                  <w14:solidFill>
                    <w14:schemeClr w14:val="tx1"/>
                  </w14:solidFill>
                </w14:textFill>
              </w:rPr>
              <w:t>并结合井场用地特点，使</w:t>
            </w:r>
            <w:r>
              <w:rPr>
                <w:color w:val="000000" w:themeColor="text1"/>
                <w:highlight w:val="none"/>
                <w14:textFill>
                  <w14:solidFill>
                    <w14:schemeClr w14:val="tx1"/>
                  </w14:solidFill>
                </w14:textFill>
              </w:rPr>
              <w:t>整地、景观规划设计、水系连通等地貌重塑、景观营建工程建设标准与周边保持一致与协调。</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vMerge w:val="continue"/>
            <w:tcBorders>
              <w:left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井场复垦修复应在拆除砌体和剥离废渣后，通过土壤重构工程</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清理、覆土、翻耕、平整、生物化学措施</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、植被恢复工程以及配套工程，实施井场复垦修复工程。</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井场复垦修复</w:t>
            </w:r>
            <w:r>
              <w:rPr>
                <w:rFonts w:hint="eastAsia"/>
                <w:color w:val="000000" w:themeColor="text1"/>
                <w:highlight w:val="none"/>
                <w14:textFill>
                  <w14:solidFill>
                    <w14:schemeClr w14:val="tx1"/>
                  </w14:solidFill>
                </w14:textFill>
              </w:rPr>
              <w:t>计划</w:t>
            </w:r>
            <w:r>
              <w:rPr>
                <w:color w:val="000000" w:themeColor="text1"/>
                <w:highlight w:val="none"/>
                <w14:textFill>
                  <w14:solidFill>
                    <w14:schemeClr w14:val="tx1"/>
                  </w14:solidFill>
                </w14:textFill>
              </w:rPr>
              <w:t>在拆除砌体和剥离废渣后，</w:t>
            </w:r>
            <w:r>
              <w:rPr>
                <w:rFonts w:hint="eastAsia"/>
                <w:color w:val="000000" w:themeColor="text1"/>
                <w:highlight w:val="none"/>
                <w14:textFill>
                  <w14:solidFill>
                    <w14:schemeClr w14:val="tx1"/>
                  </w14:solidFill>
                </w14:textFill>
              </w:rPr>
              <w:t>并</w:t>
            </w:r>
            <w:r>
              <w:rPr>
                <w:color w:val="000000" w:themeColor="text1"/>
                <w:highlight w:val="none"/>
                <w14:textFill>
                  <w14:solidFill>
                    <w14:schemeClr w14:val="tx1"/>
                  </w14:solidFill>
                </w14:textFill>
              </w:rPr>
              <w:t>通过土壤重构工程</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清理、覆土、翻耕、平整、生物化学措施</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、植被恢复工程以及配套工程，实施井场复垦修复工程。</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vMerge w:val="continue"/>
            <w:tcBorders>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在建井结束和井场临时用地主体工程完毕后，应对井场临时用地实施地表废弃物清理工程；在井场闭井工程完毕，拆除砌体和剥离废渣后，应进行井场建设用地地表废弃物清理。</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本项目计划在</w:t>
            </w:r>
            <w:r>
              <w:rPr>
                <w:color w:val="000000" w:themeColor="text1"/>
                <w:highlight w:val="none"/>
                <w14:textFill>
                  <w14:solidFill>
                    <w14:schemeClr w14:val="tx1"/>
                  </w14:solidFill>
                </w14:textFill>
              </w:rPr>
              <w:t>建井结束和井场临时用地主体工程完毕后，对井场临时用地实施地表废弃物清理工程；</w:t>
            </w:r>
            <w:r>
              <w:rPr>
                <w:rFonts w:hint="eastAsia"/>
                <w:color w:val="000000" w:themeColor="text1"/>
                <w:highlight w:val="none"/>
                <w14:textFill>
                  <w14:solidFill>
                    <w14:schemeClr w14:val="tx1"/>
                  </w14:solidFill>
                </w14:textFill>
              </w:rPr>
              <w:t>并计划</w:t>
            </w:r>
            <w:r>
              <w:rPr>
                <w:color w:val="000000" w:themeColor="text1"/>
                <w:highlight w:val="none"/>
                <w14:textFill>
                  <w14:solidFill>
                    <w14:schemeClr w14:val="tx1"/>
                  </w14:solidFill>
                </w14:textFill>
              </w:rPr>
              <w:t>在井场闭井工程完毕</w:t>
            </w:r>
            <w:r>
              <w:rPr>
                <w:rFonts w:hint="eastAsia"/>
                <w:color w:val="000000" w:themeColor="text1"/>
                <w:highlight w:val="none"/>
                <w14:textFill>
                  <w14:solidFill>
                    <w14:schemeClr w14:val="tx1"/>
                  </w14:solidFill>
                </w14:textFill>
              </w:rPr>
              <w:t>后</w:t>
            </w:r>
            <w:r>
              <w:rPr>
                <w:color w:val="000000" w:themeColor="text1"/>
                <w:highlight w:val="none"/>
                <w14:textFill>
                  <w14:solidFill>
                    <w14:schemeClr w14:val="tx1"/>
                  </w14:solidFill>
                </w14:textFill>
              </w:rPr>
              <w:t>，拆除砌体和剥离废渣后，</w:t>
            </w:r>
            <w:r>
              <w:rPr>
                <w:rFonts w:hint="eastAsia"/>
                <w:color w:val="000000" w:themeColor="text1"/>
                <w:highlight w:val="none"/>
                <w14:textFill>
                  <w14:solidFill>
                    <w14:schemeClr w14:val="tx1"/>
                  </w14:solidFill>
                </w14:textFill>
              </w:rPr>
              <w:t>并</w:t>
            </w:r>
            <w:r>
              <w:rPr>
                <w:color w:val="000000" w:themeColor="text1"/>
                <w:highlight w:val="none"/>
                <w14:textFill>
                  <w14:solidFill>
                    <w14:schemeClr w14:val="tx1"/>
                  </w14:solidFill>
                </w14:textFill>
              </w:rPr>
              <w:t>进行井场建设用地地表废弃物清理。</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trHeight w:val="1078" w:hRule="atLeast"/>
          <w:jc w:val="center"/>
        </w:trPr>
        <w:tc>
          <w:tcPr>
            <w:tcW w:w="690" w:type="dxa"/>
            <w:tcBorders>
              <w:top w:val="single" w:color="000000" w:sz="4" w:space="0"/>
              <w:left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清理工程</w:t>
            </w:r>
          </w:p>
        </w:tc>
        <w:tc>
          <w:tcPr>
            <w:tcW w:w="3416" w:type="dxa"/>
            <w:tcBorders>
              <w:top w:val="single" w:color="000000" w:sz="4" w:space="0"/>
              <w:left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井场清理厚度根据实际情况确定。清理后耕地、园地等砾石含量应符合 TD/T 1036 相关要求。</w:t>
            </w:r>
          </w:p>
        </w:tc>
        <w:tc>
          <w:tcPr>
            <w:tcW w:w="3418" w:type="dxa"/>
            <w:tcBorders>
              <w:top w:val="single" w:color="000000" w:sz="4" w:space="0"/>
              <w:left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本项目拟实施的</w:t>
            </w:r>
            <w:r>
              <w:rPr>
                <w:color w:val="000000" w:themeColor="text1"/>
                <w:highlight w:val="none"/>
                <w14:textFill>
                  <w14:solidFill>
                    <w14:schemeClr w14:val="tx1"/>
                  </w14:solidFill>
                </w14:textFill>
              </w:rPr>
              <w:t>井场清理厚度</w:t>
            </w:r>
            <w:r>
              <w:rPr>
                <w:rFonts w:hint="eastAsia"/>
                <w:color w:val="000000" w:themeColor="text1"/>
                <w:highlight w:val="none"/>
                <w14:textFill>
                  <w14:solidFill>
                    <w14:schemeClr w14:val="tx1"/>
                  </w14:solidFill>
                </w14:textFill>
              </w:rPr>
              <w:t>将</w:t>
            </w:r>
            <w:r>
              <w:rPr>
                <w:color w:val="000000" w:themeColor="text1"/>
                <w:highlight w:val="none"/>
                <w14:textFill>
                  <w14:solidFill>
                    <w14:schemeClr w14:val="tx1"/>
                  </w14:solidFill>
                </w14:textFill>
              </w:rPr>
              <w:t>根据实际情况确定。清理后耕地、园地等砾石含量</w:t>
            </w:r>
            <w:r>
              <w:rPr>
                <w:rFonts w:hint="eastAsia"/>
                <w:color w:val="000000" w:themeColor="text1"/>
                <w:highlight w:val="none"/>
                <w14:textFill>
                  <w14:solidFill>
                    <w14:schemeClr w14:val="tx1"/>
                  </w14:solidFill>
                </w14:textFill>
              </w:rPr>
              <w:t>将</w:t>
            </w:r>
            <w:r>
              <w:rPr>
                <w:color w:val="000000" w:themeColor="text1"/>
                <w:highlight w:val="none"/>
                <w14:textFill>
                  <w14:solidFill>
                    <w14:schemeClr w14:val="tx1"/>
                  </w14:solidFill>
                </w14:textFill>
              </w:rPr>
              <w:t>符合 TD/T 1036 相关要求</w:t>
            </w:r>
            <w:r>
              <w:rPr>
                <w:rFonts w:hint="eastAsia"/>
                <w:color w:val="000000" w:themeColor="text1"/>
                <w:highlight w:val="none"/>
                <w14:textFill>
                  <w14:solidFill>
                    <w14:schemeClr w14:val="tx1"/>
                  </w14:solidFill>
                </w14:textFill>
              </w:rPr>
              <w:t>。</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翻耕工程</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清理工程后，宜翻耕压实土壤，翻耕厚度根据实际压实情况进行确定，宜不低于30cm。地表沙化的区域应减少地表扰动，不宜实施翻耕工程。</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本项目在</w:t>
            </w:r>
            <w:r>
              <w:rPr>
                <w:color w:val="000000" w:themeColor="text1"/>
                <w:highlight w:val="none"/>
                <w14:textFill>
                  <w14:solidFill>
                    <w14:schemeClr w14:val="tx1"/>
                  </w14:solidFill>
                </w14:textFill>
              </w:rPr>
              <w:t>清理工程后，</w:t>
            </w:r>
            <w:r>
              <w:rPr>
                <w:rFonts w:hint="eastAsia"/>
                <w:color w:val="000000" w:themeColor="text1"/>
                <w:highlight w:val="none"/>
                <w14:textFill>
                  <w14:solidFill>
                    <w14:schemeClr w14:val="tx1"/>
                  </w14:solidFill>
                </w14:textFill>
              </w:rPr>
              <w:t>将</w:t>
            </w:r>
            <w:r>
              <w:rPr>
                <w:color w:val="000000" w:themeColor="text1"/>
                <w:highlight w:val="none"/>
                <w14:textFill>
                  <w14:solidFill>
                    <w14:schemeClr w14:val="tx1"/>
                  </w14:solidFill>
                </w14:textFill>
              </w:rPr>
              <w:t>翻耕压实土壤，翻耕厚度根据实际压实情况进行确定，</w:t>
            </w:r>
            <w:r>
              <w:rPr>
                <w:rFonts w:hint="eastAsia"/>
                <w:color w:val="000000" w:themeColor="text1"/>
                <w:highlight w:val="none"/>
                <w14:textFill>
                  <w14:solidFill>
                    <w14:schemeClr w14:val="tx1"/>
                  </w14:solidFill>
                </w14:textFill>
              </w:rPr>
              <w:t>确定其</w:t>
            </w:r>
            <w:r>
              <w:rPr>
                <w:color w:val="000000" w:themeColor="text1"/>
                <w:highlight w:val="none"/>
                <w14:textFill>
                  <w14:solidFill>
                    <w14:schemeClr w14:val="tx1"/>
                  </w14:solidFill>
                </w14:textFill>
              </w:rPr>
              <w:t>不低于30cm。</w:t>
            </w:r>
            <w:r>
              <w:rPr>
                <w:rFonts w:hint="eastAsia"/>
                <w:color w:val="000000" w:themeColor="text1"/>
                <w:highlight w:val="none"/>
                <w14:textFill>
                  <w14:solidFill>
                    <w14:schemeClr w14:val="tx1"/>
                  </w14:solidFill>
                </w14:textFill>
              </w:rPr>
              <w:t>本项目所在区域不涉及</w:t>
            </w:r>
            <w:r>
              <w:rPr>
                <w:color w:val="000000" w:themeColor="text1"/>
                <w:highlight w:val="none"/>
                <w14:textFill>
                  <w14:solidFill>
                    <w14:schemeClr w14:val="tx1"/>
                  </w14:solidFill>
                </w14:textFill>
              </w:rPr>
              <w:t>地表沙化的区域。</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CellMar>
            <w:top w:w="0" w:type="dxa"/>
            <w:left w:w="28" w:type="dxa"/>
            <w:bottom w:w="0" w:type="dxa"/>
            <w:right w:w="28" w:type="dxa"/>
          </w:tblCellMar>
        </w:tblPrEx>
        <w:trPr>
          <w:jc w:val="center"/>
        </w:trPr>
        <w:tc>
          <w:tcPr>
            <w:tcW w:w="690"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平整工程</w:t>
            </w:r>
          </w:p>
        </w:tc>
        <w:tc>
          <w:tcPr>
            <w:tcW w:w="341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遵循与周边景观和田块规格相协调的原则，因地制宜地确定平整工程方案，合理确定好平整后的标高，借助挖掘、推土机械或人工进行削高填低。土地平整时应避免打乱表土层与心土层。对于坡度较大的复垦修复区，宜结合梯田整地后，再进行田面平整，不同复垦修复方向地形条件应符合 TD/T 1036 的规定。</w:t>
            </w:r>
          </w:p>
        </w:tc>
        <w:tc>
          <w:tcPr>
            <w:tcW w:w="3418" w:type="dxa"/>
            <w:tcBorders>
              <w:top w:val="single" w:color="000000" w:sz="4" w:space="0"/>
              <w:left w:val="single" w:color="000000" w:sz="4" w:space="0"/>
              <w:bottom w:val="single" w:color="000000" w:sz="4" w:space="0"/>
              <w:right w:val="single" w:color="000000" w:sz="4" w:space="0"/>
            </w:tcBorders>
            <w:vAlign w:val="center"/>
          </w:tcPr>
          <w:p>
            <w:pPr>
              <w:pStyle w:val="297"/>
              <w:widowControl w:val="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本项目拟实施的平整工程，将</w:t>
            </w:r>
            <w:r>
              <w:rPr>
                <w:color w:val="000000" w:themeColor="text1"/>
                <w:highlight w:val="none"/>
                <w14:textFill>
                  <w14:solidFill>
                    <w14:schemeClr w14:val="tx1"/>
                  </w14:solidFill>
                </w14:textFill>
              </w:rPr>
              <w:t>遵循与周边景观和田块规格相协调的原则，因地制宜地确定平整工程方案，合理确定好平整后的标高，借助挖掘、推土机械或人工进行削高填低。土地平整时</w:t>
            </w:r>
            <w:r>
              <w:rPr>
                <w:rFonts w:hint="eastAsia"/>
                <w:color w:val="000000" w:themeColor="text1"/>
                <w:highlight w:val="none"/>
                <w14:textFill>
                  <w14:solidFill>
                    <w14:schemeClr w14:val="tx1"/>
                  </w14:solidFill>
                </w14:textFill>
              </w:rPr>
              <w:t>将</w:t>
            </w:r>
            <w:r>
              <w:rPr>
                <w:color w:val="000000" w:themeColor="text1"/>
                <w:highlight w:val="none"/>
                <w14:textFill>
                  <w14:solidFill>
                    <w14:schemeClr w14:val="tx1"/>
                  </w14:solidFill>
                </w14:textFill>
              </w:rPr>
              <w:t>避免打乱表土层与心土层。对于坡度较大的复垦修复区，</w:t>
            </w:r>
            <w:r>
              <w:rPr>
                <w:rFonts w:hint="eastAsia"/>
                <w:color w:val="000000" w:themeColor="text1"/>
                <w:highlight w:val="none"/>
                <w14:textFill>
                  <w14:solidFill>
                    <w14:schemeClr w14:val="tx1"/>
                  </w14:solidFill>
                </w14:textFill>
              </w:rPr>
              <w:t>将</w:t>
            </w:r>
            <w:r>
              <w:rPr>
                <w:color w:val="000000" w:themeColor="text1"/>
                <w:highlight w:val="none"/>
                <w14:textFill>
                  <w14:solidFill>
                    <w14:schemeClr w14:val="tx1"/>
                  </w14:solidFill>
                </w14:textFill>
              </w:rPr>
              <w:t>结合梯田整地后，再进行田面平整，不同复垦修复方向地形条件</w:t>
            </w:r>
            <w:r>
              <w:rPr>
                <w:rFonts w:hint="eastAsia"/>
                <w:color w:val="000000" w:themeColor="text1"/>
                <w:highlight w:val="none"/>
                <w14:textFill>
                  <w14:solidFill>
                    <w14:schemeClr w14:val="tx1"/>
                  </w14:solidFill>
                </w14:textFill>
              </w:rPr>
              <w:t>均</w:t>
            </w:r>
            <w:r>
              <w:rPr>
                <w:color w:val="000000" w:themeColor="text1"/>
                <w:highlight w:val="none"/>
                <w14:textFill>
                  <w14:solidFill>
                    <w14:schemeClr w14:val="tx1"/>
                  </w14:solidFill>
                </w14:textFill>
              </w:rPr>
              <w:t>符合 TD/T 1036 的规定。</w:t>
            </w:r>
          </w:p>
        </w:tc>
        <w:tc>
          <w:tcPr>
            <w:tcW w:w="69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vAlign w:val="center"/>
          </w:tcPr>
          <w:p>
            <w:pPr>
              <w:pStyle w:val="297"/>
              <w:widowControl w:val="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pStyle w:val="67"/>
        <w:spacing w:before="163" w:beforeLines="50" w:line="360" w:lineRule="auto"/>
        <w:ind w:firstLine="480"/>
        <w:jc w:val="left"/>
        <w:rPr>
          <w:rFonts w:eastAsia="宋体"/>
          <w:color w:val="000000" w:themeColor="text1"/>
          <w:sz w:val="24"/>
          <w:szCs w:val="24"/>
          <w:highlight w:val="none"/>
          <w14:textFill>
            <w14:solidFill>
              <w14:schemeClr w14:val="tx1"/>
            </w14:solidFill>
          </w14:textFill>
        </w:rPr>
      </w:pPr>
      <w:r>
        <w:rPr>
          <w:rFonts w:eastAsia="宋体"/>
          <w:color w:val="000000" w:themeColor="text1"/>
          <w:sz w:val="24"/>
          <w:szCs w:val="24"/>
          <w:highlight w:val="none"/>
          <w14:textFill>
            <w14:solidFill>
              <w14:schemeClr w14:val="tx1"/>
            </w14:solidFill>
          </w14:textFill>
        </w:rPr>
        <w:t>综上所述，本项目的建设与</w:t>
      </w:r>
      <w:r>
        <w:rPr>
          <w:rFonts w:hint="eastAsia" w:eastAsia="宋体"/>
          <w:color w:val="000000" w:themeColor="text1"/>
          <w:sz w:val="24"/>
          <w:szCs w:val="24"/>
          <w:highlight w:val="none"/>
          <w14:textFill>
            <w14:solidFill>
              <w14:schemeClr w14:val="tx1"/>
            </w14:solidFill>
          </w14:textFill>
        </w:rPr>
        <w:t>《石油天然气项目土地复垦与生态修复技术规范》（GB/T 4396-2024）</w:t>
      </w:r>
      <w:r>
        <w:rPr>
          <w:rFonts w:eastAsia="宋体"/>
          <w:color w:val="000000" w:themeColor="text1"/>
          <w:sz w:val="24"/>
          <w:szCs w:val="24"/>
          <w:highlight w:val="none"/>
          <w14:textFill>
            <w14:solidFill>
              <w14:schemeClr w14:val="tx1"/>
            </w14:solidFill>
          </w14:textFill>
        </w:rPr>
        <w:t>相符。</w:t>
      </w:r>
    </w:p>
    <w:p>
      <w:pPr>
        <w:pStyle w:val="4"/>
        <w:spacing w:before="0" w:beforeLines="0"/>
        <w:ind w:left="480" w:firstLineChars="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与</w:t>
      </w:r>
      <w:r>
        <w:rPr>
          <w:rFonts w:hint="eastAsia"/>
          <w:color w:val="000000" w:themeColor="text1"/>
          <w:highlight w:val="none"/>
          <w:lang w:eastAsia="zh-CN"/>
          <w14:textFill>
            <w14:solidFill>
              <w14:schemeClr w14:val="tx1"/>
            </w14:solidFill>
          </w14:textFill>
        </w:rPr>
        <w:t>主体功能区及生态功能区</w:t>
      </w:r>
      <w:r>
        <w:rPr>
          <w:color w:val="000000" w:themeColor="text1"/>
          <w:highlight w:val="none"/>
          <w:lang w:eastAsia="zh-CN"/>
          <w14:textFill>
            <w14:solidFill>
              <w14:schemeClr w14:val="tx1"/>
            </w14:solidFill>
          </w14:textFill>
        </w:rPr>
        <w:t>符合性分析</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生态功能区划符合性分析</w:t>
      </w:r>
    </w:p>
    <w:p>
      <w:pPr>
        <w:pStyle w:val="252"/>
        <w:adjustRightInd w:val="0"/>
        <w:snapToGrid w:val="0"/>
        <w:ind w:firstLine="480"/>
        <w:rPr>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位于四川盆地亚热带湿润气候生态区，属于大巴山水源涵养与土壤保持生态功能区（I-3-2），该生态功能区的主导功能是水源涵养功能，土壤保持功能。面临的主要环境问题是多洪灾，滑坡崩塌强烈发育，水土流失严重</w:t>
      </w:r>
      <w:r>
        <w:rPr>
          <w:color w:val="000000" w:themeColor="text1"/>
          <w:szCs w:val="24"/>
          <w:highlight w:val="none"/>
          <w14:textFill>
            <w14:solidFill>
              <w14:schemeClr w14:val="tx1"/>
            </w14:solidFill>
          </w14:textFill>
        </w:rPr>
        <w:t>。</w:t>
      </w:r>
    </w:p>
    <w:p>
      <w:pPr>
        <w:pStyle w:val="252"/>
        <w:adjustRightInd w:val="0"/>
        <w:snapToGrid w:val="0"/>
        <w:ind w:firstLine="480"/>
        <w:rPr>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拟建项目区不占用自然保护区、森林公园、地质公园和风景名胜区等环境敏感区，占地面积占区域土地面积的比例很小，严格按照水保要求采取水土流失防治措施，项目建设不会明显加剧区域的水土流失和地质灾害，对</w:t>
      </w:r>
      <w:r>
        <w:rPr>
          <w:rFonts w:hint="eastAsia"/>
          <w:color w:val="000000" w:themeColor="text1"/>
          <w:szCs w:val="24"/>
          <w:highlight w:val="none"/>
          <w14:textFill>
            <w14:solidFill>
              <w14:schemeClr w14:val="tx1"/>
            </w14:solidFill>
          </w14:textFill>
        </w:rPr>
        <w:t>林地</w:t>
      </w:r>
      <w:r>
        <w:rPr>
          <w:color w:val="000000" w:themeColor="text1"/>
          <w:szCs w:val="24"/>
          <w:highlight w:val="none"/>
          <w14:textFill>
            <w14:solidFill>
              <w14:schemeClr w14:val="tx1"/>
            </w14:solidFill>
          </w14:textFill>
        </w:rPr>
        <w:t>资源、动植物资源影响小，因此，项目建设对该生态功能区的生态功能影响很小，符合《四川省生态功能区划》要求。</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与四川省主体功能区规划的符合性分析</w:t>
      </w:r>
    </w:p>
    <w:p>
      <w:pPr>
        <w:pStyle w:val="252"/>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（1）四川省主体功能区规划概述</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根据《四川省主体功能区规划》（川府发〔2013〕16号文）（以下简称《规划》），全省主体功能区分为以下四个大类：</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1）重点开发区域</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包括成都平原、川南、川东北和攀西地区19市（州）中的89个县（市、区），以及与之相连的50个点状开发城镇，该区域面积10.3万平方公里，占全省幅员面积21.2%；分为国家层面重点开发区域和省级层面重点开发区域。</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该功能区是全省经济增长的重要支撑区</w:t>
      </w:r>
      <w:r>
        <w:rPr>
          <w:rFonts w:hint="eastAsia"/>
          <w:color w:val="000000" w:themeColor="text1"/>
          <w:highlight w:val="none"/>
          <w14:textFill>
            <w14:solidFill>
              <w14:schemeClr w14:val="tx1"/>
            </w14:solidFill>
          </w14:textFill>
        </w:rPr>
        <w:t>，是</w:t>
      </w:r>
      <w:r>
        <w:rPr>
          <w:color w:val="000000" w:themeColor="text1"/>
          <w:highlight w:val="none"/>
          <w14:textFill>
            <w14:solidFill>
              <w14:schemeClr w14:val="tx1"/>
            </w14:solidFill>
          </w14:textFill>
        </w:rPr>
        <w:t>实施加快推进新型工业化新型城镇化的主要承载区，是全省经济和人口密集区。</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2）限制开发区域（农产品主产区）</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限制开发的农产品主产区是指具备较好的农业生产条件，以提供农产品为主体功能，以提供生态产品、服务产品和工业品为其他功能，需要在国土空间开发中限制进行大规模高强度工业化城镇化开发，以保持并提高农产品生产能力的区域。</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省农产品主产区包括盆地中部平原浅丘区、川南低中山区和盆地东部丘陵低山区、盆地西缘山区和安宁河流域5大农产品主产区，共35个县（市），面积6.7万平方公里，扣除其中重点开发的县城镇及重点镇规划面积1750平方公里，占全省幅员面积13.4%。</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该功能区是国家优质商品猪战略保障基地，现代农业示范区，现代林业产业基地，优势特色农产品加工业发展的重点区域</w:t>
      </w:r>
      <w:r>
        <w:rPr>
          <w:rFonts w:hint="eastAsia"/>
          <w:color w:val="000000" w:themeColor="text1"/>
          <w:highlight w:val="none"/>
          <w14:textFill>
            <w14:solidFill>
              <w14:schemeClr w14:val="tx1"/>
            </w14:solidFill>
          </w14:textFill>
        </w:rPr>
        <w:t>，是</w:t>
      </w:r>
      <w:r>
        <w:rPr>
          <w:color w:val="000000" w:themeColor="text1"/>
          <w:highlight w:val="none"/>
          <w14:textFill>
            <w14:solidFill>
              <w14:schemeClr w14:val="tx1"/>
            </w14:solidFill>
          </w14:textFill>
        </w:rPr>
        <w:t>农民安居乐业的美好家园。区域应着力保护耕地，加强农业基础设施建设，稳定粮食生产，发展现代农业，增强农业综合生产能力，保障全省主要农产品有效供给，增加农民收入，加快社会主义新农村建设。</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3）限制开发区域（重点生态功能区）</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限制开发的重点生态功能区是指生态系统十分重要，关系较大范围区域的生态安全，目前生态系统有所退化，需要在国土空间开发中限制进行大规模高强度工业化城镇化开发，以保持并提高生态产品供给能力的区域。</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生态功能区共57个县（市），总面积31.8万平方公里，扣除其中省级重点生态功能区中重点开发的县城镇及重点镇规划面积，占全省幅员面积65.4%；分为国家层面的重点生态功能区和省级层面的重点生态功能区。</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4）禁止开发区域</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开发区域是指依法设立的各级各类自然文化资源保护区域，以及其他禁止进行工业化城镇化开发、需要特殊保护的重点生态功能区。主要包括国家级自然保护区、世界文化自然遗产、国家级风景名胜区、国家森林公园、国家重要湿地、国家湿地公园和国家地质公园；省级及以下各级各类自然文化资源保护区域、重要饮用水水源地以及其他省级人民政府根据需要确定的禁止开发区域。</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该区域是四川省自然文化资源的重要区域，森林、湿地生态、生物多样性和珍稀动植物基因资源保护地，重要水土保持区域与重要饮用水水源保护地。</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开发区域要严格控制人为因素对自然生态的干扰，严禁不符合主体功能区定位的开发活动，引导人口逐步有序转移，实现污染物“零排放”，提高环境质量，提高可持续发展能力。自然保护区、文化自然遗产、风景名胜区、森林公园、湿地公园、地质公园，要逐步达到</w:t>
      </w:r>
      <w:r>
        <w:rPr>
          <w:rFonts w:hint="eastAsia"/>
          <w:color w:val="000000" w:themeColor="text1"/>
          <w:highlight w:val="none"/>
          <w14:textFill>
            <w14:solidFill>
              <w14:schemeClr w14:val="tx1"/>
            </w14:solidFill>
          </w14:textFill>
        </w:rPr>
        <w:t>各</w:t>
      </w:r>
      <w:r>
        <w:rPr>
          <w:color w:val="000000" w:themeColor="text1"/>
          <w:highlight w:val="none"/>
          <w14:textFill>
            <w14:solidFill>
              <w14:schemeClr w14:val="tx1"/>
            </w14:solidFill>
          </w14:textFill>
        </w:rPr>
        <w:t>区域规定执行标准。</w:t>
      </w:r>
    </w:p>
    <w:p>
      <w:pPr>
        <w:pStyle w:val="252"/>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（2）与四川省主体功能区规划的符合性分析</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四川省人民政府关于印发四川省主体功能区规划的通知》（川府发〔2013〕16号），本项目所在地属限制开发区域（农产品主产区），不属于重点生态功能区，该地区无国家级自然保护区、世界文化遗产、国家风景名胜区、国家森林公园和国家地质公园。项目不在禁止开发区，不在重点保护区内，符合《四川省主体功能区规划》要求。</w:t>
      </w:r>
    </w:p>
    <w:p>
      <w:pPr>
        <w:pStyle w:val="252"/>
        <w:adjustRightInd w:val="0"/>
        <w:snapToGrid w:val="0"/>
        <w:ind w:firstLine="0" w:firstLineChars="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3962400</wp:posOffset>
                </wp:positionH>
                <wp:positionV relativeFrom="paragraph">
                  <wp:posOffset>1052830</wp:posOffset>
                </wp:positionV>
                <wp:extent cx="534035" cy="234950"/>
                <wp:effectExtent l="0" t="0" r="170815" b="184150"/>
                <wp:wrapNone/>
                <wp:docPr id="13" name="圆角矩形标注 13"/>
                <wp:cNvGraphicFramePr/>
                <a:graphic xmlns:a="http://schemas.openxmlformats.org/drawingml/2006/main">
                  <a:graphicData uri="http://schemas.microsoft.com/office/word/2010/wordprocessingShape">
                    <wps:wsp>
                      <wps:cNvSpPr/>
                      <wps:spPr>
                        <a:xfrm>
                          <a:off x="5150485" y="1953895"/>
                          <a:ext cx="534035" cy="234950"/>
                        </a:xfrm>
                        <a:prstGeom prst="wedgeRoundRectCallout">
                          <a:avLst>
                            <a:gd name="adj1" fmla="val 78509"/>
                            <a:gd name="adj2" fmla="val 126335"/>
                            <a:gd name="adj3" fmla="val 16667"/>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spacing w:line="240" w:lineRule="auto"/>
                              <w:ind w:firstLine="0" w:firstLineChars="0"/>
                              <w:jc w:val="center"/>
                              <w:rPr>
                                <w:color w:val="FFFFFF" w:themeColor="background1"/>
                                <w:sz w:val="15"/>
                                <w:szCs w:val="15"/>
                                <w14:textOutline w14:w="9525" w14:cap="flat" w14:cmpd="sng" w14:algn="ctr">
                                  <w14:solidFill>
                                    <w14:srgbClr w14:val="FF0000"/>
                                  </w14:solidFill>
                                  <w14:prstDash w14:val="solid"/>
                                  <w14:round/>
                                </w14:textOutline>
                                <w14:textFill>
                                  <w14:solidFill>
                                    <w14:schemeClr w14:val="bg1"/>
                                  </w14:solidFill>
                                </w14:textFill>
                              </w:rPr>
                            </w:pPr>
                            <w:r>
                              <w:rPr>
                                <w:rFonts w:hint="eastAsia"/>
                                <w:color w:val="FFFFFF" w:themeColor="background1"/>
                                <w:sz w:val="15"/>
                                <w:szCs w:val="15"/>
                                <w14:textOutline w14:w="9525" w14:cap="flat" w14:cmpd="sng" w14:algn="ctr">
                                  <w14:solidFill>
                                    <w14:srgbClr w14:val="FF0000"/>
                                  </w14:solidFill>
                                  <w14:prstDash w14:val="solid"/>
                                  <w14:round/>
                                </w14:textOutline>
                                <w14:textFill>
                                  <w14:solidFill>
                                    <w14:schemeClr w14:val="bg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2pt;margin-top:82.9pt;height:18.5pt;width:42.05pt;z-index:251668480;v-text-anchor:middle;mso-width-relative:page;mso-height-relative:page;" fillcolor="#FFFFFF [3212]" filled="t" stroked="f" coordsize="21600,21600" o:gfxdata="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BrvQeXbAAAACwEAAA8AAAAAAAAAAQAgAAAAIgAAAGRycy9kb3ducmV2LnhtbFBLAQIUABQA&#10;AAAIAIdO4kCo6gHs0QIAAHYFAAAOAAAAAAAAAAEAIAAAACoBAABkcnMvZTJvRG9jLnhtbFBLBQYA&#10;AAAABgAGAFkBAABtBgAAAAA=&#10;" adj="27758,38088,14400">
                <v:fill on="t" focussize="0,0"/>
                <v:stroke on="f" weight="1pt" miterlimit="8" joinstyle="miter"/>
                <v:imagedata o:title=""/>
                <o:lock v:ext="edit" aspectratio="f"/>
                <v:textbox>
                  <w:txbxContent>
                    <w:p>
                      <w:pPr>
                        <w:spacing w:line="240" w:lineRule="auto"/>
                        <w:ind w:firstLine="0" w:firstLineChars="0"/>
                        <w:jc w:val="center"/>
                        <w:rPr>
                          <w:color w:val="FFFFFF" w:themeColor="background1"/>
                          <w:sz w:val="15"/>
                          <w:szCs w:val="15"/>
                          <w14:textOutline w14:w="9525" w14:cap="flat" w14:cmpd="sng" w14:algn="ctr">
                            <w14:solidFill>
                              <w14:srgbClr w14:val="FF0000"/>
                            </w14:solidFill>
                            <w14:prstDash w14:val="solid"/>
                            <w14:round/>
                          </w14:textOutline>
                          <w14:textFill>
                            <w14:solidFill>
                              <w14:schemeClr w14:val="bg1"/>
                            </w14:solidFill>
                          </w14:textFill>
                        </w:rPr>
                      </w:pPr>
                      <w:r>
                        <w:rPr>
                          <w:rFonts w:hint="eastAsia"/>
                          <w:color w:val="FFFFFF" w:themeColor="background1"/>
                          <w:sz w:val="15"/>
                          <w:szCs w:val="15"/>
                          <w14:textOutline w14:w="9525" w14:cap="flat" w14:cmpd="sng" w14:algn="ctr">
                            <w14:solidFill>
                              <w14:srgbClr w14:val="FF0000"/>
                            </w14:solidFill>
                            <w14:prstDash w14:val="solid"/>
                            <w14:round/>
                          </w14:textOutline>
                          <w14:textFill>
                            <w14:solidFill>
                              <w14:schemeClr w14:val="bg1"/>
                            </w14:solidFill>
                          </w14:textFill>
                        </w:rPr>
                        <w:t>本项目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4597400</wp:posOffset>
                </wp:positionH>
                <wp:positionV relativeFrom="paragraph">
                  <wp:posOffset>1414780</wp:posOffset>
                </wp:positionV>
                <wp:extent cx="75565" cy="75565"/>
                <wp:effectExtent l="10795" t="0" r="46990" b="46990"/>
                <wp:wrapNone/>
                <wp:docPr id="11" name="十字星 11"/>
                <wp:cNvGraphicFramePr/>
                <a:graphic xmlns:a="http://schemas.openxmlformats.org/drawingml/2006/main">
                  <a:graphicData uri="http://schemas.microsoft.com/office/word/2010/wordprocessingShape">
                    <wps:wsp>
                      <wps:cNvSpPr/>
                      <wps:spPr>
                        <a:xfrm>
                          <a:off x="5753100" y="2297430"/>
                          <a:ext cx="75565" cy="7556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62pt;margin-top:111.4pt;height:5.95pt;width:5.95pt;z-index:251667456;v-text-anchor:middle;mso-width-relative:page;mso-height-relative:page;" fillcolor="#FF0000" filled="t" stroked="t" coordsize="21600,21600" o:gfxdata="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Ieiih3bAAAACwEAAA8AAAAAAAAAAQAgAAAA&#10;IgAAAGRycy9kb3ducmV2LnhtbFBLAQIUABQAAAAIAIdO4kCSMhDYegIAAAMFAAAOAAAAAAAAAAEA&#10;IAAAACoBAABkcnMvZTJvRG9jLnhtbFBLBQYAAAAABgAGAFkBAAAWBgAAAAA=&#10;" adj="8100">
                <v:fill on="t" focussize="0,0"/>
                <v:stroke weight="1pt" color="#FF0000 [2404]" miterlimit="8" joinstyle="miter"/>
                <v:imagedata o:title=""/>
                <o:lock v:ext="edit" aspectratio="f"/>
              </v:shape>
            </w:pict>
          </mc:Fallback>
        </mc:AlternateContent>
      </w:r>
      <w:r>
        <w:rPr>
          <w:color w:val="000000" w:themeColor="text1"/>
          <w:highlight w:val="none"/>
          <w14:textFill>
            <w14:solidFill>
              <w14:schemeClr w14:val="tx1"/>
            </w14:solidFill>
          </w14:textFill>
        </w:rPr>
        <w:drawing>
          <wp:inline distT="0" distB="0" distL="114300" distR="114300">
            <wp:extent cx="5184140" cy="3619500"/>
            <wp:effectExtent l="0" t="0" r="16510" b="0"/>
            <wp:docPr id="435197355" name="图片 1"/>
            <wp:cNvGraphicFramePr/>
            <a:graphic xmlns:a="http://schemas.openxmlformats.org/drawingml/2006/main">
              <a:graphicData uri="http://schemas.openxmlformats.org/drawingml/2006/picture">
                <pic:pic xmlns:pic="http://schemas.openxmlformats.org/drawingml/2006/picture">
                  <pic:nvPicPr>
                    <pic:cNvPr id="435197355" name="图片 1"/>
                    <pic:cNvPicPr>
                      <a:picLocks noChangeArrowheads="1"/>
                    </pic:cNvPicPr>
                  </pic:nvPicPr>
                  <pic:blipFill>
                    <a:blip r:embed="rId16" cstate="print">
                      <a:extLst>
                        <a:ext uri="{28A0092B-C50C-407E-A947-70E740481C1C}">
                          <a14:useLocalDpi xmlns:a14="http://schemas.microsoft.com/office/drawing/2010/main" val="0"/>
                        </a:ext>
                      </a:extLst>
                    </a:blip>
                    <a:srcRect l="14778" r="13237"/>
                    <a:stretch>
                      <a:fillRect/>
                    </a:stretch>
                  </pic:blipFill>
                  <pic:spPr>
                    <a:xfrm>
                      <a:off x="0" y="0"/>
                      <a:ext cx="5184140" cy="3619500"/>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四川省主体功能区划图</w:t>
      </w:r>
    </w:p>
    <w:p>
      <w:pPr>
        <w:pStyle w:val="4"/>
        <w:spacing w:before="0" w:beforeLines="0"/>
        <w:ind w:left="480" w:firstLineChars="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与</w:t>
      </w:r>
      <w:r>
        <w:rPr>
          <w:rFonts w:hint="eastAsia"/>
          <w:color w:val="000000" w:themeColor="text1"/>
          <w:highlight w:val="none"/>
          <w:lang w:eastAsia="zh-CN"/>
          <w14:textFill>
            <w14:solidFill>
              <w14:schemeClr w14:val="tx1"/>
            </w14:solidFill>
          </w14:textFill>
        </w:rPr>
        <w:t>社会经济及能源规划</w:t>
      </w:r>
      <w:r>
        <w:rPr>
          <w:color w:val="000000" w:themeColor="text1"/>
          <w:highlight w:val="none"/>
          <w:lang w:eastAsia="zh-CN"/>
          <w14:textFill>
            <w14:solidFill>
              <w14:schemeClr w14:val="tx1"/>
            </w14:solidFill>
          </w14:textFill>
        </w:rPr>
        <w:t>符合性分析</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与《达州市国民经济和社会发展第十四个五年规划和二〇三五年远景目标纲要》的符合性分析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达州市国民经济和社会发展第十四个五年规划和二〇三五年远景目标纲要》中，强调要打造中国“气大庆”，实施中国“气大庆”建设行动，加强天然气产供储销体系建设，建成全国最大天然气（页岩气）生产基地，天然气年产量力争达到630亿推进中国“气大庆”建设。对接国有油气企业混合所有制改革，探索央（企）地资源开发利益共享共赢发展模式。</w:t>
      </w:r>
      <w:r>
        <w:rPr>
          <w:rFonts w:cs="Times New Roman"/>
          <w:b/>
          <w:bCs/>
          <w:color w:val="000000" w:themeColor="text1"/>
          <w:highlight w:val="none"/>
          <w14:textFill>
            <w14:solidFill>
              <w14:schemeClr w14:val="tx1"/>
            </w14:solidFill>
          </w14:textFill>
        </w:rPr>
        <w:t>加大勘探开发力度，重点实施中石油川东北高含硫天然气开发项目（二期）、达州致密气勘探开发项目等天然气开发项目，统筹加强中石化普光气田新井和中石油其他区块产能建设，服务国家能源战略、保障天然气供应安全</w:t>
      </w:r>
      <w:r>
        <w:rPr>
          <w:rFonts w:cs="Times New Roman"/>
          <w:color w:val="000000" w:themeColor="text1"/>
          <w:highlight w:val="none"/>
          <w14:textFill>
            <w14:solidFill>
              <w14:schemeClr w14:val="tx1"/>
            </w14:solidFill>
          </w14:textFill>
        </w:rPr>
        <w:t>。全面规范提升天然气供应水平，完善天然气管网公平接入机制，推进市域输气管网与国家干网的互联互通，不断扩大天然气“直供”范围。努力提升天然气综合利用水平，因地制宜发展天然气分布式能源，支持建设四川省天然气调峰发电基地，建设川投气电清洁能源发电项目。有序发展天然气（LNG）车船，加快清洁汽车、船舶推广及加气（注）站建设步伐，提高LNG在长途公共交通、货运物流、内河船舶燃料中的比重，大力提升城市公共交通清洁能源（含新能源）使用率。</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本项目属于中石化普光气田新</w:t>
      </w:r>
      <w:r>
        <w:rPr>
          <w:rFonts w:hint="eastAsia" w:cs="Times New Roman"/>
          <w:color w:val="000000" w:themeColor="text1"/>
          <w:highlight w:val="none"/>
          <w14:textFill>
            <w14:solidFill>
              <w14:schemeClr w14:val="tx1"/>
            </w14:solidFill>
          </w14:textFill>
        </w:rPr>
        <w:t>实验性勘探</w:t>
      </w:r>
      <w:r>
        <w:rPr>
          <w:rFonts w:cs="Times New Roman"/>
          <w:color w:val="000000" w:themeColor="text1"/>
          <w:highlight w:val="none"/>
          <w14:textFill>
            <w14:solidFill>
              <w14:schemeClr w14:val="tx1"/>
            </w14:solidFill>
          </w14:textFill>
        </w:rPr>
        <w:t>井</w:t>
      </w:r>
      <w:r>
        <w:rPr>
          <w:rFonts w:hint="eastAsia" w:cs="Times New Roman"/>
          <w:color w:val="000000" w:themeColor="text1"/>
          <w:highlight w:val="none"/>
          <w14:textFill>
            <w14:solidFill>
              <w14:schemeClr w14:val="tx1"/>
            </w14:solidFill>
          </w14:textFill>
        </w:rPr>
        <w:t>的</w:t>
      </w:r>
      <w:r>
        <w:rPr>
          <w:rFonts w:cs="Times New Roman"/>
          <w:color w:val="000000" w:themeColor="text1"/>
          <w:highlight w:val="none"/>
          <w14:textFill>
            <w14:solidFill>
              <w14:schemeClr w14:val="tx1"/>
            </w14:solidFill>
          </w14:textFill>
        </w:rPr>
        <w:t>钻井与试采项目，因此本项目符合达州市国民经济和社会发展规划纲要。</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与能源发展规划符合性分析</w:t>
      </w:r>
    </w:p>
    <w:p>
      <w:pPr>
        <w:autoSpaceDE w:val="0"/>
        <w:autoSpaceDN w:val="0"/>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（1）与《</w:t>
      </w:r>
      <w:bookmarkStart w:id="91" w:name="_Hlk140914417"/>
      <w:r>
        <w:rPr>
          <w:rFonts w:hint="eastAsia" w:ascii="宋体" w:hAnsi="宋体" w:cs="宋体"/>
          <w:b/>
          <w:bCs/>
          <w:color w:val="000000" w:themeColor="text1"/>
          <w:highlight w:val="none"/>
          <w14:textFill>
            <w14:solidFill>
              <w14:schemeClr w14:val="tx1"/>
            </w14:solidFill>
          </w14:textFill>
        </w:rPr>
        <w:t>“十四五”</w:t>
      </w:r>
      <w:r>
        <w:rPr>
          <w:b/>
          <w:bCs/>
          <w:color w:val="000000" w:themeColor="text1"/>
          <w:highlight w:val="none"/>
          <w14:textFill>
            <w14:solidFill>
              <w14:schemeClr w14:val="tx1"/>
            </w14:solidFill>
          </w14:textFill>
        </w:rPr>
        <w:t>现代能源体系规划</w:t>
      </w:r>
      <w:bookmarkEnd w:id="91"/>
      <w:r>
        <w:rPr>
          <w:b/>
          <w:bCs/>
          <w:color w:val="000000" w:themeColor="text1"/>
          <w:highlight w:val="none"/>
          <w14:textFill>
            <w14:solidFill>
              <w14:schemeClr w14:val="tx1"/>
            </w14:solidFill>
          </w14:textFill>
        </w:rPr>
        <w:t>》符合性分析</w:t>
      </w:r>
    </w:p>
    <w:p>
      <w:pPr>
        <w:autoSpaceDE w:val="0"/>
        <w:autoSpaceDN w:val="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根据国家发展改革委 国家能源局于2022年印发的《</w:t>
      </w:r>
      <w:r>
        <w:rPr>
          <w:rFonts w:hint="eastAsia" w:ascii="宋体" w:hAnsi="宋体" w:cs="宋体"/>
          <w:color w:val="000000" w:themeColor="text1"/>
          <w:highlight w:val="none"/>
          <w14:textFill>
            <w14:solidFill>
              <w14:schemeClr w14:val="tx1"/>
            </w14:solidFill>
          </w14:textFill>
        </w:rPr>
        <w:t>“十四五”</w:t>
      </w:r>
      <w:r>
        <w:rPr>
          <w:color w:val="000000" w:themeColor="text1"/>
          <w:highlight w:val="none"/>
          <w14:textFill>
            <w14:solidFill>
              <w14:schemeClr w14:val="tx1"/>
            </w14:solidFill>
          </w14:textFill>
        </w:rPr>
        <w:t>现代能源体系规划》（发改能源〔2022〕210号）：油气勘探开发。立足</w:t>
      </w:r>
      <w:r>
        <w:rPr>
          <w:b/>
          <w:bCs/>
          <w:color w:val="000000" w:themeColor="text1"/>
          <w:highlight w:val="none"/>
          <w14:textFill>
            <w14:solidFill>
              <w14:schemeClr w14:val="tx1"/>
            </w14:solidFill>
          </w14:textFill>
        </w:rPr>
        <w:t>四川盆地</w:t>
      </w:r>
      <w:r>
        <w:rPr>
          <w:color w:val="000000" w:themeColor="text1"/>
          <w:highlight w:val="none"/>
          <w14:textFill>
            <w14:solidFill>
              <w14:schemeClr w14:val="tx1"/>
            </w14:solidFill>
          </w14:textFill>
        </w:rPr>
        <w:t>、塔里木盆地、鄂尔多斯盆地、准噶尔盆地、松辽盆地、渤海湾盆地、柴达木盆地等重点盆地，加强中西部地区和海域风险勘探，强化东部老区精细勘探。推动准噶尔盆地玛湖、吉木萨尔页岩油，鄂尔多斯盆地页岩油、致密气，松辽盆地大庆古龙页岩油，四川盆地川中古隆起、川南页岩气，塔里木盆地顺北、富满、博孜—大北，鄂西、陕南、滇黔北页岩气，海域渤中、垦利、恩平等油气上产工程。加快推进四川盆地“气大庆”、塔里木盆地</w:t>
      </w:r>
      <w:r>
        <w:rPr>
          <w:rFonts w:hint="eastAsia" w:ascii="宋体" w:hAnsi="宋体" w:cs="宋体"/>
          <w:color w:val="000000" w:themeColor="text1"/>
          <w:highlight w:val="none"/>
          <w14:textFill>
            <w14:solidFill>
              <w14:schemeClr w14:val="tx1"/>
            </w14:solidFill>
          </w14:textFill>
        </w:rPr>
        <w:t>“深层油气大庆”</w:t>
      </w:r>
      <w:r>
        <w:rPr>
          <w:color w:val="000000" w:themeColor="text1"/>
          <w:highlight w:val="none"/>
          <w14:textFill>
            <w14:solidFill>
              <w14:schemeClr w14:val="tx1"/>
            </w14:solidFill>
          </w14:textFill>
        </w:rPr>
        <w:t>、鄂尔多斯亿吨级“油气超级盆地”等标志性工程。加强沁水盆地、鄂尔多斯盆地东缘煤层气勘探开发。开展南海等地区天然气水合物试采。</w:t>
      </w:r>
    </w:p>
    <w:p>
      <w:pPr>
        <w:autoSpaceDE w:val="0"/>
        <w:autoSpaceDN w:val="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本工程位于四川盆地，属于</w:t>
      </w:r>
      <w:r>
        <w:rPr>
          <w:rFonts w:hint="eastAsia"/>
          <w:color w:val="000000" w:themeColor="text1"/>
          <w:highlight w:val="none"/>
          <w14:textFill>
            <w14:solidFill>
              <w14:schemeClr w14:val="tx1"/>
            </w14:solidFill>
          </w14:textFill>
        </w:rPr>
        <w:t>含硫天然气实验性勘探项目</w:t>
      </w:r>
      <w:r>
        <w:rPr>
          <w:color w:val="000000" w:themeColor="text1"/>
          <w:highlight w:val="none"/>
          <w14:textFill>
            <w14:solidFill>
              <w14:schemeClr w14:val="tx1"/>
            </w14:solidFill>
          </w14:textFill>
        </w:rPr>
        <w:t>。因此，本工程的建设符合《</w:t>
      </w:r>
      <w:r>
        <w:rPr>
          <w:rFonts w:hint="eastAsia" w:ascii="宋体" w:hAnsi="宋体" w:cs="宋体"/>
          <w:color w:val="000000" w:themeColor="text1"/>
          <w:highlight w:val="none"/>
          <w14:textFill>
            <w14:solidFill>
              <w14:schemeClr w14:val="tx1"/>
            </w14:solidFill>
          </w14:textFill>
        </w:rPr>
        <w:t>“十四五”</w:t>
      </w:r>
      <w:r>
        <w:rPr>
          <w:color w:val="000000" w:themeColor="text1"/>
          <w:highlight w:val="none"/>
          <w14:textFill>
            <w14:solidFill>
              <w14:schemeClr w14:val="tx1"/>
            </w14:solidFill>
          </w14:textFill>
        </w:rPr>
        <w:t>现代能源体系规划》（发改能源〔2022〕210号）要求。</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（2）与《四川省矿产资源总体规划（2021-2025年）》的符合性分析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四川省矿产资源总体规划（2021-2025年）》是在自然资源部工作要求和省委、省政府工作部署下，依据《矿产资源规划编制实施办法》《全国矿产资源规划（2021—2025年）》《四川省国民经济和社会发展第十四个五年规划和二〇三五年远景目标纲要》等，结合四川省实际，由省厅会同省发展改革委、经济和信息化厅、财政厅、生态环境厅、商务厅制定，本项目与之符合性分析见下表。</w:t>
      </w:r>
    </w:p>
    <w:p>
      <w:pPr>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表2.7-</w:t>
      </w:r>
      <w:r>
        <w:rPr>
          <w:rFonts w:hint="eastAsia" w:eastAsia="黑体" w:cs="Times New Roman"/>
          <w:color w:val="000000" w:themeColor="text1"/>
          <w:kern w:val="0"/>
          <w:sz w:val="21"/>
          <w:szCs w:val="21"/>
          <w:highlight w:val="none"/>
          <w14:textFill>
            <w14:solidFill>
              <w14:schemeClr w14:val="tx1"/>
            </w14:solidFill>
          </w14:textFill>
        </w:rPr>
        <w:t>7</w:t>
      </w:r>
      <w:r>
        <w:rPr>
          <w:rFonts w:eastAsia="黑体" w:cs="Times New Roman"/>
          <w:color w:val="000000" w:themeColor="text1"/>
          <w:kern w:val="0"/>
          <w:sz w:val="21"/>
          <w:szCs w:val="21"/>
          <w:highlight w:val="none"/>
          <w14:textFill>
            <w14:solidFill>
              <w14:schemeClr w14:val="tx1"/>
            </w14:solidFill>
          </w14:textFill>
        </w:rPr>
        <w:t xml:space="preserve">  与《四川省矿产资源总体规划（2021-2025年）》符合性分析表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240"/>
        <w:gridCol w:w="2124"/>
        <w:gridCol w:w="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eastAsia="等线" w:cs="Times New Roman"/>
                <w:color w:val="000000" w:themeColor="text1"/>
                <w:sz w:val="21"/>
                <w:szCs w:val="21"/>
                <w:highlight w:val="none"/>
                <w14:textFill>
                  <w14:solidFill>
                    <w14:schemeClr w14:val="tx1"/>
                  </w14:solidFill>
                </w14:textFill>
              </w:rPr>
            </w:pPr>
            <w:r>
              <w:rPr>
                <w:rFonts w:eastAsia="等线" w:cs="Times New Roman"/>
                <w:color w:val="000000" w:themeColor="text1"/>
                <w:sz w:val="21"/>
                <w:szCs w:val="21"/>
                <w:highlight w:val="none"/>
                <w14:textFill>
                  <w14:solidFill>
                    <w14:schemeClr w14:val="tx1"/>
                  </w14:solidFill>
                </w14:textFill>
              </w:rPr>
              <w:t>文件内容</w:t>
            </w:r>
          </w:p>
        </w:tc>
        <w:tc>
          <w:tcPr>
            <w:tcW w:w="2124" w:type="dxa"/>
            <w:tcMar>
              <w:left w:w="57" w:type="dxa"/>
              <w:right w:w="57" w:type="dxa"/>
            </w:tcMar>
            <w:vAlign w:val="center"/>
          </w:tcPr>
          <w:p>
            <w:pPr>
              <w:spacing w:line="240" w:lineRule="auto"/>
              <w:ind w:firstLine="0" w:firstLineChars="0"/>
              <w:jc w:val="center"/>
              <w:rPr>
                <w:rFonts w:eastAsia="等线" w:cs="Times New Roman"/>
                <w:color w:val="000000" w:themeColor="text1"/>
                <w:sz w:val="21"/>
                <w:szCs w:val="21"/>
                <w:highlight w:val="none"/>
                <w14:textFill>
                  <w14:solidFill>
                    <w14:schemeClr w14:val="tx1"/>
                  </w14:solidFill>
                </w14:textFill>
              </w:rPr>
            </w:pPr>
            <w:r>
              <w:rPr>
                <w:rFonts w:eastAsia="等线" w:cs="Times New Roman"/>
                <w:color w:val="000000" w:themeColor="text1"/>
                <w:sz w:val="21"/>
                <w:szCs w:val="21"/>
                <w:highlight w:val="none"/>
                <w14:textFill>
                  <w14:solidFill>
                    <w14:schemeClr w14:val="tx1"/>
                  </w14:solidFill>
                </w14:textFill>
              </w:rPr>
              <w:t>本项目情况</w:t>
            </w:r>
          </w:p>
        </w:tc>
        <w:tc>
          <w:tcPr>
            <w:tcW w:w="858" w:type="dxa"/>
            <w:tcMar>
              <w:left w:w="57" w:type="dxa"/>
              <w:right w:w="57" w:type="dxa"/>
            </w:tcMar>
            <w:vAlign w:val="center"/>
          </w:tcPr>
          <w:p>
            <w:pPr>
              <w:spacing w:line="240" w:lineRule="auto"/>
              <w:ind w:firstLine="0" w:firstLineChars="0"/>
              <w:jc w:val="center"/>
              <w:rPr>
                <w:rFonts w:eastAsia="等线" w:cs="Times New Roman"/>
                <w:color w:val="000000" w:themeColor="text1"/>
                <w:sz w:val="21"/>
                <w:szCs w:val="21"/>
                <w:highlight w:val="none"/>
                <w14:textFill>
                  <w14:solidFill>
                    <w14:schemeClr w14:val="tx1"/>
                  </w14:solidFill>
                </w14:textFill>
              </w:rPr>
            </w:pPr>
            <w:r>
              <w:rPr>
                <w:rFonts w:eastAsia="等线" w:cs="Times New Roman"/>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第二章、第三节：一、2025年目标：</w:t>
            </w:r>
          </w:p>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重要矿产实现找矿新突破。加大财政投资矿产勘查力度，提高重要矿产资源综合勘查水平和保障程度，新发现战略性矿产资源大中型矿产地10至15处。国家天然气（页岩气）千亿立方米级产能基地、攀西战略资源创新开发试验区建设得到有力支撑</w:t>
            </w:r>
          </w:p>
        </w:tc>
        <w:tc>
          <w:tcPr>
            <w:tcW w:w="2124" w:type="dxa"/>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本项目属于天然气</w:t>
            </w:r>
            <w:r>
              <w:rPr>
                <w:rFonts w:hint="eastAsia" w:cs="Times New Roman"/>
                <w:color w:val="000000" w:themeColor="text1"/>
                <w:sz w:val="21"/>
                <w:szCs w:val="21"/>
                <w:highlight w:val="none"/>
                <w14:textFill>
                  <w14:solidFill>
                    <w14:schemeClr w14:val="tx1"/>
                  </w14:solidFill>
                </w14:textFill>
              </w:rPr>
              <w:t>勘探及</w:t>
            </w:r>
            <w:r>
              <w:rPr>
                <w:rFonts w:cs="Times New Roman"/>
                <w:color w:val="000000" w:themeColor="text1"/>
                <w:sz w:val="21"/>
                <w:szCs w:val="21"/>
                <w:highlight w:val="none"/>
                <w14:textFill>
                  <w14:solidFill>
                    <w14:schemeClr w14:val="tx1"/>
                  </w14:solidFill>
                </w14:textFill>
              </w:rPr>
              <w:t>试采项目</w:t>
            </w:r>
          </w:p>
        </w:tc>
        <w:tc>
          <w:tcPr>
            <w:tcW w:w="858" w:type="dxa"/>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第三章、第一节：···</w:t>
            </w:r>
            <w:r>
              <w:rPr>
                <w:rFonts w:cs="Times New Roman"/>
                <w:b/>
                <w:bCs/>
                <w:color w:val="000000" w:themeColor="text1"/>
                <w:sz w:val="21"/>
                <w:szCs w:val="21"/>
                <w:highlight w:val="none"/>
                <w14:textFill>
                  <w14:solidFill>
                    <w14:schemeClr w14:val="tx1"/>
                  </w14:solidFill>
                </w14:textFill>
              </w:rPr>
              <w:t>川东北能源建材勘查开发区</w:t>
            </w:r>
            <w:r>
              <w:rPr>
                <w:rFonts w:cs="Times New Roman"/>
                <w:color w:val="000000" w:themeColor="text1"/>
                <w:sz w:val="21"/>
                <w:szCs w:val="21"/>
                <w:highlight w:val="none"/>
                <w14:textFill>
                  <w14:solidFill>
                    <w14:schemeClr w14:val="tx1"/>
                  </w14:solidFill>
                </w14:textFill>
              </w:rPr>
              <w:t>。包括南充、</w:t>
            </w:r>
            <w:r>
              <w:rPr>
                <w:rFonts w:cs="Times New Roman"/>
                <w:b/>
                <w:bCs/>
                <w:color w:val="000000" w:themeColor="text1"/>
                <w:sz w:val="21"/>
                <w:szCs w:val="21"/>
                <w:highlight w:val="none"/>
                <w14:textFill>
                  <w14:solidFill>
                    <w14:schemeClr w14:val="tx1"/>
                  </w14:solidFill>
                </w14:textFill>
              </w:rPr>
              <w:t>达州</w:t>
            </w:r>
            <w:r>
              <w:rPr>
                <w:rFonts w:cs="Times New Roman"/>
                <w:color w:val="000000" w:themeColor="text1"/>
                <w:sz w:val="21"/>
                <w:szCs w:val="21"/>
                <w:highlight w:val="none"/>
                <w14:textFill>
                  <w14:solidFill>
                    <w14:schemeClr w14:val="tx1"/>
                  </w14:solidFill>
                </w14:textFill>
              </w:rPr>
              <w:t>、广安、巴中、广元5市，大力发展清洁能源化工、特色矿产品精深加工，推动川东北经济区振兴发展。</w:t>
            </w:r>
            <w:r>
              <w:rPr>
                <w:rFonts w:cs="Times New Roman"/>
                <w:b/>
                <w:bCs/>
                <w:color w:val="000000" w:themeColor="text1"/>
                <w:sz w:val="21"/>
                <w:szCs w:val="21"/>
                <w:highlight w:val="none"/>
                <w14:textFill>
                  <w14:solidFill>
                    <w14:schemeClr w14:val="tx1"/>
                  </w14:solidFill>
                </w14:textFill>
              </w:rPr>
              <w:t>重点加强达州、广元、广安、巴中地区天然气、页岩油、致密气勘探开发</w:t>
            </w:r>
          </w:p>
        </w:tc>
        <w:tc>
          <w:tcPr>
            <w:tcW w:w="2124" w:type="dxa"/>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本项目位于达州，属于</w:t>
            </w:r>
            <w:r>
              <w:rPr>
                <w:rFonts w:hint="eastAsia" w:cs="Times New Roman"/>
                <w:color w:val="000000" w:themeColor="text1"/>
                <w:sz w:val="21"/>
                <w:szCs w:val="21"/>
                <w:highlight w:val="none"/>
                <w14:textFill>
                  <w14:solidFill>
                    <w14:schemeClr w14:val="tx1"/>
                  </w14:solidFill>
                </w14:textFill>
              </w:rPr>
              <w:t>天然气勘探及试采项目</w:t>
            </w:r>
          </w:p>
        </w:tc>
        <w:tc>
          <w:tcPr>
            <w:tcW w:w="858" w:type="dxa"/>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5240" w:type="dxa"/>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第五章、第一节：···大力支持天然气、页岩气开采，2025年底全省天然气（页岩气）产量达到630亿立方米/年，2035年建成国家天然气（页岩气）千亿立方米级产能基地</w:t>
            </w:r>
          </w:p>
        </w:tc>
        <w:tc>
          <w:tcPr>
            <w:tcW w:w="2124" w:type="dxa"/>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本项目属于</w:t>
            </w:r>
            <w:r>
              <w:rPr>
                <w:rFonts w:hint="eastAsia" w:cs="Times New Roman"/>
                <w:color w:val="000000" w:themeColor="text1"/>
                <w:sz w:val="21"/>
                <w:szCs w:val="21"/>
                <w:highlight w:val="none"/>
                <w14:textFill>
                  <w14:solidFill>
                    <w14:schemeClr w14:val="tx1"/>
                  </w14:solidFill>
                </w14:textFill>
              </w:rPr>
              <w:t>天然气勘探及试采项目</w:t>
            </w:r>
            <w:r>
              <w:rPr>
                <w:rFonts w:cs="Times New Roman"/>
                <w:color w:val="000000" w:themeColor="text1"/>
                <w:sz w:val="21"/>
                <w:szCs w:val="21"/>
                <w:highlight w:val="none"/>
                <w14:textFill>
                  <w14:solidFill>
                    <w14:schemeClr w14:val="tx1"/>
                  </w14:solidFill>
                </w14:textFill>
              </w:rPr>
              <w:t>，试采期将对天然气进行试采，有利于提高全省天然气产量</w:t>
            </w:r>
          </w:p>
        </w:tc>
        <w:tc>
          <w:tcPr>
            <w:tcW w:w="858" w:type="dxa"/>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本项目为</w:t>
      </w:r>
      <w:r>
        <w:rPr>
          <w:rFonts w:hint="eastAsia" w:cs="Times New Roman"/>
          <w:color w:val="000000" w:themeColor="text1"/>
          <w:szCs w:val="24"/>
          <w:highlight w:val="none"/>
          <w14:textFill>
            <w14:solidFill>
              <w14:schemeClr w14:val="tx1"/>
            </w14:solidFill>
          </w14:textFill>
        </w:rPr>
        <w:t>天然气勘探及试采工程</w:t>
      </w:r>
      <w:r>
        <w:rPr>
          <w:rFonts w:cs="Times New Roman"/>
          <w:color w:val="000000" w:themeColor="text1"/>
          <w:szCs w:val="24"/>
          <w:highlight w:val="none"/>
          <w14:textFill>
            <w14:solidFill>
              <w14:schemeClr w14:val="tx1"/>
            </w14:solidFill>
          </w14:textFill>
        </w:rPr>
        <w:t>，不属于限制开采的矿产资源，项目位于达州市宣汉县，所在区域属于川东北能源建材勘查开发区，不属于国家和省的规划矿区、储备和保护矿区、限制开采区和禁止开采区，同时也不涉及自然保护区、饮用水水源保护区、风景名胜区等环境敏感区及四川省生态保护红线。拟建项目属于天然气</w:t>
      </w:r>
      <w:r>
        <w:rPr>
          <w:rFonts w:hint="eastAsia" w:cs="Times New Roman"/>
          <w:color w:val="000000" w:themeColor="text1"/>
          <w:szCs w:val="24"/>
          <w:highlight w:val="none"/>
          <w14:textFill>
            <w14:solidFill>
              <w14:schemeClr w14:val="tx1"/>
            </w14:solidFill>
          </w14:textFill>
        </w:rPr>
        <w:t>勘探及</w:t>
      </w:r>
      <w:r>
        <w:rPr>
          <w:rFonts w:cs="Times New Roman"/>
          <w:color w:val="000000" w:themeColor="text1"/>
          <w:szCs w:val="24"/>
          <w:highlight w:val="none"/>
          <w14:textFill>
            <w14:solidFill>
              <w14:schemeClr w14:val="tx1"/>
            </w14:solidFill>
          </w14:textFill>
        </w:rPr>
        <w:t>试采项目，符合《四川省矿产资源总体规划（2021-2025年）》要求。</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（3）与《四川省矿产资源总体规划（2021-2025年）环境影响报告书》符合性分析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生态环境部出具了《关于〈四川省矿产资源总体规划（2021-2025年）环境影响报告书〉的审查意见》（环审〔2022〕105号），该规划提出规划目标：到2025年，主要矿产资源量稳步增长，战略性矿产资源安全保障能力明显提高，勘查开发利用与保护空间布局进一步优化，资源节约集约和高效利用水平进一步提升，绿色矿业发展取得积极成效，全面落实构筑长江黄河上游生态安全屏障要求，基本形成矿产资源勘查开发与生态环境保护协调发展新格局。新增天然气资源量</w:t>
      </w:r>
      <w:r>
        <w:rPr>
          <w:rFonts w:cs="Times New Roman"/>
          <w:color w:val="000000" w:themeColor="text1"/>
          <w:szCs w:val="20"/>
          <w:highlight w:val="none"/>
          <w:lang w:bidi="ar"/>
          <w14:textFill>
            <w14:solidFill>
              <w14:schemeClr w14:val="tx1"/>
            </w14:solidFill>
          </w14:textFill>
        </w:rPr>
        <w:t>≥10000亿立方米。</w:t>
      </w:r>
    </w:p>
    <w:p>
      <w:pPr>
        <w:tabs>
          <w:tab w:val="left" w:pos="0"/>
        </w:tabs>
        <w:ind w:firstLine="480"/>
        <w:rPr>
          <w:rFonts w:cs="Times New Roman"/>
          <w:color w:val="000000" w:themeColor="text1"/>
          <w:szCs w:val="20"/>
          <w:highlight w:val="none"/>
          <w:lang w:bidi="ar"/>
          <w14:textFill>
            <w14:solidFill>
              <w14:schemeClr w14:val="tx1"/>
            </w14:solidFill>
          </w14:textFill>
        </w:rPr>
      </w:pPr>
      <w:r>
        <w:rPr>
          <w:rFonts w:cs="Times New Roman"/>
          <w:color w:val="000000" w:themeColor="text1"/>
          <w:szCs w:val="20"/>
          <w:highlight w:val="none"/>
          <w:lang w:bidi="ar"/>
          <w14:textFill>
            <w14:solidFill>
              <w14:schemeClr w14:val="tx1"/>
            </w14:solidFill>
          </w14:textFill>
        </w:rPr>
        <w:t>到2035年</w:t>
      </w:r>
      <w:r>
        <w:rPr>
          <w:rFonts w:cs="Times New Roman"/>
          <w:b/>
          <w:bCs/>
          <w:color w:val="000000" w:themeColor="text1"/>
          <w:szCs w:val="20"/>
          <w:highlight w:val="none"/>
          <w:lang w:bidi="ar"/>
          <w14:textFill>
            <w14:solidFill>
              <w14:schemeClr w14:val="tx1"/>
            </w14:solidFill>
          </w14:textFill>
        </w:rPr>
        <w:t>，建设完成国家天然气（页岩气）千亿立方米级产能基地</w:t>
      </w:r>
      <w:r>
        <w:rPr>
          <w:rFonts w:cs="Times New Roman"/>
          <w:color w:val="000000" w:themeColor="text1"/>
          <w:szCs w:val="20"/>
          <w:highlight w:val="none"/>
          <w:lang w:bidi="ar"/>
          <w14:textFill>
            <w14:solidFill>
              <w14:schemeClr w14:val="tx1"/>
            </w14:solidFill>
          </w14:textFill>
        </w:rPr>
        <w:t>，形成攀西钒钛磁铁矿、川南煤炭煤层气和川西锂矿资源产业集群。全省重要矿产资源量明显增加，矿业空间布局更加科学，矿山规模结构更趋合理，基本实现重要矿产资源稳定供应。矿产资源利用技术实现新突破，资源利用效率显著提升。矿政管理机制更加完善，基本实现矿产资源领域</w:t>
      </w:r>
      <w:r>
        <w:rPr>
          <w:rFonts w:hint="eastAsia" w:cs="Times New Roman"/>
          <w:color w:val="000000" w:themeColor="text1"/>
          <w:szCs w:val="20"/>
          <w:highlight w:val="none"/>
          <w:lang w:eastAsia="zh-CN" w:bidi="ar"/>
          <w14:textFill>
            <w14:solidFill>
              <w14:schemeClr w14:val="tx1"/>
            </w14:solidFill>
          </w14:textFill>
        </w:rPr>
        <w:t>治理体系和治理能力现代化</w:t>
      </w:r>
      <w:r>
        <w:rPr>
          <w:rFonts w:cs="Times New Roman"/>
          <w:color w:val="000000" w:themeColor="text1"/>
          <w:szCs w:val="20"/>
          <w:highlight w:val="none"/>
          <w:lang w:bidi="ar"/>
          <w14:textFill>
            <w14:solidFill>
              <w14:schemeClr w14:val="tx1"/>
            </w14:solidFill>
          </w14:textFill>
        </w:rPr>
        <w:t>。生态保护、资源开发与民生改善协调发展，矿业走上内涵式、集约型、绿色化的高质量发展新路子，有力支撑“碳达峰、碳中和”战略目标的实施。</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属于石油天然气行业的试采项目，本项目的建设有利于评价下一步天然气清洁能源的开采供应，保障资源储量的稳定增长。因此，本项目建设符合《四川省矿产资源总体规划（2021-2025年）环境影响报告书》的相关要求。</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（4）与《达州市矿产资源总体规划（2021-2025年）》的符合性分析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本项目与《达州市矿产资源总体规划（2021-2025年）》符合性分析见下表。</w:t>
      </w:r>
    </w:p>
    <w:p>
      <w:pPr>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表2.7-</w:t>
      </w:r>
      <w:r>
        <w:rPr>
          <w:rFonts w:hint="eastAsia" w:eastAsia="黑体" w:cs="Times New Roman"/>
          <w:color w:val="000000" w:themeColor="text1"/>
          <w:kern w:val="0"/>
          <w:sz w:val="21"/>
          <w:szCs w:val="21"/>
          <w:highlight w:val="none"/>
          <w14:textFill>
            <w14:solidFill>
              <w14:schemeClr w14:val="tx1"/>
            </w14:solidFill>
          </w14:textFill>
        </w:rPr>
        <w:t>8</w:t>
      </w:r>
      <w:r>
        <w:rPr>
          <w:rFonts w:eastAsia="黑体" w:cs="Times New Roman"/>
          <w:color w:val="000000" w:themeColor="text1"/>
          <w:kern w:val="0"/>
          <w:sz w:val="21"/>
          <w:szCs w:val="21"/>
          <w:highlight w:val="none"/>
          <w14:textFill>
            <w14:solidFill>
              <w14:schemeClr w14:val="tx1"/>
            </w14:solidFill>
          </w14:textFill>
        </w:rPr>
        <w:t xml:space="preserve">  与《达州市矿产资源总体规划（2021-2025年）》符合性分析表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239"/>
        <w:gridCol w:w="2124"/>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文件内容</w:t>
            </w:r>
          </w:p>
        </w:tc>
        <w:tc>
          <w:tcPr>
            <w:tcW w:w="1292" w:type="pct"/>
            <w:tcMar>
              <w:left w:w="57" w:type="dxa"/>
              <w:right w:w="57" w:type="dxa"/>
            </w:tcMar>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本项目情况</w:t>
            </w:r>
          </w:p>
        </w:tc>
        <w:tc>
          <w:tcPr>
            <w:tcW w:w="521" w:type="pct"/>
            <w:tcMar>
              <w:left w:w="57" w:type="dxa"/>
              <w:right w:w="57" w:type="dxa"/>
            </w:tcMar>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···到2025年，实现天然气、煤、石灰岩、地热等矿产资源储量稳步增长···</w:t>
            </w:r>
          </w:p>
        </w:tc>
        <w:tc>
          <w:tcPr>
            <w:tcW w:w="1292" w:type="pct"/>
            <w:vMerge w:val="restart"/>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本项目属于天然气</w:t>
            </w:r>
            <w:r>
              <w:rPr>
                <w:rFonts w:hint="eastAsia" w:cs="Times New Roman"/>
                <w:color w:val="000000" w:themeColor="text1"/>
                <w:sz w:val="21"/>
                <w:szCs w:val="21"/>
                <w:highlight w:val="none"/>
                <w14:textFill>
                  <w14:solidFill>
                    <w14:schemeClr w14:val="tx1"/>
                  </w14:solidFill>
                </w14:textFill>
              </w:rPr>
              <w:t>勘探及</w:t>
            </w:r>
            <w:r>
              <w:rPr>
                <w:rFonts w:cs="Times New Roman"/>
                <w:color w:val="000000" w:themeColor="text1"/>
                <w:sz w:val="21"/>
                <w:szCs w:val="21"/>
                <w:highlight w:val="none"/>
                <w14:textFill>
                  <w14:solidFill>
                    <w14:schemeClr w14:val="tx1"/>
                  </w14:solidFill>
                </w14:textFill>
              </w:rPr>
              <w:t>试采项目，位于宣汉县</w:t>
            </w:r>
          </w:p>
        </w:tc>
        <w:tc>
          <w:tcPr>
            <w:tcW w:w="521" w:type="pct"/>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到2035年，实现天然气（页岩气）找矿取得重大突破，加快建设万达开天然气锂钾综合利用集聚区，打造天然气、锂钾等千亿级特色产业集群，推进砂石资源基地建设</w:t>
            </w:r>
          </w:p>
        </w:tc>
        <w:tc>
          <w:tcPr>
            <w:tcW w:w="1292" w:type="pct"/>
            <w:vMerge w:val="continue"/>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521" w:type="pct"/>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重点开采矿种：天然气、炼焦用煤、地热、石灰岩、砂岩及钾盐。在符合准入条件的前提下，优先出让采矿权，适度扩大开发规模，提高资源供应能力</w:t>
            </w:r>
          </w:p>
        </w:tc>
        <w:tc>
          <w:tcPr>
            <w:tcW w:w="1292" w:type="pct"/>
            <w:vMerge w:val="continue"/>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521" w:type="pct"/>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中部能源化工勘查开发区。包括宣汉县、开江县。加强天然气、页岩气勘探开发，提升天然气资源综合利用水平</w:t>
            </w:r>
          </w:p>
        </w:tc>
        <w:tc>
          <w:tcPr>
            <w:tcW w:w="1292" w:type="pct"/>
            <w:vMerge w:val="continue"/>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521" w:type="pct"/>
            <w:tcMar>
              <w:left w:w="57" w:type="dxa"/>
              <w:right w:w="57" w:type="dxa"/>
            </w:tcMar>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综上所述，本项目符合《达州市矿产资源总体规划（2021-2025年）》要求。</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（5）与《宣汉县矿产资源总体规划（2021-2025年）》的符合性分析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本项目与《宣汉县矿产资源总体规划（2021-2025年）》符合性分析见下表。</w:t>
      </w:r>
    </w:p>
    <w:p>
      <w:pPr>
        <w:widowControl/>
        <w:tabs>
          <w:tab w:val="left" w:pos="863"/>
        </w:tabs>
        <w:adjustRightInd/>
        <w:snapToGrid/>
        <w:spacing w:line="240" w:lineRule="auto"/>
        <w:ind w:firstLine="0" w:firstLineChars="0"/>
        <w:jc w:val="center"/>
        <w:rPr>
          <w:rFonts w:eastAsia="黑体" w:cs="Times New Roman"/>
          <w:color w:val="000000" w:themeColor="text1"/>
          <w:kern w:val="0"/>
          <w:sz w:val="21"/>
          <w:szCs w:val="21"/>
          <w:highlight w:val="none"/>
          <w14:textFill>
            <w14:solidFill>
              <w14:schemeClr w14:val="tx1"/>
            </w14:solidFill>
          </w14:textFill>
        </w:rPr>
      </w:pPr>
      <w:r>
        <w:rPr>
          <w:rFonts w:eastAsia="黑体" w:cs="Times New Roman"/>
          <w:color w:val="000000" w:themeColor="text1"/>
          <w:kern w:val="0"/>
          <w:sz w:val="21"/>
          <w:szCs w:val="21"/>
          <w:highlight w:val="none"/>
          <w14:textFill>
            <w14:solidFill>
              <w14:schemeClr w14:val="tx1"/>
            </w14:solidFill>
          </w14:textFill>
        </w:rPr>
        <w:t>表</w:t>
      </w:r>
      <w:r>
        <w:rPr>
          <w:rFonts w:eastAsia="黑体" w:cs="Times New Roman"/>
          <w:color w:val="000000" w:themeColor="text1"/>
          <w:kern w:val="0"/>
          <w:sz w:val="21"/>
          <w:szCs w:val="21"/>
          <w:highlight w:val="none"/>
          <w14:textFill>
            <w14:solidFill>
              <w14:schemeClr w14:val="tx1"/>
            </w14:solidFill>
          </w14:textFill>
        </w:rPr>
        <w:fldChar w:fldCharType="begin"/>
      </w:r>
      <w:r>
        <w:rPr>
          <w:rFonts w:eastAsia="黑体" w:cs="Times New Roman"/>
          <w:color w:val="000000" w:themeColor="text1"/>
          <w:kern w:val="0"/>
          <w:sz w:val="21"/>
          <w:szCs w:val="21"/>
          <w:highlight w:val="none"/>
          <w14:textFill>
            <w14:solidFill>
              <w14:schemeClr w14:val="tx1"/>
            </w14:solidFill>
          </w14:textFill>
        </w:rPr>
        <w:instrText xml:space="preserve"> STYLEREF 2 \s </w:instrText>
      </w:r>
      <w:r>
        <w:rPr>
          <w:rFonts w:eastAsia="黑体" w:cs="Times New Roman"/>
          <w:color w:val="000000" w:themeColor="text1"/>
          <w:kern w:val="0"/>
          <w:sz w:val="21"/>
          <w:szCs w:val="21"/>
          <w:highlight w:val="none"/>
          <w14:textFill>
            <w14:solidFill>
              <w14:schemeClr w14:val="tx1"/>
            </w14:solidFill>
          </w14:textFill>
        </w:rPr>
        <w:fldChar w:fldCharType="separate"/>
      </w:r>
      <w:r>
        <w:rPr>
          <w:rFonts w:eastAsia="黑体" w:cs="Times New Roman"/>
          <w:color w:val="000000" w:themeColor="text1"/>
          <w:kern w:val="0"/>
          <w:sz w:val="21"/>
          <w:szCs w:val="21"/>
          <w:highlight w:val="none"/>
          <w14:textFill>
            <w14:solidFill>
              <w14:schemeClr w14:val="tx1"/>
            </w14:solidFill>
          </w14:textFill>
        </w:rPr>
        <w:t>2.7</w:t>
      </w:r>
      <w:r>
        <w:rPr>
          <w:rFonts w:eastAsia="黑体" w:cs="Times New Roman"/>
          <w:color w:val="000000" w:themeColor="text1"/>
          <w:kern w:val="0"/>
          <w:sz w:val="21"/>
          <w:szCs w:val="21"/>
          <w:highlight w:val="none"/>
          <w14:textFill>
            <w14:solidFill>
              <w14:schemeClr w14:val="tx1"/>
            </w14:solidFill>
          </w14:textFill>
        </w:rPr>
        <w:fldChar w:fldCharType="end"/>
      </w:r>
      <w:r>
        <w:rPr>
          <w:rFonts w:eastAsia="黑体" w:cs="Times New Roman"/>
          <w:color w:val="000000" w:themeColor="text1"/>
          <w:kern w:val="0"/>
          <w:sz w:val="21"/>
          <w:szCs w:val="21"/>
          <w:highlight w:val="none"/>
          <w14:textFill>
            <w14:solidFill>
              <w14:schemeClr w14:val="tx1"/>
            </w14:solidFill>
          </w14:textFill>
        </w:rPr>
        <w:noBreakHyphen/>
      </w:r>
      <w:r>
        <w:rPr>
          <w:rFonts w:hint="eastAsia" w:eastAsia="黑体" w:cs="Times New Roman"/>
          <w:color w:val="000000" w:themeColor="text1"/>
          <w:kern w:val="0"/>
          <w:sz w:val="21"/>
          <w:szCs w:val="21"/>
          <w:highlight w:val="none"/>
          <w14:textFill>
            <w14:solidFill>
              <w14:schemeClr w14:val="tx1"/>
            </w14:solidFill>
          </w14:textFill>
        </w:rPr>
        <w:t>9</w:t>
      </w:r>
      <w:r>
        <w:rPr>
          <w:rFonts w:eastAsia="黑体" w:cs="Times New Roman"/>
          <w:color w:val="000000" w:themeColor="text1"/>
          <w:kern w:val="0"/>
          <w:sz w:val="21"/>
          <w:szCs w:val="21"/>
          <w:highlight w:val="none"/>
          <w14:textFill>
            <w14:solidFill>
              <w14:schemeClr w14:val="tx1"/>
            </w14:solidFill>
          </w14:textFill>
        </w:rPr>
        <w:t xml:space="preserve"> 与《宣汉县矿产资源总体规划（2021-2025年）》符合性分析表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239"/>
        <w:gridCol w:w="2124"/>
        <w:gridCol w:w="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center"/>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文件内容</w:t>
            </w:r>
          </w:p>
        </w:tc>
        <w:tc>
          <w:tcPr>
            <w:tcW w:w="1292" w:type="pct"/>
            <w:tcMar>
              <w:left w:w="57" w:type="dxa"/>
              <w:right w:w="57" w:type="dxa"/>
            </w:tcMar>
            <w:vAlign w:val="center"/>
          </w:tcPr>
          <w:p>
            <w:pPr>
              <w:widowControl/>
              <w:spacing w:line="240" w:lineRule="auto"/>
              <w:ind w:firstLine="0" w:firstLineChars="0"/>
              <w:jc w:val="center"/>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本项目情况</w:t>
            </w:r>
          </w:p>
        </w:tc>
        <w:tc>
          <w:tcPr>
            <w:tcW w:w="521" w:type="pct"/>
            <w:tcMar>
              <w:left w:w="57" w:type="dxa"/>
              <w:right w:w="57" w:type="dxa"/>
            </w:tcMar>
            <w:vAlign w:val="center"/>
          </w:tcPr>
          <w:p>
            <w:pPr>
              <w:widowControl/>
              <w:spacing w:line="240" w:lineRule="auto"/>
              <w:ind w:firstLine="0" w:firstLineChars="0"/>
              <w:jc w:val="center"/>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2035年，实现页岩气找矿重大突破，建成全国首个深部卤水锂钾综合开发示范产业园，打造天然气、锂钾等千亿级特色产业集群。</w:t>
            </w:r>
          </w:p>
        </w:tc>
        <w:tc>
          <w:tcPr>
            <w:tcW w:w="1292" w:type="pct"/>
            <w:vMerge w:val="restart"/>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本项目属于天然气勘</w:t>
            </w:r>
            <w:r>
              <w:rPr>
                <w:rFonts w:hint="eastAsia" w:cs="Times New Roman"/>
                <w:color w:val="000000" w:themeColor="text1"/>
                <w:sz w:val="21"/>
                <w:szCs w:val="20"/>
                <w:highlight w:val="none"/>
                <w14:textFill>
                  <w14:solidFill>
                    <w14:schemeClr w14:val="tx1"/>
                  </w14:solidFill>
                </w14:textFill>
              </w:rPr>
              <w:t>探</w:t>
            </w:r>
            <w:r>
              <w:rPr>
                <w:rFonts w:hint="eastAsia" w:cs="Times New Roman"/>
                <w:color w:val="000000" w:themeColor="text1"/>
                <w:sz w:val="21"/>
                <w:szCs w:val="21"/>
                <w:highlight w:val="none"/>
                <w14:textFill>
                  <w14:solidFill>
                    <w14:schemeClr w14:val="tx1"/>
                  </w14:solidFill>
                </w14:textFill>
              </w:rPr>
              <w:t>及</w:t>
            </w:r>
            <w:r>
              <w:rPr>
                <w:rFonts w:cs="Times New Roman"/>
                <w:color w:val="000000" w:themeColor="text1"/>
                <w:sz w:val="21"/>
                <w:szCs w:val="20"/>
                <w:highlight w:val="none"/>
                <w14:textFill>
                  <w14:solidFill>
                    <w14:schemeClr w14:val="tx1"/>
                  </w14:solidFill>
                </w14:textFill>
              </w:rPr>
              <w:t>试采项目，位于宣汉县，属于有助于宣汉县境内提升天然气资源综合利用水平的项目</w:t>
            </w: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重点勘查矿种：天然气、钾盐和地热。争取财政投资勘查的同时，引导社会资金投入，争取实现找矿突破。</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充分发挥服务和监督管理职能，积极落实省、市安排宣汉县的矿产地质调查和资源潜力评价工作，主攻矿种为天然气、杂卤石型钾盐和地热，圈定找矿靶区和新发现矿产地。</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重点开采矿种：天然气、地热及钾盐。在符合准入条件下，优先出让采矿权，适度扩大开发规模，提高资源供应能力。天然气采矿权出让及开采应符合国家相关管控要求。</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highlight w:val="none"/>
                <w14:textFill>
                  <w14:solidFill>
                    <w14:schemeClr w14:val="tx1"/>
                  </w14:solidFill>
                </w14:textFill>
              </w:rPr>
            </w:pPr>
            <w:bookmarkStart w:id="92" w:name="_Hlk90924525"/>
            <w:r>
              <w:rPr>
                <w:rFonts w:cs="Times New Roman"/>
                <w:color w:val="000000" w:themeColor="text1"/>
                <w:sz w:val="21"/>
                <w:szCs w:val="20"/>
                <w:highlight w:val="none"/>
                <w14:textFill>
                  <w14:solidFill>
                    <w14:schemeClr w14:val="tx1"/>
                  </w14:solidFill>
                </w14:textFill>
              </w:rPr>
              <w:t>规划期内，落实四川省安排宣汉县的重点矿种矿产资源调查工程：川南、川东北煤层气调查评价</w:t>
            </w:r>
            <w:bookmarkEnd w:id="92"/>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稳定推进天然气、钾盐矿产资源勘查，加强矿区外围及深部找矿工作，加强富锂卤水综合利用攻关，提升共伴生矿产综合利用水平。</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实施上级落实宣汉县油气资源调查评价，对区域内天然气成因、物性、分布、规模、质量、演化规律、开发利用条件、经济价值及其在国民经济、社会公益事业中的地位和作用等方面进行的全方位分析、评估和预测。</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3187" w:type="pct"/>
            <w:tcMar>
              <w:left w:w="57" w:type="dxa"/>
              <w:right w:w="57" w:type="dxa"/>
            </w:tcMar>
            <w:vAlign w:val="center"/>
          </w:tcPr>
          <w:p>
            <w:pPr>
              <w:widowControl/>
              <w:spacing w:line="240" w:lineRule="auto"/>
              <w:ind w:firstLine="0" w:firstLineChars="0"/>
              <w:jc w:val="left"/>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中部能源化工勘查开发区。包括宣汉县、开江县。加强天然气、页岩气勘探开发，提升天然气资源综合利用水平</w:t>
            </w:r>
          </w:p>
        </w:tc>
        <w:tc>
          <w:tcPr>
            <w:tcW w:w="1292" w:type="pct"/>
            <w:vMerge w:val="continue"/>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p>
        </w:tc>
        <w:tc>
          <w:tcPr>
            <w:tcW w:w="521" w:type="pct"/>
            <w:tcMar>
              <w:left w:w="57" w:type="dxa"/>
              <w:right w:w="57" w:type="dxa"/>
            </w:tcMar>
            <w:vAlign w:val="center"/>
          </w:tcPr>
          <w:p>
            <w:pPr>
              <w:widowControl/>
              <w:spacing w:line="240" w:lineRule="auto"/>
              <w:ind w:firstLine="0" w:firstLineChars="0"/>
              <w:jc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符合</w:t>
            </w:r>
          </w:p>
        </w:tc>
      </w:tr>
    </w:tbl>
    <w:p>
      <w:pPr>
        <w:tabs>
          <w:tab w:val="left" w:pos="0"/>
        </w:tabs>
        <w:spacing w:before="163" w:beforeLines="50"/>
        <w:ind w:firstLine="480"/>
        <w:rPr>
          <w:rFonts w:cs="Times New Roman"/>
          <w:b/>
          <w:bCs/>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综上所述，本项目符合《宣汉县矿产资源总体规划（2021-2025年）》要求。</w:t>
      </w:r>
    </w:p>
    <w:p>
      <w:pPr>
        <w:pStyle w:val="4"/>
        <w:spacing w:before="0" w:beforeLines="0"/>
        <w:ind w:firstLine="480"/>
        <w:rPr>
          <w:rFonts w:hint="eastAsia" w:ascii="黑体" w:hAnsi="黑体" w:cs="黑体"/>
          <w:color w:val="000000" w:themeColor="text1"/>
          <w:highlight w:val="none"/>
          <w:lang w:eastAsia="zh-CN"/>
          <w14:textFill>
            <w14:solidFill>
              <w14:schemeClr w14:val="tx1"/>
            </w14:solidFill>
          </w14:textFill>
        </w:rPr>
      </w:pPr>
      <w:r>
        <w:rPr>
          <w:rFonts w:ascii="黑体" w:hAnsi="黑体" w:cs="黑体"/>
          <w:color w:val="000000" w:themeColor="text1"/>
          <w:highlight w:val="none"/>
          <w:lang w:eastAsia="zh-CN"/>
          <w14:textFill>
            <w14:solidFill>
              <w14:schemeClr w14:val="tx1"/>
            </w14:solidFill>
          </w14:textFill>
        </w:rPr>
        <w:t>与环保政策及规定的符合性分析</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项目与相关大气污染防治规范符合性分析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本项目与相关大气污染防治相关法规、规范符合性分析见下表。</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 xml:space="preserve"> 本项目与相关大气污染物防治规范符合性分析表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592"/>
        <w:gridCol w:w="4499"/>
        <w:gridCol w:w="1374"/>
        <w:gridCol w:w="7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法规、规范</w:t>
            </w:r>
          </w:p>
        </w:tc>
        <w:tc>
          <w:tcPr>
            <w:tcW w:w="4499"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相关要求</w:t>
            </w:r>
          </w:p>
        </w:tc>
        <w:tc>
          <w:tcPr>
            <w:tcW w:w="1374"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对照分析</w:t>
            </w:r>
          </w:p>
        </w:tc>
        <w:tc>
          <w:tcPr>
            <w:tcW w:w="755"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《中华人民共和国大气污染防治法》</w:t>
            </w:r>
          </w:p>
        </w:tc>
        <w:tc>
          <w:tcPr>
            <w:tcW w:w="4499"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施工单位应当在施工工地设置硬质围挡，并采取覆盖、分段作业、择时施工、洒水抑尘、冲洗地面和车辆等有效防尘降尘措施。建筑土方、工程渣土、建筑垃圾应当及时清运；在场地内堆存的，应当采用密闭式防尘网遮盖。工程渣土、建筑垃圾应当进行资源化处理。</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钢铁、建材、有色金属、石油、化工、制药、矿产开采等企业，应当加强精细化管理，采取集中收集处理等措施，严格控制粉尘和气态污染物的排放</w:t>
            </w:r>
          </w:p>
        </w:tc>
        <w:tc>
          <w:tcPr>
            <w:tcW w:w="1374"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本项目钻前作业采取洒水降尘等措施，备用柴油发电机采用清洁柴油，废气能达标排放</w:t>
            </w:r>
            <w:r>
              <w:rPr>
                <w:rFonts w:hint="eastAsia" w:cs="Times New Roman"/>
                <w:color w:val="000000" w:themeColor="text1"/>
                <w:sz w:val="21"/>
                <w:szCs w:val="21"/>
                <w:highlight w:val="none"/>
                <w14:textFill>
                  <w14:solidFill>
                    <w14:schemeClr w14:val="tx1"/>
                  </w14:solidFill>
                </w14:textFill>
              </w:rPr>
              <w:t>。</w:t>
            </w:r>
          </w:p>
        </w:tc>
        <w:tc>
          <w:tcPr>
            <w:tcW w:w="75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大气污染防治行动计划</w:t>
            </w:r>
          </w:p>
        </w:tc>
        <w:tc>
          <w:tcPr>
            <w:tcW w:w="4499"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加强施工扬尘监管，积极推进绿色施工，建设工程施工现场应全封闭设置围挡墙，严禁敞开式作业，施工现场道路应进行地面硬化。渣土运输车辆应采取密闭措施，并逐步安装卫星定位系统。推行道路机械化清扫等低尘作业方式。</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开展餐饮油烟污染治理。城区餐饮服务经营场所应安装高效油烟净化设施，推广使用高效净化型家用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"https://baike.baidu.com/item/%E5%90%B8%E6%B2%B9%E7%83%9F%E6%9C%BA/5803775?fromModule=lemma_inlink" \t "https://baike.baidu.com/item/_blank" </w:instrText>
            </w:r>
            <w:r>
              <w:rPr>
                <w:color w:val="000000" w:themeColor="text1"/>
                <w:highlight w:val="none"/>
                <w14:textFill>
                  <w14:solidFill>
                    <w14:schemeClr w14:val="tx1"/>
                  </w14:solidFill>
                </w14:textFill>
              </w:rPr>
              <w:fldChar w:fldCharType="separate"/>
            </w:r>
            <w:r>
              <w:rPr>
                <w:rFonts w:cs="Times New Roman"/>
                <w:color w:val="000000" w:themeColor="text1"/>
                <w:sz w:val="21"/>
                <w:szCs w:val="21"/>
                <w:highlight w:val="none"/>
                <w14:textFill>
                  <w14:solidFill>
                    <w14:schemeClr w14:val="tx1"/>
                  </w14:solidFill>
                </w14:textFill>
              </w:rPr>
              <w:t>吸油烟机</w:t>
            </w:r>
            <w:r>
              <w:rPr>
                <w:rFonts w:cs="Times New Roman"/>
                <w:color w:val="000000" w:themeColor="text1"/>
                <w:sz w:val="21"/>
                <w:szCs w:val="21"/>
                <w:highlight w:val="none"/>
                <w14:textFill>
                  <w14:solidFill>
                    <w14:schemeClr w14:val="tx1"/>
                  </w14:solidFill>
                </w14:textFill>
              </w:rPr>
              <w:fldChar w:fldCharType="end"/>
            </w:r>
          </w:p>
        </w:tc>
        <w:tc>
          <w:tcPr>
            <w:tcW w:w="1374"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75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从以上分析可以看出，本项目的建设符合大气污染防治相关法规、规范相关要求。</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与相关土壤污染防治行动计划符合性</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项目与土壤污染防治行动计划“国发〔2016〕31号”及《土壤污染防治行动计划四川省工作方案》符合性如下表：</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t xml:space="preserve"> 与土壤污染防治行动计划符合性</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435"/>
        <w:gridCol w:w="5370"/>
        <w:gridCol w:w="885"/>
        <w:gridCol w:w="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3" w:hRule="atLeast"/>
          <w:tblHeader/>
          <w:jc w:val="center"/>
        </w:trPr>
        <w:tc>
          <w:tcPr>
            <w:tcW w:w="1435" w:type="dxa"/>
            <w:vAlign w:val="center"/>
          </w:tcPr>
          <w:p>
            <w:pPr>
              <w:spacing w:line="240" w:lineRule="auto"/>
              <w:ind w:firstLine="0" w:firstLineChars="0"/>
              <w:jc w:val="center"/>
              <w:rPr>
                <w:rFonts w:cs="Times New Roman"/>
                <w:b/>
                <w:color w:val="000000" w:themeColor="text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土壤污染防治行动计划</w:t>
            </w:r>
          </w:p>
        </w:tc>
        <w:tc>
          <w:tcPr>
            <w:tcW w:w="5370" w:type="dxa"/>
            <w:vAlign w:val="center"/>
          </w:tcPr>
          <w:p>
            <w:pPr>
              <w:spacing w:line="240" w:lineRule="auto"/>
              <w:ind w:firstLine="0" w:firstLineChars="0"/>
              <w:jc w:val="center"/>
              <w:rPr>
                <w:rFonts w:cs="Times New Roman"/>
                <w:b/>
                <w:color w:val="000000" w:themeColor="text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相关要求</w:t>
            </w:r>
          </w:p>
        </w:tc>
        <w:tc>
          <w:tcPr>
            <w:tcW w:w="885" w:type="dxa"/>
            <w:vAlign w:val="center"/>
          </w:tcPr>
          <w:p>
            <w:pPr>
              <w:spacing w:line="240" w:lineRule="auto"/>
              <w:ind w:firstLine="0" w:firstLineChars="0"/>
              <w:jc w:val="center"/>
              <w:rPr>
                <w:rFonts w:cs="Times New Roman"/>
                <w:b/>
                <w:color w:val="000000" w:themeColor="text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本项目情况</w:t>
            </w:r>
          </w:p>
        </w:tc>
        <w:tc>
          <w:tcPr>
            <w:tcW w:w="530" w:type="dxa"/>
            <w:vAlign w:val="center"/>
          </w:tcPr>
          <w:p>
            <w:pPr>
              <w:spacing w:line="240" w:lineRule="auto"/>
              <w:ind w:firstLine="0" w:firstLineChars="0"/>
              <w:jc w:val="center"/>
              <w:rPr>
                <w:rFonts w:cs="Times New Roman"/>
                <w:b/>
                <w:color w:val="000000" w:themeColor="text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435"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《土壤污染防治行动计划》（国发〔2016〕31号）</w:t>
            </w: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自2017年起，对拟收回土地使用权的有色金属冶炼、石油加工、化工、焦化、电镀、制革等行业企业用地，以及用途拟变更为居住和商业、学校、医疗、养老机构等公共设施的上述企业用地，由土地使用权人负责开展土壤环境状况调查评估</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不属于回收土地使用权的项目</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9"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不涉及重点污染物的排放</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88"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严格执行相关行业企业布局选址要求，禁止在居民区、学校、医疗和养老机构等周边新建有色金属冶炼、焦化等行业企业</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不涉及</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48"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加强电器电子、汽车等工业产品中有害物质控制。有色金属冶炼、石油加工、化工、焦化、电镀、制革等行业企业拆除生产设施设备、构筑物和污染治理设施，要事先制定残留污染物清理和安全处置方案，并报所在地县级环境保护、工业和信息化部门备案；要严格按照有关规定实施安全处理处置，防范拆除活动污染土壤。</w:t>
            </w:r>
          </w:p>
        </w:tc>
        <w:tc>
          <w:tcPr>
            <w:tcW w:w="885" w:type="dxa"/>
            <w:vAlign w:val="center"/>
          </w:tcPr>
          <w:p>
            <w:pPr>
              <w:pStyle w:val="258"/>
              <w:spacing w:line="240" w:lineRule="auto"/>
              <w:ind w:firstLine="0" w:firstLineChars="0"/>
              <w:rPr>
                <w:color w:val="000000" w:themeColor="text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不属于电器电子、汽车等行业</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 w:hRule="atLeast"/>
          <w:jc w:val="center"/>
        </w:trPr>
        <w:tc>
          <w:tcPr>
            <w:tcW w:w="1435"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继续淘汰涉重金属重点行业落后产能，完善重金属相关行业准入条件，禁止新建落后产能或产能严重过剩行业的建设项目</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不属于涉重企业</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 w:hRule="atLeast"/>
          <w:jc w:val="center"/>
        </w:trPr>
        <w:tc>
          <w:tcPr>
            <w:tcW w:w="143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土壤污染防治行动计划四川省工作方案</w:t>
            </w:r>
          </w:p>
        </w:tc>
        <w:tc>
          <w:tcPr>
            <w:tcW w:w="5370"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严格控制在优先保护类耕地集中区域新建有色金属矿采选、有色金属冶炼、石油加工、化工、焦化、电镀、制革、天然（页岩）气开采、铅蓄电池、汽车制造、农药、危废处置、电子拆解、涉重等行业企业。</w:t>
            </w:r>
          </w:p>
        </w:tc>
        <w:tc>
          <w:tcPr>
            <w:tcW w:w="885"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不涉及</w:t>
            </w:r>
          </w:p>
        </w:tc>
        <w:tc>
          <w:tcPr>
            <w:tcW w:w="530"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经上表分析，项目建设与《国务院关于印发土壤污染防治行动计划的通知》（国发〔2016〕31号）相符。</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项目与相关水污染防治行动计划符合性分析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本项目与水污染防治行动计划符合性分析见下表。</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t xml:space="preserve"> 本项目与相关水污染物防治规范符合性分析表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592"/>
        <w:gridCol w:w="4114"/>
        <w:gridCol w:w="1760"/>
        <w:gridCol w:w="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法规、规范</w:t>
            </w:r>
          </w:p>
        </w:tc>
        <w:tc>
          <w:tcPr>
            <w:tcW w:w="4114"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相关要求</w:t>
            </w:r>
          </w:p>
        </w:tc>
        <w:tc>
          <w:tcPr>
            <w:tcW w:w="1760"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对照分析</w:t>
            </w:r>
          </w:p>
        </w:tc>
        <w:tc>
          <w:tcPr>
            <w:tcW w:w="754" w:type="dxa"/>
            <w:vAlign w:val="center"/>
          </w:tcPr>
          <w:p>
            <w:pPr>
              <w:spacing w:line="240" w:lineRule="auto"/>
              <w:ind w:firstLine="0" w:firstLineChars="0"/>
              <w:jc w:val="center"/>
              <w:rPr>
                <w:rFonts w:cs="Times New Roman"/>
                <w:b/>
                <w:bCs/>
                <w:color w:val="000000" w:themeColor="text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水污染防治行动计划</w:t>
            </w:r>
          </w:p>
        </w:tc>
        <w:tc>
          <w:tcPr>
            <w:tcW w:w="4114"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全面排查装备水平低、环保设施差的小型工业企业。2016年底前，按照水污染防治法律法规要求，全部取缔不符合国家产业政策的小型造纸、制革、印染、染料、炼焦、炼硫、炼砷、炼油、电镀、农药等严重污染水环境的生产项目。</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制定造纸、焦化、氮肥、有色金属、印染、农副食品加工、原料药制造、制革、农药、电镀等行业专项治理方案，实施清洁化改造。新建、改建、扩建上述行业建设项目实行主要污染物排放等量或减量置换。</w:t>
            </w:r>
          </w:p>
        </w:tc>
        <w:tc>
          <w:tcPr>
            <w:tcW w:w="1760" w:type="dxa"/>
            <w:vMerge w:val="restart"/>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本项目为天然气</w:t>
            </w:r>
            <w:r>
              <w:rPr>
                <w:rFonts w:hint="eastAsia" w:cs="Times New Roman"/>
                <w:color w:val="000000" w:themeColor="text1"/>
                <w:sz w:val="21"/>
                <w:szCs w:val="21"/>
                <w:highlight w:val="none"/>
                <w14:textFill>
                  <w14:solidFill>
                    <w14:schemeClr w14:val="tx1"/>
                  </w14:solidFill>
                </w14:textFill>
              </w:rPr>
              <w:t>勘探及</w:t>
            </w:r>
            <w:r>
              <w:rPr>
                <w:rFonts w:cs="Times New Roman"/>
                <w:color w:val="000000" w:themeColor="text1"/>
                <w:sz w:val="21"/>
                <w:szCs w:val="21"/>
                <w:highlight w:val="none"/>
                <w14:textFill>
                  <w14:solidFill>
                    <w14:schemeClr w14:val="tx1"/>
                  </w14:solidFill>
                </w14:textFill>
              </w:rPr>
              <w:t>试采项目，不属于上述严重污染水环境的生产项目，本项目废水</w:t>
            </w:r>
            <w:r>
              <w:rPr>
                <w:rFonts w:hint="eastAsia" w:cs="Times New Roman"/>
                <w:color w:val="000000" w:themeColor="text1"/>
                <w:sz w:val="21"/>
                <w:szCs w:val="21"/>
                <w:highlight w:val="none"/>
                <w14:textFill>
                  <w14:solidFill>
                    <w14:schemeClr w14:val="tx1"/>
                  </w14:solidFill>
                </w14:textFill>
              </w:rPr>
              <w:t>处理后</w:t>
            </w:r>
            <w:r>
              <w:rPr>
                <w:rFonts w:cs="Times New Roman"/>
                <w:color w:val="000000" w:themeColor="text1"/>
                <w:sz w:val="21"/>
                <w:szCs w:val="21"/>
                <w:highlight w:val="none"/>
                <w14:textFill>
                  <w14:solidFill>
                    <w14:schemeClr w14:val="tx1"/>
                  </w14:solidFill>
                </w14:textFill>
              </w:rPr>
              <w:t>大部分回用，</w:t>
            </w:r>
            <w:r>
              <w:rPr>
                <w:rFonts w:hint="eastAsia" w:cs="Times New Roman"/>
                <w:color w:val="000000" w:themeColor="text1"/>
                <w:sz w:val="21"/>
                <w:szCs w:val="21"/>
                <w:highlight w:val="none"/>
                <w14:textFill>
                  <w14:solidFill>
                    <w14:schemeClr w14:val="tx1"/>
                  </w14:solidFill>
                </w14:textFill>
              </w:rPr>
              <w:t>剩余</w:t>
            </w:r>
            <w:r>
              <w:rPr>
                <w:rFonts w:cs="Times New Roman"/>
                <w:color w:val="000000" w:themeColor="text1"/>
                <w:sz w:val="21"/>
                <w:szCs w:val="21"/>
                <w:highlight w:val="none"/>
                <w14:textFill>
                  <w14:solidFill>
                    <w14:schemeClr w14:val="tx1"/>
                  </w14:solidFill>
                </w14:textFill>
              </w:rPr>
              <w:t>部分回注处理</w:t>
            </w:r>
            <w:r>
              <w:rPr>
                <w:rFonts w:hint="eastAsia" w:cs="Times New Roman"/>
                <w:color w:val="000000" w:themeColor="text1"/>
                <w:sz w:val="21"/>
                <w:szCs w:val="21"/>
                <w:highlight w:val="none"/>
                <w14:textFill>
                  <w14:solidFill>
                    <w14:schemeClr w14:val="tx1"/>
                  </w14:solidFill>
                </w14:textFill>
              </w:rPr>
              <w:t>，不</w:t>
            </w:r>
            <w:r>
              <w:rPr>
                <w:rFonts w:cs="Times New Roman"/>
                <w:color w:val="000000" w:themeColor="text1"/>
                <w:sz w:val="21"/>
                <w:szCs w:val="21"/>
                <w:highlight w:val="none"/>
                <w14:textFill>
                  <w14:solidFill>
                    <w14:schemeClr w14:val="tx1"/>
                  </w14:solidFill>
                </w14:textFill>
              </w:rPr>
              <w:t>外排</w:t>
            </w:r>
            <w:r>
              <w:rPr>
                <w:rFonts w:hint="eastAsia" w:cs="Times New Roman"/>
                <w:color w:val="000000" w:themeColor="text1"/>
                <w:sz w:val="21"/>
                <w:szCs w:val="21"/>
                <w:highlight w:val="none"/>
                <w14:textFill>
                  <w14:solidFill>
                    <w14:schemeClr w14:val="tx1"/>
                  </w14:solidFill>
                </w14:textFill>
              </w:rPr>
              <w:t>。</w:t>
            </w:r>
          </w:p>
        </w:tc>
        <w:tc>
          <w:tcPr>
            <w:tcW w:w="754"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水污染防治行动计划四川省工作方案</w:t>
            </w:r>
          </w:p>
        </w:tc>
        <w:tc>
          <w:tcPr>
            <w:tcW w:w="4114"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环境保护、经济和信息化部门联合制定造纸、焦化、氮肥、有色金属、印染、农副食品加工、原料药制造、制革、农药、电镀和磷化工等行业专项治理方案并组织实施；新建、改建、扩建上述行业的建设项目执行氨氮、化学需氧量等量或减量置换。</w:t>
            </w:r>
          </w:p>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从严控制新建、改建、扩建涉磷行业的项目建设，总磷超标地方执行总磷排放减量置换，2017 年底前，所有涉磷重点工业企业应完善厂区冲洗水和初期雨水收集系统，落实涉磷矿山渣场和尾矿库的防渗、防风、防洪措施，建设规范的雨水收集池、回水池、渗滤液收集池和应急污水处理系统，并推进安装总磷在线监控装置。</w:t>
            </w:r>
          </w:p>
        </w:tc>
        <w:tc>
          <w:tcPr>
            <w:tcW w:w="1760" w:type="dxa"/>
            <w:vMerge w:val="continue"/>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754"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92" w:type="dxa"/>
            <w:vAlign w:val="center"/>
          </w:tcPr>
          <w:p>
            <w:pPr>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关于加强长江黄金水道环境污染防控治理的指导意见</w:t>
            </w:r>
          </w:p>
        </w:tc>
        <w:tc>
          <w:tcPr>
            <w:tcW w:w="4114" w:type="dxa"/>
            <w:vAlign w:val="center"/>
          </w:tcPr>
          <w:p>
            <w:pPr>
              <w:spacing w:line="240" w:lineRule="auto"/>
              <w:ind w:firstLine="0" w:firstLineChars="0"/>
              <w:jc w:val="left"/>
              <w:rPr>
                <w:rFonts w:cs="Times New Roman"/>
                <w:color w:val="000000" w:themeColor="text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落实主体功能区战略，实施差别化的区域产业政策。科学划定岸线功能分区边界，严格分区管理和用途管制。坚持“以水定发展”，统筹规划沿江岸线资源，严控下游高污染、高排放企业向上游转移。除在建项目外，严禁在干流及主要支流岸线1公里范围内新建布局重化工园区，严控在中上游沿岸地区新建石油化工和煤化工项目。</w:t>
            </w:r>
          </w:p>
        </w:tc>
        <w:tc>
          <w:tcPr>
            <w:tcW w:w="1760" w:type="dxa"/>
            <w:vMerge w:val="continue"/>
            <w:vAlign w:val="center"/>
          </w:tcPr>
          <w:p>
            <w:pPr>
              <w:widowControl/>
              <w:spacing w:line="240" w:lineRule="auto"/>
              <w:ind w:firstLine="0" w:firstLineChars="0"/>
              <w:jc w:val="center"/>
              <w:rPr>
                <w:rFonts w:cs="Times New Roman"/>
                <w:color w:val="000000" w:themeColor="text1"/>
                <w:szCs w:val="21"/>
                <w:highlight w:val="none"/>
                <w14:textFill>
                  <w14:solidFill>
                    <w14:schemeClr w14:val="tx1"/>
                  </w14:solidFill>
                </w14:textFill>
              </w:rPr>
            </w:pPr>
          </w:p>
        </w:tc>
        <w:tc>
          <w:tcPr>
            <w:tcW w:w="754" w:type="dxa"/>
            <w:vAlign w:val="center"/>
          </w:tcPr>
          <w:p>
            <w:pPr>
              <w:widowControl/>
              <w:spacing w:line="240" w:lineRule="auto"/>
              <w:ind w:firstLine="0" w:firstLineChars="0"/>
              <w:jc w:val="center"/>
              <w:rPr>
                <w:rFonts w:cs="Times New Roman"/>
                <w:color w:val="000000" w:themeColor="text1"/>
                <w:kern w:val="0"/>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综上，项目建设符合《水污染防治行动计划</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水污染防治行动计划</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四川省工作方案</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关于加强长江黄金水道环境污染防控治理的指导意见》的要求。</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与《空气质量持续改善行动计划》符合性分析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2023年11月30日，国务院关于印发《空气质量持续改善行动计划》的通知国发〔2023〕24号，本项目与其符合性分析见下表。</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t xml:space="preserve"> 与</w:t>
      </w:r>
      <w:r>
        <w:rPr>
          <w:rFonts w:hint="eastAsia"/>
          <w:color w:val="000000" w:themeColor="text1"/>
          <w:highlight w:val="none"/>
          <w14:textFill>
            <w14:solidFill>
              <w14:schemeClr w14:val="tx1"/>
            </w14:solidFill>
          </w14:textFill>
        </w:rPr>
        <w:t>《空气质量持续改善行动计划》</w:t>
      </w:r>
      <w:r>
        <w:rPr>
          <w:color w:val="000000" w:themeColor="text1"/>
          <w:highlight w:val="none"/>
          <w14:textFill>
            <w14:solidFill>
              <w14:schemeClr w14:val="tx1"/>
            </w14:solidFill>
          </w14:textFill>
        </w:rPr>
        <w:t>符合性</w:t>
      </w:r>
      <w:r>
        <w:rPr>
          <w:rFonts w:hint="eastAsia"/>
          <w:color w:val="000000" w:themeColor="text1"/>
          <w:highlight w:val="none"/>
          <w14:textFill>
            <w14:solidFill>
              <w14:schemeClr w14:val="tx1"/>
            </w14:solidFill>
          </w14:textFill>
        </w:rPr>
        <w:t>分析一览表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94"/>
        <w:gridCol w:w="5490"/>
        <w:gridCol w:w="1006"/>
        <w:gridCol w:w="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3" w:hRule="atLeast"/>
          <w:tblHeader/>
          <w:jc w:val="center"/>
        </w:trPr>
        <w:tc>
          <w:tcPr>
            <w:tcW w:w="1194" w:type="dxa"/>
            <w:vAlign w:val="center"/>
          </w:tcPr>
          <w:p>
            <w:pPr>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项目</w:t>
            </w:r>
          </w:p>
        </w:tc>
        <w:tc>
          <w:tcPr>
            <w:tcW w:w="5490" w:type="dxa"/>
            <w:vAlign w:val="center"/>
          </w:tcPr>
          <w:p>
            <w:pPr>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相关要求</w:t>
            </w:r>
          </w:p>
        </w:tc>
        <w:tc>
          <w:tcPr>
            <w:tcW w:w="1006" w:type="dxa"/>
            <w:vAlign w:val="center"/>
          </w:tcPr>
          <w:p>
            <w:pPr>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本项目情况</w:t>
            </w:r>
          </w:p>
        </w:tc>
        <w:tc>
          <w:tcPr>
            <w:tcW w:w="530" w:type="dxa"/>
            <w:vAlign w:val="center"/>
          </w:tcPr>
          <w:p>
            <w:pPr>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194"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二、优化产业结构，促进产业产品绿色升级</w:t>
            </w:r>
          </w:p>
        </w:tc>
        <w:tc>
          <w:tcPr>
            <w:tcW w:w="5490" w:type="dxa"/>
            <w:vAlign w:val="center"/>
          </w:tcPr>
          <w:p>
            <w:pPr>
              <w:spacing w:line="240" w:lineRule="auto"/>
              <w:ind w:firstLine="0" w:firstLineChars="0"/>
              <w:jc w:val="left"/>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p>
            <w:pPr>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严禁新增钢铁产能。推行钢铁、焦化、烧结一体化布局，大幅减少独立焦化、烧结、球团和热轧企业及工序，淘汰落后煤炭洗选产能；有序引导高炉—转炉长流程炼钢转型为电炉短流程炼钢。到2025年，短流程炼钢产量占比达15%。京津冀及周边地区继续实施“以钢定焦”，炼焦产能与长流程炼钢产能比控制在0.4左右。</w:t>
            </w:r>
          </w:p>
        </w:tc>
        <w:tc>
          <w:tcPr>
            <w:tcW w:w="100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本项目不属于高耗能、高排放、低水平项目，符合产业政策，不涉及</w:t>
            </w:r>
            <w:r>
              <w:rPr>
                <w:rFonts w:hint="eastAsia"/>
                <w:color w:val="000000" w:themeColor="text1"/>
                <w:sz w:val="21"/>
                <w:szCs w:val="21"/>
                <w:highlight w:val="none"/>
                <w14:textFill>
                  <w14:solidFill>
                    <w14:schemeClr w14:val="tx1"/>
                  </w14:solidFill>
                </w14:textFill>
              </w:rPr>
              <w:t>钢铁、焦化、烧结等产业</w:t>
            </w:r>
          </w:p>
        </w:tc>
        <w:tc>
          <w:tcPr>
            <w:tcW w:w="53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9" w:hRule="atLeast"/>
          <w:jc w:val="center"/>
        </w:trPr>
        <w:tc>
          <w:tcPr>
            <w:tcW w:w="1194"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三、优化能源结构，加速能源清洁低碳高效发展</w:t>
            </w:r>
          </w:p>
        </w:tc>
        <w:tc>
          <w:tcPr>
            <w:tcW w:w="5490" w:type="dxa"/>
            <w:vAlign w:val="center"/>
          </w:tcPr>
          <w:p>
            <w:pPr>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大力发展新能源和清洁能源。到2025年，非化石能源消费比重达20%左右，电能占终端能源消费比重达30%左右。持续增加天然气生产供应，新增天然气优先保障居民生活和清洁取暖需求。</w:t>
            </w:r>
          </w:p>
        </w:tc>
        <w:tc>
          <w:tcPr>
            <w:tcW w:w="100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本项目为天然气勘探试采工程，有利于增加天然气供应</w:t>
            </w:r>
          </w:p>
        </w:tc>
        <w:tc>
          <w:tcPr>
            <w:tcW w:w="53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bl>
    <w:p>
      <w:pPr>
        <w:tabs>
          <w:tab w:val="left" w:pos="0"/>
        </w:tabs>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综上，项目建设符合</w:t>
      </w:r>
      <w:r>
        <w:rPr>
          <w:rFonts w:hint="eastAsia" w:cs="Times New Roman"/>
          <w:color w:val="000000" w:themeColor="text1"/>
          <w:szCs w:val="24"/>
          <w:highlight w:val="none"/>
          <w14:textFill>
            <w14:solidFill>
              <w14:schemeClr w14:val="tx1"/>
            </w14:solidFill>
          </w14:textFill>
        </w:rPr>
        <w:t>《空气质量持续改善行动计划》</w:t>
      </w:r>
      <w:r>
        <w:rPr>
          <w:rFonts w:cs="Times New Roman"/>
          <w:color w:val="000000" w:themeColor="text1"/>
          <w:szCs w:val="24"/>
          <w:highlight w:val="none"/>
          <w14:textFill>
            <w14:solidFill>
              <w14:schemeClr w14:val="tx1"/>
            </w14:solidFill>
          </w14:textFill>
        </w:rPr>
        <w:t>的要求。</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十四五</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噪声污染防治行动计划》的符合性分析</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本项目与噪声污染防治行动计划符合性分析见下表。</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与《</w:t>
      </w:r>
      <w:r>
        <w:rPr>
          <w:rFonts w:hint="eastAsia" w:ascii="黑体" w:hAnsi="黑体" w:cs="黑体"/>
          <w:color w:val="000000" w:themeColor="text1"/>
          <w:highlight w:val="none"/>
          <w14:textFill>
            <w14:solidFill>
              <w14:schemeClr w14:val="tx1"/>
            </w14:solidFill>
          </w14:textFill>
        </w:rPr>
        <w:t>“十四五”</w:t>
      </w:r>
      <w:r>
        <w:rPr>
          <w:color w:val="000000" w:themeColor="text1"/>
          <w:highlight w:val="none"/>
          <w14:textFill>
            <w14:solidFill>
              <w14:schemeClr w14:val="tx1"/>
            </w14:solidFill>
          </w14:textFill>
        </w:rPr>
        <w:t>噪声污染防治行动计划》符合性分析表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295"/>
        <w:gridCol w:w="4411"/>
        <w:gridCol w:w="1760"/>
        <w:gridCol w:w="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法规、规范</w:t>
            </w:r>
          </w:p>
        </w:tc>
        <w:tc>
          <w:tcPr>
            <w:tcW w:w="456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相关要求</w:t>
            </w:r>
          </w:p>
        </w:tc>
        <w:tc>
          <w:tcPr>
            <w:tcW w:w="182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对照分析</w:t>
            </w: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噪声污染防治行动计划</w:t>
            </w:r>
          </w:p>
        </w:tc>
        <w:tc>
          <w:tcPr>
            <w:tcW w:w="456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优化噪声敏感建筑物建设布局。在交通干线两侧、工业企业周边等地方建设噪声敏感建筑物，应间隔一定距离，提出相应规划设计要求。科学规划住宅、学校等噪声敏感建筑物位置，避免受到周边噪声的影响；中小学校合理布置操场等课外活动场地，加强校内广播管理，降低对周边环境的影响。噪声敏感建筑物隔声设计、检测、验收等应符合建筑环境通用规范、民用建筑隔声设计规范等相关标准要求。</w:t>
            </w:r>
          </w:p>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树立工业噪声污染治理标杆。排放噪声的工业企业应切实采取减振降噪措施，加强厂区内固定设备、运输工具、货物装卸等噪声源管理，同时避免突发噪声扰民。鼓励企业采用先进治理技术，打造行业噪声污染治理示范典型。中央企业要主动承担社会责任，切实发挥模范带头和引领示范作用，创建一批行业标杆</w:t>
            </w:r>
          </w:p>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推广低噪声施工设备。制定房屋建筑和市政基础设施工程禁止和限制使用技术目录，限制或禁用易产生噪声污染的落后施工工艺和设备。2023年5月底前，发布低噪声施工设备指导目录。</w:t>
            </w:r>
          </w:p>
        </w:tc>
        <w:tc>
          <w:tcPr>
            <w:tcW w:w="1820" w:type="dxa"/>
            <w:vMerge w:val="restart"/>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本项目周边200m范围内无学校、</w:t>
            </w:r>
            <w:r>
              <w:rPr>
                <w:rFonts w:hint="eastAsia" w:cs="Times New Roman"/>
                <w:color w:val="000000" w:themeColor="text1"/>
                <w:sz w:val="21"/>
                <w:szCs w:val="21"/>
                <w:highlight w:val="none"/>
                <w14:textFill>
                  <w14:solidFill>
                    <w14:schemeClr w14:val="tx1"/>
                  </w14:solidFill>
                </w14:textFill>
              </w:rPr>
              <w:t>医院</w:t>
            </w:r>
            <w:r>
              <w:rPr>
                <w:rFonts w:cs="Times New Roman"/>
                <w:color w:val="000000" w:themeColor="text1"/>
                <w:sz w:val="21"/>
                <w:szCs w:val="21"/>
                <w:highlight w:val="none"/>
                <w14:textFill>
                  <w14:solidFill>
                    <w14:schemeClr w14:val="tx1"/>
                  </w14:solidFill>
                </w14:textFill>
              </w:rPr>
              <w:t>等噪声敏感建筑物，钻井优先使用网电，施工和</w:t>
            </w:r>
            <w:r>
              <w:rPr>
                <w:rFonts w:hint="eastAsia" w:cs="Times New Roman"/>
                <w:color w:val="000000" w:themeColor="text1"/>
                <w:sz w:val="21"/>
                <w:szCs w:val="21"/>
                <w:highlight w:val="none"/>
                <w14:textFill>
                  <w14:solidFill>
                    <w14:schemeClr w14:val="tx1"/>
                  </w14:solidFill>
                </w14:textFill>
              </w:rPr>
              <w:t>试采期</w:t>
            </w:r>
            <w:r>
              <w:rPr>
                <w:rFonts w:cs="Times New Roman"/>
                <w:color w:val="000000" w:themeColor="text1"/>
                <w:sz w:val="21"/>
                <w:szCs w:val="21"/>
                <w:highlight w:val="none"/>
                <w14:textFill>
                  <w14:solidFill>
                    <w14:schemeClr w14:val="tx1"/>
                  </w14:solidFill>
                </w14:textFill>
              </w:rPr>
              <w:t>均采用符合要求的低噪声设备和工艺。</w:t>
            </w: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四川省噪声污染防治行动计划实施方案</w:t>
            </w:r>
          </w:p>
        </w:tc>
        <w:tc>
          <w:tcPr>
            <w:tcW w:w="456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优化噪声敏感建筑物建设布局。优化社区周边配套设施建设布局，防止、减轻噪声污染对周边敏感建筑物的影响。新建噪声敏感建筑物时，建设单位应全面执行绿色建筑标准，合理确定建筑物与交通干线等的防噪声距离，落实隔声减噪措施。中小学合理布置操场等课外活动场地，加强校内广播管理，降低对周边环境的影响。噪声敏感建筑物室内噪声和隔声设计、检测、验收等应符合建筑环境通用规范、民用建筑隔声设计规范等相关标准要求。</w:t>
            </w:r>
          </w:p>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加强重点企业噪声监管。严格落实国家关于工业噪声排污许可管理要求，依法核发排污许可证或进行排污登记，并加强监管。市（州）生态环境主管部门编制本行政区域噪声重点排污单位名录，并按要求发布和更新。噪声重点排污单位应制定噪声削减计划，减少对周边噪声敏感建筑物集中区域的影响；依法开展噪声自动监测，及时与生态环境主管部门的监控设备联网。</w:t>
            </w:r>
          </w:p>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打造工业企业噪声污染治理标杆。鼓励工业企业采用先进治理技术，打造行业噪声污染治理典型示范。中央企业、国有企业、行业龙头企业要主动承担社会责任，切实发挥模范带头和引领示范作用，创建一批行业标杆。</w:t>
            </w:r>
          </w:p>
        </w:tc>
        <w:tc>
          <w:tcPr>
            <w:tcW w:w="1820"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Merge w:val="restart"/>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《“十四五”噪声污染防治行动计划》</w:t>
            </w:r>
          </w:p>
        </w:tc>
        <w:tc>
          <w:tcPr>
            <w:tcW w:w="456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严格落实噪声污染防治要求。制定修改相关规划、建设对环境有影响的项目时，应依法开展环评，对可能产生噪声与振动的影响进行分析、预测和评估，积极采取噪声污染防治对策措施。建设项目的噪声污染防治设施应当与主体工程同时设计、同时施工、同时投产使用。督促建设单位依法开展竣工环境保护验收，加大事中事后监管力度，确保各项措施落地见效。</w:t>
            </w:r>
          </w:p>
        </w:tc>
        <w:tc>
          <w:tcPr>
            <w:tcW w:w="182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依法开展环评，对可能产生的噪声进行了影响预测与评估，并提出了相应的防治措施。建设单位在建设时将落实噪声污染防治设施应当与主体工程同时设计、同时施工、同时投产使用的要求，同时在施工期与</w:t>
            </w:r>
            <w:r>
              <w:rPr>
                <w:rFonts w:hint="eastAsia" w:cs="Times New Roman"/>
                <w:color w:val="000000" w:themeColor="text1"/>
                <w:sz w:val="21"/>
                <w:szCs w:val="21"/>
                <w:highlight w:val="none"/>
                <w14:textFill>
                  <w14:solidFill>
                    <w14:schemeClr w14:val="tx1"/>
                  </w14:solidFill>
                </w14:textFill>
              </w:rPr>
              <w:t>试采期</w:t>
            </w:r>
            <w:r>
              <w:rPr>
                <w:rFonts w:cs="Times New Roman"/>
                <w:color w:val="000000" w:themeColor="text1"/>
                <w:sz w:val="21"/>
                <w:szCs w:val="21"/>
                <w:highlight w:val="none"/>
                <w14:textFill>
                  <w14:solidFill>
                    <w14:schemeClr w14:val="tx1"/>
                  </w14:solidFill>
                </w14:textFill>
              </w:rPr>
              <w:t>将开展定期监测，确保措施落地见效</w:t>
            </w:r>
            <w:r>
              <w:rPr>
                <w:rFonts w:hint="eastAsia" w:cs="Times New Roman"/>
                <w:color w:val="000000" w:themeColor="text1"/>
                <w:sz w:val="21"/>
                <w:szCs w:val="21"/>
                <w:highlight w:val="none"/>
                <w14:textFill>
                  <w14:solidFill>
                    <w14:schemeClr w14:val="tx1"/>
                  </w14:solidFill>
                </w14:textFill>
              </w:rPr>
              <w:t>。</w:t>
            </w: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lang w:eastAsia="en-US"/>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456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推广低噪声施工设备。制定房屋建筑和市政基础设施工程禁止和限制使用技术目录，限制或禁用易产生噪声污染的落后施工工艺和设备。</w:t>
            </w:r>
          </w:p>
        </w:tc>
        <w:tc>
          <w:tcPr>
            <w:tcW w:w="182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本项目所使用的设备及施工工艺均不属于限制或禁用易产生噪声污染的落后施工工艺和设备</w:t>
            </w:r>
            <w:r>
              <w:rPr>
                <w:rFonts w:hint="eastAsia" w:cs="Times New Roman"/>
                <w:color w:val="000000" w:themeColor="text1"/>
                <w:sz w:val="21"/>
                <w:szCs w:val="21"/>
                <w:highlight w:val="none"/>
                <w14:textFill>
                  <w14:solidFill>
                    <w14:schemeClr w14:val="tx1"/>
                  </w14:solidFill>
                </w14:textFill>
              </w:rPr>
              <w:t>。</w:t>
            </w: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lang w:eastAsia="en-US"/>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339" w:type="dxa"/>
            <w:vMerge w:val="continue"/>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4566"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落实管控责任。修订建设工程施工合同示范文本，明确建设单位、施工单位噪声污染防治责任和任务措施等要求。施工单位编制并落实噪声污染防治工作方案，采取有效隔声降噪设备、设施或施工工艺。鼓励噪声污染防治示范工地分类分级管理，探索从评优评先、资金补贴等方面，推动建筑施工企业加强噪声污染防治。</w:t>
            </w:r>
          </w:p>
        </w:tc>
        <w:tc>
          <w:tcPr>
            <w:tcW w:w="182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评价要求施工单位编制并落实噪声污染防治工作方案，采取有效隔声降噪设备、设施或施工工艺，确保项目施工不扰民</w:t>
            </w:r>
            <w:r>
              <w:rPr>
                <w:rFonts w:hint="eastAsia" w:cs="Times New Roman"/>
                <w:color w:val="000000" w:themeColor="text1"/>
                <w:sz w:val="21"/>
                <w:szCs w:val="21"/>
                <w:highlight w:val="none"/>
                <w14:textFill>
                  <w14:solidFill>
                    <w14:schemeClr w14:val="tx1"/>
                  </w14:solidFill>
                </w14:textFill>
              </w:rPr>
              <w:t>。</w:t>
            </w:r>
          </w:p>
        </w:tc>
        <w:tc>
          <w:tcPr>
            <w:tcW w:w="779"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lang w:eastAsia="en-US"/>
                <w14:textFill>
                  <w14:solidFill>
                    <w14:schemeClr w14:val="tx1"/>
                  </w14:solidFill>
                </w14:textFill>
              </w:rPr>
              <w:t>符合</w:t>
            </w:r>
          </w:p>
        </w:tc>
      </w:tr>
    </w:tbl>
    <w:p>
      <w:pPr>
        <w:tabs>
          <w:tab w:val="left" w:pos="0"/>
        </w:tabs>
        <w:spacing w:before="163"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综上所述，本项目的建设与《</w:t>
      </w:r>
      <w:r>
        <w:rPr>
          <w:rFonts w:hint="eastAsia" w:ascii="宋体" w:hAnsi="宋体" w:cs="宋体"/>
          <w:bCs/>
          <w:color w:val="000000" w:themeColor="text1"/>
          <w:szCs w:val="24"/>
          <w:highlight w:val="none"/>
          <w14:textFill>
            <w14:solidFill>
              <w14:schemeClr w14:val="tx1"/>
            </w14:solidFill>
          </w14:textFill>
        </w:rPr>
        <w:t>“十四五”</w:t>
      </w:r>
      <w:r>
        <w:rPr>
          <w:rFonts w:cs="Times New Roman"/>
          <w:bCs/>
          <w:color w:val="000000" w:themeColor="text1"/>
          <w:szCs w:val="24"/>
          <w:highlight w:val="none"/>
          <w14:textFill>
            <w14:solidFill>
              <w14:schemeClr w14:val="tx1"/>
            </w14:solidFill>
          </w14:textFill>
        </w:rPr>
        <w:t>噪声污染防治行动计划》相符。</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与《长江经济带生态环境保护规划》的符合性分析</w:t>
      </w:r>
    </w:p>
    <w:p>
      <w:pPr>
        <w:autoSpaceDE w:val="0"/>
        <w:autoSpaceDN w:val="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长江经济带生态环境保护规划》专栏11城乡环境综合整治-大气污染治理：开展燃煤电厂超低排放和节能改造。……建设完善天然气输送管道、城市燃气管网、天然气储气库、城市调峰站储气罐等基础设施，实施民用部</w:t>
      </w:r>
      <w:r>
        <w:rPr>
          <w:rFonts w:ascii="宋体" w:hAnsi="宋体" w:cs="Times New Roman"/>
          <w:color w:val="000000" w:themeColor="text1"/>
          <w:highlight w:val="none"/>
          <w14:textFill>
            <w14:solidFill>
              <w14:schemeClr w14:val="tx1"/>
            </w14:solidFill>
          </w14:textFill>
        </w:rPr>
        <w:t>门“煤改电”“煤改气”工</w:t>
      </w:r>
      <w:r>
        <w:rPr>
          <w:rFonts w:cs="Times New Roman"/>
          <w:color w:val="000000" w:themeColor="text1"/>
          <w:highlight w:val="none"/>
          <w14:textFill>
            <w14:solidFill>
              <w14:schemeClr w14:val="tx1"/>
            </w14:solidFill>
          </w14:textFill>
        </w:rPr>
        <w:t>程。本工程属于天然气</w:t>
      </w:r>
      <w:r>
        <w:rPr>
          <w:rFonts w:hint="eastAsia" w:cs="Times New Roman"/>
          <w:color w:val="000000" w:themeColor="text1"/>
          <w:highlight w:val="none"/>
          <w14:textFill>
            <w14:solidFill>
              <w14:schemeClr w14:val="tx1"/>
            </w14:solidFill>
          </w14:textFill>
        </w:rPr>
        <w:t>勘探及</w:t>
      </w:r>
      <w:r>
        <w:rPr>
          <w:rFonts w:cs="Times New Roman"/>
          <w:color w:val="000000" w:themeColor="text1"/>
          <w:highlight w:val="none"/>
          <w14:textFill>
            <w14:solidFill>
              <w14:schemeClr w14:val="tx1"/>
            </w14:solidFill>
          </w14:textFill>
        </w:rPr>
        <w:t>试采建设项目，属于天然气输送管道前置工程</w:t>
      </w:r>
      <w:r>
        <w:rPr>
          <w:rFonts w:hint="eastAsia" w:cs="Times New Roman"/>
          <w:color w:val="000000" w:themeColor="text1"/>
          <w:highlight w:val="none"/>
          <w14:textFill>
            <w14:solidFill>
              <w14:schemeClr w14:val="tx1"/>
            </w14:solidFill>
          </w14:textFill>
        </w:rPr>
        <w:t>，为后续管输天然气提供能源基础</w:t>
      </w:r>
      <w:r>
        <w:rPr>
          <w:rFonts w:cs="Times New Roman"/>
          <w:color w:val="000000" w:themeColor="text1"/>
          <w:highlight w:val="none"/>
          <w14:textFill>
            <w14:solidFill>
              <w14:schemeClr w14:val="tx1"/>
            </w14:solidFill>
          </w14:textFill>
        </w:rPr>
        <w:t>，符合建设完善天然气输送管道的要求。</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因此，本工程的建设符合《长江经济带生态环境保护规划》要求。</w:t>
      </w:r>
      <w:r>
        <w:rPr>
          <w:rFonts w:cs="Times New Roman"/>
          <w:bCs/>
          <w:color w:val="000000" w:themeColor="text1"/>
          <w:szCs w:val="24"/>
          <w:highlight w:val="none"/>
          <w14:textFill>
            <w14:solidFill>
              <w14:schemeClr w14:val="tx1"/>
            </w14:solidFill>
          </w14:textFill>
        </w:rPr>
        <w:t>（1）与《中华人民共和国长江保护法》（中华人民共和国主席令 第六十五号）的符合性分析</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中华人民共和国长江保护法》，“禁止在长江干支流岸线一公里范围内新建、扩建化工园区和化工项目。禁止在长江干流岸线三公里范围内和重要支流岸线一公里范围内新建、改建、扩建尾矿库；但是以提升安全、生态环境保护水平为目的的改建除外。”本项目位于宣汉县，距离最近的河流</w:t>
      </w:r>
      <w:r>
        <w:rPr>
          <w:rFonts w:hint="eastAsia" w:cs="Times New Roman"/>
          <w:bCs/>
          <w:color w:val="000000" w:themeColor="text1"/>
          <w:szCs w:val="24"/>
          <w:highlight w:val="none"/>
          <w14:textFill>
            <w14:solidFill>
              <w14:schemeClr w14:val="tx1"/>
            </w14:solidFill>
          </w14:textFill>
        </w:rPr>
        <w:t>后</w:t>
      </w:r>
      <w:r>
        <w:rPr>
          <w:rFonts w:cs="Times New Roman"/>
          <w:bCs/>
          <w:color w:val="000000" w:themeColor="text1"/>
          <w:szCs w:val="24"/>
          <w:highlight w:val="none"/>
          <w14:textFill>
            <w14:solidFill>
              <w14:schemeClr w14:val="tx1"/>
            </w14:solidFill>
          </w14:textFill>
        </w:rPr>
        <w:t>河不属于长江干流、重要支流，且项目为</w:t>
      </w:r>
      <w:r>
        <w:rPr>
          <w:rFonts w:hint="eastAsia" w:cs="Times New Roman"/>
          <w:bCs/>
          <w:color w:val="000000" w:themeColor="text1"/>
          <w:szCs w:val="24"/>
          <w:highlight w:val="none"/>
          <w14:textFill>
            <w14:solidFill>
              <w14:schemeClr w14:val="tx1"/>
            </w14:solidFill>
          </w14:textFill>
        </w:rPr>
        <w:t>天然气勘探及试采项目</w:t>
      </w:r>
      <w:r>
        <w:rPr>
          <w:rFonts w:cs="Times New Roman"/>
          <w:bCs/>
          <w:color w:val="000000" w:themeColor="text1"/>
          <w:szCs w:val="24"/>
          <w:highlight w:val="none"/>
          <w14:textFill>
            <w14:solidFill>
              <w14:schemeClr w14:val="tx1"/>
            </w14:solidFill>
          </w14:textFill>
        </w:rPr>
        <w:t>，不设置尾矿库，不属于化工项目、尾矿库项目，故项目建设不违背《中华人民共和国长江保护法》的要求。</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（2）与《长江经济带生态环境保护规划》（环规财〔2017〕88号）符合性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长江经济带生态环境保护规划》中第六条指出：“全面推进环境污染治理，建设宜居城乡环境专栏”，该条要求中提出改善城市环境质量，推进成渝城市大气污染防治。增加天然气的开发程度，提供天然气供应量，有利于加速产业升级和能源结构的调整，本项目属于</w:t>
      </w:r>
      <w:r>
        <w:rPr>
          <w:rFonts w:hint="eastAsia" w:cs="Times New Roman"/>
          <w:bCs/>
          <w:color w:val="000000" w:themeColor="text1"/>
          <w:szCs w:val="24"/>
          <w:highlight w:val="none"/>
          <w14:textFill>
            <w14:solidFill>
              <w14:schemeClr w14:val="tx1"/>
            </w14:solidFill>
          </w14:textFill>
        </w:rPr>
        <w:t>天然气勘探及试采项目</w:t>
      </w:r>
      <w:r>
        <w:rPr>
          <w:rFonts w:cs="Times New Roman"/>
          <w:bCs/>
          <w:color w:val="000000" w:themeColor="text1"/>
          <w:szCs w:val="24"/>
          <w:highlight w:val="none"/>
          <w14:textFill>
            <w14:solidFill>
              <w14:schemeClr w14:val="tx1"/>
            </w14:solidFill>
          </w14:textFill>
        </w:rPr>
        <w:t>，项目的建设能够改善川渝地区区域大气环境质量，符合《长江经济带生态环境保护规划》要求。</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（3）与《长江经济带发展负面清单指南（试行，2022年版）》及《四川省、重庆市长江经济带发展负面清单实施细则（试行，2022年版）》的符合性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长江经济带发展负面清单指南（试行，2022年版）》，“8.禁止在长江干流、重要湖泊岸线一公里范围内新建、扩建化工园区和化工项目。禁止在长江干流岸线一公里范围内新建、改建、扩建尾矿库、冶炼渣库和磷石膏库，以提升安全、生态环境保护水平为目的的改建除外。9.禁止在合规园区外新建、扩建钢铁、石化、化工、</w:t>
      </w:r>
      <w:r>
        <w:rPr>
          <w:rFonts w:hint="eastAsia" w:cs="Times New Roman"/>
          <w:bCs/>
          <w:color w:val="000000" w:themeColor="text1"/>
          <w:szCs w:val="24"/>
          <w:highlight w:val="none"/>
          <w14:textFill>
            <w14:solidFill>
              <w14:schemeClr w14:val="tx1"/>
            </w14:solidFill>
          </w14:textFill>
        </w:rPr>
        <w:t>焦化</w:t>
      </w:r>
      <w:r>
        <w:rPr>
          <w:rFonts w:cs="Times New Roman"/>
          <w:bCs/>
          <w:color w:val="000000" w:themeColor="text1"/>
          <w:szCs w:val="24"/>
          <w:highlight w:val="none"/>
          <w14:textFill>
            <w14:solidFill>
              <w14:schemeClr w14:val="tx1"/>
            </w14:solidFill>
          </w14:textFill>
        </w:rPr>
        <w:t>、建材、有色、制浆造纸等高污染项目。11.禁止新建、扩建法律法规和相关政策明令禁止的落后产能项目。禁止新建、扩建不符合国家产能置换要求的严重过剩产能行业的项目。禁止新建、扩建不符合要求的高耗能高排放项目。”本项目位于宣汉县，距离最近河流</w:t>
      </w:r>
      <w:r>
        <w:rPr>
          <w:rFonts w:hint="eastAsia" w:cs="Times New Roman"/>
          <w:bCs/>
          <w:color w:val="000000" w:themeColor="text1"/>
          <w:szCs w:val="24"/>
          <w:highlight w:val="none"/>
          <w14:textFill>
            <w14:solidFill>
              <w14:schemeClr w14:val="tx1"/>
            </w14:solidFill>
          </w14:textFill>
        </w:rPr>
        <w:t>后</w:t>
      </w:r>
      <w:r>
        <w:rPr>
          <w:rFonts w:cs="Times New Roman"/>
          <w:bCs/>
          <w:color w:val="000000" w:themeColor="text1"/>
          <w:szCs w:val="24"/>
          <w:highlight w:val="none"/>
          <w14:textFill>
            <w14:solidFill>
              <w14:schemeClr w14:val="tx1"/>
            </w14:solidFill>
          </w14:textFill>
        </w:rPr>
        <w:t>河不属于长江干流、重要支流，且项目为</w:t>
      </w:r>
      <w:r>
        <w:rPr>
          <w:rFonts w:hint="eastAsia" w:cs="Times New Roman"/>
          <w:bCs/>
          <w:color w:val="000000" w:themeColor="text1"/>
          <w:szCs w:val="24"/>
          <w:highlight w:val="none"/>
          <w14:textFill>
            <w14:solidFill>
              <w14:schemeClr w14:val="tx1"/>
            </w14:solidFill>
          </w14:textFill>
        </w:rPr>
        <w:t>天然气勘探及试采项目</w:t>
      </w:r>
      <w:r>
        <w:rPr>
          <w:rFonts w:cs="Times New Roman"/>
          <w:bCs/>
          <w:color w:val="000000" w:themeColor="text1"/>
          <w:szCs w:val="24"/>
          <w:highlight w:val="none"/>
          <w14:textFill>
            <w14:solidFill>
              <w14:schemeClr w14:val="tx1"/>
            </w14:solidFill>
          </w14:textFill>
        </w:rPr>
        <w:t>，不设置尾矿库，不属于化工项目、尾矿库项目，项目不在长江干流、重要湖泊岸线一公里范围内，也不属于上述禁止建设的项目，符合《长江经济带发展负面清单指南（试行，2022年版）》管控要求。</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本项目与《四川省、重庆市长江经济带发展负面清单实施细则（试行，2022年版）》对比分析详见下表。</w:t>
      </w:r>
    </w:p>
    <w:p>
      <w:pPr>
        <w:pStyle w:val="203"/>
        <w:spacing w:before="163"/>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bCs/>
          <w:color w:val="000000" w:themeColor="text1"/>
          <w:szCs w:val="24"/>
          <w:highlight w:val="none"/>
          <w14:textFill>
            <w14:solidFill>
              <w14:schemeClr w14:val="tx1"/>
            </w14:solidFill>
          </w14:textFill>
        </w:rPr>
        <w:t>本项目与《四川省、重庆市长江经济带发展负面清单实施细则（试行，2022年版）》</w:t>
      </w:r>
      <w:r>
        <w:rPr>
          <w:color w:val="000000" w:themeColor="text1"/>
          <w:highlight w:val="none"/>
          <w14:textFill>
            <w14:solidFill>
              <w14:schemeClr w14:val="tx1"/>
            </w14:solidFill>
          </w14:textFill>
        </w:rPr>
        <w:t>对比分析表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72"/>
        <w:gridCol w:w="4893"/>
        <w:gridCol w:w="1603"/>
        <w:gridCol w:w="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7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297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污染防治技术政策要求</w:t>
            </w:r>
          </w:p>
        </w:tc>
        <w:tc>
          <w:tcPr>
            <w:tcW w:w="97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本工程内容</w:t>
            </w:r>
          </w:p>
        </w:tc>
        <w:tc>
          <w:tcPr>
            <w:tcW w:w="58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第五条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禁止新建、改建和扩建不符合全国港口布局规划，以及《四川省内河水运发展规划</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泸州—宜宾—乐山港口群布局规划</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重庆港总体规划（2035年）》等省级港口布局规划及市级港口总体规划的码头项目。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本工程不属于该类项目。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第六条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禁止新建、改建和扩建不符合《长江干线过江通道布局规划》的过长江通道项目（含桥梁、隧道），国家发展改革委同意过长江通道线位调整的除外。</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本工程不属于该类项目。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第七条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禁止在自然保护区核心区、缓冲区的岸线和河段范围内投资建设旅游和生产经营项目。自然保护区内部未分区的，依照核心区和缓冲区的规定管控。</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本工程不在当地自然保护区范围内。</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第八条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禁止违反风景名胜区规划，在风景名胜区内设立各类开发区；禁止在风景名胜区核心景区的岸线和河段范围内建设宾馆、招待所、培训中心、疗养院以及与风景名胜资源保护无关的其他建筑物。</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本工程不在当地风景名胜区范围内。</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第九条、第十条、第十一条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禁止在饮用水水源准保护区的岸线和河段范围内新建、扩建对水体污染严重的建设项目，禁止改建增加排污量的建设项目。</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饮用水水源二级保护区的岸线和河段范围内，除遵守准保护区规定外，禁止新建、改建、扩建排放污染物的投资建设项目；禁止从事对水体有污染的水产养殖活动。</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饮用水水源一级保护区的岸线和河段范围内，除遵守二级保护区规定外，禁止新建、改建、扩建与供水设施和保护水源无关的项目，以及网箱养殖、畜禽养殖、旅游等可能污染饮用水水体的投资建设项目。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本工程不在当地集中式饮用水源保护区范围内。</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第十二条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禁止在水产种质资源保护区的岸线和河段范围内新建围湖造田、围湖造地或挖沙采石等投资建设项目。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本工程不在当地水产种质资源保护区范围内。</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第十三条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本工程不涉及当地湿地公园。</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第十四条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十四条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本工程不在《长江岸线保护和开发利用总体规划》划定的岸线保护区范围内。</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第十五条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禁止在《全国重要江河湖泊水功能区划》划定的河段及湖泊保护区、保留区内投资建设不利于水资源及自然生态保护的项目。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本工程不在《全国重要江河湖泊水功能区划》划定的河段保护区、保留区范围内。</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第十六条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禁止在长江流域江河、湖泊新设、改设或者扩大排污口，经有管辖权的生态环境主管部门或者长江流域生态环境监督管理机构同意的除外。</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本工程不涉及排污口。</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第十七条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禁止在长江干流、大渡河、岷江、赤水河、沱江、嘉陵江、乌江、汉江和51个（四川省45个、重庆市6个）水生生物保护区开展生产性捕捞。</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本工程不涉及捕捞，不涉及水域施工。</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第十八条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禁止在长江干支流、重要湖泊岸线一公里范围内新建、扩建化工园区和化工项目。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本工程不属于化工园区和化工项目。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第十九条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禁止在长江干流岸线三公里范围内和重要支流岸线一公里范围内新建、改建、扩建尾矿库、冶炼渣库、磷石膏库，以提升安全、生态环境保护水平为目</w:t>
            </w:r>
            <w:bookmarkStart w:id="597" w:name="_GoBack"/>
            <w:r>
              <w:rPr>
                <w:color w:val="000000" w:themeColor="text1"/>
                <w:highlight w:val="none"/>
                <w14:textFill>
                  <w14:solidFill>
                    <w14:schemeClr w14:val="tx1"/>
                  </w14:solidFill>
                </w14:textFill>
              </w:rPr>
              <w:t>的的</w:t>
            </w:r>
            <w:bookmarkEnd w:id="597"/>
            <w:r>
              <w:rPr>
                <w:color w:val="000000" w:themeColor="text1"/>
                <w:highlight w:val="none"/>
                <w14:textFill>
                  <w14:solidFill>
                    <w14:schemeClr w14:val="tx1"/>
                  </w14:solidFill>
                </w14:textFill>
              </w:rPr>
              <w:t>改建除外。</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本工程不属于尾矿库、冶炼渣库、磷石膏库项目。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禁止在生态保护红线区域、永久基本农田集中区域和其他需要特别保护的区域内选址建设尾矿库﹑冶炼渣库、磷石膏库。</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本工程不属于尾矿库、冶炼渣库、磷石膏库项目。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第二十一条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禁止在合规园区外新建、扩建钢铁、石化、化工、焦化、建材、有色、制浆造纸等高污染项目。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本工程不属于钢铁、石化、化工、焦化、建材、有色、制浆造纸等高污染项目。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第二十二条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禁止新建、扩建不符合国家石化、现代煤化工等产业布局规划的项目。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本工程符合国家产业规划。</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第二十三条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本工程为鼓励类项目。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第二十四条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禁止新建、扩建不符合国家产能置换要求的严重过剩产能行业的项目。对于不符合国家产能置换要求的严重过剩产能行业，不得以其他任何名义、任何方式备案新增产能项目。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本工程不属于不符合国家产能置换要求的严重过剩产能行业的项目。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第二十五条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禁止建设以下燃油汽车投资项目（不在中国境内销售产品的投资项目除外）。</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本工程不属于燃油汽车投资项目。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7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第二十六条</w:t>
            </w:r>
          </w:p>
        </w:tc>
        <w:tc>
          <w:tcPr>
            <w:tcW w:w="297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禁止新建、扩建不符合要求的高耗能、高排放、低水平项目。</w:t>
            </w:r>
          </w:p>
        </w:tc>
        <w:tc>
          <w:tcPr>
            <w:tcW w:w="97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本工程不属于不符合要求的高耗能、高排放、低水平项目。</w:t>
            </w:r>
          </w:p>
        </w:tc>
        <w:tc>
          <w:tcPr>
            <w:tcW w:w="5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autoSpaceDE w:val="0"/>
        <w:autoSpaceDN w:val="0"/>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通过本项目内容与</w:t>
      </w:r>
      <w:r>
        <w:rPr>
          <w:rFonts w:cs="Times New Roman"/>
          <w:bCs/>
          <w:color w:val="000000" w:themeColor="text1"/>
          <w:szCs w:val="24"/>
          <w:highlight w:val="none"/>
          <w14:textFill>
            <w14:solidFill>
              <w14:schemeClr w14:val="tx1"/>
            </w14:solidFill>
          </w14:textFill>
        </w:rPr>
        <w:t>《四川省、重庆市长江经济带发展负面清单实施细则（试行，2022年版）》</w:t>
      </w:r>
      <w:r>
        <w:rPr>
          <w:rFonts w:cs="Times New Roman"/>
          <w:color w:val="000000" w:themeColor="text1"/>
          <w:szCs w:val="24"/>
          <w:highlight w:val="none"/>
          <w14:textFill>
            <w14:solidFill>
              <w14:schemeClr w14:val="tx1"/>
            </w14:solidFill>
          </w14:textFill>
        </w:rPr>
        <w:t>中各项内容进行对比分析，本项目建设符合</w:t>
      </w:r>
      <w:r>
        <w:rPr>
          <w:rFonts w:cs="Times New Roman"/>
          <w:bCs/>
          <w:color w:val="000000" w:themeColor="text1"/>
          <w:szCs w:val="24"/>
          <w:highlight w:val="none"/>
          <w14:textFill>
            <w14:solidFill>
              <w14:schemeClr w14:val="tx1"/>
            </w14:solidFill>
          </w14:textFill>
        </w:rPr>
        <w:t>《四川省、重庆市长江经济带发展负面清单实施细则（试行，2022年版）》</w:t>
      </w:r>
      <w:r>
        <w:rPr>
          <w:rFonts w:cs="Times New Roman"/>
          <w:color w:val="000000" w:themeColor="text1"/>
          <w:szCs w:val="24"/>
          <w:highlight w:val="none"/>
          <w14:textFill>
            <w14:solidFill>
              <w14:schemeClr w14:val="tx1"/>
            </w14:solidFill>
          </w14:textFill>
        </w:rPr>
        <w:t>要求。</w:t>
      </w:r>
    </w:p>
    <w:p>
      <w:pPr>
        <w:pStyle w:val="5"/>
        <w:ind w:firstLine="480"/>
        <w:rPr>
          <w:color w:val="000000" w:themeColor="text1"/>
          <w:highlight w:val="none"/>
          <w14:textFill>
            <w14:solidFill>
              <w14:schemeClr w14:val="tx1"/>
            </w14:solidFill>
          </w14:textFill>
        </w:rPr>
      </w:pPr>
      <w:bookmarkStart w:id="93" w:name="_Toc120173079"/>
      <w:r>
        <w:rPr>
          <w:color w:val="000000" w:themeColor="text1"/>
          <w:highlight w:val="none"/>
          <w14:textFill>
            <w14:solidFill>
              <w14:schemeClr w14:val="tx1"/>
            </w14:solidFill>
          </w14:textFill>
        </w:rPr>
        <w:t>与《四川省嘉陵江流域生态环境保护条例》的符合性分析</w:t>
      </w:r>
    </w:p>
    <w:p>
      <w:pPr>
        <w:autoSpaceDE w:val="0"/>
        <w:autoSpaceDN w:val="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本项目与《四川省嘉陵江流域生态环境保护条例》的符合性分析见下表：</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与《四川省嘉陵江流域生态环境保护条例》的符合性分析一览表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85"/>
        <w:gridCol w:w="4163"/>
        <w:gridCol w:w="2607"/>
        <w:gridCol w:w="8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35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2532"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条例要求</w:t>
            </w:r>
          </w:p>
        </w:tc>
        <w:tc>
          <w:tcPr>
            <w:tcW w:w="158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52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九十九条：违反本条例规定，未按照规定设置下泄生态流量在线监控、监测装置，未按照规定与水行政主管部门的监管平台联网的，由县级以上地方人民政府水行政主管部门责令限期改正，处二万元以上二十万元以下罚款；逾期不改正的，责令停产整治。</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本项目不属于需设置下泄生态流量在线监控、监测装置的项目。</w:t>
            </w:r>
          </w:p>
        </w:tc>
        <w:tc>
          <w:tcPr>
            <w:tcW w:w="52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一百条：违反本条例规定，在嘉陵江流域未依法取得许可从事采砂活动，或者在禁止采砂区和禁止采砂期从事采砂活动的，由县级以上地方人民政府水行政主管部门责令停止违法行为，没收违法所得以及用于违法活动的船舶、设备、工具，并处货值金额二倍以上二十倍以下罚款；货值金额不足十万元的，并处二十万元以上二百万元以下罚款；已经取得河道采砂许可证的，吊销河道采砂许可证。</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本项目不属于采砂项目，不涉及采砂。</w:t>
            </w:r>
          </w:p>
        </w:tc>
        <w:tc>
          <w:tcPr>
            <w:tcW w:w="52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一百零一条：违反本条例规定，未按照规定对医疗卫生机构、传染病疫情防控期间集中医学观察点产生的污水、传染病病人或者疑似传染病病人的排泄物，进行严格消毒，或者未达到国家规定的排放标准，排入污水处理系统的，由卫生健康主管部门或者生态环境主管部门按照各自的职责责令限期改正，给予警告，并处五千元以上一万元以下罚款；逾期不改正的，处一万元以上三万元以下罚款；造成传染病传播或者环境污染事故的，由原发证部门暂扣或者吊销执业许可证件或者经营许可证件；构成犯罪的，依法追究刑事责任。</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本项目不属于医疗企业。</w:t>
            </w:r>
          </w:p>
        </w:tc>
        <w:tc>
          <w:tcPr>
            <w:tcW w:w="52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一百零二条：违反本条例规定，向水体以投放化肥、粪便、动物尸体（肢体、内脏）、动物源性饲料等污染水体的方式从事水产养殖的，由县级以上地方人民政府生态环境主管部门责令停止违法行为，处一万元以上十万元以下罚款。</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本项目所产生的生产废水均回用或预处理后回注，生活污水</w:t>
            </w:r>
            <w:r>
              <w:rPr>
                <w:color w:val="000000" w:themeColor="text1"/>
                <w:szCs w:val="24"/>
                <w:highlight w:val="none"/>
                <w14:textFill>
                  <w14:solidFill>
                    <w14:schemeClr w14:val="tx1"/>
                  </w14:solidFill>
                </w14:textFill>
              </w:rPr>
              <w:t>经生态厕所收集后定期由密闭罐车拉运至周边生活污水处理厂处理</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不外排，</w:t>
            </w:r>
            <w:r>
              <w:rPr>
                <w:color w:val="000000" w:themeColor="text1"/>
                <w:highlight w:val="none"/>
                <w14:textFill>
                  <w14:solidFill>
                    <w14:schemeClr w14:val="tx1"/>
                  </w14:solidFill>
                </w14:textFill>
              </w:rPr>
              <w:t>不属于水产养殖业项目。</w:t>
            </w:r>
          </w:p>
        </w:tc>
        <w:tc>
          <w:tcPr>
            <w:tcW w:w="52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第一百零三条：违反本条例规定，有下列行为之一的，由负责海事管理的机构按下列规定处罚：</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船舶装载运输油类或者有毒货物，未制定防止船舶溢漏应急预案的，或者未采取防溢流、防渗漏、防坠落等措施的；发生海损事故或者货物落水事故未立即采取措施控制和消除污染以及迟报、谎报、漏报、瞒报的，责令停止违法行为，处一万元以上十万元以下罚款；造成水污染的，责令限期采取治理措施，消除污染，处二万元以上二十万元以下罚款；逾期不采取治理措施的，可以指定有治理能力的单位代为治理，所需费用由船舶经营者承担；</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（二）船舶经营者未将餐厨垃圾贮存在专门的容器中，收集上岸集中处置的，或者未如实记录处置情况的，责令改正，处二千元以上二万元以下罚款。</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本项目不涉及船舶运输。</w:t>
            </w:r>
          </w:p>
        </w:tc>
        <w:tc>
          <w:tcPr>
            <w:tcW w:w="52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6</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一百零四条：因污染嘉陵江流域环境、破坏嘉陵江流域生态造成他人损害的，侵权人应当承担侵权责任。</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违反国家和本省规定造成嘉陵江流域生态环境损害的，国家规定的机关或者法律规定的组织有权请求侵权人承担修复责任、赔偿损失和有关费用。</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本项目不属于污染损害嘉陵江流域环境、破坏嘉陵江流域生态造成他人损害的建设项目。</w:t>
            </w:r>
          </w:p>
        </w:tc>
        <w:tc>
          <w:tcPr>
            <w:tcW w:w="52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35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7</w:t>
            </w:r>
            <w:r>
              <w:rPr>
                <w:rFonts w:hint="eastAsia"/>
                <w:color w:val="000000" w:themeColor="text1"/>
                <w:highlight w:val="none"/>
                <w14:textFill>
                  <w14:solidFill>
                    <w14:schemeClr w14:val="tx1"/>
                  </w14:solidFill>
                </w14:textFill>
              </w:rPr>
              <w:t>)</w:t>
            </w:r>
          </w:p>
        </w:tc>
        <w:tc>
          <w:tcPr>
            <w:tcW w:w="2532"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第一百零五条：对嘉陵江流域污染环境、破坏生态，损害公共利益的行为，法律规定的机关和符合条件的社会组织可以依法向人民法院提起诉讼。</w:t>
            </w:r>
          </w:p>
        </w:tc>
        <w:tc>
          <w:tcPr>
            <w:tcW w:w="158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本项目采取对应的环境保护措施，不会对嘉陵江流域污染环境、破坏生态。</w:t>
            </w:r>
          </w:p>
        </w:tc>
        <w:tc>
          <w:tcPr>
            <w:tcW w:w="52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autoSpaceDE w:val="0"/>
        <w:autoSpaceDN w:val="0"/>
        <w:spacing w:before="163"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综上所述，本项目与《四川省嘉陵江流域生态环境保护条例》相符。</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与《达州市“十四五”生态环境保护规划》的符合性分析</w:t>
      </w:r>
    </w:p>
    <w:p>
      <w:pPr>
        <w:autoSpaceDE w:val="0"/>
        <w:autoSpaceDN w:val="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本项目与《达州市</w:t>
      </w:r>
      <w:r>
        <w:rPr>
          <w:rFonts w:hint="eastAsia" w:ascii="宋体" w:hAnsi="宋体" w:cs="宋体"/>
          <w:color w:val="000000" w:themeColor="text1"/>
          <w:szCs w:val="24"/>
          <w:highlight w:val="none"/>
          <w14:textFill>
            <w14:solidFill>
              <w14:schemeClr w14:val="tx1"/>
            </w14:solidFill>
          </w14:textFill>
        </w:rPr>
        <w:t>“十四五”</w:t>
      </w:r>
      <w:r>
        <w:rPr>
          <w:rFonts w:cs="Times New Roman"/>
          <w:color w:val="000000" w:themeColor="text1"/>
          <w:szCs w:val="24"/>
          <w:highlight w:val="none"/>
          <w14:textFill>
            <w14:solidFill>
              <w14:schemeClr w14:val="tx1"/>
            </w14:solidFill>
          </w14:textFill>
        </w:rPr>
        <w:t>生态环境保护规划》的符合性分析见下表：</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与《达州市“十四五”生态环境保护规划》的符合性分析一览表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344"/>
        <w:gridCol w:w="5118"/>
        <w:gridCol w:w="2230"/>
        <w:gridCol w:w="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08" w:hRule="atLeast"/>
          <w:tblHeader/>
          <w:jc w:val="center"/>
        </w:trPr>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规划要求</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0" w:type="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落实国土空间开发保护格局。以达川区、通川区、大竹县为重点开发区域，加快推进中心城市发展，优化城市空间布局，重点发展清洁能源、天然气化工、农产品加工业，加强生态环境保护和流域综合整治···</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本项目属于</w:t>
            </w:r>
            <w:r>
              <w:rPr>
                <w:rFonts w:hint="eastAsia"/>
                <w:color w:val="000000" w:themeColor="text1"/>
                <w:highlight w:val="none"/>
                <w14:textFill>
                  <w14:solidFill>
                    <w14:schemeClr w14:val="tx1"/>
                  </w14:solidFill>
                </w14:textFill>
              </w:rPr>
              <w:t>天然气勘探及试采项目</w:t>
            </w:r>
            <w:r>
              <w:rPr>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0" w:type="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···加强清洁能源示范建设，实施中国“气大庆”建设行动，推进国家天然气综合开发利用示范区建设，提高天然气就地转化效率，进一步提高非化石能源供给及其在能源消费结构中的比例···</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本项目属于</w:t>
            </w:r>
            <w:r>
              <w:rPr>
                <w:rFonts w:hint="eastAsia"/>
                <w:color w:val="000000" w:themeColor="text1"/>
                <w:highlight w:val="none"/>
                <w14:textFill>
                  <w14:solidFill>
                    <w14:schemeClr w14:val="tx1"/>
                  </w14:solidFill>
                </w14:textFill>
              </w:rPr>
              <w:t>天然气勘探及试采项目</w:t>
            </w:r>
            <w:r>
              <w:rPr>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0" w:type="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···加强矿产资源综合利用，合理开发利用煤炭、天然气、页岩气、卤水等矿产资源···</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本项目属于</w:t>
            </w:r>
            <w:r>
              <w:rPr>
                <w:rFonts w:hint="eastAsia"/>
                <w:color w:val="000000" w:themeColor="text1"/>
                <w:highlight w:val="none"/>
                <w14:textFill>
                  <w14:solidFill>
                    <w14:schemeClr w14:val="tx1"/>
                  </w14:solidFill>
                </w14:textFill>
              </w:rPr>
              <w:t>天然气勘探及试采项目</w:t>
            </w:r>
            <w:r>
              <w:rPr>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0" w:type="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···加强矿山开采、天然气勘探开发全过程环境管理···</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本项目在施工及</w:t>
            </w:r>
            <w:r>
              <w:rPr>
                <w:rFonts w:hint="eastAsia"/>
                <w:color w:val="000000" w:themeColor="text1"/>
                <w:highlight w:val="none"/>
                <w14:textFill>
                  <w14:solidFill>
                    <w14:schemeClr w14:val="tx1"/>
                  </w14:solidFill>
                </w14:textFill>
              </w:rPr>
              <w:t>试采期</w:t>
            </w:r>
            <w:r>
              <w:rPr>
                <w:color w:val="000000" w:themeColor="text1"/>
                <w:highlight w:val="none"/>
                <w14:textFill>
                  <w14:solidFill>
                    <w14:schemeClr w14:val="tx1"/>
                  </w14:solidFill>
                </w14:textFill>
              </w:rPr>
              <w:t>均严格落实各项环境保护措施，全过程加强对环境的管理。</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···重点支持普光经济开发区开展天然气钻井岩屑资源化利用···</w:t>
            </w:r>
          </w:p>
        </w:tc>
        <w:tc>
          <w:tcPr>
            <w:tcW w:w="0" w:type="auto"/>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本项目所产生的钻井岩屑均得到妥善的资源化利用</w:t>
            </w:r>
            <w:r>
              <w:rPr>
                <w:rFonts w:hint="eastAsia"/>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autoSpaceDE w:val="0"/>
        <w:autoSpaceDN w:val="0"/>
        <w:spacing w:before="163"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综上所述，本项目与《达州市</w:t>
      </w:r>
      <w:r>
        <w:rPr>
          <w:rFonts w:ascii="宋体" w:hAnsi="宋体" w:cs="Times New Roman"/>
          <w:color w:val="000000" w:themeColor="text1"/>
          <w:highlight w:val="none"/>
          <w14:textFill>
            <w14:solidFill>
              <w14:schemeClr w14:val="tx1"/>
            </w14:solidFill>
          </w14:textFill>
        </w:rPr>
        <w:t>“十四五”</w:t>
      </w:r>
      <w:r>
        <w:rPr>
          <w:rFonts w:cs="Times New Roman"/>
          <w:color w:val="000000" w:themeColor="text1"/>
          <w:highlight w:val="none"/>
          <w14:textFill>
            <w14:solidFill>
              <w14:schemeClr w14:val="tx1"/>
            </w14:solidFill>
          </w14:textFill>
        </w:rPr>
        <w:t>生态环境保护规划》相符。</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与《地下水管理条例》的符合性分析</w:t>
      </w:r>
    </w:p>
    <w:p>
      <w:pPr>
        <w:pStyle w:val="296"/>
        <w:rPr>
          <w:rFonts w:ascii="Times New Roman" w:cs="Times New Roman"/>
          <w:color w:val="000000" w:themeColor="text1"/>
          <w:highlight w:val="none"/>
          <w14:textFill>
            <w14:solidFill>
              <w14:schemeClr w14:val="tx1"/>
            </w14:solidFill>
          </w14:textFill>
        </w:rPr>
      </w:pPr>
      <w:r>
        <w:rPr>
          <w:rFonts w:ascii="Times New Roman" w:cs="Times New Roman"/>
          <w:color w:val="000000" w:themeColor="text1"/>
          <w:highlight w:val="none"/>
          <w14:textFill>
            <w14:solidFill>
              <w14:schemeClr w14:val="tx1"/>
            </w14:solidFill>
          </w14:textFill>
        </w:rPr>
        <w:t>2021年9月15日国务院第149次常务会议通过，2021年10月29日公布，自2021年12月1日起施行的《地下水管理条例》，本项目与其符合性分析见表2.7-</w:t>
      </w:r>
      <w:r>
        <w:rPr>
          <w:rFonts w:hint="eastAsia" w:ascii="Times New Roman" w:cs="Times New Roman"/>
          <w:color w:val="000000" w:themeColor="text1"/>
          <w:highlight w:val="none"/>
          <w14:textFill>
            <w14:solidFill>
              <w14:schemeClr w14:val="tx1"/>
            </w14:solidFill>
          </w14:textFill>
        </w:rPr>
        <w:t>18</w:t>
      </w:r>
      <w:r>
        <w:rPr>
          <w:rFonts w:ascii="Times New Roman" w:cs="Times New Roman"/>
          <w:color w:val="000000" w:themeColor="text1"/>
          <w:highlight w:val="none"/>
          <w14:textFill>
            <w14:solidFill>
              <w14:schemeClr w14:val="tx1"/>
            </w14:solidFill>
          </w14:textFill>
        </w:rPr>
        <w:t>。通过对比分析，本项目符合该条例的相关要求。</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与《地下水管理条例》符合性分析</w:t>
      </w:r>
    </w:p>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607"/>
        <w:gridCol w:w="4148"/>
        <w:gridCol w:w="2919"/>
        <w:gridCol w:w="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607" w:type="dxa"/>
            <w:tcMar>
              <w:left w:w="57" w:type="dxa"/>
              <w:right w:w="57" w:type="dxa"/>
            </w:tcMar>
            <w:vAlign w:val="center"/>
          </w:tcPr>
          <w:p>
            <w:pPr>
              <w:pStyle w:val="297"/>
              <w:rPr>
                <w:b/>
                <w:bCs/>
                <w:color w:val="000000" w:themeColor="text1"/>
                <w:highlight w:val="none"/>
                <w14:textFill>
                  <w14:solidFill>
                    <w14:schemeClr w14:val="tx1"/>
                  </w14:solidFill>
                </w14:textFill>
              </w:rPr>
            </w:pPr>
            <w:bookmarkStart w:id="94" w:name="_Hlk95470983"/>
            <w:r>
              <w:rPr>
                <w:b/>
                <w:bCs/>
                <w:color w:val="000000" w:themeColor="text1"/>
                <w:highlight w:val="none"/>
                <w14:textFill>
                  <w14:solidFill>
                    <w14:schemeClr w14:val="tx1"/>
                  </w14:solidFill>
                </w14:textFill>
              </w:rPr>
              <w:t>序号</w:t>
            </w:r>
          </w:p>
        </w:tc>
        <w:tc>
          <w:tcPr>
            <w:tcW w:w="4148" w:type="dxa"/>
            <w:tcMar>
              <w:left w:w="57" w:type="dxa"/>
              <w:right w:w="57"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相关要求（摘录）</w:t>
            </w:r>
          </w:p>
        </w:tc>
        <w:tc>
          <w:tcPr>
            <w:tcW w:w="2919" w:type="dxa"/>
            <w:tcMar>
              <w:left w:w="57" w:type="dxa"/>
              <w:right w:w="57"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本项目情况</w:t>
            </w:r>
          </w:p>
        </w:tc>
        <w:tc>
          <w:tcPr>
            <w:tcW w:w="546" w:type="dxa"/>
            <w:tcMar>
              <w:left w:w="57" w:type="dxa"/>
              <w:right w:w="57"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07"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4148"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和个人应当采取措施防止地下工程建设对地下水补给、径流、排泄等造成重大不利影响。对开挖达到一定深度或者达到一定排水规模的地下工程，建设单位和个人应当于工程开工前，将工程建设方案和防止对地下水产生不利影响的措施方案报有管理权限的水行政主管部门备案。开挖深度和排水规模由省、自治区、直辖市人民政府制定、公布。</w:t>
            </w:r>
          </w:p>
        </w:tc>
        <w:tc>
          <w:tcPr>
            <w:tcW w:w="2919"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本项目采取了严格措施（不涉及浅层钻、分区防渗等）防止地下工程建设对地下水补给、径流、排泄等造成重大不利影响</w:t>
            </w:r>
            <w:r>
              <w:rPr>
                <w:rFonts w:hint="eastAsia"/>
                <w:color w:val="000000" w:themeColor="text1"/>
                <w:highlight w:val="none"/>
                <w14:textFill>
                  <w14:solidFill>
                    <w14:schemeClr w14:val="tx1"/>
                  </w14:solidFill>
                </w14:textFill>
              </w:rPr>
              <w:t>。</w:t>
            </w:r>
          </w:p>
        </w:tc>
        <w:tc>
          <w:tcPr>
            <w:tcW w:w="546"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07"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4148"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禁止下列污染或者可能污染地下水的行为：</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（一）利用渗井、渗坑、裂隙、溶洞以及私设暗管等逃避监管的方式排放水污染物；</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（二）利用岩层孔隙、裂隙、溶洞、废弃矿坑等贮存石化原料及产品、农药、危险废物、城镇污水处理设施产生的污泥和处理后的污泥或者其他有毒有害物质；</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（三）利用无防渗漏措施的沟渠、坑塘等输送或者贮存含有毒污染物的废水、含病原体的污水和其他废弃物；</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（四）法律、法规禁止的其他污染或者可能污染地下水的行为</w:t>
            </w:r>
          </w:p>
        </w:tc>
        <w:tc>
          <w:tcPr>
            <w:tcW w:w="2919"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本项目制定了严格措施防止项目建设运营对地下水造成污染</w:t>
            </w:r>
            <w:r>
              <w:rPr>
                <w:rFonts w:hint="eastAsia"/>
                <w:color w:val="000000" w:themeColor="text1"/>
                <w:highlight w:val="none"/>
                <w14:textFill>
                  <w14:solidFill>
                    <w14:schemeClr w14:val="tx1"/>
                  </w14:solidFill>
                </w14:textFill>
              </w:rPr>
              <w:t>。</w:t>
            </w:r>
          </w:p>
        </w:tc>
        <w:tc>
          <w:tcPr>
            <w:tcW w:w="546"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07"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4148"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企业事业单位和其他生产经营者应当采取下列措施，防止地下水污染：</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（一）兴建地下工程设施或者进行地下勘探、采矿等活动，依法编制的环境影响评价文件中，应当包括地下水污染防治的内容，并采取防护性措施；</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（二）化学品生产企业以及工业集聚区、矿山开采区、尾矿库、危险废物处置场、垃圾填埋场等的运营、管理单位，应当采取防渗漏等措施，并建设地下水水质监测井进行监测；</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（三）加油站等的地下油罐应当使用双层罐或者采取建造防渗池等其他有效措施，并进行防渗漏监测；</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（四）存放可溶性剧毒废渣的场所，应当采取防水、防渗漏、防流失的措施；</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（五）法律、法规规定应当采取的其他防止地下水污染的措施</w:t>
            </w:r>
          </w:p>
        </w:tc>
        <w:tc>
          <w:tcPr>
            <w:tcW w:w="2919"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（一）本项目依法编制的环境影响评价文件中，包括了地下水污染防治的内容，并</w:t>
            </w:r>
            <w:r>
              <w:rPr>
                <w:rFonts w:hint="eastAsia"/>
                <w:color w:val="000000" w:themeColor="text1"/>
                <w:highlight w:val="none"/>
                <w14:textFill>
                  <w14:solidFill>
                    <w14:schemeClr w14:val="tx1"/>
                  </w14:solidFill>
                </w14:textFill>
              </w:rPr>
              <w:t>采取了</w:t>
            </w:r>
            <w:r>
              <w:rPr>
                <w:color w:val="000000" w:themeColor="text1"/>
                <w:highlight w:val="none"/>
                <w14:textFill>
                  <w14:solidFill>
                    <w14:schemeClr w14:val="tx1"/>
                  </w14:solidFill>
                </w14:textFill>
              </w:rPr>
              <w:t>防护性措施；</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（二）本项目不属于化学品生产企业以及工业集聚区、矿山开采区、尾矿库、危险废物处置场、垃圾填埋场等的运营、管理单位；</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（三）本项目没有地下油罐，同时项目采取了分区防渗措施；</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（四）本项目设置的危险废物暂存区采取了重点防渗措施，满足防水、防渗漏、防流失的要求；</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（五）本项目落实了法律、法规规定的应当采取的其他防止地下水污染的措施</w:t>
            </w:r>
            <w:r>
              <w:rPr>
                <w:rFonts w:hint="eastAsia"/>
                <w:color w:val="000000" w:themeColor="text1"/>
                <w:highlight w:val="none"/>
                <w14:textFill>
                  <w14:solidFill>
                    <w14:schemeClr w14:val="tx1"/>
                  </w14:solidFill>
                </w14:textFill>
              </w:rPr>
              <w:t>。</w:t>
            </w:r>
          </w:p>
        </w:tc>
        <w:tc>
          <w:tcPr>
            <w:tcW w:w="546"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07"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4148"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在泉域保护范围以及岩溶强发育、存在较多落水洞和岩溶漏斗的区域内，不得新建、改建、扩建可能造成地下水污染的建设项目</w:t>
            </w:r>
          </w:p>
        </w:tc>
        <w:tc>
          <w:tcPr>
            <w:tcW w:w="2919" w:type="dxa"/>
            <w:tcMar>
              <w:left w:w="57" w:type="dxa"/>
              <w:right w:w="57" w:type="dxa"/>
            </w:tcMar>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本项目不在泉域保护范围以及岩溶强发育、存在较多落水洞和岩溶漏斗的区域</w:t>
            </w:r>
            <w:r>
              <w:rPr>
                <w:rFonts w:hint="eastAsia"/>
                <w:color w:val="000000" w:themeColor="text1"/>
                <w:highlight w:val="none"/>
                <w14:textFill>
                  <w14:solidFill>
                    <w14:schemeClr w14:val="tx1"/>
                  </w14:solidFill>
                </w14:textFill>
              </w:rPr>
              <w:t>。</w:t>
            </w:r>
          </w:p>
        </w:tc>
        <w:tc>
          <w:tcPr>
            <w:tcW w:w="546" w:type="dxa"/>
            <w:tcMar>
              <w:left w:w="57" w:type="dxa"/>
              <w:right w:w="57"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bookmarkEnd w:id="94"/>
    </w:tbl>
    <w:p>
      <w:pPr>
        <w:autoSpaceDE w:val="0"/>
        <w:autoSpaceDN w:val="0"/>
        <w:spacing w:before="163"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综上所述，本项目的建设与《地下水管理条例》相符。</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项目与《甲烷排放控制行动方案》符合性分析</w:t>
      </w:r>
    </w:p>
    <w:p>
      <w:pPr>
        <w:pStyle w:val="21"/>
        <w:spacing w:before="0"/>
        <w:ind w:left="0" w:firstLine="480"/>
        <w:jc w:val="both"/>
        <w:rPr>
          <w:rFonts w:hint="eastAsia"/>
          <w:bCs/>
          <w:color w:val="000000" w:themeColor="text1"/>
          <w:highlight w:val="none"/>
          <w:lang w:eastAsia="zh-CN"/>
          <w14:textFill>
            <w14:solidFill>
              <w14:schemeClr w14:val="tx1"/>
            </w14:solidFill>
          </w14:textFill>
        </w:rPr>
      </w:pPr>
      <w:r>
        <w:rPr>
          <w:rFonts w:hint="eastAsia" w:ascii="Times New Roman" w:hAnsi="Times New Roman"/>
          <w:color w:val="000000" w:themeColor="text1"/>
          <w:kern w:val="21"/>
          <w:highlight w:val="none"/>
          <w:lang w:eastAsia="zh-CN"/>
          <w14:textFill>
            <w14:solidFill>
              <w14:schemeClr w14:val="tx1"/>
            </w14:solidFill>
          </w14:textFill>
        </w:rPr>
        <w:t>根据</w:t>
      </w:r>
      <w:r>
        <w:rPr>
          <w:rFonts w:ascii="Times New Roman" w:hAnsi="Times New Roman"/>
          <w:color w:val="000000" w:themeColor="text1"/>
          <w:kern w:val="21"/>
          <w:highlight w:val="none"/>
          <w:lang w:eastAsia="zh-CN"/>
          <w14:textFill>
            <w14:solidFill>
              <w14:schemeClr w14:val="tx1"/>
            </w14:solidFill>
          </w14:textFill>
        </w:rPr>
        <w:t>生态环境部、外交部、国家发展改革委、科技部、工业和信息化部、 财政部、自然资源部、住房城乡建设部、农业农村部、应急管理部、国家能源局于2023年11月7日印发实施</w:t>
      </w:r>
      <w:r>
        <w:rPr>
          <w:rFonts w:hint="eastAsia" w:ascii="Times New Roman" w:hAnsi="Times New Roman"/>
          <w:color w:val="000000" w:themeColor="text1"/>
          <w:kern w:val="21"/>
          <w:highlight w:val="none"/>
          <w:lang w:eastAsia="zh-CN"/>
          <w14:textFill>
            <w14:solidFill>
              <w14:schemeClr w14:val="tx1"/>
            </w14:solidFill>
          </w14:textFill>
        </w:rPr>
        <w:t>的《甲烷排放控制行动方案》，</w:t>
      </w:r>
      <w:r>
        <w:rPr>
          <w:rFonts w:ascii="Times New Roman" w:hAnsi="Times New Roman"/>
          <w:color w:val="000000" w:themeColor="text1"/>
          <w:kern w:val="21"/>
          <w:highlight w:val="none"/>
          <w:lang w:eastAsia="zh-CN"/>
          <w14:textFill>
            <w14:solidFill>
              <w14:schemeClr w14:val="tx1"/>
            </w14:solidFill>
          </w14:textFill>
        </w:rPr>
        <w:t>本项目与其符合性分析如下：</w:t>
      </w:r>
    </w:p>
    <w:p>
      <w:pPr>
        <w:pStyle w:val="203"/>
        <w:spacing w:before="0" w:beforeLine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 xml:space="preserve"> 与</w:t>
      </w:r>
      <w:r>
        <w:rPr>
          <w:rFonts w:hint="eastAsia"/>
          <w:color w:val="000000" w:themeColor="text1"/>
          <w:highlight w:val="none"/>
          <w14:textFill>
            <w14:solidFill>
              <w14:schemeClr w14:val="tx1"/>
            </w14:solidFill>
          </w14:textFill>
        </w:rPr>
        <w:t>《甲烷排放控制行动方案》</w:t>
      </w:r>
      <w:r>
        <w:rPr>
          <w:color w:val="000000" w:themeColor="text1"/>
          <w:highlight w:val="none"/>
          <w14:textFill>
            <w14:solidFill>
              <w14:schemeClr w14:val="tx1"/>
            </w14:solidFill>
          </w14:textFill>
        </w:rPr>
        <w:t>符合性分析</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272"/>
        <w:gridCol w:w="3089"/>
        <w:gridCol w:w="1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 w:hRule="atLeast"/>
          <w:tblHeader/>
          <w:jc w:val="center"/>
        </w:trPr>
        <w:tc>
          <w:tcPr>
            <w:tcW w:w="4272"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方案中与本项目有关的具体要求</w:t>
            </w:r>
          </w:p>
        </w:tc>
        <w:tc>
          <w:tcPr>
            <w:tcW w:w="308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100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46" w:hRule="atLeast"/>
          <w:jc w:val="center"/>
        </w:trPr>
        <w:tc>
          <w:tcPr>
            <w:tcW w:w="4272" w:type="dxa"/>
            <w:vAlign w:val="center"/>
          </w:tcPr>
          <w:p>
            <w:pPr>
              <w:widowControl/>
              <w:spacing w:line="240" w:lineRule="auto"/>
              <w:ind w:firstLine="420"/>
              <w:jc w:val="left"/>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shd w:val="clear" w:color="auto" w:fill="FFFFFF"/>
                <w14:textFill>
                  <w14:solidFill>
                    <w14:schemeClr w14:val="tx1"/>
                  </w14:solidFill>
                </w14:textFill>
              </w:rPr>
              <w:t>4.强化甲烷综合利用。促进油气田放空甲烷排放管控，鼓励企业</w:t>
            </w:r>
            <w:r>
              <w:rPr>
                <w:rFonts w:hint="eastAsia" w:cs="Times New Roman"/>
                <w:color w:val="000000" w:themeColor="text1"/>
                <w:sz w:val="21"/>
                <w:szCs w:val="20"/>
                <w:highlight w:val="none"/>
                <w:shd w:val="clear" w:color="auto" w:fill="FFFFFF"/>
                <w14:textFill>
                  <w14:solidFill>
                    <w14:schemeClr w14:val="tx1"/>
                  </w14:solidFill>
                </w14:textFill>
              </w:rPr>
              <w:t>因地制宜开展伴生气与放空气回收利用，不能回收或难以回收的，应经燃烧后放空。鼓励引导煤炭企业加大煤矿瓦斯抽采利用。到2025 年，煤矿瓦斯年利用量达到 60 亿立方米；到 2030 年，油田伴生气集气率达到国际先进水平。</w:t>
            </w:r>
          </w:p>
        </w:tc>
        <w:tc>
          <w:tcPr>
            <w:tcW w:w="3089" w:type="dxa"/>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本项目为天然气钻井及试采工程项目，在试采期间将全密闭输气，</w:t>
            </w: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试采工程中将</w:t>
            </w:r>
            <w:r>
              <w:rPr>
                <w:color w:val="000000" w:themeColor="text1"/>
                <w:highlight w:val="none"/>
                <w14:textFill>
                  <w14:solidFill>
                    <w14:schemeClr w14:val="tx1"/>
                  </w14:solidFill>
                </w14:textFill>
              </w:rPr>
              <w:t>对异常超压和检修时不具备利用条件</w:t>
            </w:r>
            <w:r>
              <w:rPr>
                <w:rFonts w:hint="eastAsia"/>
                <w:color w:val="000000" w:themeColor="text1"/>
                <w:highlight w:val="none"/>
                <w14:textFill>
                  <w14:solidFill>
                    <w14:schemeClr w14:val="tx1"/>
                  </w14:solidFill>
                </w14:textFill>
              </w:rPr>
              <w:t>的</w:t>
            </w:r>
            <w:r>
              <w:rPr>
                <w:color w:val="000000" w:themeColor="text1"/>
                <w:highlight w:val="none"/>
                <w14:textFill>
                  <w14:solidFill>
                    <w14:schemeClr w14:val="tx1"/>
                  </w14:solidFill>
                </w14:textFill>
              </w:rPr>
              <w:t>天然气，通过放</w:t>
            </w:r>
            <w:r>
              <w:rPr>
                <w:rFonts w:hint="eastAsia"/>
                <w:color w:val="000000" w:themeColor="text1"/>
                <w:highlight w:val="none"/>
                <w14:textFill>
                  <w14:solidFill>
                    <w14:schemeClr w14:val="tx1"/>
                  </w14:solidFill>
                </w14:textFill>
              </w:rPr>
              <w:t>空立管</w:t>
            </w:r>
            <w:r>
              <w:rPr>
                <w:color w:val="000000" w:themeColor="text1"/>
                <w:highlight w:val="none"/>
                <w14:textFill>
                  <w14:solidFill>
                    <w14:schemeClr w14:val="tx1"/>
                  </w14:solidFill>
                </w14:textFill>
              </w:rPr>
              <w:t>进行充分燃烧</w:t>
            </w:r>
            <w:r>
              <w:rPr>
                <w:rFonts w:hint="eastAsia"/>
                <w:color w:val="000000" w:themeColor="text1"/>
                <w:highlight w:val="none"/>
                <w:shd w:val="clear" w:color="auto" w:fill="FFFFFF"/>
                <w14:textFill>
                  <w14:solidFill>
                    <w14:schemeClr w14:val="tx1"/>
                  </w14:solidFill>
                </w14:textFill>
              </w:rPr>
              <w:t>。</w:t>
            </w:r>
          </w:p>
        </w:tc>
        <w:tc>
          <w:tcPr>
            <w:tcW w:w="10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4272" w:type="dxa"/>
            <w:vAlign w:val="center"/>
          </w:tcPr>
          <w:p>
            <w:pPr>
              <w:widowControl/>
              <w:spacing w:line="240" w:lineRule="auto"/>
              <w:ind w:firstLine="420"/>
              <w:jc w:val="left"/>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shd w:val="clear" w:color="auto" w:fill="FFFFFF"/>
                <w14:textFill>
                  <w14:solidFill>
                    <w14:schemeClr w14:val="tx1"/>
                  </w14:solidFill>
                </w14:textFill>
              </w:rPr>
              <w:t>6.推动逐步减少油气系统常规火炬。优化油气田地面工程建设与</w:t>
            </w:r>
            <w:r>
              <w:rPr>
                <w:rFonts w:hint="eastAsia" w:cs="Times New Roman"/>
                <w:color w:val="000000" w:themeColor="text1"/>
                <w:sz w:val="21"/>
                <w:szCs w:val="20"/>
                <w:highlight w:val="none"/>
                <w:shd w:val="clear" w:color="auto" w:fill="FFFFFF"/>
                <w14:textFill>
                  <w14:solidFill>
                    <w14:schemeClr w14:val="tx1"/>
                  </w14:solidFill>
                </w14:textFill>
              </w:rPr>
              <w:t>管理，减少火炬系统天然气燃烧量。科学规划设计新建油气作业项目，在确保生产安全的基础上，努力逐步减少常规火炬燃放。</w:t>
            </w:r>
          </w:p>
        </w:tc>
        <w:tc>
          <w:tcPr>
            <w:tcW w:w="3089" w:type="dxa"/>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本项目将根据环境、气象及生产负荷波动情况建立火炬系统燃烧管控方案，合理控制燃气量。同时在试采期还将加强井口装置的定期维护保养，有效减少 CH</w:t>
            </w:r>
            <w:r>
              <w:rPr>
                <w:rFonts w:hint="eastAsia"/>
                <w:color w:val="000000" w:themeColor="text1"/>
                <w:highlight w:val="none"/>
                <w:shd w:val="clear" w:color="auto" w:fill="FFFFFF"/>
                <w:vertAlign w:val="subscript"/>
                <w14:textFill>
                  <w14:solidFill>
                    <w14:schemeClr w14:val="tx1"/>
                  </w14:solidFill>
                </w14:textFill>
              </w:rPr>
              <w:t>4</w:t>
            </w:r>
            <w:r>
              <w:rPr>
                <w:rFonts w:hint="eastAsia"/>
                <w:color w:val="000000" w:themeColor="text1"/>
                <w:highlight w:val="none"/>
                <w:shd w:val="clear" w:color="auto" w:fill="FFFFFF"/>
                <w14:textFill>
                  <w14:solidFill>
                    <w14:schemeClr w14:val="tx1"/>
                  </w14:solidFill>
                </w14:textFill>
              </w:rPr>
              <w:t>的逸散。</w:t>
            </w:r>
          </w:p>
        </w:tc>
        <w:tc>
          <w:tcPr>
            <w:tcW w:w="10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w:t>
            </w:r>
          </w:p>
        </w:tc>
      </w:tr>
    </w:tbl>
    <w:p>
      <w:pPr>
        <w:pStyle w:val="67"/>
        <w:spacing w:line="360" w:lineRule="auto"/>
        <w:ind w:firstLine="480"/>
        <w:jc w:val="both"/>
        <w:rPr>
          <w:rFonts w:eastAsia="宋体"/>
          <w:color w:val="000000" w:themeColor="text1"/>
          <w:kern w:val="21"/>
          <w:sz w:val="24"/>
          <w:szCs w:val="24"/>
          <w:highlight w:val="none"/>
          <w14:textFill>
            <w14:solidFill>
              <w14:schemeClr w14:val="tx1"/>
            </w14:solidFill>
          </w14:textFill>
        </w:rPr>
      </w:pPr>
      <w:r>
        <w:rPr>
          <w:rFonts w:eastAsia="宋体"/>
          <w:color w:val="000000" w:themeColor="text1"/>
          <w:kern w:val="21"/>
          <w:sz w:val="24"/>
          <w:szCs w:val="24"/>
          <w:highlight w:val="none"/>
          <w14:textFill>
            <w14:solidFill>
              <w14:schemeClr w14:val="tx1"/>
            </w14:solidFill>
          </w14:textFill>
        </w:rPr>
        <w:t>综上所述，本项目</w:t>
      </w:r>
      <w:r>
        <w:rPr>
          <w:rFonts w:hint="eastAsia" w:eastAsia="宋体"/>
          <w:color w:val="000000" w:themeColor="text1"/>
          <w:kern w:val="21"/>
          <w:sz w:val="24"/>
          <w:szCs w:val="24"/>
          <w:highlight w:val="none"/>
          <w14:textFill>
            <w14:solidFill>
              <w14:schemeClr w14:val="tx1"/>
            </w14:solidFill>
          </w14:textFill>
        </w:rPr>
        <w:t>与《甲烷排放控制行动方案》</w:t>
      </w:r>
      <w:r>
        <w:rPr>
          <w:rFonts w:eastAsia="宋体"/>
          <w:color w:val="000000" w:themeColor="text1"/>
          <w:kern w:val="21"/>
          <w:sz w:val="24"/>
          <w:szCs w:val="24"/>
          <w:highlight w:val="none"/>
          <w14:textFill>
            <w14:solidFill>
              <w14:schemeClr w14:val="tx1"/>
            </w14:solidFill>
          </w14:textFill>
        </w:rPr>
        <w:t>相符合。</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w:t>
      </w:r>
      <w:r>
        <w:rPr>
          <w:rFonts w:hint="eastAsia"/>
          <w:color w:val="000000" w:themeColor="text1"/>
          <w:kern w:val="21"/>
          <w:highlight w:val="none"/>
          <w14:textFill>
            <w14:solidFill>
              <w14:schemeClr w14:val="tx1"/>
            </w14:solidFill>
          </w14:textFill>
        </w:rPr>
        <w:t>与《四川省土壤污染防治条例》符合性分析</w:t>
      </w:r>
    </w:p>
    <w:p>
      <w:pPr>
        <w:pStyle w:val="21"/>
        <w:spacing w:before="0"/>
        <w:ind w:left="0" w:firstLine="480"/>
        <w:jc w:val="both"/>
        <w:rPr>
          <w:rFonts w:hint="eastAsia"/>
          <w:bCs/>
          <w:color w:val="000000" w:themeColor="text1"/>
          <w:highlight w:val="none"/>
          <w:lang w:eastAsia="zh-CN"/>
          <w14:textFill>
            <w14:solidFill>
              <w14:schemeClr w14:val="tx1"/>
            </w14:solidFill>
          </w14:textFill>
        </w:rPr>
      </w:pPr>
      <w:r>
        <w:rPr>
          <w:rFonts w:hint="eastAsia" w:ascii="Times New Roman" w:hAnsi="Times New Roman"/>
          <w:color w:val="000000" w:themeColor="text1"/>
          <w:kern w:val="21"/>
          <w:highlight w:val="none"/>
          <w:lang w:eastAsia="zh-CN"/>
          <w14:textFill>
            <w14:solidFill>
              <w14:schemeClr w14:val="tx1"/>
            </w14:solidFill>
          </w14:textFill>
        </w:rPr>
        <w:t>根据四川省第十四届人民代表大会常务委员会第二次会议于2023年3月30日通过，自2023年7月1日起施行的《四川省土壤污染防治条例》，本</w:t>
      </w:r>
      <w:r>
        <w:rPr>
          <w:rFonts w:ascii="Times New Roman" w:hAnsi="Times New Roman"/>
          <w:color w:val="000000" w:themeColor="text1"/>
          <w:kern w:val="21"/>
          <w:highlight w:val="none"/>
          <w:lang w:eastAsia="zh-CN"/>
          <w14:textFill>
            <w14:solidFill>
              <w14:schemeClr w14:val="tx1"/>
            </w14:solidFill>
          </w14:textFill>
        </w:rPr>
        <w:t>项目与其符合性分析如下：</w:t>
      </w:r>
    </w:p>
    <w:p>
      <w:pPr>
        <w:pStyle w:val="203"/>
        <w:spacing w:before="0" w:beforeLine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 xml:space="preserve">20 </w:t>
      </w:r>
      <w:r>
        <w:rPr>
          <w:color w:val="000000" w:themeColor="text1"/>
          <w:highlight w:val="none"/>
          <w14:textFill>
            <w14:solidFill>
              <w14:schemeClr w14:val="tx1"/>
            </w14:solidFill>
          </w14:textFill>
        </w:rPr>
        <w:t>与</w:t>
      </w:r>
      <w:r>
        <w:rPr>
          <w:rFonts w:hint="eastAsia"/>
          <w:color w:val="000000" w:themeColor="text1"/>
          <w:highlight w:val="none"/>
          <w14:textFill>
            <w14:solidFill>
              <w14:schemeClr w14:val="tx1"/>
            </w14:solidFill>
          </w14:textFill>
        </w:rPr>
        <w:t>《四川省土壤污染防治条例》</w:t>
      </w:r>
      <w:r>
        <w:rPr>
          <w:color w:val="000000" w:themeColor="text1"/>
          <w:highlight w:val="none"/>
          <w14:textFill>
            <w14:solidFill>
              <w14:schemeClr w14:val="tx1"/>
            </w14:solidFill>
          </w14:textFill>
        </w:rPr>
        <w:t>符合性</w:t>
      </w:r>
      <w:r>
        <w:rPr>
          <w:rFonts w:hint="eastAsia"/>
          <w:color w:val="000000" w:themeColor="text1"/>
          <w:highlight w:val="none"/>
          <w14:textFill>
            <w14:solidFill>
              <w14:schemeClr w14:val="tx1"/>
            </w14:solidFill>
          </w14:textFill>
        </w:rPr>
        <w:t>分</w:t>
      </w:r>
      <w:r>
        <w:rPr>
          <w:color w:val="000000" w:themeColor="text1"/>
          <w:highlight w:val="none"/>
          <w14:textFill>
            <w14:solidFill>
              <w14:schemeClr w14:val="tx1"/>
            </w14:solidFill>
          </w14:textFill>
        </w:rPr>
        <w:t>析</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272"/>
        <w:gridCol w:w="3089"/>
        <w:gridCol w:w="1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 w:hRule="atLeast"/>
          <w:tblHeader/>
          <w:jc w:val="center"/>
        </w:trPr>
        <w:tc>
          <w:tcPr>
            <w:tcW w:w="4272"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条例中与本项目有关的具体要求</w:t>
            </w:r>
          </w:p>
        </w:tc>
        <w:tc>
          <w:tcPr>
            <w:tcW w:w="308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100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46" w:hRule="atLeast"/>
          <w:jc w:val="center"/>
        </w:trPr>
        <w:tc>
          <w:tcPr>
            <w:tcW w:w="4272" w:type="dxa"/>
            <w:vAlign w:val="center"/>
          </w:tcPr>
          <w:p>
            <w:pPr>
              <w:widowControl/>
              <w:spacing w:line="240" w:lineRule="auto"/>
              <w:ind w:firstLine="420"/>
              <w:jc w:val="left"/>
              <w:rPr>
                <w:rFonts w:cs="Times New Roman"/>
                <w:color w:val="000000" w:themeColor="text1"/>
                <w:sz w:val="21"/>
                <w:szCs w:val="20"/>
                <w:highlight w:val="none"/>
                <w:shd w:val="clear" w:color="auto" w:fill="FFFFFF"/>
                <w14:textFill>
                  <w14:solidFill>
                    <w14:schemeClr w14:val="tx1"/>
                  </w14:solidFill>
                </w14:textFill>
              </w:rPr>
            </w:pPr>
            <w:r>
              <w:rPr>
                <w:rFonts w:hint="eastAsia" w:cs="Times New Roman"/>
                <w:color w:val="000000" w:themeColor="text1"/>
                <w:sz w:val="21"/>
                <w:szCs w:val="20"/>
                <w:highlight w:val="none"/>
                <w:shd w:val="clear" w:color="auto" w:fill="FFFFFF"/>
                <w14:textFill>
                  <w14:solidFill>
                    <w14:schemeClr w14:val="tx1"/>
                  </w14:solidFill>
                </w14:textFill>
              </w:rPr>
              <w:t>第二十三条</w:t>
            </w:r>
            <w:r>
              <w:rPr>
                <w:rFonts w:cs="Times New Roman"/>
                <w:color w:val="000000" w:themeColor="text1"/>
                <w:sz w:val="21"/>
                <w:szCs w:val="20"/>
                <w:highlight w:val="none"/>
                <w:shd w:val="clear" w:color="auto" w:fill="FFFFFF"/>
                <w14:textFill>
                  <w14:solidFill>
                    <w14:schemeClr w14:val="tx1"/>
                  </w14:solidFill>
                </w14:textFill>
              </w:rPr>
              <w:t> 输油管、加油站、排污管、地下储罐、填埋场和存放或者处理有毒有害物质的地下水池、半地下水池等设施设备的设计、建设、使用应当符合防腐蚀、防渗漏、防挥发等要求，设施设备的所有者和运营者应当对设施设备定期开展腐蚀、泄漏检测，防止污染土壤和地下水</w:t>
            </w:r>
          </w:p>
        </w:tc>
        <w:tc>
          <w:tcPr>
            <w:tcW w:w="3089" w:type="dxa"/>
            <w:vAlign w:val="center"/>
          </w:tcPr>
          <w:p>
            <w:pPr>
              <w:pStyle w:val="297"/>
              <w:jc w:val="left"/>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本项目为天然气钻井及试采工程项目，</w:t>
            </w:r>
            <w:r>
              <w:rPr>
                <w:color w:val="000000" w:themeColor="text1"/>
                <w:highlight w:val="none"/>
                <w:shd w:val="clear" w:color="auto" w:fill="FFFFFF"/>
                <w14:textFill>
                  <w14:solidFill>
                    <w14:schemeClr w14:val="tx1"/>
                  </w14:solidFill>
                </w14:textFill>
              </w:rPr>
              <w:t>本项目</w:t>
            </w:r>
            <w:r>
              <w:rPr>
                <w:rFonts w:hint="eastAsia"/>
                <w:color w:val="000000" w:themeColor="text1"/>
                <w:highlight w:val="none"/>
                <w:shd w:val="clear" w:color="auto" w:fill="FFFFFF"/>
                <w14:textFill>
                  <w14:solidFill>
                    <w14:schemeClr w14:val="tx1"/>
                  </w14:solidFill>
                </w14:textFill>
              </w:rPr>
              <w:t>对</w:t>
            </w:r>
            <w:r>
              <w:rPr>
                <w:color w:val="000000" w:themeColor="text1"/>
                <w:highlight w:val="none"/>
                <w:shd w:val="clear" w:color="auto" w:fill="FFFFFF"/>
                <w14:textFill>
                  <w14:solidFill>
                    <w14:schemeClr w14:val="tx1"/>
                  </w14:solidFill>
                </w14:textFill>
              </w:rPr>
              <w:t>设置的危险废物暂存区</w:t>
            </w:r>
            <w:r>
              <w:rPr>
                <w:rFonts w:hint="eastAsia"/>
                <w:color w:val="000000" w:themeColor="text1"/>
                <w:highlight w:val="none"/>
                <w:shd w:val="clear" w:color="auto" w:fill="FFFFFF"/>
                <w14:textFill>
                  <w14:solidFill>
                    <w14:schemeClr w14:val="tx1"/>
                  </w14:solidFill>
                </w14:textFill>
              </w:rPr>
              <w:t>、废水储存设施等均</w:t>
            </w:r>
            <w:r>
              <w:rPr>
                <w:color w:val="000000" w:themeColor="text1"/>
                <w:highlight w:val="none"/>
                <w:shd w:val="clear" w:color="auto" w:fill="FFFFFF"/>
                <w14:textFill>
                  <w14:solidFill>
                    <w14:schemeClr w14:val="tx1"/>
                  </w14:solidFill>
                </w14:textFill>
              </w:rPr>
              <w:t>采取了重点防渗措施，满足防腐蚀、防渗漏、防挥发等</w:t>
            </w:r>
            <w:r>
              <w:rPr>
                <w:rFonts w:hint="eastAsia"/>
                <w:color w:val="000000" w:themeColor="text1"/>
                <w:highlight w:val="none"/>
                <w:shd w:val="clear" w:color="auto" w:fill="FFFFFF"/>
                <w14:textFill>
                  <w14:solidFill>
                    <w14:schemeClr w14:val="tx1"/>
                  </w14:solidFill>
                </w14:textFill>
              </w:rPr>
              <w:t>要</w:t>
            </w:r>
            <w:r>
              <w:rPr>
                <w:color w:val="000000" w:themeColor="text1"/>
                <w:highlight w:val="none"/>
                <w:shd w:val="clear" w:color="auto" w:fill="FFFFFF"/>
                <w14:textFill>
                  <w14:solidFill>
                    <w14:schemeClr w14:val="tx1"/>
                  </w14:solidFill>
                </w14:textFill>
              </w:rPr>
              <w:t>求</w:t>
            </w:r>
            <w:r>
              <w:rPr>
                <w:rFonts w:hint="eastAsia"/>
                <w:color w:val="000000" w:themeColor="text1"/>
                <w:highlight w:val="none"/>
                <w:shd w:val="clear" w:color="auto" w:fill="FFFFFF"/>
                <w14:textFill>
                  <w14:solidFill>
                    <w14:schemeClr w14:val="tx1"/>
                  </w14:solidFill>
                </w14:textFill>
              </w:rPr>
              <w:t>。</w:t>
            </w:r>
          </w:p>
        </w:tc>
        <w:tc>
          <w:tcPr>
            <w:tcW w:w="10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4272" w:type="dxa"/>
            <w:vAlign w:val="center"/>
          </w:tcPr>
          <w:p>
            <w:pPr>
              <w:widowControl/>
              <w:spacing w:line="240" w:lineRule="auto"/>
              <w:ind w:firstLine="420"/>
              <w:jc w:val="left"/>
              <w:rPr>
                <w:rFonts w:cs="Times New Roman"/>
                <w:color w:val="000000" w:themeColor="text1"/>
                <w:sz w:val="21"/>
                <w:szCs w:val="20"/>
                <w:highlight w:val="none"/>
                <w:shd w:val="clear" w:color="auto" w:fill="FFFFFF"/>
                <w14:textFill>
                  <w14:solidFill>
                    <w14:schemeClr w14:val="tx1"/>
                  </w14:solidFill>
                </w14:textFill>
              </w:rPr>
            </w:pPr>
            <w:r>
              <w:rPr>
                <w:rFonts w:hint="eastAsia" w:cs="Times New Roman"/>
                <w:color w:val="000000" w:themeColor="text1"/>
                <w:sz w:val="21"/>
                <w:szCs w:val="20"/>
                <w:highlight w:val="none"/>
                <w:shd w:val="clear" w:color="auto" w:fill="FFFFFF"/>
                <w14:textFill>
                  <w14:solidFill>
                    <w14:schemeClr w14:val="tx1"/>
                  </w14:solidFill>
                </w14:textFill>
              </w:rPr>
              <w:t>第二十八条 页岩气勘探开发单位应当采用先进清洁生产技术，减少勘探、开采、封井、回注等环节中污染物的产生和排放；开展页岩气开发区域土壤及地表水、地下水污染状况监测，对产生的废弃钻井液、废水、岩屑、污油等污染物进行无害化处置和资源化利用，防止有毒有害物质污染土壤及地表水、地下水。</w:t>
            </w:r>
          </w:p>
        </w:tc>
        <w:tc>
          <w:tcPr>
            <w:tcW w:w="3089" w:type="dxa"/>
            <w:vAlign w:val="center"/>
          </w:tcPr>
          <w:p>
            <w:pPr>
              <w:pStyle w:val="297"/>
              <w:jc w:val="left"/>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本项目为常规含硫天然气井的勘探开发项目，不属于页岩气天然气井的勘探开发</w:t>
            </w:r>
            <w:r>
              <w:rPr>
                <w:rStyle w:val="65"/>
                <w:rFonts w:hint="eastAsia" w:ascii="Calibri" w:hAnsi="Calibri"/>
                <w:color w:val="000000" w:themeColor="text1"/>
                <w:kern w:val="0"/>
                <w:highlight w:val="none"/>
                <w14:textFill>
                  <w14:solidFill>
                    <w14:schemeClr w14:val="tx1"/>
                  </w14:solidFill>
                </w14:textFill>
              </w:rPr>
              <w:t>项目</w:t>
            </w:r>
            <w:r>
              <w:rPr>
                <w:rFonts w:hint="eastAsia"/>
                <w:color w:val="000000" w:themeColor="text1"/>
                <w:highlight w:val="none"/>
                <w:shd w:val="clear" w:color="auto" w:fill="FFFFFF"/>
                <w14:textFill>
                  <w14:solidFill>
                    <w14:schemeClr w14:val="tx1"/>
                  </w14:solidFill>
                </w14:textFill>
              </w:rPr>
              <w:t>。</w:t>
            </w:r>
          </w:p>
        </w:tc>
        <w:tc>
          <w:tcPr>
            <w:tcW w:w="10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4272" w:type="dxa"/>
            <w:vAlign w:val="center"/>
          </w:tcPr>
          <w:p>
            <w:pPr>
              <w:widowControl/>
              <w:shd w:val="clear" w:color="auto" w:fill="FFFFFF"/>
              <w:spacing w:line="240" w:lineRule="auto"/>
              <w:ind w:firstLine="420"/>
              <w:jc w:val="left"/>
              <w:rPr>
                <w:rFonts w:cs="Times New Roman"/>
                <w:color w:val="000000" w:themeColor="text1"/>
                <w:sz w:val="21"/>
                <w:szCs w:val="20"/>
                <w:highlight w:val="none"/>
                <w:shd w:val="clear" w:color="auto" w:fill="FFFFFF"/>
                <w14:textFill>
                  <w14:solidFill>
                    <w14:schemeClr w14:val="tx1"/>
                  </w14:solidFill>
                </w14:textFill>
              </w:rPr>
            </w:pPr>
            <w:r>
              <w:rPr>
                <w:rFonts w:cs="Times New Roman"/>
                <w:color w:val="000000" w:themeColor="text1"/>
                <w:sz w:val="21"/>
                <w:szCs w:val="20"/>
                <w:highlight w:val="none"/>
                <w:shd w:val="clear" w:color="auto" w:fill="FFFFFF"/>
                <w14:textFill>
                  <w14:solidFill>
                    <w14:schemeClr w14:val="tx1"/>
                  </w14:solidFill>
                </w14:textFill>
              </w:rPr>
              <w:t>第四十七条 建设用地有下列情形之一的，土地使用权人应当按照国家、省有关规定开展土壤污染状况调查：</w:t>
            </w:r>
          </w:p>
          <w:p>
            <w:pPr>
              <w:widowControl/>
              <w:shd w:val="clear" w:color="auto" w:fill="FFFFFF"/>
              <w:spacing w:line="240" w:lineRule="auto"/>
              <w:ind w:firstLine="420"/>
              <w:jc w:val="left"/>
              <w:rPr>
                <w:rFonts w:cs="Times New Roman"/>
                <w:color w:val="000000" w:themeColor="text1"/>
                <w:sz w:val="21"/>
                <w:szCs w:val="20"/>
                <w:highlight w:val="none"/>
                <w:shd w:val="clear" w:color="auto" w:fill="FFFFFF"/>
                <w14:textFill>
                  <w14:solidFill>
                    <w14:schemeClr w14:val="tx1"/>
                  </w14:solidFill>
                </w14:textFill>
              </w:rPr>
            </w:pPr>
            <w:r>
              <w:rPr>
                <w:rFonts w:cs="Times New Roman"/>
                <w:color w:val="000000" w:themeColor="text1"/>
                <w:sz w:val="21"/>
                <w:szCs w:val="20"/>
                <w:highlight w:val="none"/>
                <w:shd w:val="clear" w:color="auto" w:fill="FFFFFF"/>
                <w14:textFill>
                  <w14:solidFill>
                    <w14:schemeClr w14:val="tx1"/>
                  </w14:solidFill>
                </w14:textFill>
              </w:rPr>
              <w:t>（一）有色和黑色金属矿采选、有色和黑色金属冶炼、石油和天然气开采、石油加工、化学原料和化学制品制造、汽车制造以及铅蓄电池、焦化、电镀、制革、电子废弃物拆解、垃圾焚烧等行业企业关停、搬迁的；</w:t>
            </w:r>
          </w:p>
        </w:tc>
        <w:tc>
          <w:tcPr>
            <w:tcW w:w="3089" w:type="dxa"/>
            <w:vAlign w:val="center"/>
          </w:tcPr>
          <w:p>
            <w:pPr>
              <w:pStyle w:val="297"/>
              <w:jc w:val="left"/>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本项目天然气钻井及试采工程项目，在后期天然气井停产时的闭井期，将进行封井和土地复垦作业，同时还将按要求对项目所在地开展</w:t>
            </w:r>
            <w:r>
              <w:rPr>
                <w:color w:val="000000" w:themeColor="text1"/>
                <w:highlight w:val="none"/>
                <w:shd w:val="clear" w:color="auto" w:fill="FFFFFF"/>
                <w14:textFill>
                  <w14:solidFill>
                    <w14:schemeClr w14:val="tx1"/>
                  </w14:solidFill>
                </w14:textFill>
              </w:rPr>
              <w:t>土壤污染状况调查</w:t>
            </w:r>
            <w:r>
              <w:rPr>
                <w:rFonts w:hint="eastAsia"/>
                <w:color w:val="000000" w:themeColor="text1"/>
                <w:highlight w:val="none"/>
                <w:shd w:val="clear" w:color="auto" w:fill="FFFFFF"/>
                <w14:textFill>
                  <w14:solidFill>
                    <w14:schemeClr w14:val="tx1"/>
                  </w14:solidFill>
                </w14:textFill>
              </w:rPr>
              <w:t>。</w:t>
            </w:r>
          </w:p>
        </w:tc>
        <w:tc>
          <w:tcPr>
            <w:tcW w:w="10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符合</w:t>
            </w:r>
          </w:p>
        </w:tc>
      </w:tr>
    </w:tbl>
    <w:p>
      <w:pPr>
        <w:pStyle w:val="21"/>
        <w:spacing w:before="0"/>
        <w:ind w:left="0" w:firstLine="480"/>
        <w:jc w:val="both"/>
        <w:rPr>
          <w:rFonts w:ascii="Times New Roman" w:hAnsi="Times New Roman"/>
          <w:color w:val="000000" w:themeColor="text1"/>
          <w:kern w:val="21"/>
          <w:highlight w:val="none"/>
          <w:lang w:eastAsia="zh-CN"/>
          <w14:textFill>
            <w14:solidFill>
              <w14:schemeClr w14:val="tx1"/>
            </w14:solidFill>
          </w14:textFill>
        </w:rPr>
      </w:pPr>
    </w:p>
    <w:p>
      <w:pPr>
        <w:pStyle w:val="21"/>
        <w:spacing w:before="0"/>
        <w:ind w:left="0" w:firstLine="480"/>
        <w:jc w:val="both"/>
        <w:rPr>
          <w:rFonts w:ascii="Times New Roman" w:hAnsi="Times New Roman"/>
          <w:color w:val="000000" w:themeColor="text1"/>
          <w:kern w:val="21"/>
          <w:highlight w:val="none"/>
          <w:lang w:eastAsia="zh-CN"/>
          <w14:textFill>
            <w14:solidFill>
              <w14:schemeClr w14:val="tx1"/>
            </w14:solidFill>
          </w14:textFill>
        </w:rPr>
      </w:pPr>
      <w:r>
        <w:rPr>
          <w:rFonts w:ascii="Times New Roman" w:hAnsi="Times New Roman"/>
          <w:color w:val="000000" w:themeColor="text1"/>
          <w:kern w:val="21"/>
          <w:highlight w:val="none"/>
          <w:lang w:eastAsia="zh-CN"/>
          <w14:textFill>
            <w14:solidFill>
              <w14:schemeClr w14:val="tx1"/>
            </w14:solidFill>
          </w14:textFill>
        </w:rPr>
        <w:t>综上所述，本项目</w:t>
      </w:r>
      <w:r>
        <w:rPr>
          <w:rFonts w:hint="eastAsia" w:ascii="Times New Roman" w:hAnsi="Times New Roman"/>
          <w:color w:val="000000" w:themeColor="text1"/>
          <w:kern w:val="21"/>
          <w:highlight w:val="none"/>
          <w:lang w:eastAsia="zh-CN"/>
          <w14:textFill>
            <w14:solidFill>
              <w14:schemeClr w14:val="tx1"/>
            </w14:solidFill>
          </w14:textFill>
        </w:rPr>
        <w:t>与《四川省土壤污染防治条例》</w:t>
      </w:r>
      <w:r>
        <w:rPr>
          <w:rFonts w:ascii="Times New Roman" w:hAnsi="Times New Roman"/>
          <w:color w:val="000000" w:themeColor="text1"/>
          <w:kern w:val="21"/>
          <w:highlight w:val="none"/>
          <w:lang w:eastAsia="zh-CN"/>
          <w14:textFill>
            <w14:solidFill>
              <w14:schemeClr w14:val="tx1"/>
            </w14:solidFill>
          </w14:textFill>
        </w:rPr>
        <w:t>相符合。</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w:t>
      </w:r>
      <w:r>
        <w:rPr>
          <w:rFonts w:hint="eastAsia"/>
          <w:color w:val="000000" w:themeColor="text1"/>
          <w:kern w:val="21"/>
          <w:highlight w:val="none"/>
          <w14:textFill>
            <w14:solidFill>
              <w14:schemeClr w14:val="tx1"/>
            </w14:solidFill>
          </w14:textFill>
        </w:rPr>
        <w:t>与《四川省工矿用地土壤环境管理办法》符合性分析</w:t>
      </w:r>
    </w:p>
    <w:p>
      <w:pPr>
        <w:pStyle w:val="21"/>
        <w:spacing w:before="0"/>
        <w:ind w:left="0" w:firstLine="480"/>
        <w:jc w:val="both"/>
        <w:rPr>
          <w:rFonts w:ascii="Times New Roman" w:hAnsi="Times New Roman"/>
          <w:color w:val="000000" w:themeColor="text1"/>
          <w:kern w:val="21"/>
          <w:highlight w:val="none"/>
          <w:lang w:eastAsia="zh-CN"/>
          <w14:textFill>
            <w14:solidFill>
              <w14:schemeClr w14:val="tx1"/>
            </w14:solidFill>
          </w14:textFill>
        </w:rPr>
      </w:pPr>
      <w:r>
        <w:rPr>
          <w:rFonts w:hint="eastAsia" w:ascii="Times New Roman" w:hAnsi="Times New Roman"/>
          <w:color w:val="000000" w:themeColor="text1"/>
          <w:kern w:val="21"/>
          <w:highlight w:val="none"/>
          <w:lang w:eastAsia="zh-CN"/>
          <w14:textFill>
            <w14:solidFill>
              <w14:schemeClr w14:val="tx1"/>
            </w14:solidFill>
          </w14:textFill>
        </w:rPr>
        <w:t>2023年12月22日四川省生态环境厅、四川省经济和信息化厅、四川省自然资源、四川省住房和城乡建设厅联合发布了《四川省工矿用地土壤环境管理办法》（川环规〔2023〕7号），2024年2月1日起施行，根据“办法”，本办法适用于四川省行政区域内从事工业、矿业生产经营活动的土壤污染重点监管单位用地土壤和地下水的环境现状调查、环境影响评价、污染防治设施的建设和运行管理、土壤污染隐患排查、环境监测和风险评估、污染应急、风险管控和修复等活动，以及相关生态环境监督管理。本</w:t>
      </w:r>
      <w:r>
        <w:rPr>
          <w:rFonts w:ascii="Times New Roman" w:hAnsi="Times New Roman"/>
          <w:color w:val="000000" w:themeColor="text1"/>
          <w:kern w:val="21"/>
          <w:highlight w:val="none"/>
          <w:lang w:eastAsia="zh-CN"/>
          <w14:textFill>
            <w14:solidFill>
              <w14:schemeClr w14:val="tx1"/>
            </w14:solidFill>
          </w14:textFill>
        </w:rPr>
        <w:t>项目</w:t>
      </w:r>
      <w:r>
        <w:rPr>
          <w:rFonts w:hint="eastAsia" w:ascii="Times New Roman" w:hAnsi="Times New Roman"/>
          <w:color w:val="000000" w:themeColor="text1"/>
          <w:kern w:val="21"/>
          <w:highlight w:val="none"/>
          <w:lang w:eastAsia="zh-CN"/>
          <w14:textFill>
            <w14:solidFill>
              <w14:schemeClr w14:val="tx1"/>
            </w14:solidFill>
          </w14:textFill>
        </w:rPr>
        <w:t>为天然气勘探试采，不属于有色金属矿采选、有色金属冶炼、黑色金属矿采选、黑色金属冶炼、石油开采、石油加工、化工、焦化、电镀、制革、化学制药、铅蓄电池、汽车制造、废弃电器电子产品处理、报废机动车回收拆解等行业，不属于土壤污染重点监管单位，因此不违背《四川省工矿用地土壤环境管理办法》（川环规〔2023〕7号）管控要求。</w:t>
      </w:r>
    </w:p>
    <w:bookmarkEnd w:id="93"/>
    <w:p>
      <w:pPr>
        <w:pStyle w:val="4"/>
        <w:spacing w:before="0" w:beforeLines="0"/>
        <w:ind w:firstLine="480"/>
        <w:rPr>
          <w:color w:val="000000" w:themeColor="text1"/>
          <w:highlight w:val="none"/>
          <w:lang w:eastAsia="zh-CN"/>
          <w14:textFill>
            <w14:solidFill>
              <w14:schemeClr w14:val="tx1"/>
            </w14:solidFill>
          </w14:textFill>
        </w:rPr>
      </w:pPr>
      <w:bookmarkStart w:id="95" w:name="_Toc120173080"/>
      <w:r>
        <w:rPr>
          <w:rFonts w:hint="eastAsia"/>
          <w:color w:val="000000" w:themeColor="text1"/>
          <w:highlight w:val="none"/>
          <w:lang w:eastAsia="zh-CN"/>
          <w14:textFill>
            <w14:solidFill>
              <w14:schemeClr w14:val="tx1"/>
            </w14:solidFill>
          </w14:textFill>
        </w:rPr>
        <w:t>生态环境分区管控的</w:t>
      </w:r>
      <w:r>
        <w:rPr>
          <w:color w:val="000000" w:themeColor="text1"/>
          <w:highlight w:val="none"/>
          <w:lang w:eastAsia="zh-CN"/>
          <w14:textFill>
            <w14:solidFill>
              <w14:schemeClr w14:val="tx1"/>
            </w14:solidFill>
          </w14:textFill>
        </w:rPr>
        <w:t>符合性分析</w:t>
      </w:r>
      <w:bookmarkEnd w:id="95"/>
    </w:p>
    <w:p>
      <w:pPr>
        <w:overflowPunct w:val="0"/>
        <w:ind w:firstLine="482"/>
        <w:jc w:val="left"/>
        <w:rPr>
          <w:rFonts w:cs="Times New Roman"/>
          <w:b/>
          <w:bCs/>
          <w:color w:val="000000" w:themeColor="text1"/>
          <w:kern w:val="21"/>
          <w:szCs w:val="24"/>
          <w:highlight w:val="none"/>
          <w14:textFill>
            <w14:solidFill>
              <w14:schemeClr w14:val="tx1"/>
            </w14:solidFill>
          </w14:textFill>
        </w:rPr>
      </w:pPr>
      <w:r>
        <w:rPr>
          <w:rFonts w:hint="eastAsia" w:cs="Times New Roman"/>
          <w:b/>
          <w:bCs/>
          <w:color w:val="000000" w:themeColor="text1"/>
          <w:kern w:val="21"/>
          <w:szCs w:val="24"/>
          <w:highlight w:val="none"/>
          <w14:textFill>
            <w14:solidFill>
              <w14:schemeClr w14:val="tx1"/>
            </w14:solidFill>
          </w14:textFill>
        </w:rPr>
        <w:t>（1）与《达州市人民政府办公室关于加强生态环境分区管控的通知》（达市府办函〔2024〕31号）符合性分析</w:t>
      </w:r>
    </w:p>
    <w:p>
      <w:pPr>
        <w:overflowPunct w:val="0"/>
        <w:ind w:firstLine="480"/>
        <w:jc w:val="left"/>
        <w:rPr>
          <w:rFonts w:cs="Times New Roman"/>
          <w:color w:val="000000" w:themeColor="text1"/>
          <w:kern w:val="21"/>
          <w:szCs w:val="24"/>
          <w:highlight w:val="none"/>
          <w14:textFill>
            <w14:solidFill>
              <w14:schemeClr w14:val="tx1"/>
            </w14:solidFill>
          </w14:textFill>
        </w:rPr>
      </w:pPr>
      <w:r>
        <w:rPr>
          <w:rFonts w:hint="eastAsia" w:cs="Times New Roman"/>
          <w:color w:val="000000" w:themeColor="text1"/>
          <w:kern w:val="21"/>
          <w:szCs w:val="24"/>
          <w:highlight w:val="none"/>
          <w14:textFill>
            <w14:solidFill>
              <w14:schemeClr w14:val="tx1"/>
            </w14:solidFill>
          </w14:textFill>
        </w:rPr>
        <w:t>根据达州市人民政府办公室印发了《达州市人民政府办公室关于加强生态环境分区管控的通知》（达市府办函〔2024〕31号），全市行政区域从生态环境角度划分为优先保护、重点管控和一般管控三类环境管控单元。</w:t>
      </w:r>
    </w:p>
    <w:p>
      <w:pPr>
        <w:overflowPunct w:val="0"/>
        <w:ind w:firstLine="480"/>
        <w:jc w:val="left"/>
        <w:rPr>
          <w:rFonts w:cs="Times New Roman"/>
          <w:color w:val="000000" w:themeColor="text1"/>
          <w:kern w:val="21"/>
          <w:szCs w:val="24"/>
          <w:highlight w:val="none"/>
          <w14:textFill>
            <w14:solidFill>
              <w14:schemeClr w14:val="tx1"/>
            </w14:solidFill>
          </w14:textFill>
        </w:rPr>
      </w:pPr>
      <w:r>
        <w:rPr>
          <w:rFonts w:hint="eastAsia" w:cs="Times New Roman"/>
          <w:color w:val="000000" w:themeColor="text1"/>
          <w:kern w:val="21"/>
          <w:szCs w:val="24"/>
          <w:highlight w:val="none"/>
          <w14:textFill>
            <w14:solidFill>
              <w14:schemeClr w14:val="tx1"/>
            </w14:solidFill>
          </w14:textFill>
        </w:rPr>
        <w:t>①优先保护单元。以生态环境保护为主的区域，全市划分优先保护单元18个，主要包括生态保护红线、自然保护地、饮用水水源保护区等。</w:t>
      </w:r>
    </w:p>
    <w:p>
      <w:pPr>
        <w:overflowPunct w:val="0"/>
        <w:ind w:firstLine="480"/>
        <w:jc w:val="left"/>
        <w:rPr>
          <w:rFonts w:cs="Times New Roman"/>
          <w:color w:val="000000" w:themeColor="text1"/>
          <w:kern w:val="21"/>
          <w:szCs w:val="24"/>
          <w:highlight w:val="none"/>
          <w14:textFill>
            <w14:solidFill>
              <w14:schemeClr w14:val="tx1"/>
            </w14:solidFill>
          </w14:textFill>
        </w:rPr>
      </w:pPr>
      <w:r>
        <w:rPr>
          <w:rFonts w:hint="eastAsia" w:cs="Times New Roman"/>
          <w:color w:val="000000" w:themeColor="text1"/>
          <w:kern w:val="21"/>
          <w:szCs w:val="24"/>
          <w:highlight w:val="none"/>
          <w14:textFill>
            <w14:solidFill>
              <w14:schemeClr w14:val="tx1"/>
            </w14:solidFill>
          </w14:textFill>
        </w:rPr>
        <w:t>②重点管控单元。涉及水、大气、土壤、自然资源等资源环境要素重点管控的区域，全市划分重点管控单元22个，主要包括人口密集的城镇规划区和产业集聚的工业园区（工业集聚区）等。</w:t>
      </w:r>
    </w:p>
    <w:p>
      <w:pPr>
        <w:overflowPunct w:val="0"/>
        <w:ind w:firstLine="480"/>
        <w:jc w:val="left"/>
        <w:rPr>
          <w:rFonts w:cs="Times New Roman"/>
          <w:color w:val="000000" w:themeColor="text1"/>
          <w:kern w:val="21"/>
          <w:szCs w:val="24"/>
          <w:highlight w:val="none"/>
          <w14:textFill>
            <w14:solidFill>
              <w14:schemeClr w14:val="tx1"/>
            </w14:solidFill>
          </w14:textFill>
        </w:rPr>
      </w:pPr>
      <w:r>
        <w:rPr>
          <w:rFonts w:hint="eastAsia" w:cs="Times New Roman"/>
          <w:color w:val="000000" w:themeColor="text1"/>
          <w:kern w:val="21"/>
          <w:szCs w:val="24"/>
          <w:highlight w:val="none"/>
          <w14:textFill>
            <w14:solidFill>
              <w14:schemeClr w14:val="tx1"/>
            </w14:solidFill>
          </w14:textFill>
        </w:rPr>
        <w:t>③一般管控单元。除优先保护单元和重点管控单元之外的其他区域，全市共划分一般管控单元7个。</w:t>
      </w:r>
    </w:p>
    <w:p>
      <w:pPr>
        <w:overflowPunct w:val="0"/>
        <w:ind w:firstLine="480"/>
        <w:jc w:val="left"/>
        <w:rPr>
          <w:rFonts w:cs="Times New Roman"/>
          <w:color w:val="000000" w:themeColor="text1"/>
          <w:kern w:val="21"/>
          <w:szCs w:val="24"/>
          <w:highlight w:val="none"/>
          <w14:textFill>
            <w14:solidFill>
              <w14:schemeClr w14:val="tx1"/>
            </w14:solidFill>
          </w14:textFill>
        </w:rPr>
      </w:pPr>
      <w:r>
        <w:rPr>
          <w:rFonts w:hint="eastAsia" w:cs="Times New Roman"/>
          <w:color w:val="000000" w:themeColor="text1"/>
          <w:kern w:val="21"/>
          <w:szCs w:val="24"/>
          <w:highlight w:val="none"/>
          <w14:textFill>
            <w14:solidFill>
              <w14:schemeClr w14:val="tx1"/>
            </w14:solidFill>
          </w14:textFill>
        </w:rPr>
        <w:t>项目于达州市生态环境管控单元位置关系图如下所示：</w:t>
      </w:r>
    </w:p>
    <w:p>
      <w:pPr>
        <w:pStyle w:val="95"/>
        <w:keepNext/>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2488565</wp:posOffset>
                </wp:positionH>
                <wp:positionV relativeFrom="paragraph">
                  <wp:posOffset>1071245</wp:posOffset>
                </wp:positionV>
                <wp:extent cx="815340" cy="177165"/>
                <wp:effectExtent l="5080" t="4445" r="8255" b="208915"/>
                <wp:wrapNone/>
                <wp:docPr id="10" name="对话气泡: 圆角矩形 10"/>
                <wp:cNvGraphicFramePr/>
                <a:graphic xmlns:a="http://schemas.openxmlformats.org/drawingml/2006/main">
                  <a:graphicData uri="http://schemas.microsoft.com/office/word/2010/wordprocessingShape">
                    <wps:wsp>
                      <wps:cNvSpPr>
                        <a:spLocks noChangeArrowheads="1"/>
                      </wps:cNvSpPr>
                      <wps:spPr bwMode="auto">
                        <a:xfrm>
                          <a:off x="0" y="0"/>
                          <a:ext cx="815340" cy="177165"/>
                        </a:xfrm>
                        <a:prstGeom prst="wedgeRoundRectCallout">
                          <a:avLst>
                            <a:gd name="adj1" fmla="val -44777"/>
                            <a:gd name="adj2" fmla="val 156070"/>
                            <a:gd name="adj3" fmla="val 16667"/>
                          </a:avLst>
                        </a:prstGeom>
                        <a:solidFill>
                          <a:srgbClr val="FFFFFF"/>
                        </a:solidFill>
                        <a:ln w="9525" cmpd="sng">
                          <a:solidFill>
                            <a:srgbClr val="000000"/>
                          </a:solidFill>
                          <a:miter lim="800000"/>
                        </a:ln>
                      </wps:spPr>
                      <wps:txbx>
                        <w:txbxContent>
                          <w:p>
                            <w:pPr>
                              <w:spacing w:line="240" w:lineRule="auto"/>
                              <w:ind w:firstLine="0" w:firstLineChars="0"/>
                              <w:jc w:val="center"/>
                              <w:rPr>
                                <w:sz w:val="21"/>
                                <w:szCs w:val="21"/>
                              </w:rPr>
                            </w:pPr>
                            <w:r>
                              <w:rPr>
                                <w:rFonts w:hint="eastAsia"/>
                                <w:sz w:val="21"/>
                                <w:szCs w:val="21"/>
                              </w:rPr>
                              <w:t>项目所在地</w:t>
                            </w:r>
                          </w:p>
                        </w:txbxContent>
                      </wps:txbx>
                      <wps:bodyPr rot="0" vert="horz" wrap="square" lIns="0" tIns="0" rIns="0" bIns="0" anchor="t" anchorCtr="0" upright="1">
                        <a:noAutofit/>
                      </wps:bodyPr>
                    </wps:wsp>
                  </a:graphicData>
                </a:graphic>
              </wp:anchor>
            </w:drawing>
          </mc:Choice>
          <mc:Fallback>
            <w:pict>
              <v:shape id="对话气泡: 圆角矩形 10" o:spid="_x0000_s1026" o:spt="62" type="#_x0000_t62" style="position:absolute;left:0pt;margin-left:195.95pt;margin-top:84.35pt;height:13.95pt;width:64.2pt;z-index:251719680;mso-width-relative:page;mso-height-relative:page;" fillcolor="#FFFFFF" filled="t" stroked="t" coordsize="21600,21600" o:gfxdata="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kKUEPXAAAA&#10;CwEAAA8AAAAAAAAAAQAgAAAAIgAAAGRycy9kb3ducmV2LnhtbFBLAQIUABQAAAAIAIdO4kD5FEAW&#10;kAIAABIFAAAOAAAAAAAAAAEAIAAAACYBAABkcnMvZTJvRG9jLnhtbFBLBQYAAAAABgAGAFkBAAAo&#10;BgAAAAA=&#10;" adj="1128,44511,14400">
                <v:fill on="t" focussize="0,0"/>
                <v:stroke color="#000000" miterlimit="8" joinstyle="miter"/>
                <v:imagedata o:title=""/>
                <o:lock v:ext="edit" aspectratio="f"/>
                <v:textbox inset="0mm,0mm,0mm,0mm">
                  <w:txbxContent>
                    <w:p>
                      <w:pPr>
                        <w:spacing w:line="240" w:lineRule="auto"/>
                        <w:ind w:firstLine="0" w:firstLineChars="0"/>
                        <w:jc w:val="center"/>
                        <w:rPr>
                          <w:sz w:val="21"/>
                          <w:szCs w:val="21"/>
                        </w:rPr>
                      </w:pPr>
                      <w:r>
                        <w:rPr>
                          <w:rFonts w:hint="eastAsia"/>
                          <w:sz w:val="21"/>
                          <w:szCs w:val="21"/>
                        </w:rPr>
                        <w:t>项目所在地</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5219700" cy="3735705"/>
            <wp:effectExtent l="0" t="0" r="0" b="7620"/>
            <wp:docPr id="151" name="图片 151" descr="达州市环境管控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达州市环境管控单元"/>
                    <pic:cNvPicPr>
                      <a:picLocks noChangeAspect="1"/>
                    </pic:cNvPicPr>
                  </pic:nvPicPr>
                  <pic:blipFill>
                    <a:blip r:embed="rId17"/>
                    <a:stretch>
                      <a:fillRect/>
                    </a:stretch>
                  </pic:blipFill>
                  <pic:spPr>
                    <a:xfrm>
                      <a:off x="0" y="0"/>
                      <a:ext cx="5219700" cy="3735705"/>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项目与达州市环境管控单元位置关系图</w:t>
      </w:r>
    </w:p>
    <w:p>
      <w:pPr>
        <w:overflowPunct w:val="0"/>
        <w:ind w:firstLine="0" w:firstLineChars="0"/>
        <w:jc w:val="center"/>
        <w:rPr>
          <w:rFonts w:eastAsia="黑体" w:cs="Times New Roman"/>
          <w:color w:val="000000" w:themeColor="text1"/>
          <w:sz w:val="21"/>
          <w:szCs w:val="21"/>
          <w:highlight w:val="none"/>
          <w14:textFill>
            <w14:solidFill>
              <w14:schemeClr w14:val="tx1"/>
            </w14:solidFill>
          </w14:textFill>
        </w:rPr>
      </w:pPr>
      <w:r>
        <w:rPr>
          <w:rFonts w:hint="eastAsia" w:eastAsia="黑体" w:cs="Times New Roman"/>
          <w:color w:val="000000" w:themeColor="text1"/>
          <w:sz w:val="21"/>
          <w:szCs w:val="21"/>
          <w:highlight w:val="none"/>
          <w14:textFill>
            <w14:solidFill>
              <w14:schemeClr w14:val="tx1"/>
            </w14:solidFill>
          </w14:textFill>
        </w:rPr>
        <w:t>表2.7-21  项目与达州市及宣汉县总体生态环境管控要求符合性分析</w:t>
      </w:r>
    </w:p>
    <w:tbl>
      <w:tblPr>
        <w:tblStyle w:val="5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700"/>
        <w:gridCol w:w="4056"/>
        <w:gridCol w:w="2988"/>
        <w:gridCol w:w="5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90" w:hRule="atLeast"/>
          <w:jc w:val="center"/>
        </w:trPr>
        <w:tc>
          <w:tcPr>
            <w:tcW w:w="420"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区域</w:t>
            </w:r>
          </w:p>
        </w:tc>
        <w:tc>
          <w:tcPr>
            <w:tcW w:w="2434"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达市府发〔2021〕17号</w:t>
            </w:r>
          </w:p>
        </w:tc>
        <w:tc>
          <w:tcPr>
            <w:tcW w:w="1793"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本项目情况</w:t>
            </w:r>
          </w:p>
        </w:tc>
        <w:tc>
          <w:tcPr>
            <w:tcW w:w="351"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420"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达州市</w:t>
            </w:r>
          </w:p>
        </w:tc>
        <w:tc>
          <w:tcPr>
            <w:tcW w:w="2434" w:type="pct"/>
            <w:vAlign w:val="center"/>
          </w:tcPr>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1. 长江干支流岸线1千米范围内，不得新建、扩建化工园区和化工项目。</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2. 严控产业转移环境准入。</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3. 引进项目应符合园区规划环评和区域产业准入清单要求。</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4. 造纸等产业污染治理和环境管理应达到国内先进水平。优化制浆造纸产业布局，提升行业清洁生产水平，推动制浆造纸工业向节能、环保、绿色方向发展。</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5. 深化成都平原、川南、川东北地区大气污染联防联控工作机制，加强川渝地区联防联控。强化重污染天气区域应急联动机制，深化区域重污染天气联合应对。</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6. 钢铁行业项目新建应参考达州市“三线一单”生态环境分区管控中钢铁行业资源环境绩效准入门槛；达钢等高污染企业限期退城入园；普光气田开发污染防治和环境管理等方面要达国内先进水平。</w:t>
            </w:r>
          </w:p>
        </w:tc>
        <w:tc>
          <w:tcPr>
            <w:tcW w:w="1793"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项目为天然气勘探及试采工程项目，不属于化工、造纸、钢铁等项目，符合达州市有关总体生态环境管控要求；施工期和营运期通过采取严格大气污染防治措施，减少废气排放。</w:t>
            </w:r>
          </w:p>
        </w:tc>
        <w:tc>
          <w:tcPr>
            <w:tcW w:w="351"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1211" w:hRule="atLeast"/>
          <w:jc w:val="center"/>
        </w:trPr>
        <w:tc>
          <w:tcPr>
            <w:tcW w:w="420"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宣汉县</w:t>
            </w:r>
          </w:p>
        </w:tc>
        <w:tc>
          <w:tcPr>
            <w:tcW w:w="2434" w:type="pct"/>
            <w:vAlign w:val="center"/>
          </w:tcPr>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1.优化天然气化工、硫化工、锂钾综合开发、冶金建材、新材料等产业布局，切实做好危险化学品生产、使用、贮运、废弃全过程的安全防范措施，妥善处理好锂钾综合开发产业副产物及“三废”的综合利用途径或处置去向。</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2.打好升级版污染防治攻坚战。持续优化调整产业布局，以细颗粒物（PM2.5）和臭氧（Ⅰg）污染协同控制为重点，全面开展挥发性有机物（VOCs）治理，实施移动源整治，持续推进空气质量精细化管理。引进项目应符合园区规划环评和区域产业准入清单要求。</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3.加强小流域水环境保护，推动农村环保基础设施建设，全面推进农村环境综合整治、生活污水处理项目。</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4.大力开展沿河畜禽养殖污染整治，大力推广生态种植，减少农药化肥使用量；普光气田开发污染防治和环境管理等方面要达国内先进水平。</w:t>
            </w:r>
          </w:p>
        </w:tc>
        <w:tc>
          <w:tcPr>
            <w:tcW w:w="1793"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为天然气勘探及试采工程项目，属于天然气开发类项目，能够为后续天然气化工等项目提供能源，符合宣汉县有关总体生态环境管控要求。同时项目施工期和营运期通过采取严格大气、水、固废、噪声等污染防治措施，减少“三废”排放，降低环境影响。</w:t>
            </w:r>
          </w:p>
        </w:tc>
        <w:tc>
          <w:tcPr>
            <w:tcW w:w="351" w:type="pc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p>
        </w:tc>
      </w:tr>
    </w:tbl>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p>
      <w:pPr>
        <w:adjustRightInd/>
        <w:snapToGrid/>
        <w:ind w:firstLine="482"/>
        <w:rPr>
          <w:b/>
          <w:bCs/>
          <w:color w:val="000000" w:themeColor="text1"/>
          <w:szCs w:val="32"/>
          <w:highlight w:val="none"/>
          <w14:textFill>
            <w14:solidFill>
              <w14:schemeClr w14:val="tx1"/>
            </w14:solidFill>
          </w14:textFill>
        </w:rPr>
      </w:pPr>
      <w:r>
        <w:rPr>
          <w:rFonts w:hint="eastAsia"/>
          <w:b/>
          <w:bCs/>
          <w:color w:val="000000" w:themeColor="text1"/>
          <w:szCs w:val="32"/>
          <w:highlight w:val="none"/>
          <w14:textFill>
            <w14:solidFill>
              <w14:schemeClr w14:val="tx1"/>
            </w14:solidFill>
          </w14:textFill>
        </w:rPr>
        <w:t>（2）与“川环办函〔2021〕469号”符合性分析</w:t>
      </w:r>
    </w:p>
    <w:p>
      <w:pPr>
        <w:overflowPunct w:val="0"/>
        <w:ind w:firstLine="480"/>
        <w:jc w:val="left"/>
        <w:rPr>
          <w:rFonts w:cs="Times New Roman"/>
          <w:color w:val="000000" w:themeColor="text1"/>
          <w:kern w:val="21"/>
          <w:szCs w:val="24"/>
          <w:highlight w:val="none"/>
          <w14:textFill>
            <w14:solidFill>
              <w14:schemeClr w14:val="tx1"/>
            </w14:solidFill>
          </w14:textFill>
        </w:rPr>
      </w:pPr>
      <w:r>
        <w:rPr>
          <w:rFonts w:cs="Times New Roman"/>
          <w:color w:val="000000" w:themeColor="text1"/>
          <w:kern w:val="21"/>
          <w:szCs w:val="24"/>
          <w:highlight w:val="none"/>
          <w14:textFill>
            <w14:solidFill>
              <w14:schemeClr w14:val="tx1"/>
            </w14:solidFill>
          </w14:textFill>
        </w:rPr>
        <w:t>2021年12月27日，四川省生态环境厅办公室发布了</w:t>
      </w:r>
      <w:r>
        <w:rPr>
          <w:rFonts w:hint="eastAsia" w:cs="Times New Roman"/>
          <w:color w:val="000000" w:themeColor="text1"/>
          <w:kern w:val="21"/>
          <w:szCs w:val="24"/>
          <w:highlight w:val="none"/>
          <w14:textFill>
            <w14:solidFill>
              <w14:schemeClr w14:val="tx1"/>
            </w14:solidFill>
          </w14:textFill>
        </w:rPr>
        <w:t>“</w:t>
      </w:r>
      <w:r>
        <w:rPr>
          <w:rFonts w:cs="Times New Roman"/>
          <w:color w:val="000000" w:themeColor="text1"/>
          <w:kern w:val="21"/>
          <w:szCs w:val="24"/>
          <w:highlight w:val="none"/>
          <w14:textFill>
            <w14:solidFill>
              <w14:schemeClr w14:val="tx1"/>
            </w14:solidFill>
          </w14:textFill>
        </w:rPr>
        <w:t>关于印发《产业园区规划环评</w:t>
      </w:r>
      <w:r>
        <w:rPr>
          <w:rFonts w:hint="eastAsia" w:cs="Times New Roman"/>
          <w:color w:val="000000" w:themeColor="text1"/>
          <w:kern w:val="21"/>
          <w:szCs w:val="24"/>
          <w:highlight w:val="none"/>
          <w14:textFill>
            <w14:solidFill>
              <w14:schemeClr w14:val="tx1"/>
            </w14:solidFill>
          </w14:textFill>
        </w:rPr>
        <w:t>“</w:t>
      </w:r>
      <w:r>
        <w:rPr>
          <w:rFonts w:cs="Times New Roman"/>
          <w:color w:val="000000" w:themeColor="text1"/>
          <w:kern w:val="21"/>
          <w:szCs w:val="24"/>
          <w:highlight w:val="none"/>
          <w14:textFill>
            <w14:solidFill>
              <w14:schemeClr w14:val="tx1"/>
            </w14:solidFill>
          </w14:textFill>
        </w:rPr>
        <w:t>三线一单</w:t>
      </w:r>
      <w:r>
        <w:rPr>
          <w:rFonts w:hint="eastAsia" w:cs="Times New Roman"/>
          <w:color w:val="000000" w:themeColor="text1"/>
          <w:kern w:val="21"/>
          <w:szCs w:val="24"/>
          <w:highlight w:val="none"/>
          <w14:textFill>
            <w14:solidFill>
              <w14:schemeClr w14:val="tx1"/>
            </w14:solidFill>
          </w14:textFill>
        </w:rPr>
        <w:t>”</w:t>
      </w:r>
      <w:r>
        <w:rPr>
          <w:rFonts w:cs="Times New Roman"/>
          <w:color w:val="000000" w:themeColor="text1"/>
          <w:kern w:val="21"/>
          <w:szCs w:val="24"/>
          <w:highlight w:val="none"/>
          <w14:textFill>
            <w14:solidFill>
              <w14:schemeClr w14:val="tx1"/>
            </w14:solidFill>
          </w14:textFill>
        </w:rPr>
        <w:t>符合性分析技术要点（试行</w:t>
      </w:r>
      <w:r>
        <w:rPr>
          <w:rFonts w:hint="eastAsia" w:cs="Times New Roman"/>
          <w:color w:val="000000" w:themeColor="text1"/>
          <w:kern w:val="21"/>
          <w:szCs w:val="24"/>
          <w:highlight w:val="none"/>
          <w14:textFill>
            <w14:solidFill>
              <w14:schemeClr w14:val="tx1"/>
            </w14:solidFill>
          </w14:textFill>
        </w:rPr>
        <w:t>）》《</w:t>
      </w:r>
      <w:r>
        <w:rPr>
          <w:rFonts w:cs="Times New Roman"/>
          <w:color w:val="000000" w:themeColor="text1"/>
          <w:kern w:val="21"/>
          <w:szCs w:val="24"/>
          <w:highlight w:val="none"/>
          <w14:textFill>
            <w14:solidFill>
              <w14:schemeClr w14:val="tx1"/>
            </w14:solidFill>
          </w14:textFill>
        </w:rPr>
        <w:t>项目环评</w:t>
      </w:r>
      <w:r>
        <w:rPr>
          <w:rFonts w:hint="eastAsia" w:cs="Times New Roman"/>
          <w:color w:val="000000" w:themeColor="text1"/>
          <w:kern w:val="21"/>
          <w:szCs w:val="24"/>
          <w:highlight w:val="none"/>
          <w14:textFill>
            <w14:solidFill>
              <w14:schemeClr w14:val="tx1"/>
            </w14:solidFill>
          </w14:textFill>
        </w:rPr>
        <w:t>“</w:t>
      </w:r>
      <w:r>
        <w:rPr>
          <w:rFonts w:cs="Times New Roman"/>
          <w:color w:val="000000" w:themeColor="text1"/>
          <w:kern w:val="21"/>
          <w:szCs w:val="24"/>
          <w:highlight w:val="none"/>
          <w14:textFill>
            <w14:solidFill>
              <w14:schemeClr w14:val="tx1"/>
            </w14:solidFill>
          </w14:textFill>
        </w:rPr>
        <w:t>三线一单</w:t>
      </w:r>
      <w:r>
        <w:rPr>
          <w:rFonts w:hint="eastAsia" w:cs="Times New Roman"/>
          <w:color w:val="000000" w:themeColor="text1"/>
          <w:kern w:val="21"/>
          <w:szCs w:val="24"/>
          <w:highlight w:val="none"/>
          <w14:textFill>
            <w14:solidFill>
              <w14:schemeClr w14:val="tx1"/>
            </w14:solidFill>
          </w14:textFill>
        </w:rPr>
        <w:t>”</w:t>
      </w:r>
      <w:r>
        <w:rPr>
          <w:rFonts w:cs="Times New Roman"/>
          <w:color w:val="000000" w:themeColor="text1"/>
          <w:kern w:val="21"/>
          <w:szCs w:val="24"/>
          <w:highlight w:val="none"/>
          <w14:textFill>
            <w14:solidFill>
              <w14:schemeClr w14:val="tx1"/>
            </w14:solidFill>
          </w14:textFill>
        </w:rPr>
        <w:t>符合性分析技术要点</w:t>
      </w:r>
      <w:r>
        <w:rPr>
          <w:rFonts w:hint="eastAsia" w:cs="Times New Roman"/>
          <w:color w:val="000000" w:themeColor="text1"/>
          <w:kern w:val="21"/>
          <w:szCs w:val="24"/>
          <w:highlight w:val="none"/>
          <w14:textFill>
            <w14:solidFill>
              <w14:schemeClr w14:val="tx1"/>
            </w14:solidFill>
          </w14:textFill>
        </w:rPr>
        <w:t>（</w:t>
      </w:r>
      <w:r>
        <w:rPr>
          <w:rFonts w:cs="Times New Roman"/>
          <w:color w:val="000000" w:themeColor="text1"/>
          <w:kern w:val="21"/>
          <w:szCs w:val="24"/>
          <w:highlight w:val="none"/>
          <w14:textFill>
            <w14:solidFill>
              <w14:schemeClr w14:val="tx1"/>
            </w14:solidFill>
          </w14:textFill>
        </w:rPr>
        <w:t>试行</w:t>
      </w:r>
      <w:r>
        <w:rPr>
          <w:rFonts w:hint="eastAsia" w:cs="Times New Roman"/>
          <w:color w:val="000000" w:themeColor="text1"/>
          <w:kern w:val="21"/>
          <w:szCs w:val="24"/>
          <w:highlight w:val="none"/>
          <w14:textFill>
            <w14:solidFill>
              <w14:schemeClr w14:val="tx1"/>
            </w14:solidFill>
          </w14:textFill>
        </w:rPr>
        <w:t>）</w:t>
      </w:r>
      <w:r>
        <w:rPr>
          <w:rFonts w:cs="Times New Roman"/>
          <w:color w:val="000000" w:themeColor="text1"/>
          <w:kern w:val="21"/>
          <w:szCs w:val="24"/>
          <w:highlight w:val="none"/>
          <w14:textFill>
            <w14:solidFill>
              <w14:schemeClr w14:val="tx1"/>
            </w14:solidFill>
          </w14:textFill>
        </w:rPr>
        <w:t>》的通知</w:t>
      </w:r>
      <w:r>
        <w:rPr>
          <w:rFonts w:hint="eastAsia" w:cs="Times New Roman"/>
          <w:color w:val="000000" w:themeColor="text1"/>
          <w:kern w:val="21"/>
          <w:szCs w:val="24"/>
          <w:highlight w:val="none"/>
          <w14:textFill>
            <w14:solidFill>
              <w14:schemeClr w14:val="tx1"/>
            </w14:solidFill>
          </w14:textFill>
        </w:rPr>
        <w:t>”</w:t>
      </w:r>
      <w:r>
        <w:rPr>
          <w:rFonts w:cs="Times New Roman"/>
          <w:color w:val="000000" w:themeColor="text1"/>
          <w:kern w:val="21"/>
          <w:szCs w:val="24"/>
          <w:highlight w:val="none"/>
          <w14:textFill>
            <w14:solidFill>
              <w14:schemeClr w14:val="tx1"/>
            </w14:solidFill>
          </w14:textFill>
        </w:rPr>
        <w:t>（川环办函〔2021〕469号）</w:t>
      </w:r>
      <w:r>
        <w:rPr>
          <w:rFonts w:hint="eastAsia" w:cs="Times New Roman"/>
          <w:color w:val="000000" w:themeColor="text1"/>
          <w:kern w:val="21"/>
          <w:szCs w:val="24"/>
          <w:highlight w:val="none"/>
          <w14:textFill>
            <w14:solidFill>
              <w14:schemeClr w14:val="tx1"/>
            </w14:solidFill>
          </w14:textFill>
        </w:rPr>
        <w:t>，根据该文件，区外的污染影响类项目以及上位规划环评中未论述规划与“三线一单”的协调性的生态类项目均应</w:t>
      </w:r>
      <w:r>
        <w:rPr>
          <w:rFonts w:hint="eastAsia" w:cs="Times New Roman"/>
          <w:color w:val="000000" w:themeColor="text1"/>
          <w:kern w:val="21"/>
          <w:szCs w:val="24"/>
          <w:highlight w:val="none"/>
          <w:lang w:bidi="ar"/>
          <w14:textFill>
            <w14:solidFill>
              <w14:schemeClr w14:val="tx1"/>
            </w14:solidFill>
          </w14:textFill>
        </w:rPr>
        <w:t>从空间符合性以及管控要求两方面分析与“三线一单”的符合性。</w:t>
      </w:r>
    </w:p>
    <w:p>
      <w:pPr>
        <w:overflowPunct w:val="0"/>
        <w:ind w:firstLine="480"/>
        <w:jc w:val="left"/>
        <w:rPr>
          <w:rFonts w:cs="Times New Roman"/>
          <w:b/>
          <w:bCs/>
          <w:color w:val="000000" w:themeColor="text1"/>
          <w:kern w:val="21"/>
          <w:szCs w:val="24"/>
          <w:highlight w:val="none"/>
          <w:u w:val="single"/>
          <w14:textFill>
            <w14:solidFill>
              <w14:schemeClr w14:val="tx1"/>
            </w14:solidFill>
          </w14:textFill>
        </w:rPr>
      </w:pPr>
      <w:r>
        <w:rPr>
          <w:rFonts w:hint="eastAsia" w:cs="Times New Roman"/>
          <w:color w:val="000000" w:themeColor="text1"/>
          <w:kern w:val="21"/>
          <w:szCs w:val="24"/>
          <w:highlight w:val="none"/>
          <w14:textFill>
            <w14:solidFill>
              <w14:schemeClr w14:val="tx1"/>
            </w14:solidFill>
          </w14:textFill>
        </w:rPr>
        <w:t>本项目兼具生态影响及污染影响的特点，且位于园区外，上位规划也未论述项目与“</w:t>
      </w:r>
      <w:r>
        <w:rPr>
          <w:rFonts w:hint="eastAsia"/>
          <w:color w:val="000000" w:themeColor="text1"/>
          <w:highlight w:val="none"/>
          <w14:textFill>
            <w14:solidFill>
              <w14:schemeClr w14:val="tx1"/>
            </w14:solidFill>
          </w14:textFill>
        </w:rPr>
        <w:t>生态环境分区管控</w:t>
      </w:r>
      <w:r>
        <w:rPr>
          <w:rFonts w:hint="eastAsia" w:cs="Times New Roman"/>
          <w:color w:val="000000" w:themeColor="text1"/>
          <w:kern w:val="21"/>
          <w:szCs w:val="24"/>
          <w:highlight w:val="none"/>
          <w14:textFill>
            <w14:solidFill>
              <w14:schemeClr w14:val="tx1"/>
            </w14:solidFill>
          </w14:textFill>
        </w:rPr>
        <w:t>”的协调性，</w:t>
      </w:r>
      <w:r>
        <w:rPr>
          <w:rFonts w:hint="eastAsia" w:cs="Times New Roman"/>
          <w:color w:val="000000" w:themeColor="text1"/>
          <w:kern w:val="21"/>
          <w:szCs w:val="24"/>
          <w:highlight w:val="none"/>
          <w:u w:val="single"/>
          <w14:textFill>
            <w14:solidFill>
              <w14:schemeClr w14:val="tx1"/>
            </w14:solidFill>
          </w14:textFill>
        </w:rPr>
        <w:t>故</w:t>
      </w:r>
      <w:r>
        <w:rPr>
          <w:rFonts w:hint="eastAsia" w:cs="Times New Roman"/>
          <w:color w:val="000000" w:themeColor="text1"/>
          <w:kern w:val="21"/>
          <w:szCs w:val="24"/>
          <w:highlight w:val="none"/>
          <w:u w:val="single"/>
          <w:lang w:bidi="ar"/>
          <w14:textFill>
            <w14:solidFill>
              <w14:schemeClr w14:val="tx1"/>
            </w14:solidFill>
          </w14:textFill>
        </w:rPr>
        <w:t>本项目从空间符合性分析以及管控要求两个方面分析其与“</w:t>
      </w:r>
      <w:r>
        <w:rPr>
          <w:rFonts w:hint="eastAsia"/>
          <w:color w:val="000000" w:themeColor="text1"/>
          <w:highlight w:val="none"/>
          <w:u w:val="single"/>
          <w14:textFill>
            <w14:solidFill>
              <w14:schemeClr w14:val="tx1"/>
            </w14:solidFill>
          </w14:textFill>
        </w:rPr>
        <w:t>生态环境分区管控</w:t>
      </w:r>
      <w:r>
        <w:rPr>
          <w:rFonts w:hint="eastAsia" w:cs="Times New Roman"/>
          <w:color w:val="000000" w:themeColor="text1"/>
          <w:kern w:val="21"/>
          <w:szCs w:val="24"/>
          <w:highlight w:val="none"/>
          <w:u w:val="single"/>
          <w:lang w:bidi="ar"/>
          <w14:textFill>
            <w14:solidFill>
              <w14:schemeClr w14:val="tx1"/>
            </w14:solidFill>
          </w14:textFill>
        </w:rPr>
        <w:t>”的协调性。</w:t>
      </w:r>
    </w:p>
    <w:p>
      <w:pPr>
        <w:pBdr>
          <w:bottom w:val="dotted" w:color="auto" w:sz="24" w:space="0"/>
        </w:pBdr>
        <w:ind w:firstLine="480"/>
        <w:rPr>
          <w:color w:val="000000" w:themeColor="text1"/>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项目位于达州市宣汉县</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境内，通过查询</w:t>
      </w:r>
      <w:r>
        <w:rPr>
          <w:rFonts w:cs="Times New Roman"/>
          <w:color w:val="000000" w:themeColor="text1"/>
          <w:szCs w:val="24"/>
          <w:highlight w:val="none"/>
          <w14:textFill>
            <w14:solidFill>
              <w14:schemeClr w14:val="tx1"/>
            </w14:solidFill>
          </w14:textFill>
        </w:rPr>
        <w:t>四川省</w:t>
      </w:r>
      <w:r>
        <w:rPr>
          <w:rFonts w:hint="eastAsia" w:cs="Times New Roman"/>
          <w:color w:val="000000" w:themeColor="text1"/>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生态环境分区管控</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符合性分析平台（</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"https://www.sczwfw.gov.cn/tftb/jmopenpub/jmopen_files/webapp/html5/sxydctfx/index.html?areaCode=510000000000"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生态环境分区管控</w:t>
      </w:r>
      <w:r>
        <w:rPr>
          <w:rFonts w:cs="Times New Roman"/>
          <w:color w:val="000000" w:themeColor="text1"/>
          <w:szCs w:val="24"/>
          <w:highlight w:val="none"/>
          <w14:textFill>
            <w14:solidFill>
              <w14:schemeClr w14:val="tx1"/>
            </w14:solidFill>
          </w14:textFill>
        </w:rPr>
        <w:t>冲突分析sczwfw.gov.cn</w:t>
      </w:r>
      <w:r>
        <w:rPr>
          <w:rFonts w:hint="eastAsia"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，项目主要涉及的环境综合管控单元共1个，即</w:t>
      </w:r>
      <w:r>
        <w:rPr>
          <w:rFonts w:cs="Times New Roman"/>
          <w:color w:val="000000" w:themeColor="text1"/>
          <w:szCs w:val="21"/>
          <w:highlight w:val="none"/>
          <w14:textFill>
            <w14:solidFill>
              <w14:schemeClr w14:val="tx1"/>
            </w14:solidFill>
          </w14:textFill>
        </w:rPr>
        <w:t>宣汉县一般管控单元</w:t>
      </w:r>
      <w:r>
        <w:rPr>
          <w:rFonts w:cs="Times New Roman"/>
          <w:color w:val="000000" w:themeColor="text1"/>
          <w:szCs w:val="24"/>
          <w:highlight w:val="none"/>
          <w14:textFill>
            <w14:solidFill>
              <w14:schemeClr w14:val="tx1"/>
            </w14:solidFill>
          </w14:textFill>
        </w:rPr>
        <w:t>（管控类别为一般管控单元，管控单元编号</w:t>
      </w:r>
      <w:r>
        <w:rPr>
          <w:rFonts w:cs="Times New Roman"/>
          <w:color w:val="000000" w:themeColor="text1"/>
          <w:szCs w:val="21"/>
          <w:highlight w:val="none"/>
          <w14:textFill>
            <w14:solidFill>
              <w14:schemeClr w14:val="tx1"/>
            </w14:solidFill>
          </w14:textFill>
        </w:rPr>
        <w:t>ZH51172230001）；涉及的环境要素管控区共2个，即州河-宣汉县-张鼓坪-控制单元（管控类别为水环境一般管控区，管控单元编号YS5117223210001）和宣汉县大气环境布局敏感重点管控区（管控类别为大气环境布局敏感重点管控区，管控单元编号YS5117223310001）。</w:t>
      </w: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22</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项目涉及环境管控单元表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2"/>
        <w:gridCol w:w="1684"/>
        <w:gridCol w:w="1026"/>
        <w:gridCol w:w="736"/>
        <w:gridCol w:w="1144"/>
        <w:gridCol w:w="17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环境管控单元编码</w:t>
            </w:r>
          </w:p>
        </w:tc>
        <w:tc>
          <w:tcPr>
            <w:tcW w:w="168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环境管控单元名称</w:t>
            </w:r>
          </w:p>
        </w:tc>
        <w:tc>
          <w:tcPr>
            <w:tcW w:w="102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所属市（州）</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所属区县</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准入清单类型</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管控类型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2"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YS5117221130014</w:t>
            </w:r>
          </w:p>
        </w:tc>
        <w:tc>
          <w:tcPr>
            <w:tcW w:w="1684"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生态优先保护区（一般生态空间）14</w:t>
            </w:r>
          </w:p>
        </w:tc>
        <w:tc>
          <w:tcPr>
            <w:tcW w:w="1026"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达州市</w:t>
            </w:r>
          </w:p>
        </w:tc>
        <w:tc>
          <w:tcPr>
            <w:tcW w:w="736"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宣汉县</w:t>
            </w:r>
          </w:p>
        </w:tc>
        <w:tc>
          <w:tcPr>
            <w:tcW w:w="1144"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生态空间分区</w:t>
            </w:r>
          </w:p>
        </w:tc>
        <w:tc>
          <w:tcPr>
            <w:tcW w:w="1758"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生态空间分区一般生态空间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2"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YS5117223210004</w:t>
            </w:r>
          </w:p>
        </w:tc>
        <w:tc>
          <w:tcPr>
            <w:tcW w:w="1684"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中河-宣汉县-普光-控制单元</w:t>
            </w:r>
          </w:p>
        </w:tc>
        <w:tc>
          <w:tcPr>
            <w:tcW w:w="1026"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达州市</w:t>
            </w:r>
          </w:p>
        </w:tc>
        <w:tc>
          <w:tcPr>
            <w:tcW w:w="736"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宣汉县</w:t>
            </w:r>
          </w:p>
        </w:tc>
        <w:tc>
          <w:tcPr>
            <w:tcW w:w="1144"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水环境管控分区</w:t>
            </w:r>
          </w:p>
        </w:tc>
        <w:tc>
          <w:tcPr>
            <w:tcW w:w="1758"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水环境一般管控区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2"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YS5117223310001</w:t>
            </w:r>
          </w:p>
        </w:tc>
        <w:tc>
          <w:tcPr>
            <w:tcW w:w="1684"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宣汉县大气环境一般管控区</w:t>
            </w:r>
          </w:p>
        </w:tc>
        <w:tc>
          <w:tcPr>
            <w:tcW w:w="1026"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达州市</w:t>
            </w:r>
          </w:p>
        </w:tc>
        <w:tc>
          <w:tcPr>
            <w:tcW w:w="736"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宣汉县</w:t>
            </w:r>
          </w:p>
        </w:tc>
        <w:tc>
          <w:tcPr>
            <w:tcW w:w="1144"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大气环境管控分区</w:t>
            </w:r>
          </w:p>
        </w:tc>
        <w:tc>
          <w:tcPr>
            <w:tcW w:w="1758"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大气环境一般管控区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2"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ZH51172210003</w:t>
            </w:r>
          </w:p>
        </w:tc>
        <w:tc>
          <w:tcPr>
            <w:tcW w:w="1684"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生态公益林、水源涵养重要区、水土保持功能重要区、生物多样性维护重要区</w:t>
            </w:r>
          </w:p>
        </w:tc>
        <w:tc>
          <w:tcPr>
            <w:tcW w:w="1026"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达州市</w:t>
            </w:r>
          </w:p>
        </w:tc>
        <w:tc>
          <w:tcPr>
            <w:tcW w:w="736"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宣汉县</w:t>
            </w:r>
          </w:p>
        </w:tc>
        <w:tc>
          <w:tcPr>
            <w:tcW w:w="1144"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环境综合管控单元</w:t>
            </w:r>
          </w:p>
        </w:tc>
        <w:tc>
          <w:tcPr>
            <w:tcW w:w="1758" w:type="dxa"/>
            <w:vAlign w:val="center"/>
          </w:tcPr>
          <w:p>
            <w:pPr>
              <w:pStyle w:val="261"/>
              <w:widowControl/>
              <w:spacing w:line="240" w:lineRule="auto"/>
              <w:ind w:firstLine="0" w:firstLineChars="0"/>
              <w:jc w:val="center"/>
              <w:rPr>
                <w:rFonts w:eastAsia="宋体"/>
                <w:color w:val="000000" w:themeColor="text1"/>
                <w:sz w:val="21"/>
                <w:highlight w:val="none"/>
                <w14:textFill>
                  <w14:solidFill>
                    <w14:schemeClr w14:val="tx1"/>
                  </w14:solidFill>
                </w14:textFill>
              </w:rPr>
            </w:pPr>
            <w:r>
              <w:rPr>
                <w:rFonts w:hint="eastAsia" w:eastAsia="宋体"/>
                <w:color w:val="000000" w:themeColor="text1"/>
                <w:sz w:val="21"/>
                <w:highlight w:val="none"/>
                <w14:textFill>
                  <w14:solidFill>
                    <w14:schemeClr w14:val="tx1"/>
                  </w14:solidFill>
                </w14:textFill>
              </w:rPr>
              <w:t>环境综合管控单元优先保护单元</w:t>
            </w:r>
          </w:p>
        </w:tc>
      </w:tr>
    </w:tbl>
    <w:p>
      <w:pPr>
        <w:adjustRightInd/>
        <w:ind w:firstLine="464"/>
        <w:rPr>
          <w:rFonts w:cs="Times New Roman"/>
          <w:color w:val="000000" w:themeColor="text1"/>
          <w:szCs w:val="24"/>
          <w:highlight w:val="none"/>
          <w14:textFill>
            <w14:solidFill>
              <w14:schemeClr w14:val="tx1"/>
            </w14:solidFill>
          </w14:textFill>
        </w:rPr>
      </w:pPr>
      <w:r>
        <w:rPr>
          <w:rStyle w:val="223"/>
          <w:rFonts w:hint="eastAsia" w:ascii="Times New Roman" w:hAnsi="Times New Roman" w:eastAsia="宋体" w:cs="Times New Roman"/>
          <w:color w:val="000000" w:themeColor="text1"/>
          <w:spacing w:val="-4"/>
          <w:sz w:val="24"/>
          <w:szCs w:val="24"/>
          <w:highlight w:val="none"/>
          <w14:textFill>
            <w14:solidFill>
              <w14:schemeClr w14:val="tx1"/>
            </w14:solidFill>
          </w14:textFill>
        </w:rPr>
        <w:t>根据</w:t>
      </w:r>
      <w:r>
        <w:rPr>
          <w:rStyle w:val="223"/>
          <w:rFonts w:ascii="Times New Roman" w:hAnsi="Times New Roman" w:eastAsia="宋体" w:cs="Times New Roman"/>
          <w:color w:val="000000" w:themeColor="text1"/>
          <w:spacing w:val="-4"/>
          <w:sz w:val="24"/>
          <w:szCs w:val="24"/>
          <w:highlight w:val="none"/>
          <w14:textFill>
            <w14:solidFill>
              <w14:schemeClr w14:val="tx1"/>
            </w14:solidFill>
          </w14:textFill>
        </w:rPr>
        <w:t>四川省生态环境厅办公室关于印发《产业园区规划环评</w:t>
      </w:r>
      <w:r>
        <w:rPr>
          <w:rFonts w:cs="Times New Roman"/>
          <w:bCs/>
          <w:color w:val="000000" w:themeColor="text1"/>
          <w:szCs w:val="24"/>
          <w:highlight w:val="none"/>
          <w14:textFill>
            <w14:solidFill>
              <w14:schemeClr w14:val="tx1"/>
            </w14:solidFill>
          </w14:textFill>
        </w:rPr>
        <w:t>“三线一单”</w:t>
      </w:r>
      <w:r>
        <w:rPr>
          <w:rStyle w:val="223"/>
          <w:rFonts w:ascii="Times New Roman" w:hAnsi="Times New Roman" w:eastAsia="宋体" w:cs="Times New Roman"/>
          <w:color w:val="000000" w:themeColor="text1"/>
          <w:spacing w:val="-4"/>
          <w:sz w:val="24"/>
          <w:szCs w:val="24"/>
          <w:highlight w:val="none"/>
          <w14:textFill>
            <w14:solidFill>
              <w14:schemeClr w14:val="tx1"/>
            </w14:solidFill>
          </w14:textFill>
        </w:rPr>
        <w:t>符合性分析技术要点（试行）》《项目环评</w:t>
      </w:r>
      <w:r>
        <w:rPr>
          <w:rStyle w:val="223"/>
          <w:rFonts w:ascii="宋体" w:hAnsi="宋体" w:eastAsia="宋体" w:cs="Times New Roman"/>
          <w:color w:val="000000" w:themeColor="text1"/>
          <w:spacing w:val="-4"/>
          <w:sz w:val="24"/>
          <w:szCs w:val="24"/>
          <w:highlight w:val="none"/>
          <w14:textFill>
            <w14:solidFill>
              <w14:schemeClr w14:val="tx1"/>
            </w14:solidFill>
          </w14:textFill>
        </w:rPr>
        <w:t>“三线一单”</w:t>
      </w:r>
      <w:r>
        <w:rPr>
          <w:rStyle w:val="223"/>
          <w:rFonts w:ascii="Times New Roman" w:hAnsi="Times New Roman" w:eastAsia="宋体" w:cs="Times New Roman"/>
          <w:color w:val="000000" w:themeColor="text1"/>
          <w:spacing w:val="-4"/>
          <w:sz w:val="24"/>
          <w:szCs w:val="24"/>
          <w:highlight w:val="none"/>
          <w14:textFill>
            <w14:solidFill>
              <w14:schemeClr w14:val="tx1"/>
            </w14:solidFill>
          </w14:textFill>
        </w:rPr>
        <w:t>符合性分析技术要点（试行）》的通知（川环办函〔2021〕469号）及四川省</w:t>
      </w:r>
      <w:r>
        <w:rPr>
          <w:rStyle w:val="223"/>
          <w:rFonts w:ascii="宋体" w:hAnsi="宋体" w:eastAsia="宋体" w:cs="Times New Roman"/>
          <w:color w:val="000000" w:themeColor="text1"/>
          <w:spacing w:val="-4"/>
          <w:sz w:val="24"/>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生态环境分区管控</w:t>
      </w:r>
      <w:r>
        <w:rPr>
          <w:rStyle w:val="223"/>
          <w:rFonts w:ascii="宋体" w:hAnsi="宋体" w:eastAsia="宋体" w:cs="Times New Roman"/>
          <w:color w:val="000000" w:themeColor="text1"/>
          <w:spacing w:val="-4"/>
          <w:sz w:val="24"/>
          <w:szCs w:val="24"/>
          <w:highlight w:val="none"/>
          <w14:textFill>
            <w14:solidFill>
              <w14:schemeClr w14:val="tx1"/>
            </w14:solidFill>
          </w14:textFill>
        </w:rPr>
        <w:t>”</w:t>
      </w:r>
      <w:r>
        <w:rPr>
          <w:rStyle w:val="223"/>
          <w:rFonts w:ascii="Times New Roman" w:hAnsi="Times New Roman" w:eastAsia="宋体" w:cs="Times New Roman"/>
          <w:color w:val="000000" w:themeColor="text1"/>
          <w:spacing w:val="-4"/>
          <w:sz w:val="24"/>
          <w:szCs w:val="24"/>
          <w:highlight w:val="none"/>
          <w14:textFill>
            <w14:solidFill>
              <w14:schemeClr w14:val="tx1"/>
            </w14:solidFill>
          </w14:textFill>
        </w:rPr>
        <w:t>符合性分析系统（</w:t>
      </w:r>
      <w:r>
        <w:rPr>
          <w:rFonts w:hint="eastAsia"/>
          <w:color w:val="000000" w:themeColor="text1"/>
          <w:highlight w:val="none"/>
          <w14:textFill>
            <w14:solidFill>
              <w14:schemeClr w14:val="tx1"/>
            </w14:solidFill>
          </w14:textFill>
        </w:rPr>
        <w:t>生态环境分区管控</w:t>
      </w:r>
      <w:r>
        <w:rPr>
          <w:rStyle w:val="223"/>
          <w:rFonts w:ascii="Times New Roman" w:hAnsi="Times New Roman" w:eastAsia="宋体" w:cs="Times New Roman"/>
          <w:color w:val="000000" w:themeColor="text1"/>
          <w:spacing w:val="-4"/>
          <w:sz w:val="24"/>
          <w:szCs w:val="24"/>
          <w:highlight w:val="none"/>
          <w14:textFill>
            <w14:solidFill>
              <w14:schemeClr w14:val="tx1"/>
            </w14:solidFill>
          </w14:textFill>
        </w:rPr>
        <w:t>冲突分析（sczwfw.gov.cn）），项目主要</w:t>
      </w:r>
      <w:r>
        <w:rPr>
          <w:rStyle w:val="223"/>
          <w:rFonts w:hint="eastAsia" w:cs="Times New Roman"/>
          <w:color w:val="000000" w:themeColor="text1"/>
          <w:spacing w:val="-4"/>
          <w:sz w:val="24"/>
          <w:szCs w:val="24"/>
          <w:highlight w:val="none"/>
          <w:lang w:eastAsia="zh-CN"/>
          <w14:textFill>
            <w14:solidFill>
              <w14:schemeClr w14:val="tx1"/>
            </w14:solidFill>
          </w14:textFill>
        </w:rPr>
        <w:t>涉及</w:t>
      </w:r>
      <w:r>
        <w:rPr>
          <w:rStyle w:val="223"/>
          <w:rFonts w:ascii="Times New Roman" w:hAnsi="Times New Roman" w:eastAsia="宋体" w:cs="Times New Roman"/>
          <w:color w:val="000000" w:themeColor="text1"/>
          <w:spacing w:val="-4"/>
          <w:sz w:val="24"/>
          <w:szCs w:val="24"/>
          <w:highlight w:val="none"/>
          <w14:textFill>
            <w14:solidFill>
              <w14:schemeClr w14:val="tx1"/>
            </w14:solidFill>
          </w14:textFill>
        </w:rPr>
        <w:t>环境管控单元3个，具体管控单元见下表</w:t>
      </w:r>
      <w:r>
        <w:rPr>
          <w:rFonts w:cs="Times New Roman"/>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项目位于</w:t>
      </w:r>
      <w:r>
        <w:rPr>
          <w:rFonts w:hint="eastAsia" w:cs="Times New Roman"/>
          <w:color w:val="000000" w:themeColor="text1"/>
          <w:szCs w:val="24"/>
          <w:highlight w:val="none"/>
          <w14:textFill>
            <w14:solidFill>
              <w14:schemeClr w14:val="tx1"/>
            </w14:solidFill>
          </w14:textFill>
        </w:rPr>
        <w:t>一般管控单元</w:t>
      </w:r>
      <w:r>
        <w:rPr>
          <w:rFonts w:cs="Times New Roman"/>
          <w:color w:val="000000" w:themeColor="text1"/>
          <w:szCs w:val="24"/>
          <w:highlight w:val="none"/>
          <w14:textFill>
            <w14:solidFill>
              <w14:schemeClr w14:val="tx1"/>
            </w14:solidFill>
          </w14:textFill>
        </w:rPr>
        <w:t>区域，</w:t>
      </w:r>
      <w:r>
        <w:rPr>
          <w:color w:val="000000" w:themeColor="text1"/>
          <w:szCs w:val="24"/>
          <w:highlight w:val="none"/>
          <w14:textFill>
            <w14:solidFill>
              <w14:schemeClr w14:val="tx1"/>
            </w14:solidFill>
          </w14:textFill>
        </w:rPr>
        <w:t>本项目不在达州市生态保护红线范围内，也不在四川省其他生态空间范围内</w:t>
      </w:r>
      <w:r>
        <w:rPr>
          <w:rFonts w:hint="eastAsia"/>
          <w:color w:val="000000" w:themeColor="text1"/>
          <w:szCs w:val="24"/>
          <w:highlight w:val="none"/>
          <w14:textFill>
            <w14:solidFill>
              <w14:schemeClr w14:val="tx1"/>
            </w14:solidFill>
          </w14:textFill>
        </w:rPr>
        <w:t>，</w:t>
      </w:r>
      <w:r>
        <w:rPr>
          <w:rFonts w:hint="eastAsia" w:cs="Times New Roman"/>
          <w:bCs/>
          <w:color w:val="000000" w:themeColor="text1"/>
          <w:kern w:val="21"/>
          <w:szCs w:val="24"/>
          <w:highlight w:val="none"/>
          <w14:textFill>
            <w14:solidFill>
              <w14:schemeClr w14:val="tx1"/>
            </w14:solidFill>
          </w14:textFill>
        </w:rPr>
        <w:t>本项目与“</w:t>
      </w:r>
      <w:r>
        <w:rPr>
          <w:rFonts w:hint="eastAsia"/>
          <w:color w:val="000000" w:themeColor="text1"/>
          <w:highlight w:val="none"/>
          <w14:textFill>
            <w14:solidFill>
              <w14:schemeClr w14:val="tx1"/>
            </w14:solidFill>
          </w14:textFill>
        </w:rPr>
        <w:t>生态环境分区管控</w:t>
      </w:r>
      <w:r>
        <w:rPr>
          <w:rFonts w:hint="eastAsia" w:cs="Times New Roman"/>
          <w:bCs/>
          <w:color w:val="000000" w:themeColor="text1"/>
          <w:kern w:val="21"/>
          <w:szCs w:val="24"/>
          <w:highlight w:val="none"/>
          <w14:textFill>
            <w14:solidFill>
              <w14:schemeClr w14:val="tx1"/>
            </w14:solidFill>
          </w14:textFill>
        </w:rPr>
        <w:t>”相关要求的符合性分析如下</w:t>
      </w:r>
      <w:r>
        <w:rPr>
          <w:color w:val="000000" w:themeColor="text1"/>
          <w:szCs w:val="24"/>
          <w:highlight w:val="none"/>
          <w14:textFill>
            <w14:solidFill>
              <w14:schemeClr w14:val="tx1"/>
            </w14:solidFill>
          </w14:textFill>
        </w:rPr>
        <w:t>。</w:t>
      </w:r>
    </w:p>
    <w:p>
      <w:pPr>
        <w:pStyle w:val="252"/>
        <w:ind w:firstLine="480"/>
        <w:rPr>
          <w:color w:val="000000" w:themeColor="text1"/>
          <w:highlight w:val="none"/>
          <w14:textFill>
            <w14:solidFill>
              <w14:schemeClr w14:val="tx1"/>
            </w14:solidFill>
          </w14:textFill>
        </w:rPr>
        <w:sectPr>
          <w:pgSz w:w="11906" w:h="16838"/>
          <w:pgMar w:top="1440" w:right="1800" w:bottom="1440" w:left="1800" w:header="964" w:footer="964" w:gutter="0"/>
          <w:cols w:space="425" w:num="1"/>
          <w:docGrid w:type="lines" w:linePitch="326" w:charSpace="0"/>
        </w:sectPr>
      </w:pPr>
    </w:p>
    <w:p>
      <w:pPr>
        <w:pStyle w:val="203"/>
        <w:spacing w:before="163"/>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23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项目与“生态环境分区管控”相关要求的符合性分析表</w:t>
      </w:r>
    </w:p>
    <w:tbl>
      <w:tblPr>
        <w:tblStyle w:val="55"/>
        <w:tblW w:w="136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199"/>
        <w:gridCol w:w="734"/>
        <w:gridCol w:w="770"/>
        <w:gridCol w:w="5428"/>
        <w:gridCol w:w="4621"/>
        <w:gridCol w:w="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8131" w:type="dxa"/>
            <w:gridSpan w:val="4"/>
            <w:vAlign w:val="center"/>
          </w:tcPr>
          <w:p>
            <w:pPr>
              <w:widowControl/>
              <w:spacing w:line="240" w:lineRule="auto"/>
              <w:ind w:firstLine="0" w:firstLineChars="0"/>
              <w:jc w:val="center"/>
              <w:rPr>
                <w:rFonts w:cs="Times New Roman"/>
                <w:b/>
                <w:bCs/>
                <w:snapToGrid w:val="0"/>
                <w:color w:val="000000" w:themeColor="text1"/>
                <w:kern w:val="0"/>
                <w:sz w:val="21"/>
                <w:szCs w:val="21"/>
                <w:highlight w:val="none"/>
                <w14:textFill>
                  <w14:solidFill>
                    <w14:schemeClr w14:val="tx1"/>
                  </w14:solidFill>
                </w14:textFill>
              </w:rPr>
            </w:pPr>
            <w:r>
              <w:rPr>
                <w:rFonts w:hint="eastAsia" w:cs="Times New Roman"/>
                <w:b/>
                <w:bCs/>
                <w:snapToGrid w:val="0"/>
                <w:color w:val="000000" w:themeColor="text1"/>
                <w:kern w:val="0"/>
                <w:sz w:val="21"/>
                <w:szCs w:val="21"/>
                <w:highlight w:val="none"/>
                <w14:textFill>
                  <w14:solidFill>
                    <w14:schemeClr w14:val="tx1"/>
                  </w14:solidFill>
                </w14:textFill>
              </w:rPr>
              <w:t>“生态环境分区管控”</w:t>
            </w:r>
            <w:r>
              <w:rPr>
                <w:rFonts w:cs="Times New Roman"/>
                <w:b/>
                <w:bCs/>
                <w:snapToGrid w:val="0"/>
                <w:color w:val="000000" w:themeColor="text1"/>
                <w:kern w:val="0"/>
                <w:sz w:val="21"/>
                <w:szCs w:val="21"/>
                <w:highlight w:val="none"/>
                <w14:textFill>
                  <w14:solidFill>
                    <w14:schemeClr w14:val="tx1"/>
                  </w14:solidFill>
                </w14:textFill>
              </w:rPr>
              <w:t>的具体要求</w:t>
            </w:r>
          </w:p>
        </w:tc>
        <w:tc>
          <w:tcPr>
            <w:tcW w:w="4621" w:type="dxa"/>
            <w:vMerge w:val="restart"/>
            <w:vAlign w:val="center"/>
          </w:tcPr>
          <w:p>
            <w:pPr>
              <w:widowControl/>
              <w:spacing w:line="240" w:lineRule="auto"/>
              <w:ind w:firstLine="0" w:firstLineChars="0"/>
              <w:jc w:val="center"/>
              <w:rPr>
                <w:rFonts w:cs="Times New Roman"/>
                <w:b/>
                <w:bCs/>
                <w:snapToGrid w:val="0"/>
                <w:color w:val="000000" w:themeColor="text1"/>
                <w:kern w:val="0"/>
                <w:sz w:val="21"/>
                <w:szCs w:val="21"/>
                <w:highlight w:val="none"/>
                <w:lang w:eastAsia="en-US"/>
                <w14:textFill>
                  <w14:solidFill>
                    <w14:schemeClr w14:val="tx1"/>
                  </w14:solidFill>
                </w14:textFill>
              </w:rPr>
            </w:pPr>
            <w:r>
              <w:rPr>
                <w:rFonts w:cs="Times New Roman"/>
                <w:b/>
                <w:bCs/>
                <w:snapToGrid w:val="0"/>
                <w:color w:val="000000" w:themeColor="text1"/>
                <w:kern w:val="0"/>
                <w:sz w:val="21"/>
                <w:szCs w:val="21"/>
                <w:highlight w:val="none"/>
                <w:lang w:eastAsia="en-US"/>
                <w14:textFill>
                  <w14:solidFill>
                    <w14:schemeClr w14:val="tx1"/>
                  </w14:solidFill>
                </w14:textFill>
              </w:rPr>
              <w:t>项目对应情况介绍</w:t>
            </w:r>
          </w:p>
        </w:tc>
        <w:tc>
          <w:tcPr>
            <w:tcW w:w="854" w:type="dxa"/>
            <w:vMerge w:val="restart"/>
            <w:vAlign w:val="center"/>
          </w:tcPr>
          <w:p>
            <w:pPr>
              <w:widowControl/>
              <w:spacing w:line="240" w:lineRule="auto"/>
              <w:ind w:firstLine="0" w:firstLineChars="0"/>
              <w:jc w:val="center"/>
              <w:rPr>
                <w:rFonts w:cs="Times New Roman"/>
                <w:b/>
                <w:bCs/>
                <w:snapToGrid w:val="0"/>
                <w:color w:val="000000" w:themeColor="text1"/>
                <w:kern w:val="0"/>
                <w:sz w:val="21"/>
                <w:szCs w:val="21"/>
                <w:highlight w:val="none"/>
                <w:lang w:eastAsia="en-US"/>
                <w14:textFill>
                  <w14:solidFill>
                    <w14:schemeClr w14:val="tx1"/>
                  </w14:solidFill>
                </w14:textFill>
              </w:rPr>
            </w:pPr>
            <w:r>
              <w:rPr>
                <w:rFonts w:cs="Times New Roman"/>
                <w:b/>
                <w:bCs/>
                <w:snapToGrid w:val="0"/>
                <w:color w:val="000000" w:themeColor="text1"/>
                <w:kern w:val="0"/>
                <w:sz w:val="21"/>
                <w:szCs w:val="21"/>
                <w:highlight w:val="none"/>
                <w:lang w:eastAsia="en-US"/>
                <w14:textFill>
                  <w14:solidFill>
                    <w14:schemeClr w14:val="tx1"/>
                  </w14:solidFill>
                </w14:textFill>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2703" w:type="dxa"/>
            <w:gridSpan w:val="3"/>
            <w:vAlign w:val="center"/>
          </w:tcPr>
          <w:p>
            <w:pPr>
              <w:widowControl/>
              <w:spacing w:line="240" w:lineRule="auto"/>
              <w:ind w:firstLine="0" w:firstLineChars="0"/>
              <w:jc w:val="center"/>
              <w:rPr>
                <w:rFonts w:cs="Times New Roman"/>
                <w:b/>
                <w:bCs/>
                <w:snapToGrid w:val="0"/>
                <w:color w:val="000000" w:themeColor="text1"/>
                <w:kern w:val="0"/>
                <w:sz w:val="21"/>
                <w:szCs w:val="21"/>
                <w:highlight w:val="none"/>
                <w:lang w:eastAsia="en-US"/>
                <w14:textFill>
                  <w14:solidFill>
                    <w14:schemeClr w14:val="tx1"/>
                  </w14:solidFill>
                </w14:textFill>
              </w:rPr>
            </w:pPr>
            <w:r>
              <w:rPr>
                <w:rFonts w:cs="Times New Roman"/>
                <w:b/>
                <w:bCs/>
                <w:snapToGrid w:val="0"/>
                <w:color w:val="000000" w:themeColor="text1"/>
                <w:kern w:val="0"/>
                <w:sz w:val="21"/>
                <w:szCs w:val="21"/>
                <w:highlight w:val="none"/>
                <w:lang w:eastAsia="en-US"/>
                <w14:textFill>
                  <w14:solidFill>
                    <w14:schemeClr w14:val="tx1"/>
                  </w14:solidFill>
                </w14:textFill>
              </w:rPr>
              <w:t>类别</w:t>
            </w:r>
          </w:p>
        </w:tc>
        <w:tc>
          <w:tcPr>
            <w:tcW w:w="5428" w:type="dxa"/>
            <w:vAlign w:val="center"/>
          </w:tcPr>
          <w:p>
            <w:pPr>
              <w:widowControl/>
              <w:spacing w:line="240" w:lineRule="auto"/>
              <w:ind w:firstLine="0" w:firstLineChars="0"/>
              <w:jc w:val="center"/>
              <w:rPr>
                <w:rFonts w:cs="Times New Roman"/>
                <w:b/>
                <w:bCs/>
                <w:snapToGrid w:val="0"/>
                <w:color w:val="000000" w:themeColor="text1"/>
                <w:kern w:val="0"/>
                <w:sz w:val="21"/>
                <w:szCs w:val="21"/>
                <w:highlight w:val="none"/>
                <w:lang w:eastAsia="en-US"/>
                <w14:textFill>
                  <w14:solidFill>
                    <w14:schemeClr w14:val="tx1"/>
                  </w14:solidFill>
                </w14:textFill>
              </w:rPr>
            </w:pPr>
            <w:r>
              <w:rPr>
                <w:rFonts w:cs="Times New Roman"/>
                <w:b/>
                <w:bCs/>
                <w:snapToGrid w:val="0"/>
                <w:color w:val="000000" w:themeColor="text1"/>
                <w:kern w:val="0"/>
                <w:sz w:val="21"/>
                <w:szCs w:val="21"/>
                <w:highlight w:val="none"/>
                <w:lang w:eastAsia="en-US"/>
                <w14:textFill>
                  <w14:solidFill>
                    <w14:schemeClr w14:val="tx1"/>
                  </w14:solidFill>
                </w14:textFill>
              </w:rPr>
              <w:t>对应管控要求</w:t>
            </w:r>
          </w:p>
        </w:tc>
        <w:tc>
          <w:tcPr>
            <w:tcW w:w="4621" w:type="dxa"/>
            <w:vMerge w:val="continue"/>
            <w:vAlign w:val="center"/>
          </w:tcPr>
          <w:p>
            <w:pPr>
              <w:widowControl/>
              <w:spacing w:line="240" w:lineRule="auto"/>
              <w:ind w:firstLine="0" w:firstLineChars="0"/>
              <w:jc w:val="center"/>
              <w:rPr>
                <w:rFonts w:cs="Times New Roman"/>
                <w:b/>
                <w:bCs/>
                <w:snapToGrid w:val="0"/>
                <w:color w:val="000000" w:themeColor="text1"/>
                <w:kern w:val="0"/>
                <w:sz w:val="21"/>
                <w:szCs w:val="21"/>
                <w:highlight w:val="none"/>
                <w:lang w:eastAsia="en-US"/>
                <w14:textFill>
                  <w14:solidFill>
                    <w14:schemeClr w14:val="tx1"/>
                  </w14:solidFill>
                </w14:textFill>
              </w:rPr>
            </w:pPr>
          </w:p>
        </w:tc>
        <w:tc>
          <w:tcPr>
            <w:tcW w:w="854" w:type="dxa"/>
            <w:vMerge w:val="continue"/>
            <w:vAlign w:val="center"/>
          </w:tcPr>
          <w:p>
            <w:pPr>
              <w:widowControl/>
              <w:spacing w:line="240" w:lineRule="auto"/>
              <w:ind w:firstLine="0" w:firstLineChars="0"/>
              <w:jc w:val="center"/>
              <w:rPr>
                <w:rFonts w:cs="Times New Roman"/>
                <w:b/>
                <w:bCs/>
                <w:snapToGrid w:val="0"/>
                <w:color w:val="000000" w:themeColor="text1"/>
                <w:kern w:val="0"/>
                <w:sz w:val="21"/>
                <w:szCs w:val="21"/>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restart"/>
            <w:vAlign w:val="center"/>
          </w:tcPr>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YS5117221130014，生态优先保护区（一般生态空间）14；YS5117223210004，中河-宣汉县-普光-控制单元；YS5117223310001，宣汉县大气环境一般管控区</w:t>
            </w:r>
          </w:p>
        </w:tc>
        <w:tc>
          <w:tcPr>
            <w:tcW w:w="734" w:type="dxa"/>
            <w:vMerge w:val="restart"/>
            <w:vAlign w:val="center"/>
          </w:tcPr>
          <w:p>
            <w:pPr>
              <w:widowControl/>
              <w:spacing w:line="240" w:lineRule="auto"/>
              <w:ind w:firstLine="0" w:firstLineChars="0"/>
              <w:jc w:val="left"/>
              <w:rPr>
                <w:rFonts w:cs="Times New Roman"/>
                <w:color w:val="000000" w:themeColor="text1"/>
                <w:sz w:val="21"/>
                <w:szCs w:val="21"/>
                <w:highlight w:val="none"/>
                <w:lang w:eastAsia="en-US"/>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普适性清单</w:t>
            </w:r>
            <w:r>
              <w:rPr>
                <w:rFonts w:hint="eastAsia" w:cs="Times New Roman"/>
                <w:color w:val="000000" w:themeColor="text1"/>
                <w:sz w:val="21"/>
                <w:szCs w:val="21"/>
                <w:highlight w:val="none"/>
                <w:lang w:eastAsia="en-US"/>
                <w14:textFill>
                  <w14:solidFill>
                    <w14:schemeClr w14:val="tx1"/>
                  </w14:solidFill>
                </w14:textFill>
              </w:rPr>
              <w:t>管控要求</w:t>
            </w:r>
          </w:p>
        </w:tc>
        <w:tc>
          <w:tcPr>
            <w:tcW w:w="770" w:type="dxa"/>
            <w:vAlign w:val="center"/>
          </w:tcPr>
          <w:p>
            <w:pPr>
              <w:widowControl/>
              <w:spacing w:line="240" w:lineRule="auto"/>
              <w:ind w:firstLine="0" w:firstLineChars="0"/>
              <w:jc w:val="center"/>
              <w:rPr>
                <w:rFonts w:cs="Times New Roman"/>
                <w:snapToGrid w:val="0"/>
                <w:color w:val="000000" w:themeColor="text1"/>
                <w:kern w:val="0"/>
                <w:sz w:val="21"/>
                <w:szCs w:val="21"/>
                <w:highlight w:val="none"/>
                <w:lang w:eastAsia="en-US"/>
                <w14:textFill>
                  <w14:solidFill>
                    <w14:schemeClr w14:val="tx1"/>
                  </w14:solidFill>
                </w14:textFill>
              </w:rPr>
            </w:pPr>
            <w:r>
              <w:rPr>
                <w:rFonts w:cs="Times New Roman"/>
                <w:snapToGrid w:val="0"/>
                <w:color w:val="000000" w:themeColor="text1"/>
                <w:kern w:val="0"/>
                <w:sz w:val="21"/>
                <w:szCs w:val="21"/>
                <w:highlight w:val="none"/>
                <w:lang w:eastAsia="en-US"/>
                <w14:textFill>
                  <w14:solidFill>
                    <w14:schemeClr w14:val="tx1"/>
                  </w14:solidFill>
                </w14:textFill>
              </w:rPr>
              <w:t>空间布局约束</w:t>
            </w:r>
          </w:p>
        </w:tc>
        <w:tc>
          <w:tcPr>
            <w:tcW w:w="5428" w:type="dxa"/>
            <w:vAlign w:val="center"/>
          </w:tcPr>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禁止开发建设活动的要求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限制开发建设活动的要求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不符合空间布局要求活动的退出要求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其他空间布局约束要求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p>
        </w:tc>
        <w:tc>
          <w:tcPr>
            <w:tcW w:w="4621" w:type="dxa"/>
            <w:vAlign w:val="center"/>
          </w:tcPr>
          <w:p>
            <w:pPr>
              <w:spacing w:line="240" w:lineRule="auto"/>
              <w:ind w:firstLine="0" w:firstLineChars="0"/>
              <w:jc w:val="center"/>
              <w:rPr>
                <w:rFonts w:cs="Times New Roman"/>
                <w:snapToGrid w:val="0"/>
                <w:color w:val="000000" w:themeColor="text1"/>
                <w:sz w:val="21"/>
                <w:szCs w:val="21"/>
                <w:highlight w:val="none"/>
                <w14:textFill>
                  <w14:solidFill>
                    <w14:schemeClr w14:val="tx1"/>
                  </w14:solidFill>
                </w14:textFill>
              </w:rPr>
            </w:pPr>
            <w:r>
              <w:rPr>
                <w:rFonts w:hint="eastAsia" w:cs="Times New Roman"/>
                <w:b/>
                <w:bCs/>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r>
              <w:rPr>
                <w:rFonts w:hint="eastAsia" w:cs="Times New Roman"/>
                <w:snapToGrid w:val="0"/>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lang w:eastAsia="en-US"/>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snapToGrid w:val="0"/>
                <w:color w:val="000000" w:themeColor="text1"/>
                <w:kern w:val="0"/>
                <w:sz w:val="21"/>
                <w:szCs w:val="21"/>
                <w:highlight w:val="none"/>
                <w:lang w:eastAsia="en-US"/>
                <w14:textFill>
                  <w14:solidFill>
                    <w14:schemeClr w14:val="tx1"/>
                  </w14:solidFill>
                </w14:textFill>
              </w:rPr>
            </w:pPr>
            <w:r>
              <w:rPr>
                <w:rFonts w:cs="Times New Roman"/>
                <w:color w:val="000000" w:themeColor="text1"/>
                <w:sz w:val="21"/>
                <w:szCs w:val="21"/>
                <w:highlight w:val="none"/>
                <w:lang w:eastAsia="en-US"/>
                <w14:textFill>
                  <w14:solidFill>
                    <w14:schemeClr w14:val="tx1"/>
                  </w14:solidFill>
                </w14:textFill>
              </w:rPr>
              <w:t>污染物排放管控</w:t>
            </w:r>
          </w:p>
        </w:tc>
        <w:tc>
          <w:tcPr>
            <w:tcW w:w="5428" w:type="dxa"/>
            <w:vAlign w:val="center"/>
          </w:tcPr>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允许排放量要求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现有源提标升级改造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其他污染物排放管控要求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p>
        </w:tc>
        <w:tc>
          <w:tcPr>
            <w:tcW w:w="4621" w:type="dxa"/>
            <w:vAlign w:val="center"/>
          </w:tcPr>
          <w:p>
            <w:pPr>
              <w:spacing w:line="240" w:lineRule="auto"/>
              <w:ind w:firstLine="0" w:firstLineChars="0"/>
              <w:jc w:val="center"/>
              <w:rPr>
                <w:rFonts w:cs="Times New Roman"/>
                <w:snapToGrid w:val="0"/>
                <w:color w:val="000000" w:themeColor="text1"/>
                <w:sz w:val="21"/>
                <w:szCs w:val="21"/>
                <w:highlight w:val="none"/>
                <w14:textFill>
                  <w14:solidFill>
                    <w14:schemeClr w14:val="tx1"/>
                  </w14:solidFill>
                </w14:textFill>
              </w:rPr>
            </w:pPr>
            <w:r>
              <w:rPr>
                <w:rFonts w:hint="eastAsia" w:cs="Times New Roman"/>
                <w:b/>
                <w:bCs/>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r>
              <w:rPr>
                <w:rFonts w:hint="eastAsia" w:cs="Times New Roman"/>
                <w:snapToGrid w:val="0"/>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lang w:eastAsia="en-US"/>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r>
              <w:rPr>
                <w:rFonts w:cs="Times New Roman"/>
                <w:color w:val="000000" w:themeColor="text1"/>
                <w:sz w:val="21"/>
                <w:szCs w:val="21"/>
                <w:highlight w:val="none"/>
                <w:lang w:eastAsia="en-US"/>
                <w14:textFill>
                  <w14:solidFill>
                    <w14:schemeClr w14:val="tx1"/>
                  </w14:solidFill>
                </w14:textFill>
              </w:rPr>
              <w:t>环境风险防控</w:t>
            </w:r>
          </w:p>
        </w:tc>
        <w:tc>
          <w:tcPr>
            <w:tcW w:w="5428" w:type="dxa"/>
            <w:vAlign w:val="center"/>
          </w:tcPr>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联防联控要求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其他环境风险防控要求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p>
        </w:tc>
        <w:tc>
          <w:tcPr>
            <w:tcW w:w="4621" w:type="dxa"/>
            <w:vAlign w:val="center"/>
          </w:tcPr>
          <w:p>
            <w:pPr>
              <w:spacing w:line="240" w:lineRule="auto"/>
              <w:ind w:firstLine="0" w:firstLineChars="0"/>
              <w:jc w:val="center"/>
              <w:rPr>
                <w:rFonts w:cs="Times New Roman"/>
                <w:snapToGrid w:val="0"/>
                <w:color w:val="000000" w:themeColor="text1"/>
                <w:sz w:val="21"/>
                <w:szCs w:val="21"/>
                <w:highlight w:val="none"/>
                <w14:textFill>
                  <w14:solidFill>
                    <w14:schemeClr w14:val="tx1"/>
                  </w14:solidFill>
                </w14:textFill>
              </w:rPr>
            </w:pPr>
            <w:r>
              <w:rPr>
                <w:rFonts w:hint="eastAsia" w:cs="Times New Roman"/>
                <w:snapToGrid w:val="0"/>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r>
              <w:rPr>
                <w:rFonts w:hint="eastAsia" w:cs="Times New Roman"/>
                <w:snapToGrid w:val="0"/>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lang w:eastAsia="en-US"/>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r>
              <w:rPr>
                <w:rFonts w:cs="Times New Roman"/>
                <w:color w:val="000000" w:themeColor="text1"/>
                <w:sz w:val="21"/>
                <w:szCs w:val="21"/>
                <w:highlight w:val="none"/>
                <w:lang w:eastAsia="en-US"/>
                <w14:textFill>
                  <w14:solidFill>
                    <w14:schemeClr w14:val="tx1"/>
                  </w14:solidFill>
                </w14:textFill>
              </w:rPr>
              <w:t>资源开发效率</w:t>
            </w:r>
          </w:p>
        </w:tc>
        <w:tc>
          <w:tcPr>
            <w:tcW w:w="5428" w:type="dxa"/>
            <w:vAlign w:val="center"/>
          </w:tcPr>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水资源利用总量要求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地下水开采要求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能源利用总量及效率要求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禁燃区要求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暂无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其他资源利用效率要求</w:t>
            </w:r>
          </w:p>
          <w:p>
            <w:pPr>
              <w:widowControl/>
              <w:spacing w:line="240" w:lineRule="auto"/>
              <w:ind w:firstLine="0" w:firstLineChars="0"/>
              <w:jc w:val="left"/>
              <w:rPr>
                <w:rFonts w:cs="Times New Roman"/>
                <w:b/>
                <w:bCs/>
                <w:color w:val="000000" w:themeColor="text1"/>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暂无</w:t>
            </w:r>
          </w:p>
        </w:tc>
        <w:tc>
          <w:tcPr>
            <w:tcW w:w="4621"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restart"/>
            <w:vAlign w:val="center"/>
          </w:tcPr>
          <w:p>
            <w:pPr>
              <w:widowControl/>
              <w:spacing w:line="240" w:lineRule="auto"/>
              <w:ind w:firstLine="0" w:firstLineChars="0"/>
              <w:jc w:val="center"/>
              <w:rPr>
                <w:rFonts w:hint="eastAsia" w:ascii="宋体" w:hAnsi="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YS5117221130014，生态优先保护区（一般生态空间）14</w:t>
            </w:r>
          </w:p>
        </w:tc>
        <w:tc>
          <w:tcPr>
            <w:tcW w:w="734" w:type="dxa"/>
            <w:vMerge w:val="restart"/>
            <w:vAlign w:val="center"/>
          </w:tcPr>
          <w:p>
            <w:pPr>
              <w:widowControl/>
              <w:spacing w:line="240" w:lineRule="auto"/>
              <w:ind w:firstLine="0" w:firstLineChars="0"/>
              <w:jc w:val="center"/>
              <w:rPr>
                <w:rFonts w:hint="eastAsia" w:ascii="宋体" w:hAnsi="宋体" w:cs="宋体"/>
                <w:color w:val="000000" w:themeColor="text1"/>
                <w:kern w:val="0"/>
                <w:sz w:val="21"/>
                <w:szCs w:val="21"/>
                <w:highlight w:val="none"/>
                <w:lang w:eastAsia="en-US"/>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单元级清单管控要求</w:t>
            </w:r>
          </w:p>
        </w:tc>
        <w:tc>
          <w:tcPr>
            <w:tcW w:w="770" w:type="dxa"/>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空间布局约束</w:t>
            </w:r>
          </w:p>
        </w:tc>
        <w:tc>
          <w:tcPr>
            <w:tcW w:w="5428" w:type="dxa"/>
            <w:vAlign w:val="center"/>
          </w:tcPr>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禁止开发建设活动的要求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生态公益林参照现行法律法规执行水源涵养重要区、生物多样性维护重要区、水土保持功能重要区参照《全国生态功能区划》执行</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限制开发建设活动的要求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生态公益林参照现行法律法规执行水源涵养重要区、生物多样性维护重要区、水土保持功能重要区参照《全国生态功能区划》执行</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允许开发建设活动的要求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生态公益林参照现行法律法规执行水源涵养重要区、生物多样性维护重要区、水土保持功能重要区参照《全国生态功能区划》执行</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不符合空间布局要求活动的退出要求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生态公益林参照现行法律法规执行水源涵养重要区、生物多样性维护重要区、水土保持功能重要区参照《全国生态功能区划》执行</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其他空间布局约束要求</w:t>
            </w:r>
          </w:p>
        </w:tc>
        <w:tc>
          <w:tcPr>
            <w:tcW w:w="4621" w:type="dxa"/>
            <w:vAlign w:val="center"/>
          </w:tcPr>
          <w:p>
            <w:pPr>
              <w:widowControl/>
              <w:spacing w:line="240" w:lineRule="auto"/>
              <w:ind w:firstLine="0" w:firstLineChars="0"/>
              <w:jc w:val="left"/>
              <w:rPr>
                <w:rFonts w:hint="eastAsia" w:ascii="宋体" w:hAnsi="宋体"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对应《全国生态功能区划》，项目所处区域属于秦岭－大巴山生物多样性保护与水源涵养重要区，生态保护主要措施：加强已有自然保护区保护和天然林管护力度；对已破坏的生态系统，要结合有关生态建设工程，做好生态恢 复与重建工作，增强生态系统水源涵养和土壤保持功能；停止导致生态功能继续退化的开发活动和其他人为破坏活动；严格矿产资源、 水电资源开发的监管；控制人口增长，改变粗放生产经营方式，发 展生态旅游和特色产业。</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本项目为天然气勘探及试采工程，工程占地面积较小，建设单位在钻井工程施工过程</w:t>
            </w:r>
            <w:r>
              <w:rPr>
                <w:rFonts w:hint="eastAsia"/>
                <w:color w:val="000000" w:themeColor="text1"/>
                <w:sz w:val="21"/>
                <w:szCs w:val="21"/>
                <w:highlight w:val="none"/>
                <w14:textFill>
                  <w14:solidFill>
                    <w14:schemeClr w14:val="tx1"/>
                  </w14:solidFill>
                </w14:textFill>
              </w:rPr>
              <w:t>中应做好临时占地表土集中堆放、截排水沟、表面覆盖等水土流失控制措施，临时占用应及时按土地复垦、复植的方式实施临时占地生态恢复，确保临时占地土地使用功能不降低</w:t>
            </w:r>
            <w:r>
              <w:rPr>
                <w:rFonts w:hint="eastAsia" w:cs="Times New Roman"/>
                <w:snapToGrid w:val="0"/>
                <w:color w:val="000000" w:themeColor="text1"/>
                <w:sz w:val="21"/>
                <w:szCs w:val="21"/>
                <w:highlight w:val="none"/>
                <w14:textFill>
                  <w14:solidFill>
                    <w14:schemeClr w14:val="tx1"/>
                  </w14:solidFill>
                </w14:textFill>
              </w:rPr>
              <w:t>。综上所述，本项目满足</w:t>
            </w:r>
            <w:r>
              <w:rPr>
                <w:rFonts w:hint="eastAsia" w:ascii="宋体" w:hAnsi="宋体" w:cs="Times New Roman"/>
                <w:color w:val="000000" w:themeColor="text1"/>
                <w:sz w:val="21"/>
                <w:szCs w:val="21"/>
                <w:highlight w:val="none"/>
                <w14:textFill>
                  <w14:solidFill>
                    <w14:schemeClr w14:val="tx1"/>
                  </w14:solidFill>
                </w14:textFill>
              </w:rPr>
              <w:t>《全国生态功能区划》中的对应要求。</w:t>
            </w:r>
          </w:p>
        </w:tc>
        <w:tc>
          <w:tcPr>
            <w:tcW w:w="854" w:type="dxa"/>
            <w:vMerge w:val="restar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lang w:eastAsia="en-US"/>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污染物排放管控</w:t>
            </w:r>
          </w:p>
        </w:tc>
        <w:tc>
          <w:tcPr>
            <w:tcW w:w="5428"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854" w:type="dxa"/>
            <w:vMerge w:val="continue"/>
            <w:vAlign w:val="center"/>
          </w:tcPr>
          <w:p>
            <w:pPr>
              <w:spacing w:line="240" w:lineRule="auto"/>
              <w:ind w:firstLine="420"/>
              <w:jc w:val="center"/>
              <w:rPr>
                <w:rFonts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环境风险防控</w:t>
            </w:r>
          </w:p>
        </w:tc>
        <w:tc>
          <w:tcPr>
            <w:tcW w:w="5428"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854" w:type="dxa"/>
            <w:vMerge w:val="continue"/>
            <w:vAlign w:val="center"/>
          </w:tcPr>
          <w:p>
            <w:pPr>
              <w:spacing w:line="240" w:lineRule="auto"/>
              <w:ind w:firstLine="420"/>
              <w:jc w:val="center"/>
              <w:rPr>
                <w:rFonts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lang w:eastAsia="en-US"/>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资源开发效率</w:t>
            </w:r>
          </w:p>
        </w:tc>
        <w:tc>
          <w:tcPr>
            <w:tcW w:w="5428"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85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restart"/>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YS5117223210004</w:t>
            </w:r>
            <w:r>
              <w:rPr>
                <w:rFonts w:hint="eastAsia" w:cs="Times New Roman"/>
                <w:color w:val="000000" w:themeColor="text1"/>
                <w:sz w:val="21"/>
                <w:szCs w:val="21"/>
                <w:highlight w:val="none"/>
                <w14:textFill>
                  <w14:solidFill>
                    <w14:schemeClr w14:val="tx1"/>
                  </w14:solidFill>
                </w14:textFill>
              </w:rPr>
              <w:t>，</w:t>
            </w:r>
            <w:r>
              <w:rPr>
                <w:rFonts w:hint="eastAsia" w:ascii="宋体" w:hAnsi="宋体" w:cs="Times New Roman"/>
                <w:color w:val="000000" w:themeColor="text1"/>
                <w:sz w:val="21"/>
                <w:szCs w:val="21"/>
                <w:highlight w:val="none"/>
                <w14:textFill>
                  <w14:solidFill>
                    <w14:schemeClr w14:val="tx1"/>
                  </w14:solidFill>
                </w14:textFill>
              </w:rPr>
              <w:t>中河-宣汉县-普光-控制单元</w:t>
            </w:r>
          </w:p>
        </w:tc>
        <w:tc>
          <w:tcPr>
            <w:tcW w:w="734" w:type="dxa"/>
            <w:vMerge w:val="restar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单元级清单管控要求</w:t>
            </w: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空间布局约束</w:t>
            </w:r>
          </w:p>
        </w:tc>
        <w:tc>
          <w:tcPr>
            <w:tcW w:w="5428" w:type="dxa"/>
            <w:vAlign w:val="center"/>
          </w:tcPr>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禁止开发建设活动的要求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不再新建、改扩建开采规模在50万吨/年以下的磷矿，不再新建露天磷矿</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限制开发建设活动的要求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允许开发建设活动的要求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不符合空间布局要求活动的退出要求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其他空间布局约束要求</w:t>
            </w:r>
          </w:p>
        </w:tc>
        <w:tc>
          <w:tcPr>
            <w:tcW w:w="4621" w:type="dxa"/>
            <w:vAlign w:val="center"/>
          </w:tcPr>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天然气勘探及试采工程</w:t>
            </w:r>
            <w:r>
              <w:rPr>
                <w:rFonts w:cs="Times New Roman"/>
                <w:color w:val="000000" w:themeColor="text1"/>
                <w:sz w:val="21"/>
                <w:szCs w:val="21"/>
                <w:highlight w:val="none"/>
                <w14:textFill>
                  <w14:solidFill>
                    <w14:schemeClr w14:val="tx1"/>
                  </w14:solidFill>
                </w14:textFill>
              </w:rPr>
              <w:t>，</w:t>
            </w:r>
            <w:r>
              <w:rPr>
                <w:rFonts w:cs="Times New Roman"/>
                <w:snapToGrid w:val="0"/>
                <w:color w:val="000000" w:themeColor="text1"/>
                <w:sz w:val="21"/>
                <w:szCs w:val="21"/>
                <w:highlight w:val="none"/>
                <w14:textFill>
                  <w14:solidFill>
                    <w14:schemeClr w14:val="tx1"/>
                  </w14:solidFill>
                </w14:textFill>
              </w:rPr>
              <w:t>不属于</w:t>
            </w:r>
            <w:r>
              <w:rPr>
                <w:rFonts w:hint="eastAsia" w:cs="Times New Roman"/>
                <w:snapToGrid w:val="0"/>
                <w:color w:val="000000" w:themeColor="text1"/>
                <w:sz w:val="21"/>
                <w:szCs w:val="21"/>
                <w:highlight w:val="none"/>
                <w14:textFill>
                  <w14:solidFill>
                    <w14:schemeClr w14:val="tx1"/>
                  </w14:solidFill>
                </w14:textFill>
              </w:rPr>
              <w:t>磷矿。</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污染物排放管控</w:t>
            </w:r>
          </w:p>
        </w:tc>
        <w:tc>
          <w:tcPr>
            <w:tcW w:w="5428" w:type="dxa"/>
            <w:vAlign w:val="center"/>
          </w:tcPr>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城镇污水污染控制措施要求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1、持续推进环保基础设施补短板，完善污水收集处理系统。2、保障乡镇污水收集处理设施顺畅运行。3、推进污水直排口排查与整治，落实“一口一策”整改措施。</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工业废水污染控制措施要求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1、落实主要污染物排放总量指标控制要求，加强入河排污口登记、审批和监督管理。2、强化流域内工业点源、规模化畜禽养殖场运行监管，避免偷排、漏排。</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农业面源水污染控制措施要求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1、推进农村污染治理，稳步农村污水处理设施建设，适当预留发展空间，宜集中则集中，宜分散则分散。大力推进农村生活垃圾就地分类减量 和资源化利用，因地制宜选择农村生活垃圾治理模式。严格做好“农家乐”、种植采摘园等范围内的生活及农产品产生污水及垃圾治理。2、以环境承载能力为约束，合理规划水产养殖空间及规模；推进水产生态健康养殖，加强渔业生产过程中抗菌药物使用管控。推进水产养殖治理，水产养殖废水应处理达到《四川省水产养殖业水污染物排放标准》后排放；实施池塘标准化改造，完善循环水和进排水处理设施；推进养殖尾水节水减排。3、以环境承载能力为约束，合理规划畜禽养殖空间及规模；推进畜禽粪污分类处置，根据排放去向或利用方式的不同执行相应的标准规范。不断提高畜禽养殖粪污资源化利用率及利用水平；设有污水排放口的规模化畜禽养殖场应当依法申领排污许可证。4、推进化肥、农药使用量“零增长”，逐步推进农田径流拦截及治理。</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船舶港口水污染控制措施要求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饮用水水源和其它特殊水体保护要求。</w:t>
            </w:r>
          </w:p>
        </w:tc>
        <w:tc>
          <w:tcPr>
            <w:tcW w:w="4621" w:type="dxa"/>
            <w:vAlign w:val="center"/>
          </w:tcPr>
          <w:p>
            <w:pPr>
              <w:widowControl/>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本项目不涉及城镇污水和农业面源，产生的废水均不外排。</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环境风险防控</w:t>
            </w:r>
          </w:p>
        </w:tc>
        <w:tc>
          <w:tcPr>
            <w:tcW w:w="5428" w:type="dxa"/>
            <w:vAlign w:val="center"/>
          </w:tcPr>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进一步完善工业企业和矿山环境风险防范和管理体系建设，开展企业风险隐患排查与风险评估，增强企业的环境风险意识，守住环境安全底线。落实</w:t>
            </w:r>
            <w:r>
              <w:rPr>
                <w:rFonts w:hint="eastAsia" w:ascii="宋体" w:hAnsi="宋体" w:cs="宋体"/>
                <w:color w:val="000000" w:themeColor="text1"/>
                <w:sz w:val="21"/>
                <w:szCs w:val="21"/>
                <w:highlight w:val="none"/>
                <w14:textFill>
                  <w14:solidFill>
                    <w14:schemeClr w14:val="tx1"/>
                  </w14:solidFill>
                </w14:textFill>
              </w:rPr>
              <w:t>“一河一策一图”风</w:t>
            </w:r>
            <w:r>
              <w:rPr>
                <w:rFonts w:cs="Times New Roman"/>
                <w:color w:val="000000" w:themeColor="text1"/>
                <w:sz w:val="21"/>
                <w:szCs w:val="21"/>
                <w:highlight w:val="none"/>
                <w14:textFill>
                  <w14:solidFill>
                    <w14:schemeClr w14:val="tx1"/>
                  </w14:solidFill>
                </w14:textFill>
              </w:rPr>
              <w:t>险管理和应急响应方案，提升风险应急管理水平。</w:t>
            </w:r>
          </w:p>
        </w:tc>
        <w:tc>
          <w:tcPr>
            <w:tcW w:w="4621" w:type="dxa"/>
            <w:vAlign w:val="center"/>
          </w:tcPr>
          <w:p>
            <w:pPr>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cs="Times New Roman"/>
                <w:snapToGrid w:val="0"/>
                <w:color w:val="000000" w:themeColor="text1"/>
                <w:sz w:val="21"/>
                <w:szCs w:val="21"/>
                <w:highlight w:val="none"/>
                <w14:textFill>
                  <w14:solidFill>
                    <w14:schemeClr w14:val="tx1"/>
                  </w14:solidFill>
                </w14:textFill>
              </w:rPr>
              <w:t>本项目严格落实风险防控措施，普光分公司建立了环境突发事故应急预案</w:t>
            </w:r>
            <w:r>
              <w:rPr>
                <w:rFonts w:hint="eastAsia" w:cs="Times New Roman"/>
                <w:snapToGrid w:val="0"/>
                <w:color w:val="000000" w:themeColor="text1"/>
                <w:sz w:val="21"/>
                <w:szCs w:val="21"/>
                <w:highlight w:val="none"/>
                <w14:textFill>
                  <w14:solidFill>
                    <w14:schemeClr w14:val="tx1"/>
                  </w14:solidFill>
                </w14:textFill>
              </w:rPr>
              <w:t>体系</w:t>
            </w:r>
            <w:r>
              <w:rPr>
                <w:rFonts w:cs="Times New Roman"/>
                <w:snapToGrid w:val="0"/>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资源开发效率</w:t>
            </w:r>
          </w:p>
        </w:tc>
        <w:tc>
          <w:tcPr>
            <w:tcW w:w="5428" w:type="dxa"/>
            <w:vAlign w:val="center"/>
          </w:tcPr>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强化种植业节水；推进农村污水分质资源化利用。</w:t>
            </w:r>
          </w:p>
        </w:tc>
        <w:tc>
          <w:tcPr>
            <w:tcW w:w="4621" w:type="dxa"/>
            <w:vAlign w:val="center"/>
          </w:tcPr>
          <w:p>
            <w:pPr>
              <w:widowControl/>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本项目为天然气试采，不涉及左述管控要求。</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r>
              <w:rPr>
                <w:rFonts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restart"/>
            <w:shd w:val="clear" w:color="auto" w:fill="auto"/>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YS5117223310001</w:t>
            </w:r>
            <w:r>
              <w:rPr>
                <w:rFonts w:hint="eastAsia" w:cs="Times New Roman"/>
                <w:color w:val="000000" w:themeColor="text1"/>
                <w:sz w:val="21"/>
                <w:szCs w:val="21"/>
                <w:highlight w:val="none"/>
                <w14:textFill>
                  <w14:solidFill>
                    <w14:schemeClr w14:val="tx1"/>
                  </w14:solidFill>
                </w14:textFill>
              </w:rPr>
              <w:t>，</w:t>
            </w:r>
            <w:r>
              <w:rPr>
                <w:rFonts w:hint="eastAsia" w:ascii="宋体" w:hAnsi="宋体" w:cs="Times New Roman"/>
                <w:color w:val="000000" w:themeColor="text1"/>
                <w:sz w:val="21"/>
                <w:szCs w:val="21"/>
                <w:highlight w:val="none"/>
                <w14:textFill>
                  <w14:solidFill>
                    <w14:schemeClr w14:val="tx1"/>
                  </w14:solidFill>
                </w14:textFill>
              </w:rPr>
              <w:t>宣汉县大气环境一般管控区</w:t>
            </w:r>
          </w:p>
        </w:tc>
        <w:tc>
          <w:tcPr>
            <w:tcW w:w="734" w:type="dxa"/>
            <w:vMerge w:val="restart"/>
            <w:shd w:val="clear" w:color="auto" w:fill="auto"/>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单元级清单管控要求</w:t>
            </w:r>
          </w:p>
        </w:tc>
        <w:tc>
          <w:tcPr>
            <w:tcW w:w="770" w:type="dxa"/>
            <w:shd w:val="clear" w:color="auto" w:fill="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空间布局约束</w:t>
            </w:r>
          </w:p>
        </w:tc>
        <w:tc>
          <w:tcPr>
            <w:tcW w:w="5428" w:type="dxa"/>
            <w:vAlign w:val="center"/>
          </w:tcPr>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禁止开发建设活动的要求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限制开发建设活动的要求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允许开发建设活动的要求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不符合空间布局要求活动的退出要求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其他空间布局约束要求</w:t>
            </w:r>
          </w:p>
          <w:p>
            <w:pPr>
              <w:widowControl/>
              <w:spacing w:line="240" w:lineRule="auto"/>
              <w:ind w:firstLine="0" w:firstLineChars="0"/>
              <w:jc w:val="left"/>
              <w:rPr>
                <w:rFonts w:hint="eastAsia" w:ascii="宋体" w:hAnsi="宋体"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污染物排放管控</w:t>
            </w:r>
          </w:p>
        </w:tc>
        <w:tc>
          <w:tcPr>
            <w:tcW w:w="5428" w:type="dxa"/>
            <w:vAlign w:val="center"/>
          </w:tcPr>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大气环境质量执行标准</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《环境空气质量标准》（GB3095-2012）：二级</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区域大气污染物削减/替代要求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燃煤和其他能源大气污染控制要求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工业废气污染控制要求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机动车船大气污染控制要求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扬尘污染控制要求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农业生产经营活动大气污染控制要求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重点行业企业专项治理要求</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其他大气污染物排放管控要求</w:t>
            </w:r>
          </w:p>
          <w:p>
            <w:pPr>
              <w:widowControl/>
              <w:spacing w:line="240" w:lineRule="auto"/>
              <w:ind w:firstLine="0" w:firstLineChars="0"/>
              <w:jc w:val="left"/>
              <w:rPr>
                <w:rFonts w:hint="eastAsia" w:ascii="宋体" w:hAnsi="宋体"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减少工业化、城镇化对大气环境的影响，严格执行国家、省、市下达的相关大气污染防治要求。</w:t>
            </w:r>
          </w:p>
        </w:tc>
        <w:tc>
          <w:tcPr>
            <w:tcW w:w="4621" w:type="dxa"/>
            <w:vAlign w:val="center"/>
          </w:tcPr>
          <w:p>
            <w:pPr>
              <w:widowControl/>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本项目环境空气执行</w:t>
            </w:r>
            <w:r>
              <w:rPr>
                <w:rFonts w:cs="Times New Roman"/>
                <w:color w:val="000000" w:themeColor="text1"/>
                <w:sz w:val="21"/>
                <w:szCs w:val="21"/>
                <w:highlight w:val="none"/>
                <w14:textFill>
                  <w14:solidFill>
                    <w14:schemeClr w14:val="tx1"/>
                  </w14:solidFill>
                </w14:textFill>
              </w:rPr>
              <w:t>《环境空气质量标准》（GB3095-2012）：二级</w:t>
            </w:r>
            <w:r>
              <w:rPr>
                <w:rFonts w:hint="eastAsia" w:cs="Times New Roman"/>
                <w:color w:val="000000" w:themeColor="text1"/>
                <w:sz w:val="21"/>
                <w:szCs w:val="21"/>
                <w:highlight w:val="none"/>
                <w14:textFill>
                  <w14:solidFill>
                    <w14:schemeClr w14:val="tx1"/>
                  </w14:solidFill>
                </w14:textFill>
              </w:rPr>
              <w:t>，严格</w:t>
            </w:r>
            <w:r>
              <w:rPr>
                <w:rFonts w:cs="Times New Roman"/>
                <w:color w:val="000000" w:themeColor="text1"/>
                <w:sz w:val="21"/>
                <w:szCs w:val="21"/>
                <w:highlight w:val="none"/>
                <w14:textFill>
                  <w14:solidFill>
                    <w14:schemeClr w14:val="tx1"/>
                  </w14:solidFill>
                </w14:textFill>
              </w:rPr>
              <w:t>执行国家、省、市下达的相关大气污染防治要求</w:t>
            </w:r>
            <w:r>
              <w:rPr>
                <w:rFonts w:hint="eastAsia" w:cs="Times New Roman"/>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pStyle w:val="262"/>
              <w:widowControl/>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环境风险防控</w:t>
            </w:r>
          </w:p>
        </w:tc>
        <w:tc>
          <w:tcPr>
            <w:tcW w:w="5428" w:type="dxa"/>
            <w:vAlign w:val="center"/>
          </w:tcPr>
          <w:p>
            <w:pPr>
              <w:widowControl/>
              <w:spacing w:line="240" w:lineRule="auto"/>
              <w:ind w:firstLine="0" w:firstLineChars="0"/>
              <w:jc w:val="center"/>
              <w:rPr>
                <w:rFonts w:hint="eastAsia" w:ascii="宋体" w:hAnsi="宋体"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pStyle w:val="262"/>
              <w:widowControl/>
              <w:adjustRightInd w:val="0"/>
              <w:snapToGrid w:val="0"/>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资源开发效率要求</w:t>
            </w:r>
          </w:p>
        </w:tc>
        <w:tc>
          <w:tcPr>
            <w:tcW w:w="5428" w:type="dxa"/>
            <w:vAlign w:val="center"/>
          </w:tcPr>
          <w:p>
            <w:pPr>
              <w:widowControl/>
              <w:spacing w:line="240" w:lineRule="auto"/>
              <w:ind w:firstLine="0" w:firstLineChars="0"/>
              <w:jc w:val="center"/>
              <w:rPr>
                <w:rFonts w:hint="eastAsia" w:ascii="宋体" w:hAnsi="宋体"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restart"/>
            <w:vAlign w:val="center"/>
          </w:tcPr>
          <w:p>
            <w:pPr>
              <w:widowControl/>
              <w:spacing w:line="240" w:lineRule="auto"/>
              <w:ind w:firstLine="0" w:firstLineChars="0"/>
              <w:jc w:val="center"/>
              <w:rPr>
                <w:rFonts w:hint="eastAsia" w:ascii="宋体" w:hAnsi="宋体"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ZH51172210003，生态公益林、水源涵养重要区、水土保持功能重要区、生物多样性维护重要区</w:t>
            </w:r>
          </w:p>
        </w:tc>
        <w:tc>
          <w:tcPr>
            <w:tcW w:w="734" w:type="dxa"/>
            <w:vMerge w:val="restart"/>
            <w:vAlign w:val="center"/>
          </w:tcPr>
          <w:p>
            <w:pPr>
              <w:widowControl/>
              <w:spacing w:line="240" w:lineRule="auto"/>
              <w:ind w:firstLine="0" w:firstLineChars="0"/>
              <w:jc w:val="center"/>
              <w:rPr>
                <w:rFonts w:hint="eastAsia" w:ascii="宋体" w:hAnsi="宋体"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普适性清单管控要求</w:t>
            </w: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空间布局约束</w:t>
            </w:r>
          </w:p>
        </w:tc>
        <w:tc>
          <w:tcPr>
            <w:tcW w:w="5428" w:type="dxa"/>
            <w:vAlign w:val="center"/>
          </w:tcPr>
          <w:p>
            <w:pPr>
              <w:pStyle w:val="262"/>
              <w:adjustRightInd w:val="0"/>
              <w:snapToGrid w:val="0"/>
              <w:spacing w:line="240" w:lineRule="auto"/>
              <w:ind w:firstLine="0" w:firstLineChars="0"/>
              <w:rPr>
                <w:rFonts w:hint="eastAsia" w:ascii="宋体" w:hAnsi="宋体" w:eastAsia="宋体" w:cs="宋体"/>
                <w:b/>
                <w:bCs/>
                <w:color w:val="000000" w:themeColor="text1"/>
                <w:kern w:val="0"/>
                <w:sz w:val="21"/>
                <w:highlight w:val="none"/>
                <w14:textFill>
                  <w14:solidFill>
                    <w14:schemeClr w14:val="tx1"/>
                  </w14:solidFill>
                </w14:textFill>
              </w:rPr>
            </w:pPr>
            <w:r>
              <w:rPr>
                <w:rFonts w:hint="eastAsia" w:ascii="宋体" w:hAnsi="宋体" w:eastAsia="宋体" w:cs="宋体"/>
                <w:b/>
                <w:bCs/>
                <w:color w:val="000000" w:themeColor="text1"/>
                <w:kern w:val="0"/>
                <w:sz w:val="21"/>
                <w:highlight w:val="none"/>
                <w14:textFill>
                  <w14:solidFill>
                    <w14:schemeClr w14:val="tx1"/>
                  </w14:solidFill>
                </w14:textFill>
              </w:rPr>
              <w:t>禁止开发建设活动的要求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生态保护红线：生态保护红线内自然保护地核心保护区外，禁止开发性、生产性建设活动，在符合法律法规的前提下，仅允许《关于加强生态保护红线管理的通知（试行）》（自然资发〔2022]142号）中规定的十类对生态功能不造成破坏的有限人为活动。生态保护红线内自然保护区、风景名胜区、饮用水水源保护区等区域，依照法律法规执行。</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自然保护区：禁止任何人进入自然保护区的核心区。因科学研究的需要，必须进入核心区从事科学研究观测、调查活动的，应当事先向自然保护区管理机构提交申请和活动计划，并经省级以上人民政府有关自然保护区行政主管部门批准；其中，进入国家级自然保护区核心区的，必须经国务院有关自然保护区行政主管部门批准。自然保护区核心区内原有居民确有必要迁出的，由自然保护区所在地的县级以上地方人民政府制定方案，予以妥善安置。</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在自然保护区的缓冲区开展旅游和生产经营活动。因教学科学研的目的，需要进入自然保护区的缓冲区从事非破坏性的科学研究、教学实习和标本采集活动的，应当事先向自然保护区管理机构提交申请和活动计划，经自然保护区管理机构批准。</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在自然保护区的实验区内开展参观、旅游活动的，由自然保护区管理机构编制方案，方案应当符合自然保护区管理目标。严禁开设与自然保护区保护方向不一致的参观、旅游项目。</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在自然保护区内进行砍伐、放牧、狩猎、捕捞、采药、开垦、烧荒、开矿、采石、挖沙等活动（法律、行政法规另有规定除外）。在自然保护区的核心区和缓冲区内，禁止建设任何生产设施。在自然保护区的实验区内，不得建设污染环境、破坏资源或者景观的生产设施；建设其他项目，其污染物排放不得超过国家和地方规定的污染物排放标准。</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自然保护区的内部未分区的，依照本条例有关核心区和缓冲区的规定管理。</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风景名胜区：禁止开山、采石、开矿、开荒、修坟立碑等破坏景观、植被和地形地貌的活动；禁止违反风景名胜区规划，在风景名胜区内设立各类开发区和在核心景区内建设宾馆、招待所、培训中心、疗养院以及与风景名胜资源保护无关的其他建筑物；已经建设的，应当按照风景名胜区规划，逐步迁出；禁止风景名胜区内修建储存或者输送爆炸性、易燃性、放射性、毒害性、腐蚀性物品等危险品的设施，或者其他破坏景观、污染环境、妨碍游览和危害风景名胜区生态、公共安全的建筑物和构筑物。在风景名胜区及其外围保护地带内，不得设立开发区、度假区，不得建设破坏景观、污染环境的工矿企业和其他项目、设施。在游人集中的游览区和自然环境保留地内，不得建设旅馆、招待所、休疗养机构、生活区以及其他影响观瞻或污染环境的工程设施。在重要景点上，除必需的保护设施外，不得兴建其他工程设施。禁止超过风景名胜区总体规划确定的容量接待游客。世界自然遗产地：禁止在世界遗产保护范围内实施以下行为：建设污染环境、破坏生态和造成水土流失的设施；在世界遗产核心保护区、保护区范围内进行开山、采石、垦荒、开矿、取土等破坏地表、地貌的活动；在世界遗产核心保护区、保护区范围内修建储存爆炸性、易燃性、放射性、毒害性、腐蚀性等物品设施；在世界遗产核心保护区、保护区设立各类开发区、度假区；在世界遗产核心保护区建设宾馆、招待所、疗养院及各类培训中心等建筑物、构筑物和其他设施；在世界遗产保护区、缓冲区未经省人民政府世界遗产行政主管部门审核进行建设；其他损害或者破坏世界遗产真实性和完整性的行为。饮用水水源保护区：禁止在饮用水水源保护区内，禁止设置排污口。</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禁止在饮用水水源一级保护区内新建、改建、扩建与供水设施和保护水源无关的建设项目；已建成的与供水设施和保护水源无关的建设项目，由县级以上人民政府责令拆除或者关闭。</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禁止在饮用水水源一级保护区内从事网箱养殖、旅游、游泳、垂钓或者其他可能污染饮用水水体的活动。</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在饮用水水源二级保护区内新建、改建、扩建排放污染物的建设项目；已建成的排放污染物的建设项目，由县级以上人民政府责令拆除或者关闭。禁止在饮用水水源准保护区内新建、扩建对水体污染严重的建设项目；改建建设项目，不得增加排污量。</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地表水饮用水水源一级保护区内禁止新建、改建、扩建与供水设施和保护水源无关的建设项目；已建成的与供水设施和保护水源无关的建设项目，由县级以上地方人民政府责令拆除或者关闭；二级保护区内，禁止新建、改建、扩建排放污染物的建设项目；已建成的排放污染物的建设项目，由县级以上地方人民政府责令拆除或者关闭；准保护区内，禁止新建、扩建对水体污染严重的建设项目；改建建设项目，不得增加排污量。</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森林公园：（1）禁止擅自在国家级森林自然公园内从事采矿、房地产、开发区、高尔夫球场、风力光伏电场等不符合管控要求的开发活动。（2）禁止违规侵占国家级森林自然公园，排放不符合水污染物排放标准的工业废水、生活污水及其他的废水、污水，倾倒、堆放、丢弃、遗撒固体废物等污染生态环境的行为。（3）国家级森林自然公园按照一般控制区管理。（4）国家级森林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地质公园：禁止在保护区内及可能对地质遗迹造成影响的一定范围内进行采石、取土、开矿、放牧、砍伐以及其它对保护对象有损害的活动。未经管理机构批准，禁止在保护区范围内采集标本和化石。禁止在保护区内修建与地质遗迹保护无关的厂房或其他建筑设施。基本农田：-永久基本农田，实行严格保护，除法律规定的重点建设项目选址确实无法避让外，其他任何建设不得占用。</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-在永久基本农田集中区域，不得新建可能造成土壤污染的建设项目；已经建成的，应当限期关闭拆除。</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基本农田保护区经依法划定后，任何单位和个人不得改变或者占用。禁止任何单位和个人在基本农田保护区内建窑、建房、建坟、挖砂、采石、采矿、取土、堆放固体废弃物或者进行其他破坏基本农田的活动。禁止占用基本农田发展林果业和挖塘养鱼。</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水产种质资源保护区：禁止在水产种质资源保护区内从事围河（湖）造田、造地工程。禁止在水产种质资源保护区内新建排污口。在水产种质资源保护区附近新建、改建、扩建排污口，应当保证保护区水体不受污染。四川省境内水产种质资源保护区实行全年禁渔。禁止在水产种质资源保护区内从事捕捞、垂钓、挖砂采石以及其他可能对保护区内生物资源和生态环境造成损害的活动。</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生物多样性维护-生态功能区：严格执行《全国主体功能区规划</w:t>
            </w:r>
            <w:r>
              <w:rPr>
                <w:rFonts w:hint="eastAsia" w:ascii="宋体" w:hAnsi="宋体" w:eastAsia="宋体" w:cs="宋体"/>
                <w:color w:val="000000" w:themeColor="text1"/>
                <w:kern w:val="0"/>
                <w:sz w:val="21"/>
                <w:highlight w:val="none"/>
                <w:lang w:eastAsia="zh-CN"/>
                <w14:textFill>
                  <w14:solidFill>
                    <w14:schemeClr w14:val="tx1"/>
                  </w14:solidFill>
                </w14:textFill>
              </w:rPr>
              <w:t>》《</w:t>
            </w:r>
            <w:r>
              <w:rPr>
                <w:rFonts w:hint="eastAsia" w:ascii="宋体" w:hAnsi="宋体" w:eastAsia="宋体" w:cs="宋体"/>
                <w:color w:val="000000" w:themeColor="text1"/>
                <w:kern w:val="0"/>
                <w:sz w:val="21"/>
                <w:highlight w:val="none"/>
                <w14:textFill>
                  <w14:solidFill>
                    <w14:schemeClr w14:val="tx1"/>
                  </w14:solidFill>
                </w14:textFill>
              </w:rPr>
              <w:t>全国生态功能区划（修编）</w:t>
            </w:r>
            <w:r>
              <w:rPr>
                <w:rFonts w:hint="eastAsia" w:ascii="宋体" w:hAnsi="宋体" w:eastAsia="宋体" w:cs="宋体"/>
                <w:color w:val="000000" w:themeColor="text1"/>
                <w:kern w:val="0"/>
                <w:sz w:val="21"/>
                <w:highlight w:val="none"/>
                <w:lang w:eastAsia="zh-CN"/>
                <w14:textFill>
                  <w14:solidFill>
                    <w14:schemeClr w14:val="tx1"/>
                  </w14:solidFill>
                </w14:textFill>
              </w:rPr>
              <w:t>》《</w:t>
            </w:r>
            <w:r>
              <w:rPr>
                <w:rFonts w:hint="eastAsia" w:ascii="宋体" w:hAnsi="宋体" w:eastAsia="宋体" w:cs="宋体"/>
                <w:color w:val="000000" w:themeColor="text1"/>
                <w:kern w:val="0"/>
                <w:sz w:val="21"/>
                <w:highlight w:val="none"/>
                <w14:textFill>
                  <w14:solidFill>
                    <w14:schemeClr w14:val="tx1"/>
                  </w14:solidFill>
                </w14:textFill>
              </w:rPr>
              <w:t>关于贯彻实施国家主体功能区环境政策的若干意见》等中相关要求，主要要求如下：</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 xml:space="preserve"> -禁止对野生动植物进行滥捕滥采，保持并恢复野生动植物物种和种群的平衡，实现野生动植物资源的良性循环和永续利用。</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-禁止对野生动植物进行滥捕、乱采、乱猎；</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-保护自然生态系统与重要物种栖息地，限制或禁止各种损害栖息地的经济社会活动和生产方式，如无序采矿、毁林开荒、湿地和草地开垦、道路建设等，防止生态建设导致栖息环境的改变；</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-加强对外来物种入侵的控制，禁止在生物多样性维护功能区引进外来物种禁止毁林开荒、烧山开荒和陡坡地开垦，合理开发自然资源，保护和恢复自然生态系统，增强区域水土保持能力 禁止生物多样性维护生态功能区的大规模水电开发和林纸一体化产业发展。水源涵养-生态功能区：严格保护具有水源涵养功能的自然植被，禁止过度放牧、无序采矿、毁林开荒、开垦草原等行为。</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-严格保护具有重要水源涵养功能的自然植被，限制或禁止各种损害生态系统水源涵养功能的经济社会活动和生产方式，如无序采矿、毁林开荒、湿地和草地开垦、过度放牧、道路建设等；</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控制水污染，减轻水污染负荷，禁止导致水体污染的产业发展，开展生态清洁小流域的建设。禁止高水资源消耗产业布局。水土保持-生态功能区：严禁陡坡垦殖和过度放牧。</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-禁止毁林开荒、烧山开荒和陡坡地开垦。</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-禁止在二十五度以上陡坡地开垦种植农作物。</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在崩塌、滑坡危险区和泥石流易发区从事取土、挖砂、采石等可能造成水土流失的活动。禁止毁林、毁草开垦和采集发菜。禁止在水土流失重点预防区和重点治理区铲草皮、挖树兜或者滥挖虫草、甘草、麻黄等。</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禁止在生态保护红线区域、永久基本农田集中区域和其他需要特别保护的区域内选址建设尾矿库、冶炼渣库磷石膏库。</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p>
          <w:p>
            <w:pPr>
              <w:pStyle w:val="262"/>
              <w:adjustRightInd w:val="0"/>
              <w:snapToGrid w:val="0"/>
              <w:spacing w:line="240" w:lineRule="auto"/>
              <w:ind w:firstLine="0" w:firstLineChars="0"/>
              <w:rPr>
                <w:rFonts w:hint="eastAsia" w:ascii="宋体" w:hAnsi="宋体" w:eastAsia="宋体" w:cs="宋体"/>
                <w:b/>
                <w:bCs/>
                <w:color w:val="000000" w:themeColor="text1"/>
                <w:kern w:val="0"/>
                <w:sz w:val="21"/>
                <w:highlight w:val="none"/>
                <w14:textFill>
                  <w14:solidFill>
                    <w14:schemeClr w14:val="tx1"/>
                  </w14:solidFill>
                </w14:textFill>
              </w:rPr>
            </w:pPr>
            <w:r>
              <w:rPr>
                <w:rFonts w:hint="eastAsia" w:ascii="宋体" w:hAnsi="宋体" w:eastAsia="宋体" w:cs="宋体"/>
                <w:b/>
                <w:bCs/>
                <w:color w:val="000000" w:themeColor="text1"/>
                <w:kern w:val="0"/>
                <w:sz w:val="21"/>
                <w:highlight w:val="none"/>
                <w14:textFill>
                  <w14:solidFill>
                    <w14:schemeClr w14:val="tx1"/>
                  </w14:solidFill>
                </w14:textFill>
              </w:rPr>
              <w:t>限制开发建设活动的要求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自然保护区：严格限制在长江流域自然保护地水域实施航道整治工程；确需整治的，应当经科学论证，并依法办理相关手续。</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在自然保护区的实验区内开展参观、旅游活动的，由自然保护区管理机构编制方案，方案应当符合自然保护区管理目标。严禁开设与自然保护区保护方向不一致的参观、旅游项目。</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湿地公园：（1）在湿地范围内从事旅游、种植、畜牧、水产养殖、航运等利用活动，应当避免改变湿地的自然状况，并采取措施减轻对湿地生态功能的不利影响。（2）地方各级人民政府应当严格控制河流源头和蓄滞洪区、水土流失严重区等区域的湿地开发利用活动，减轻对湿地及其生物多样性的不利影响。（3）地方各级人民政府对省级重要湿地和一般湿地利用活动进行分类指导，鼓励单位和个人开展符合湿地保护要求的生态旅游、生态农业、生态教育、自然体验等活动，适度控制种植养殖等湿地利用规模。（4）国家级湿地自然公园按照一般控制区管理。（5）国家级湿地自然公园范围内除国家重大项目外，仅允许对生态功能不造成破坏的有限人为活动：①自然公园内居民和其他合法权益主体依法依规开展的生产生活及设施建设。②符合自然公园保护管理要求的文化、体育活动和必要的配套设施建设。③符合生态保护红线管控要求的其他活动和设施建设。④法律法规和国家政策允许在自然公园内开展的其他活动。</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饮用水水源保护区：禁止在饮用水水源准保护区内新建、扩建对水体污染严重的建设项目；改建建设项目，不得增加排污量。基本农田：国家重大战略资源勘查、生态保护修复和环境治理、重大基础设施、军事国防以及农牧民基本生产生活等必要的民生项目（包括深度贫困地区、集中连片特困地区、国家扶贫开发工作重点县省级以下基础设施、易地扶贫搬迁、民生发展等建设项目），选址确实难以避让永久基本农田的，按程序严格论证后依法依规报批。</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水产种质资源保护区：严格限制在长江流域生态保护红线、自然保护地、水生生物重要栖息地水域实施航道整治工程；确需整治的，应当经科学论证，并依法办理相关手续。生物多样性维护-生态功能区：减少林木采伐，恢复山地植被，保护野生物种。</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水源涵养-生态功能区：严格限制在水源涵养区大规模人工造林。严格控制载畜量，实行以草定畜，在农牧交错区提倡农牧结合，发展生态产业，培育替代产业，减轻区内畜牧-提高水源涵养能力。在水源涵养生态功能保护区内，结合已有的生态保护和建设重大工程，加强森林、草地和湿地的管护和恢复，严格监管矿产、水资源开发，严肃查处毁林、毁草、破坏湿地等行为，合理开发水电，提高区域水源涵养生态功能。业对水源和生态系统的压力。</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水土保持-生态功能区：限制陡坡垦殖和超载过牧；加强小流域综合治理，实行封山禁牧，恢复退化植被。加强对能源和矿产资源开发及建设项目的监管，加大矿山环境整治修复力度，最大限度地减少人为因素造成新的水土流失。拓宽农民增收渠道，解决农民长远生计，巩固水土流失治理、退耕还林、退牧还草成果。</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-调整产业结构，加速城镇化和新农村建设的进程，加快农业人口的转移，降低人口对生态系统的压力。</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-严格资源开发和建设项目的生态监管，控制新的人为水土流失。</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-水土流失严重、生态脆弱的地区，应当限制或者禁止可能造成水土流失的生产建设活动，严格保护植物、沙壳、结皮、地衣等。</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-生产建设项目选址、选线应当避让水土流失重点预防区和重点治理区；无法避让的，应当提高防治标准，优化施工工艺，减少地表扰动和植被损坏范围，有效控制可能造成的水土流失。</w:t>
            </w:r>
          </w:p>
          <w:p>
            <w:pPr>
              <w:pStyle w:val="262"/>
              <w:adjustRightInd w:val="0"/>
              <w:snapToGrid w:val="0"/>
              <w:spacing w:line="240" w:lineRule="auto"/>
              <w:ind w:firstLine="0" w:firstLineChars="0"/>
              <w:rPr>
                <w:rFonts w:hint="eastAsia" w:ascii="宋体" w:hAnsi="宋体" w:eastAsia="宋体" w:cs="宋体"/>
                <w:b/>
                <w:bCs/>
                <w:color w:val="000000" w:themeColor="text1"/>
                <w:kern w:val="0"/>
                <w:sz w:val="21"/>
                <w:highlight w:val="none"/>
                <w14:textFill>
                  <w14:solidFill>
                    <w14:schemeClr w14:val="tx1"/>
                  </w14:solidFill>
                </w14:textFill>
              </w:rPr>
            </w:pPr>
            <w:r>
              <w:rPr>
                <w:rFonts w:hint="eastAsia" w:ascii="宋体" w:hAnsi="宋体" w:eastAsia="宋体" w:cs="宋体"/>
                <w:b/>
                <w:bCs/>
                <w:color w:val="000000" w:themeColor="text1"/>
                <w:kern w:val="0"/>
                <w:sz w:val="21"/>
                <w:highlight w:val="none"/>
                <w14:textFill>
                  <w14:solidFill>
                    <w14:schemeClr w14:val="tx1"/>
                  </w14:solidFill>
                </w14:textFill>
              </w:rPr>
              <w:t>不符合空间布局要求活动的退出要求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已有矿业权与生态保护红线、自然保护地等禁止或限制开发区域重叠的，要按相关要求主动退出或避让。</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对不符合相关保护区法律法规和规划的项目，应限期整改或关闭。对已造成的污染或损害，应限期治理。</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其他空间布局约束要求</w:t>
            </w:r>
          </w:p>
          <w:p>
            <w:pPr>
              <w:widowControl/>
              <w:spacing w:line="240" w:lineRule="auto"/>
              <w:ind w:firstLine="0" w:firstLineChars="0"/>
              <w:jc w:val="left"/>
              <w:rPr>
                <w:rFonts w:hint="eastAsia" w:ascii="宋体" w:hAnsi="宋体" w:cs="宋体"/>
                <w:b/>
                <w:bCs/>
                <w:color w:val="000000" w:themeColor="text1"/>
                <w:kern w:val="0"/>
                <w:sz w:val="21"/>
                <w:szCs w:val="21"/>
                <w:highlight w:val="none"/>
                <w14:textFill>
                  <w14:solidFill>
                    <w14:schemeClr w14:val="tx1"/>
                  </w14:solidFill>
                </w14:textFill>
              </w:rPr>
            </w:pPr>
            <w:r>
              <w:rPr>
                <w:rFonts w:hint="eastAsia" w:ascii="宋体" w:hAnsi="宋体" w:cs="宋体"/>
                <w:b/>
                <w:bCs/>
                <w:color w:val="000000" w:themeColor="text1"/>
                <w:kern w:val="0"/>
                <w:sz w:val="21"/>
                <w:szCs w:val="21"/>
                <w:highlight w:val="none"/>
                <w14:textFill>
                  <w14:solidFill>
                    <w14:schemeClr w14:val="tx1"/>
                  </w14:solidFill>
                </w14:textFill>
              </w:rPr>
              <w:t>允许开发建设活动要求：</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水产种质资源保护区：①在水产种质资源保护区内从事修建水利工程、疏浚航道、建闸筑坝、勘探和开采矿产资源、港口建设等工程建设的，或者在水产种质资源保护区内从事可能损害保护区功能的工程建设活动的，应当按照国家有关规定编制建设项目对水产种质资源保护区的影响专题论证报告，并将其纳入环境影响评价报告书。②开展珍稀特有鱼类人工繁育研究及增殖放流，分别在达州境内的土溪口水库、固军水库、鲜家湾水库建设鱼类增殖放流站一座，并依托已建的四川诺水河珍稀水生动物国家级自然保护区救护中心开展增殖放流。</w:t>
            </w:r>
          </w:p>
        </w:tc>
        <w:tc>
          <w:tcPr>
            <w:tcW w:w="4621" w:type="dxa"/>
            <w:vAlign w:val="center"/>
          </w:tcPr>
          <w:p>
            <w:pPr>
              <w:pStyle w:val="262"/>
              <w:adjustRightInd w:val="0"/>
              <w:snapToGrid w:val="0"/>
              <w:spacing w:line="240" w:lineRule="auto"/>
              <w:ind w:firstLine="0" w:firstLineChars="0"/>
              <w:rPr>
                <w:rFonts w:hint="eastAsia" w:ascii="宋体" w:hAnsi="宋体" w:eastAsia="宋体" w:cs="宋体"/>
                <w:b/>
                <w:bCs/>
                <w:color w:val="000000" w:themeColor="text1"/>
                <w:kern w:val="0"/>
                <w:sz w:val="21"/>
                <w:highlight w:val="none"/>
                <w14:textFill>
                  <w14:solidFill>
                    <w14:schemeClr w14:val="tx1"/>
                  </w14:solidFill>
                </w14:textFill>
              </w:rPr>
            </w:pPr>
            <w:r>
              <w:rPr>
                <w:rFonts w:hint="eastAsia" w:ascii="宋体" w:hAnsi="宋体" w:eastAsia="宋体" w:cs="宋体"/>
                <w:b/>
                <w:bCs/>
                <w:color w:val="000000" w:themeColor="text1"/>
                <w:kern w:val="0"/>
                <w:sz w:val="21"/>
                <w:highlight w:val="none"/>
                <w14:textFill>
                  <w14:solidFill>
                    <w14:schemeClr w14:val="tx1"/>
                  </w14:solidFill>
                </w14:textFill>
              </w:rPr>
              <w:t>禁止开发建设活动的要求：</w:t>
            </w:r>
          </w:p>
          <w:p>
            <w:pPr>
              <w:widowControl/>
              <w:spacing w:line="240" w:lineRule="auto"/>
              <w:ind w:firstLine="0" w:firstLineChars="0"/>
              <w:jc w:val="left"/>
              <w:rPr>
                <w:rFonts w:hint="eastAsia" w:ascii="宋体" w:hAnsi="宋体"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天然气勘探及试采工程，根据宣汉县自然资源局叠图可知（附图8），本项目选址不涉及左表中禁止开发建设活动中涉及的</w:t>
            </w:r>
            <w:r>
              <w:rPr>
                <w:rFonts w:hint="eastAsia" w:ascii="宋体" w:hAnsi="宋体" w:cs="宋体"/>
                <w:color w:val="000000" w:themeColor="text1"/>
                <w:kern w:val="0"/>
                <w:sz w:val="21"/>
                <w:szCs w:val="21"/>
                <w:highlight w:val="none"/>
                <w14:textFill>
                  <w14:solidFill>
                    <w14:schemeClr w14:val="tx1"/>
                  </w14:solidFill>
                </w14:textFill>
              </w:rPr>
              <w:t>生态保护红线中的相关</w:t>
            </w:r>
            <w:r>
              <w:rPr>
                <w:rFonts w:hint="eastAsia" w:ascii="宋体" w:hAnsi="宋体" w:cs="Times New Roman"/>
                <w:color w:val="000000" w:themeColor="text1"/>
                <w:sz w:val="21"/>
                <w:szCs w:val="21"/>
                <w:highlight w:val="none"/>
                <w14:textFill>
                  <w14:solidFill>
                    <w14:schemeClr w14:val="tx1"/>
                  </w14:solidFill>
                </w14:textFill>
              </w:rPr>
              <w:t>内容。</w:t>
            </w:r>
          </w:p>
          <w:p>
            <w:pPr>
              <w:widowControl/>
              <w:spacing w:line="240" w:lineRule="auto"/>
              <w:ind w:firstLine="0" w:firstLineChars="0"/>
              <w:jc w:val="left"/>
              <w:rPr>
                <w:rFonts w:hint="eastAsia" w:ascii="宋体" w:hAnsi="宋体"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此外，本项目已尽量避免占用基本农田，但受周边场地条件、地质条件和地下矿产资源分布因素限制，工程在建设中将会涉及一部分永久基本农田（仅利旧的主放喷池及清水池涉及占用基本农田的手续已在前期大湾408井台钻井及试采工程中统一办理（见附件8）），但本项目为能源（含能源基础设施建设中的油气探采合一涉及的钻井及配套设施）项目，符合《自然资源部关于规范临时用地管理的通知》（自然资规〔2021〕2号）、《四川省自然资源厅关于进一步明确临时用地管理有关事项的通知》（川自然资规〔2022〕3号）、《自然资源部办公厅关于进一步做好基础设施建设使用临时用地保障工作的通知》（自然资办函〔2024〕2159号）中可占用基本农田的要求，且建设单位将按相关要求办理用地手续并采取永久基本农田占用补偿措施，并且施工结束后将对临时占地区域进行复垦。</w:t>
            </w:r>
          </w:p>
          <w:p>
            <w:pPr>
              <w:widowControl/>
              <w:spacing w:line="240" w:lineRule="auto"/>
              <w:ind w:firstLine="0" w:firstLineChars="0"/>
              <w:jc w:val="left"/>
              <w:rPr>
                <w:rFonts w:hint="eastAsia" w:ascii="宋体" w:hAnsi="宋体"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此外，本项目还将</w:t>
            </w:r>
            <w:r>
              <w:rPr>
                <w:rFonts w:hint="eastAsia" w:ascii="宋体" w:hAnsi="宋体" w:cs="宋体"/>
                <w:color w:val="000000" w:themeColor="text1"/>
                <w:kern w:val="0"/>
                <w:sz w:val="21"/>
                <w:szCs w:val="21"/>
                <w:highlight w:val="none"/>
                <w14:textFill>
                  <w14:solidFill>
                    <w14:schemeClr w14:val="tx1"/>
                  </w14:solidFill>
                </w14:textFill>
              </w:rPr>
              <w:t>严格执行《全国主体功能区规划</w:t>
            </w:r>
            <w:r>
              <w:rPr>
                <w:rFonts w:hint="eastAsia" w:ascii="宋体" w:hAnsi="宋体" w:cs="宋体"/>
                <w:color w:val="000000" w:themeColor="text1"/>
                <w:kern w:val="0"/>
                <w:sz w:val="21"/>
                <w:szCs w:val="21"/>
                <w:highlight w:val="none"/>
                <w:lang w:eastAsia="zh-CN"/>
                <w14:textFill>
                  <w14:solidFill>
                    <w14:schemeClr w14:val="tx1"/>
                  </w14:solidFill>
                </w14:textFill>
              </w:rPr>
              <w:t>》《</w:t>
            </w:r>
            <w:r>
              <w:rPr>
                <w:rFonts w:hint="eastAsia" w:ascii="宋体" w:hAnsi="宋体" w:cs="宋体"/>
                <w:color w:val="000000" w:themeColor="text1"/>
                <w:kern w:val="0"/>
                <w:sz w:val="21"/>
                <w:szCs w:val="21"/>
                <w:highlight w:val="none"/>
                <w14:textFill>
                  <w14:solidFill>
                    <w14:schemeClr w14:val="tx1"/>
                  </w14:solidFill>
                </w14:textFill>
              </w:rPr>
              <w:t>全国生态功能区划（修编）</w:t>
            </w:r>
            <w:r>
              <w:rPr>
                <w:rFonts w:hint="eastAsia" w:ascii="宋体" w:hAnsi="宋体" w:cs="宋体"/>
                <w:color w:val="000000" w:themeColor="text1"/>
                <w:kern w:val="0"/>
                <w:sz w:val="21"/>
                <w:szCs w:val="21"/>
                <w:highlight w:val="none"/>
                <w:lang w:eastAsia="zh-CN"/>
                <w14:textFill>
                  <w14:solidFill>
                    <w14:schemeClr w14:val="tx1"/>
                  </w14:solidFill>
                </w14:textFill>
              </w:rPr>
              <w:t>》《</w:t>
            </w:r>
            <w:r>
              <w:rPr>
                <w:rFonts w:hint="eastAsia" w:ascii="宋体" w:hAnsi="宋体" w:cs="宋体"/>
                <w:color w:val="000000" w:themeColor="text1"/>
                <w:kern w:val="0"/>
                <w:sz w:val="21"/>
                <w:szCs w:val="21"/>
                <w:highlight w:val="none"/>
                <w14:textFill>
                  <w14:solidFill>
                    <w14:schemeClr w14:val="tx1"/>
                  </w14:solidFill>
                </w14:textFill>
              </w:rPr>
              <w:t>关于贯彻实施国家主体功能区环境政策的若干意见》等中相关要求，不会有对野生动植物进行滥捕滥采、过度放牧、无序采矿、毁林开荒、开垦草原等对区域生态功能造成影响的活动，也不涉及尾矿库、冶炼渣库磷石膏库等工程的建设。</w:t>
            </w:r>
          </w:p>
          <w:p>
            <w:pPr>
              <w:pStyle w:val="262"/>
              <w:adjustRightInd w:val="0"/>
              <w:snapToGrid w:val="0"/>
              <w:spacing w:line="240" w:lineRule="auto"/>
              <w:ind w:firstLine="0" w:firstLineChars="0"/>
              <w:rPr>
                <w:rFonts w:hint="eastAsia" w:ascii="宋体" w:hAnsi="宋体" w:eastAsia="宋体" w:cs="宋体"/>
                <w:b/>
                <w:bCs/>
                <w:color w:val="000000" w:themeColor="text1"/>
                <w:kern w:val="0"/>
                <w:sz w:val="21"/>
                <w:highlight w:val="none"/>
                <w14:textFill>
                  <w14:solidFill>
                    <w14:schemeClr w14:val="tx1"/>
                  </w14:solidFill>
                </w14:textFill>
              </w:rPr>
            </w:pPr>
            <w:r>
              <w:rPr>
                <w:rFonts w:hint="eastAsia" w:ascii="宋体" w:hAnsi="宋体" w:eastAsia="宋体" w:cs="宋体"/>
                <w:b/>
                <w:bCs/>
                <w:color w:val="000000" w:themeColor="text1"/>
                <w:kern w:val="0"/>
                <w:sz w:val="21"/>
                <w:highlight w:val="none"/>
                <w14:textFill>
                  <w14:solidFill>
                    <w14:schemeClr w14:val="tx1"/>
                  </w14:solidFill>
                </w14:textFill>
              </w:rPr>
              <w:t>限制开发建设活动的要求：</w:t>
            </w:r>
          </w:p>
          <w:p>
            <w:pPr>
              <w:widowControl/>
              <w:spacing w:line="240" w:lineRule="auto"/>
              <w:ind w:firstLine="0" w:firstLineChars="0"/>
              <w:jc w:val="left"/>
              <w:rPr>
                <w:rFonts w:hint="eastAsia" w:ascii="宋体" w:hAnsi="宋体" w:cs="宋体"/>
                <w:color w:val="000000" w:themeColor="text1"/>
                <w:kern w:val="0"/>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本项目为</w:t>
            </w:r>
            <w:r>
              <w:rPr>
                <w:rFonts w:hint="eastAsia" w:cs="Times New Roman"/>
                <w:color w:val="000000" w:themeColor="text1"/>
                <w:sz w:val="21"/>
                <w:szCs w:val="21"/>
                <w:highlight w:val="none"/>
                <w14:textFill>
                  <w14:solidFill>
                    <w14:schemeClr w14:val="tx1"/>
                  </w14:solidFill>
                </w14:textFill>
              </w:rPr>
              <w:t>天然气勘探及试采工程，根据宣汉县自然资源局叠图可知（附图8），本项目选址不涉及左表中限制开发建设活动中的涉及</w:t>
            </w:r>
            <w:r>
              <w:rPr>
                <w:rFonts w:hint="eastAsia" w:ascii="宋体" w:hAnsi="宋体" w:cs="宋体"/>
                <w:color w:val="000000" w:themeColor="text1"/>
                <w:kern w:val="0"/>
                <w:sz w:val="21"/>
                <w:szCs w:val="21"/>
                <w:highlight w:val="none"/>
                <w14:textFill>
                  <w14:solidFill>
                    <w14:schemeClr w14:val="tx1"/>
                  </w14:solidFill>
                </w14:textFill>
              </w:rPr>
              <w:t>生态保护红线中的相关</w:t>
            </w:r>
            <w:r>
              <w:rPr>
                <w:rFonts w:hint="eastAsia" w:ascii="宋体" w:hAnsi="宋体" w:cs="Times New Roman"/>
                <w:color w:val="000000" w:themeColor="text1"/>
                <w:sz w:val="21"/>
                <w:szCs w:val="21"/>
                <w:highlight w:val="none"/>
                <w14:textFill>
                  <w14:solidFill>
                    <w14:schemeClr w14:val="tx1"/>
                  </w14:solidFill>
                </w14:textFill>
              </w:rPr>
              <w:t>内容</w:t>
            </w:r>
            <w:r>
              <w:rPr>
                <w:rFonts w:hint="eastAsia" w:ascii="宋体" w:hAnsi="宋体" w:cs="宋体"/>
                <w:color w:val="000000" w:themeColor="text1"/>
                <w:kern w:val="0"/>
                <w:sz w:val="21"/>
                <w:szCs w:val="21"/>
                <w:highlight w:val="none"/>
                <w14:textFill>
                  <w14:solidFill>
                    <w14:schemeClr w14:val="tx1"/>
                  </w14:solidFill>
                </w14:textFill>
              </w:rPr>
              <w:t>。且项目选址也不涉及饮用水水源保护区、水产种质资源保护区等；</w:t>
            </w:r>
          </w:p>
          <w:p>
            <w:pPr>
              <w:widowControl/>
              <w:spacing w:line="240" w:lineRule="auto"/>
              <w:ind w:firstLine="0" w:firstLineChars="0"/>
              <w:jc w:val="left"/>
              <w:rPr>
                <w:rFonts w:hint="eastAsia" w:ascii="宋体" w:hAnsi="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此外，受地下矿产资源分布因素的制约，项目拟建选址无法避让水土流失重点预防区和重点治理区，但是拟建项目采取的边坡治理，修建排水沟等措施加强了项目的水土流失防治措施，并提高了防治标准，优化了施工工艺，减少了地表扰动和植被损坏范围，有效控制可能造成的水土流失。</w:t>
            </w:r>
          </w:p>
          <w:p>
            <w:pPr>
              <w:pStyle w:val="262"/>
              <w:adjustRightInd w:val="0"/>
              <w:snapToGrid w:val="0"/>
              <w:spacing w:line="240" w:lineRule="auto"/>
              <w:ind w:firstLine="0" w:firstLineChars="0"/>
              <w:rPr>
                <w:rFonts w:hint="eastAsia" w:ascii="宋体" w:hAnsi="宋体"/>
                <w:color w:val="000000" w:themeColor="text1"/>
                <w:sz w:val="21"/>
                <w:highlight w:val="none"/>
                <w14:textFill>
                  <w14:solidFill>
                    <w14:schemeClr w14:val="tx1"/>
                  </w14:solidFill>
                </w14:textFill>
              </w:rPr>
            </w:pP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应当限制或者禁止可能造成水土流失的生产建设活动，严格保护植物、沙壳、结皮、地衣等。</w:t>
            </w:r>
          </w:p>
          <w:p>
            <w:pPr>
              <w:widowControl/>
              <w:spacing w:line="240" w:lineRule="auto"/>
              <w:ind w:firstLine="0" w:firstLineChars="0"/>
              <w:jc w:val="left"/>
              <w:rPr>
                <w:rFonts w:hint="eastAsia" w:ascii="宋体" w:hAnsi="宋体" w:cs="Times New Roman"/>
                <w:color w:val="000000" w:themeColor="text1"/>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-生产建设项目选址、选线应当避让水土流失重点预防区和重点治理区；无法避让的，应当提高防治标准，优化施工工艺，减少地表扰动和植被损坏范围，有效控制可能造成的水土流失</w:t>
            </w:r>
          </w:p>
          <w:p>
            <w:pPr>
              <w:pStyle w:val="262"/>
              <w:adjustRightInd w:val="0"/>
              <w:snapToGrid w:val="0"/>
              <w:spacing w:line="240" w:lineRule="auto"/>
              <w:ind w:firstLine="0" w:firstLineChars="0"/>
              <w:rPr>
                <w:rFonts w:hint="eastAsia" w:ascii="宋体" w:hAnsi="宋体" w:eastAsia="宋体" w:cs="宋体"/>
                <w:b/>
                <w:bCs/>
                <w:color w:val="000000" w:themeColor="text1"/>
                <w:kern w:val="0"/>
                <w:sz w:val="21"/>
                <w:highlight w:val="none"/>
                <w14:textFill>
                  <w14:solidFill>
                    <w14:schemeClr w14:val="tx1"/>
                  </w14:solidFill>
                </w14:textFill>
              </w:rPr>
            </w:pPr>
            <w:r>
              <w:rPr>
                <w:rFonts w:hint="eastAsia" w:ascii="宋体" w:hAnsi="宋体" w:eastAsia="宋体" w:cs="宋体"/>
                <w:b/>
                <w:bCs/>
                <w:color w:val="000000" w:themeColor="text1"/>
                <w:kern w:val="0"/>
                <w:sz w:val="21"/>
                <w:highlight w:val="none"/>
                <w14:textFill>
                  <w14:solidFill>
                    <w14:schemeClr w14:val="tx1"/>
                  </w14:solidFill>
                </w14:textFill>
              </w:rPr>
              <w:t>不符合空间布局要求活动的退出要求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本项目不涉及与生态保护红线、自然保护地等禁止或限制开发区域重叠的区域。也无不符合相关保护区法律法规和规划的项目，应限期整改或关闭。对已造成的污染或损害，应限期治理的事项；</w:t>
            </w:r>
          </w:p>
          <w:p>
            <w:pPr>
              <w:widowControl/>
              <w:spacing w:line="240" w:lineRule="auto"/>
              <w:ind w:firstLine="0" w:firstLineChars="0"/>
              <w:jc w:val="left"/>
              <w:rPr>
                <w:rFonts w:hint="eastAsia" w:ascii="宋体" w:hAnsi="宋体" w:cs="宋体"/>
                <w:b/>
                <w:bCs/>
                <w:color w:val="000000" w:themeColor="text1"/>
                <w:kern w:val="0"/>
                <w:sz w:val="21"/>
                <w:szCs w:val="21"/>
                <w:highlight w:val="none"/>
                <w14:textFill>
                  <w14:solidFill>
                    <w14:schemeClr w14:val="tx1"/>
                  </w14:solidFill>
                </w14:textFill>
              </w:rPr>
            </w:pPr>
            <w:r>
              <w:rPr>
                <w:rFonts w:hint="eastAsia" w:ascii="宋体" w:hAnsi="宋体" w:cs="宋体"/>
                <w:b/>
                <w:bCs/>
                <w:color w:val="000000" w:themeColor="text1"/>
                <w:kern w:val="0"/>
                <w:sz w:val="21"/>
                <w:szCs w:val="21"/>
                <w:highlight w:val="none"/>
                <w14:textFill>
                  <w14:solidFill>
                    <w14:schemeClr w14:val="tx1"/>
                  </w14:solidFill>
                </w14:textFill>
              </w:rPr>
              <w:t>允许开发建设活动要求：</w:t>
            </w:r>
          </w:p>
          <w:p>
            <w:pPr>
              <w:widowControl/>
              <w:spacing w:line="240" w:lineRule="auto"/>
              <w:ind w:firstLine="0" w:firstLineChars="0"/>
              <w:jc w:val="left"/>
              <w:rPr>
                <w:rFonts w:hint="eastAsia" w:ascii="宋体" w:hAnsi="宋体" w:cs="Times New Roman"/>
                <w:color w:val="000000" w:themeColor="text1"/>
                <w:sz w:val="21"/>
                <w:szCs w:val="21"/>
                <w:highlight w:val="none"/>
                <w14:textFill>
                  <w14:solidFill>
                    <w14:schemeClr w14:val="tx1"/>
                  </w14:solidFill>
                </w14:textFill>
              </w:rPr>
            </w:pP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本项目无涉及</w:t>
            </w:r>
            <w:r>
              <w:rPr>
                <w:rFonts w:hint="eastAsia" w:ascii="宋体" w:hAnsi="宋体" w:cs="宋体"/>
                <w:color w:val="000000" w:themeColor="text1"/>
                <w:kern w:val="0"/>
                <w:sz w:val="21"/>
                <w:szCs w:val="21"/>
                <w:highlight w:val="none"/>
                <w14:textFill>
                  <w14:solidFill>
                    <w14:schemeClr w14:val="tx1"/>
                  </w14:solidFill>
                </w14:textFill>
              </w:rPr>
              <w:t>水产种质资源保护区的建设活动。</w:t>
            </w:r>
          </w:p>
          <w:p>
            <w:pPr>
              <w:widowControl/>
              <w:spacing w:line="240" w:lineRule="auto"/>
              <w:ind w:firstLine="0" w:firstLineChars="0"/>
              <w:jc w:val="left"/>
              <w:rPr>
                <w:rFonts w:cs="Times New Roman"/>
                <w:color w:val="000000" w:themeColor="text1"/>
                <w:sz w:val="21"/>
                <w:szCs w:val="21"/>
                <w:highlight w:val="none"/>
                <w14:textFill>
                  <w14:solidFill>
                    <w14:schemeClr w14:val="tx1"/>
                  </w14:solidFill>
                </w14:textFill>
              </w:rPr>
            </w:pP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污染物排放管控</w:t>
            </w:r>
          </w:p>
        </w:tc>
        <w:tc>
          <w:tcPr>
            <w:tcW w:w="5428" w:type="dxa"/>
            <w:vAlign w:val="center"/>
          </w:tcPr>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污染物排放管控：</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允许排放量要求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现有源提标升级改造</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其他污染物排放管控要求</w:t>
            </w:r>
          </w:p>
          <w:p>
            <w:pPr>
              <w:widowControl/>
              <w:spacing w:line="240" w:lineRule="auto"/>
              <w:ind w:firstLine="0" w:firstLineChars="0"/>
              <w:jc w:val="left"/>
              <w:rPr>
                <w:rFonts w:hint="eastAsia" w:ascii="宋体" w:hAnsi="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hint="eastAsia" w:ascii="宋体" w:hAnsi="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环境风险防控</w:t>
            </w:r>
          </w:p>
        </w:tc>
        <w:tc>
          <w:tcPr>
            <w:tcW w:w="5428" w:type="dxa"/>
            <w:vAlign w:val="center"/>
          </w:tcPr>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联防联控要求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其他环境风险防控要求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hint="eastAsia" w:ascii="宋体" w:hAnsi="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本项目的建设单位，中石化普光分公司将根据《关于建立跨省流域上下游突发水污染事件联防联控机制的指导意见》，配合开展各项区域联防联控工作，协力推进大气污染源头防控，加强川东北区域大气污染防治合作。</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资源开发效率</w:t>
            </w:r>
          </w:p>
        </w:tc>
        <w:tc>
          <w:tcPr>
            <w:tcW w:w="5428" w:type="dxa"/>
            <w:vAlign w:val="center"/>
          </w:tcPr>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水资源利用总量要求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地下水开采要求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以省市下发指标为准</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能源利用总量及效率要求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禁燃区要求</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w:t>
            </w:r>
          </w:p>
          <w:p>
            <w:pPr>
              <w:pStyle w:val="262"/>
              <w:adjustRightInd w:val="0"/>
              <w:snapToGrid w:val="0"/>
              <w:spacing w:line="240" w:lineRule="auto"/>
              <w:ind w:firstLine="0" w:firstLineChars="0"/>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s="宋体"/>
                <w:color w:val="000000" w:themeColor="text1"/>
                <w:kern w:val="0"/>
                <w:sz w:val="21"/>
                <w:highlight w:val="none"/>
                <w14:textFill>
                  <w14:solidFill>
                    <w14:schemeClr w14:val="tx1"/>
                  </w14:solidFill>
                </w14:textFill>
              </w:rPr>
              <w:t>其他资源利用效率要求</w:t>
            </w:r>
          </w:p>
          <w:p>
            <w:pPr>
              <w:widowControl/>
              <w:spacing w:line="240" w:lineRule="auto"/>
              <w:ind w:firstLine="0" w:firstLineChars="0"/>
              <w:rPr>
                <w:rFonts w:hint="eastAsia" w:ascii="宋体" w:hAnsi="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hint="eastAsia" w:ascii="宋体" w:hAnsi="宋体" w:cs="宋体"/>
                <w:color w:val="000000" w:themeColor="text1"/>
                <w:kern w:val="0"/>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restart"/>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ZH51172210003，生态公益林、水源涵养重要区、水土保持功能重要区、生物多样性维护重要区</w:t>
            </w:r>
          </w:p>
        </w:tc>
        <w:tc>
          <w:tcPr>
            <w:tcW w:w="734" w:type="dxa"/>
            <w:vMerge w:val="restart"/>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单元特性清单管控要求</w:t>
            </w:r>
          </w:p>
        </w:tc>
        <w:tc>
          <w:tcPr>
            <w:tcW w:w="770"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空间布局约束</w:t>
            </w:r>
          </w:p>
        </w:tc>
        <w:tc>
          <w:tcPr>
            <w:tcW w:w="5428" w:type="dxa"/>
            <w:vAlign w:val="center"/>
          </w:tcPr>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禁止开发建设活动的要求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同优先保护单元普适性管控要求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限制开发建设活动的要求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同优先保护单元普适性管控要求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允许开发建设活动的要求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同优先保护单元普适性管控要求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不符合空间布局要求活动的退出要求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同优先保护单元普适性管控要求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其他空间布局约束要求</w:t>
            </w:r>
          </w:p>
          <w:p>
            <w:pPr>
              <w:widowControl/>
              <w:spacing w:line="240" w:lineRule="auto"/>
              <w:ind w:firstLine="0" w:firstLineChars="0"/>
              <w:rPr>
                <w:rFonts w:hint="eastAsia" w:ascii="宋体" w:hAnsi="宋体" w:cs="宋体"/>
                <w:color w:val="000000" w:themeColor="text1"/>
                <w:kern w:val="0"/>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hint="eastAsia" w:ascii="宋体" w:hAnsi="宋体" w:cs="宋体"/>
                <w:color w:val="000000" w:themeColor="text1"/>
                <w:kern w:val="0"/>
                <w:sz w:val="21"/>
                <w:szCs w:val="21"/>
                <w:highlight w:val="none"/>
                <w14:textFill>
                  <w14:solidFill>
                    <w14:schemeClr w14:val="tx1"/>
                  </w14:solidFill>
                </w14:textFill>
              </w:rPr>
            </w:pPr>
            <w:r>
              <w:rPr>
                <w:rFonts w:hint="eastAsia" w:ascii="宋体" w:hAnsi="宋体" w:cs="Times New Roman"/>
                <w:color w:val="000000" w:themeColor="text1"/>
                <w:sz w:val="21"/>
                <w:szCs w:val="21"/>
                <w:highlight w:val="none"/>
                <w14:textFill>
                  <w14:solidFill>
                    <w14:schemeClr w14:val="tx1"/>
                  </w14:solidFill>
                </w14:textFill>
              </w:rPr>
              <w:t>同普适性管控要求，见前文分析</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pStyle w:val="262"/>
              <w:widowControl/>
              <w:spacing w:line="240" w:lineRule="auto"/>
              <w:ind w:firstLine="0" w:firstLineChars="0"/>
              <w:jc w:val="left"/>
              <w:rPr>
                <w:color w:val="000000" w:themeColor="text1"/>
                <w:kern w:val="0"/>
                <w:sz w:val="21"/>
                <w:highlight w:val="none"/>
                <w:lang w:eastAsia="en-US"/>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污染物排放管控</w:t>
            </w:r>
          </w:p>
        </w:tc>
        <w:tc>
          <w:tcPr>
            <w:tcW w:w="5428" w:type="dxa"/>
            <w:vAlign w:val="center"/>
          </w:tcPr>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现有源提标升级改造</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新增源等量或倍量替代</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新增源排放标准限值</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污染物排放绩效水平准入要求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其他污染物排放管控要求</w:t>
            </w:r>
          </w:p>
          <w:p>
            <w:pPr>
              <w:pStyle w:val="262"/>
              <w:widowControl/>
              <w:shd w:val="clear" w:color="auto" w:fill="FFFFFF"/>
              <w:spacing w:line="240" w:lineRule="auto"/>
              <w:ind w:firstLine="0" w:firstLineChars="0"/>
              <w:jc w:val="left"/>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hint="eastAsia" w:ascii="宋体" w:hAnsi="宋体" w:cs="宋体"/>
                <w:color w:val="000000" w:themeColor="text1"/>
                <w:kern w:val="0"/>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pStyle w:val="262"/>
              <w:widowControl/>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环境风险防控</w:t>
            </w:r>
          </w:p>
        </w:tc>
        <w:tc>
          <w:tcPr>
            <w:tcW w:w="5428" w:type="dxa"/>
            <w:vAlign w:val="center"/>
          </w:tcPr>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严格管控类农用地管控要求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安全利用类农用地管控要求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污染地块管控要求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园区环境风险防控要求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企业环境风险防控要求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其他环境风险防控要求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hint="eastAsia" w:ascii="宋体" w:hAnsi="宋体" w:cs="宋体"/>
                <w:color w:val="000000" w:themeColor="text1"/>
                <w:kern w:val="0"/>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99" w:type="dxa"/>
            <w:vMerge w:val="continue"/>
            <w:vAlign w:val="center"/>
          </w:tcPr>
          <w:p>
            <w:pPr>
              <w:widowControl/>
              <w:spacing w:line="240" w:lineRule="auto"/>
              <w:ind w:firstLine="0" w:firstLineChars="0"/>
              <w:jc w:val="center"/>
              <w:rPr>
                <w:rFonts w:cs="Times New Roman"/>
                <w:snapToGrid w:val="0"/>
                <w:color w:val="000000" w:themeColor="text1"/>
                <w:kern w:val="0"/>
                <w:sz w:val="21"/>
                <w:szCs w:val="21"/>
                <w:highlight w:val="none"/>
                <w14:textFill>
                  <w14:solidFill>
                    <w14:schemeClr w14:val="tx1"/>
                  </w14:solidFill>
                </w14:textFill>
              </w:rPr>
            </w:pPr>
          </w:p>
        </w:tc>
        <w:tc>
          <w:tcPr>
            <w:tcW w:w="734" w:type="dxa"/>
            <w:vMerge w:val="continue"/>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770" w:type="dxa"/>
            <w:vAlign w:val="center"/>
          </w:tcPr>
          <w:p>
            <w:pPr>
              <w:pStyle w:val="262"/>
              <w:widowControl/>
              <w:spacing w:line="240" w:lineRule="auto"/>
              <w:ind w:firstLine="0" w:firstLineChars="0"/>
              <w:jc w:val="left"/>
              <w:rPr>
                <w:color w:val="000000" w:themeColor="text1"/>
                <w:kern w:val="0"/>
                <w:sz w:val="21"/>
                <w:highlight w:val="none"/>
                <w:lang w:eastAsia="en-US"/>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资源开发效率要求</w:t>
            </w:r>
          </w:p>
        </w:tc>
        <w:tc>
          <w:tcPr>
            <w:tcW w:w="5428" w:type="dxa"/>
            <w:vAlign w:val="center"/>
          </w:tcPr>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水资源利用效率要求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地下水开采要求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能源利用效率要求</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p>
            <w:pPr>
              <w:pStyle w:val="262"/>
              <w:widowControl/>
              <w:shd w:val="clear" w:color="auto" w:fill="FFFFFF"/>
              <w:spacing w:line="240" w:lineRule="auto"/>
              <w:ind w:firstLine="0" w:firstLineChars="0"/>
              <w:jc w:val="left"/>
              <w:rPr>
                <w:rFonts w:hint="eastAsia" w:ascii="宋体" w:hAnsi="宋体" w:eastAsia="宋体"/>
                <w:color w:val="000000" w:themeColor="text1"/>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其他资源利用效率要求</w:t>
            </w:r>
          </w:p>
          <w:p>
            <w:pPr>
              <w:pStyle w:val="262"/>
              <w:widowControl/>
              <w:shd w:val="clear" w:color="auto" w:fill="FFFFFF"/>
              <w:spacing w:line="240" w:lineRule="auto"/>
              <w:ind w:firstLine="0" w:firstLineChars="0"/>
              <w:jc w:val="left"/>
              <w:rPr>
                <w:rFonts w:hint="eastAsia" w:ascii="宋体" w:hAnsi="宋体" w:eastAsia="宋体" w:cs="宋体"/>
                <w:color w:val="000000" w:themeColor="text1"/>
                <w:kern w:val="0"/>
                <w:sz w:val="21"/>
                <w:highlight w:val="none"/>
                <w14:textFill>
                  <w14:solidFill>
                    <w14:schemeClr w14:val="tx1"/>
                  </w14:solidFill>
                </w14:textFill>
              </w:rPr>
            </w:pPr>
            <w:r>
              <w:rPr>
                <w:rFonts w:hint="eastAsia" w:ascii="宋体" w:hAnsi="宋体" w:eastAsia="宋体"/>
                <w:color w:val="000000" w:themeColor="text1"/>
                <w:sz w:val="21"/>
                <w:highlight w:val="none"/>
                <w14:textFill>
                  <w14:solidFill>
                    <w14:schemeClr w14:val="tx1"/>
                  </w14:solidFill>
                </w14:textFill>
              </w:rPr>
              <w:t>/</w:t>
            </w:r>
          </w:p>
        </w:tc>
        <w:tc>
          <w:tcPr>
            <w:tcW w:w="4621" w:type="dxa"/>
            <w:vAlign w:val="center"/>
          </w:tcPr>
          <w:p>
            <w:pPr>
              <w:widowControl/>
              <w:spacing w:line="240" w:lineRule="auto"/>
              <w:ind w:firstLine="0" w:firstLineChars="0"/>
              <w:jc w:val="center"/>
              <w:rPr>
                <w:rFonts w:hint="eastAsia" w:ascii="宋体" w:hAnsi="宋体" w:cs="宋体"/>
                <w:color w:val="000000" w:themeColor="text1"/>
                <w:kern w:val="0"/>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c>
          <w:tcPr>
            <w:tcW w:w="854" w:type="dxa"/>
            <w:vAlign w:val="center"/>
          </w:tcPr>
          <w:p>
            <w:pPr>
              <w:widowControl/>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r>
    </w:tbl>
    <w:p>
      <w:pPr>
        <w:pStyle w:val="204"/>
        <w:spacing w:before="163" w:beforeLines="50" w:after="0"/>
        <w:ind w:firstLine="480"/>
        <w:jc w:val="both"/>
        <w:rPr>
          <w:color w:val="000000" w:themeColor="text1"/>
          <w:highlight w:val="none"/>
          <w14:textFill>
            <w14:solidFill>
              <w14:schemeClr w14:val="tx1"/>
            </w14:solidFill>
          </w14:textFill>
        </w:rPr>
      </w:pPr>
      <w:r>
        <w:rPr>
          <w:rFonts w:hint="eastAsia"/>
          <w:color w:val="000000" w:themeColor="text1"/>
          <w:kern w:val="21"/>
          <w:szCs w:val="24"/>
          <w:highlight w:val="none"/>
          <w14:textFill>
            <w14:solidFill>
              <w14:schemeClr w14:val="tx1"/>
            </w14:solidFill>
          </w14:textFill>
        </w:rPr>
        <w:t>根据以上分析，项目的建设符合区域“</w:t>
      </w:r>
      <w:r>
        <w:rPr>
          <w:rFonts w:hint="eastAsia"/>
          <w:color w:val="000000" w:themeColor="text1"/>
          <w:highlight w:val="none"/>
          <w14:textFill>
            <w14:solidFill>
              <w14:schemeClr w14:val="tx1"/>
            </w14:solidFill>
          </w14:textFill>
        </w:rPr>
        <w:t>生态环境分区管控</w:t>
      </w:r>
      <w:r>
        <w:rPr>
          <w:rFonts w:hint="eastAsia"/>
          <w:color w:val="000000" w:themeColor="text1"/>
          <w:kern w:val="21"/>
          <w:szCs w:val="24"/>
          <w:highlight w:val="none"/>
          <w14:textFill>
            <w14:solidFill>
              <w14:schemeClr w14:val="tx1"/>
            </w14:solidFill>
          </w14:textFill>
        </w:rPr>
        <w:t>”的管控要求。</w:t>
      </w:r>
    </w:p>
    <w:p>
      <w:pPr>
        <w:pStyle w:val="252"/>
        <w:ind w:firstLine="480"/>
        <w:rPr>
          <w:color w:val="000000" w:themeColor="text1"/>
          <w:highlight w:val="none"/>
          <w14:textFill>
            <w14:solidFill>
              <w14:schemeClr w14:val="tx1"/>
            </w14:solidFill>
          </w14:textFill>
        </w:rPr>
        <w:sectPr>
          <w:pgSz w:w="16838" w:h="11906" w:orient="landscape"/>
          <w:pgMar w:top="1800" w:right="1440" w:bottom="1800" w:left="1440" w:header="964" w:footer="964" w:gutter="0"/>
          <w:cols w:space="425" w:num="1"/>
          <w:docGrid w:type="lines" w:linePitch="326" w:charSpace="0"/>
        </w:sectPr>
      </w:pPr>
    </w:p>
    <w:p>
      <w:pPr>
        <w:pStyle w:val="13"/>
        <w:overflowPunct w:val="0"/>
        <w:adjustRightInd/>
        <w:snapToGrid/>
        <w:ind w:firstLine="480"/>
        <w:jc w:val="left"/>
        <w:rPr>
          <w:rFonts w:eastAsia="黑体"/>
          <w:color w:val="000000" w:themeColor="text1"/>
          <w:szCs w:val="22"/>
          <w:highlight w:val="none"/>
          <w14:textFill>
            <w14:solidFill>
              <w14:schemeClr w14:val="tx1"/>
            </w14:solidFill>
          </w14:textFill>
        </w:rPr>
      </w:pPr>
      <w:r>
        <w:rPr>
          <w:rFonts w:hint="eastAsia" w:eastAsia="黑体"/>
          <w:color w:val="000000" w:themeColor="text1"/>
          <w:szCs w:val="22"/>
          <w:highlight w:val="none"/>
          <w14:textFill>
            <w14:solidFill>
              <w14:schemeClr w14:val="tx1"/>
            </w14:solidFill>
          </w14:textFill>
        </w:rPr>
        <w:t>3、</w:t>
      </w:r>
      <w:r>
        <w:rPr>
          <w:rFonts w:eastAsia="黑体"/>
          <w:color w:val="000000" w:themeColor="text1"/>
          <w:szCs w:val="22"/>
          <w:highlight w:val="none"/>
          <w14:textFill>
            <w14:solidFill>
              <w14:schemeClr w14:val="tx1"/>
            </w14:solidFill>
          </w14:textFill>
        </w:rPr>
        <w:t>与《关于落实生态保护红线、环境质量底线、资源利用上线制定生态环境准入清单实施生态环境分区管控的通知》（川府发〔2020〕9号）符合性分析</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20 与（川府发〔2020〕9号）符合性分析</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538"/>
        <w:gridCol w:w="2331"/>
        <w:gridCol w:w="4462"/>
        <w:gridCol w:w="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46" w:type="dxa"/>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分区</w:t>
            </w:r>
          </w:p>
        </w:tc>
        <w:tc>
          <w:tcPr>
            <w:tcW w:w="2368" w:type="dxa"/>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通知要求</w:t>
            </w:r>
          </w:p>
        </w:tc>
        <w:tc>
          <w:tcPr>
            <w:tcW w:w="4534" w:type="dxa"/>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本项目情况</w:t>
            </w:r>
          </w:p>
        </w:tc>
        <w:tc>
          <w:tcPr>
            <w:tcW w:w="902" w:type="dxa"/>
            <w:vAlign w:val="center"/>
          </w:tcPr>
          <w:p>
            <w:pPr>
              <w:overflowPunct w:val="0"/>
              <w:adjustRightInd/>
              <w:snapToGrid/>
              <w:spacing w:line="240" w:lineRule="auto"/>
              <w:ind w:firstLine="0" w:firstLineChars="0"/>
              <w:jc w:val="center"/>
              <w:rPr>
                <w:rFonts w:cs="Times New Roman"/>
                <w:b/>
                <w:bCs/>
                <w:color w:val="000000" w:themeColor="text1"/>
                <w:kern w:val="21"/>
                <w:sz w:val="21"/>
                <w:szCs w:val="21"/>
                <w:highlight w:val="none"/>
                <w14:textFill>
                  <w14:solidFill>
                    <w14:schemeClr w14:val="tx1"/>
                  </w14:solidFill>
                </w14:textFill>
              </w:rPr>
            </w:pPr>
            <w:r>
              <w:rPr>
                <w:rFonts w:cs="Times New Roman"/>
                <w:b/>
                <w:bCs/>
                <w:color w:val="000000" w:themeColor="text1"/>
                <w:kern w:val="21"/>
                <w:sz w:val="21"/>
                <w:szCs w:val="2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46" w:type="dxa"/>
            <w:vMerge w:val="restart"/>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川</w:t>
            </w:r>
            <w:r>
              <w:rPr>
                <w:rFonts w:hint="eastAsia" w:cs="Times New Roman"/>
                <w:color w:val="000000" w:themeColor="text1"/>
                <w:kern w:val="21"/>
                <w:sz w:val="21"/>
                <w:szCs w:val="21"/>
                <w:highlight w:val="none"/>
                <w14:textFill>
                  <w14:solidFill>
                    <w14:schemeClr w14:val="tx1"/>
                  </w14:solidFill>
                </w14:textFill>
              </w:rPr>
              <w:t>东北经</w:t>
            </w:r>
            <w:r>
              <w:rPr>
                <w:rFonts w:cs="Times New Roman"/>
                <w:color w:val="000000" w:themeColor="text1"/>
                <w:kern w:val="21"/>
                <w:sz w:val="21"/>
                <w:szCs w:val="21"/>
                <w:highlight w:val="none"/>
                <w14:textFill>
                  <w14:solidFill>
                    <w14:schemeClr w14:val="tx1"/>
                  </w14:solidFill>
                </w14:textFill>
              </w:rPr>
              <w:t>济区</w:t>
            </w:r>
          </w:p>
        </w:tc>
        <w:tc>
          <w:tcPr>
            <w:tcW w:w="2368" w:type="dxa"/>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控制农村面源污染，提高污水收集处理率，加快乡镇污水处理基础设施建设</w:t>
            </w:r>
            <w:r>
              <w:rPr>
                <w:rFonts w:hint="eastAsia" w:cs="Times New Roman"/>
                <w:color w:val="000000" w:themeColor="text1"/>
                <w:kern w:val="21"/>
                <w:sz w:val="21"/>
                <w:szCs w:val="21"/>
                <w:highlight w:val="none"/>
                <w14:textFill>
                  <w14:solidFill>
                    <w14:schemeClr w14:val="tx1"/>
                  </w14:solidFill>
                </w14:textFill>
              </w:rPr>
              <w:t>。</w:t>
            </w:r>
          </w:p>
        </w:tc>
        <w:tc>
          <w:tcPr>
            <w:tcW w:w="4534" w:type="dxa"/>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本项目为</w:t>
            </w:r>
            <w:r>
              <w:rPr>
                <w:rFonts w:hint="eastAsia" w:cs="Times New Roman"/>
                <w:color w:val="000000" w:themeColor="text1"/>
                <w:kern w:val="21"/>
                <w:sz w:val="21"/>
                <w:szCs w:val="21"/>
                <w:highlight w:val="none"/>
                <w14:textFill>
                  <w14:solidFill>
                    <w14:schemeClr w14:val="tx1"/>
                  </w14:solidFill>
                </w14:textFill>
              </w:rPr>
              <w:t>天然气勘探及试采</w:t>
            </w:r>
            <w:r>
              <w:rPr>
                <w:rFonts w:cs="Times New Roman"/>
                <w:color w:val="000000" w:themeColor="text1"/>
                <w:kern w:val="21"/>
                <w:sz w:val="21"/>
                <w:szCs w:val="21"/>
                <w:highlight w:val="none"/>
                <w14:textFill>
                  <w14:solidFill>
                    <w14:schemeClr w14:val="tx1"/>
                  </w14:solidFill>
                </w14:textFill>
              </w:rPr>
              <w:t>项目，</w:t>
            </w:r>
            <w:r>
              <w:rPr>
                <w:rFonts w:hint="eastAsia" w:cs="Times New Roman"/>
                <w:color w:val="000000" w:themeColor="text1"/>
                <w:kern w:val="21"/>
                <w:sz w:val="21"/>
                <w:szCs w:val="21"/>
                <w:highlight w:val="none"/>
                <w14:textFill>
                  <w14:solidFill>
                    <w14:schemeClr w14:val="tx1"/>
                  </w14:solidFill>
                </w14:textFill>
              </w:rPr>
              <w:t>废水均不外排，不涉及</w:t>
            </w:r>
            <w:r>
              <w:rPr>
                <w:rFonts w:cs="Times New Roman"/>
                <w:color w:val="000000" w:themeColor="text1"/>
                <w:kern w:val="21"/>
                <w:sz w:val="21"/>
                <w:szCs w:val="21"/>
                <w:highlight w:val="none"/>
                <w14:textFill>
                  <w14:solidFill>
                    <w14:schemeClr w14:val="tx1"/>
                  </w14:solidFill>
                </w14:textFill>
              </w:rPr>
              <w:t>农村面源污染</w:t>
            </w:r>
            <w:r>
              <w:rPr>
                <w:rFonts w:hint="eastAsia" w:cs="Times New Roman"/>
                <w:color w:val="000000" w:themeColor="text1"/>
                <w:kern w:val="21"/>
                <w:sz w:val="21"/>
                <w:szCs w:val="21"/>
                <w:highlight w:val="none"/>
                <w14:textFill>
                  <w14:solidFill>
                    <w14:schemeClr w14:val="tx1"/>
                  </w14:solidFill>
                </w14:textFill>
              </w:rPr>
              <w:t>和</w:t>
            </w:r>
            <w:r>
              <w:rPr>
                <w:rFonts w:cs="Times New Roman"/>
                <w:color w:val="000000" w:themeColor="text1"/>
                <w:kern w:val="21"/>
                <w:sz w:val="21"/>
                <w:szCs w:val="21"/>
                <w:highlight w:val="none"/>
                <w14:textFill>
                  <w14:solidFill>
                    <w14:schemeClr w14:val="tx1"/>
                  </w14:solidFill>
                </w14:textFill>
              </w:rPr>
              <w:t>乡镇污水处理基础设施建设。</w:t>
            </w:r>
          </w:p>
        </w:tc>
        <w:tc>
          <w:tcPr>
            <w:tcW w:w="902" w:type="dxa"/>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46"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2368" w:type="dxa"/>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建设流域水环境风险联防联控体系。</w:t>
            </w:r>
          </w:p>
        </w:tc>
        <w:tc>
          <w:tcPr>
            <w:tcW w:w="4534" w:type="dxa"/>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本项目已落实</w:t>
            </w:r>
            <w:r>
              <w:rPr>
                <w:rFonts w:cs="Times New Roman"/>
                <w:color w:val="000000" w:themeColor="text1"/>
                <w:kern w:val="21"/>
                <w:sz w:val="21"/>
                <w:szCs w:val="21"/>
                <w:highlight w:val="none"/>
                <w14:textFill>
                  <w14:solidFill>
                    <w14:schemeClr w14:val="tx1"/>
                  </w14:solidFill>
                </w14:textFill>
              </w:rPr>
              <w:t>水环境风险联防联控体系</w:t>
            </w:r>
            <w:r>
              <w:rPr>
                <w:rFonts w:hint="eastAsia" w:cs="Times New Roman"/>
                <w:color w:val="000000" w:themeColor="text1"/>
                <w:kern w:val="21"/>
                <w:sz w:val="21"/>
                <w:szCs w:val="21"/>
                <w:highlight w:val="none"/>
                <w14:textFill>
                  <w14:solidFill>
                    <w14:schemeClr w14:val="tx1"/>
                  </w14:solidFill>
                </w14:textFill>
              </w:rPr>
              <w:t>。</w:t>
            </w:r>
          </w:p>
        </w:tc>
        <w:tc>
          <w:tcPr>
            <w:tcW w:w="902" w:type="dxa"/>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46" w:type="dxa"/>
            <w:vMerge w:val="continue"/>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p>
        </w:tc>
        <w:tc>
          <w:tcPr>
            <w:tcW w:w="2368" w:type="dxa"/>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提高大气污染治理水平。</w:t>
            </w:r>
          </w:p>
        </w:tc>
        <w:tc>
          <w:tcPr>
            <w:tcW w:w="4534" w:type="dxa"/>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本项目为</w:t>
            </w:r>
            <w:r>
              <w:rPr>
                <w:rFonts w:hint="eastAsia" w:cs="Times New Roman"/>
                <w:color w:val="000000" w:themeColor="text1"/>
                <w:kern w:val="21"/>
                <w:sz w:val="21"/>
                <w:szCs w:val="21"/>
                <w:highlight w:val="none"/>
                <w14:textFill>
                  <w14:solidFill>
                    <w14:schemeClr w14:val="tx1"/>
                  </w14:solidFill>
                </w14:textFill>
              </w:rPr>
              <w:t>天然气勘探及试采</w:t>
            </w:r>
            <w:r>
              <w:rPr>
                <w:rFonts w:cs="Times New Roman"/>
                <w:color w:val="000000" w:themeColor="text1"/>
                <w:kern w:val="21"/>
                <w:sz w:val="21"/>
                <w:szCs w:val="21"/>
                <w:highlight w:val="none"/>
                <w14:textFill>
                  <w14:solidFill>
                    <w14:schemeClr w14:val="tx1"/>
                  </w14:solidFill>
                </w14:textFill>
              </w:rPr>
              <w:t>项目，</w:t>
            </w:r>
            <w:r>
              <w:rPr>
                <w:rFonts w:hint="eastAsia" w:cs="Times New Roman"/>
                <w:color w:val="000000" w:themeColor="text1"/>
                <w:kern w:val="21"/>
                <w:sz w:val="21"/>
                <w:szCs w:val="21"/>
                <w:highlight w:val="none"/>
                <w14:textFill>
                  <w14:solidFill>
                    <w14:schemeClr w14:val="tx1"/>
                  </w14:solidFill>
                </w14:textFill>
              </w:rPr>
              <w:t>施工期</w:t>
            </w:r>
            <w:r>
              <w:rPr>
                <w:rFonts w:cs="Times New Roman"/>
                <w:color w:val="000000" w:themeColor="text1"/>
                <w:kern w:val="21"/>
                <w:sz w:val="21"/>
                <w:szCs w:val="21"/>
                <w:highlight w:val="none"/>
                <w14:textFill>
                  <w14:solidFill>
                    <w14:schemeClr w14:val="tx1"/>
                  </w14:solidFill>
                </w14:textFill>
              </w:rPr>
              <w:t>备用柴油机采用节能环保型柴油动力系统设备（自带消烟除尘装置），并适当提高排气筒高度（6m以上）</w:t>
            </w:r>
            <w:r>
              <w:rPr>
                <w:rFonts w:hint="eastAsia" w:cs="Times New Roman"/>
                <w:color w:val="000000" w:themeColor="text1"/>
                <w:kern w:val="21"/>
                <w:sz w:val="21"/>
                <w:szCs w:val="21"/>
                <w:highlight w:val="none"/>
                <w14:textFill>
                  <w14:solidFill>
                    <w14:schemeClr w14:val="tx1"/>
                  </w14:solidFill>
                </w14:textFill>
              </w:rPr>
              <w:t>；试采期依托的水套加热炉所用的燃料气为集气总站反输的燃料气，燃烧废气通过自带的8m高排气筒排放；系统非正常情况放空的天然气通过15m高的放空火炬燃烧后排放。采取相关措施后，本项目大气污染治理水平较高。</w:t>
            </w:r>
          </w:p>
        </w:tc>
        <w:tc>
          <w:tcPr>
            <w:tcW w:w="902" w:type="dxa"/>
            <w:vAlign w:val="center"/>
          </w:tcPr>
          <w:p>
            <w:pPr>
              <w:overflowPunct w:val="0"/>
              <w:adjustRightInd/>
              <w:snapToGri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14:textFill>
                  <w14:solidFill>
                    <w14:schemeClr w14:val="tx1"/>
                  </w14:solidFill>
                </w14:textFill>
              </w:rPr>
              <w:t>符合</w:t>
            </w:r>
          </w:p>
        </w:tc>
      </w:tr>
    </w:tbl>
    <w:p>
      <w:pPr>
        <w:pStyle w:val="13"/>
        <w:overflowPunct w:val="0"/>
        <w:spacing w:before="120" w:beforeLines="50"/>
        <w:ind w:firstLine="480"/>
        <w:jc w:val="left"/>
        <w:rPr>
          <w:bCs/>
          <w:color w:val="000000" w:themeColor="text1"/>
          <w:kern w:val="21"/>
          <w:highlight w:val="none"/>
          <w14:textFill>
            <w14:solidFill>
              <w14:schemeClr w14:val="tx1"/>
            </w14:solidFill>
          </w14:textFill>
        </w:rPr>
      </w:pPr>
      <w:r>
        <w:rPr>
          <w:rFonts w:hint="eastAsia"/>
          <w:bCs/>
          <w:color w:val="000000" w:themeColor="text1"/>
          <w:kern w:val="21"/>
          <w:highlight w:val="none"/>
          <w14:textFill>
            <w14:solidFill>
              <w14:schemeClr w14:val="tx1"/>
            </w14:solidFill>
          </w14:textFill>
        </w:rPr>
        <w:t>由上表可知，本项目符合（川府发〔2020〕9号）针对川东北经济区的相关管控要求。</w:t>
      </w:r>
    </w:p>
    <w:p>
      <w:pPr>
        <w:tabs>
          <w:tab w:val="left" w:pos="0"/>
        </w:tabs>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14:textFill>
            <w14:solidFill>
              <w14:schemeClr w14:val="tx1"/>
            </w14:solidFill>
          </w14:textFill>
        </w:rPr>
        <w:t>4</w:t>
      </w:r>
      <w:r>
        <w:rPr>
          <w:rFonts w:eastAsia="黑体" w:cs="Times New Roman"/>
          <w:color w:val="000000" w:themeColor="text1"/>
          <w:highlight w:val="none"/>
          <w14:textFill>
            <w14:solidFill>
              <w14:schemeClr w14:val="tx1"/>
            </w14:solidFill>
          </w14:textFill>
        </w:rPr>
        <w:t>、与达州市人民政府《关于落实生态保护红线、环境质量底线、资源利用上线制定生态环境准入清单实施生态环境分区管控的通知》达市府发〔2021〕17号符合性分析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达州市人民政府《关于落实生态保护红线、环境质量底线、资源利用上线制定生态环境准入清单实施生态环境分区管控的通知》（达市府发〔2021〕17号），结合达州市和宣汉县总体生态环境管控要求，项目与达市府发〔2021〕17号符合性如</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_Ref143337177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fldChar w:fldCharType="end"/>
      </w:r>
      <w:r>
        <w:rPr>
          <w:rFonts w:hint="eastAsia" w:cs="Times New Roman"/>
          <w:color w:val="000000" w:themeColor="text1"/>
          <w:szCs w:val="24"/>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t>所示。</w:t>
      </w:r>
    </w:p>
    <w:p>
      <w:pPr>
        <w:pStyle w:val="203"/>
        <w:spacing w:before="120"/>
        <w:rPr>
          <w:color w:val="000000" w:themeColor="text1"/>
          <w:highlight w:val="none"/>
          <w14:textFill>
            <w14:solidFill>
              <w14:schemeClr w14:val="tx1"/>
            </w14:solidFill>
          </w14:textFill>
        </w:rPr>
      </w:pPr>
      <w:bookmarkStart w:id="96" w:name="_Ref14333717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96"/>
      <w:r>
        <w:rPr>
          <w:rFonts w:hint="eastAsia"/>
          <w:color w:val="000000" w:themeColor="text1"/>
          <w:highlight w:val="none"/>
          <w14:textFill>
            <w14:solidFill>
              <w14:schemeClr w14:val="tx1"/>
            </w14:solidFill>
          </w14:textFill>
        </w:rPr>
        <w:t>21</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与达市府发〔</w:t>
      </w:r>
      <w:r>
        <w:rPr>
          <w:color w:val="000000" w:themeColor="text1"/>
          <w:highlight w:val="none"/>
          <w14:textFill>
            <w14:solidFill>
              <w14:schemeClr w14:val="tx1"/>
            </w14:solidFill>
          </w14:textFill>
        </w:rPr>
        <w:t>2021〕17号符合性</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78"/>
        <w:gridCol w:w="4133"/>
        <w:gridCol w:w="2900"/>
        <w:gridCol w:w="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67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行政区划</w:t>
            </w:r>
          </w:p>
        </w:tc>
        <w:tc>
          <w:tcPr>
            <w:tcW w:w="413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全市及各县（市、区）总体生态环境管控要求</w:t>
            </w:r>
          </w:p>
        </w:tc>
        <w:tc>
          <w:tcPr>
            <w:tcW w:w="290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w:t>
            </w:r>
          </w:p>
        </w:tc>
        <w:tc>
          <w:tcPr>
            <w:tcW w:w="50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7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达州市</w:t>
            </w:r>
          </w:p>
        </w:tc>
        <w:tc>
          <w:tcPr>
            <w:tcW w:w="413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1．对钢铁行业提出严格资源环境绩效水平要求；</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2．高污染企业限期退城入园；</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3．普光气田开发污染防治和环境管理等方面要达到国内先进水平；</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4．引进项目应符合园区规划环评和区域产业准入清单要求；</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5．长江干支流岸线1km范围内，不得新建、扩建化工园区和化工项目；</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6．严控产业转移环境准入；</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7．造纸等产业污染治理和环境管理应达到国内先进水平。优化制浆造纸产业布局，提升行业清洁生产水平，推动制浆造纸工业向节能、环保、绿色方向发展。</w:t>
            </w:r>
          </w:p>
        </w:tc>
        <w:tc>
          <w:tcPr>
            <w:tcW w:w="2900"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本项目为天然气</w:t>
            </w:r>
            <w:r>
              <w:rPr>
                <w:rFonts w:hint="eastAsia"/>
                <w:color w:val="000000" w:themeColor="text1"/>
                <w:highlight w:val="none"/>
                <w14:textFill>
                  <w14:solidFill>
                    <w14:schemeClr w14:val="tx1"/>
                  </w14:solidFill>
                </w14:textFill>
              </w:rPr>
              <w:t>勘探</w:t>
            </w:r>
            <w:r>
              <w:rPr>
                <w:color w:val="000000" w:themeColor="text1"/>
                <w:highlight w:val="none"/>
                <w14:textFill>
                  <w14:solidFill>
                    <w14:schemeClr w14:val="tx1"/>
                  </w14:solidFill>
                </w14:textFill>
              </w:rPr>
              <w:t>和试采工程，污染防治和环境管理严格按照本环评报告书提出要求进行落实，同时落实中原油田普光分公司日常管理要求，确保本项目各种污染物得到妥善处置，不对项目所在地环境造成影响。</w:t>
            </w:r>
          </w:p>
        </w:tc>
        <w:tc>
          <w:tcPr>
            <w:tcW w:w="5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7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宣汉县</w:t>
            </w:r>
          </w:p>
        </w:tc>
        <w:tc>
          <w:tcPr>
            <w:tcW w:w="4133"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1．加强小流域水环境保护，推动农村环保基础设施建设，全面推进农村环境综合整治、生活污水处理项目。大力开展沿河畜禽养殖污染整治，大力推广生态种植，减少农药化肥使用量；</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2．打好升级版污染防治攻坚战。持续优化调整产业布局，以PM</w:t>
            </w:r>
            <w:r>
              <w:rPr>
                <w:color w:val="000000" w:themeColor="text1"/>
                <w:highlight w:val="none"/>
                <w:vertAlign w:val="subscript"/>
                <w14:textFill>
                  <w14:solidFill>
                    <w14:schemeClr w14:val="tx1"/>
                  </w14:solidFill>
                </w14:textFill>
              </w:rPr>
              <w:t>2.5</w:t>
            </w:r>
            <w:r>
              <w:rPr>
                <w:color w:val="000000" w:themeColor="text1"/>
                <w:highlight w:val="none"/>
                <w14:textFill>
                  <w14:solidFill>
                    <w14:schemeClr w14:val="tx1"/>
                  </w14:solidFill>
                </w14:textFill>
              </w:rPr>
              <w:t>和臭氧污染协同控制为重点，全面开展VOCs治理，实施移动源整治，持续推进空气质量精细化管理；</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3．优化天然气化工、硫化工、锂钾综合开发、冶金建材、新材料等产业布局，切实做好危险化学品生产、使用、贮运、废弃全过程的安全防范措施，妥善处理好锂钾综合开发产业副产物</w:t>
            </w:r>
            <w:r>
              <w:rPr>
                <w:rFonts w:hint="eastAsia" w:ascii="宋体" w:hAnsi="宋体" w:cs="宋体"/>
                <w:color w:val="000000" w:themeColor="text1"/>
                <w:highlight w:val="none"/>
                <w14:textFill>
                  <w14:solidFill>
                    <w14:schemeClr w14:val="tx1"/>
                  </w14:solidFill>
                </w14:textFill>
              </w:rPr>
              <w:t>及“三废”</w:t>
            </w:r>
            <w:r>
              <w:rPr>
                <w:color w:val="000000" w:themeColor="text1"/>
                <w:highlight w:val="none"/>
                <w14:textFill>
                  <w14:solidFill>
                    <w14:schemeClr w14:val="tx1"/>
                  </w14:solidFill>
                </w14:textFill>
              </w:rPr>
              <w:t>的综合利用途径或处置去向。</w:t>
            </w:r>
          </w:p>
        </w:tc>
        <w:tc>
          <w:tcPr>
            <w:tcW w:w="2900"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本项目为天然气</w:t>
            </w:r>
            <w:r>
              <w:rPr>
                <w:rFonts w:hint="eastAsia"/>
                <w:color w:val="000000" w:themeColor="text1"/>
                <w:highlight w:val="none"/>
                <w14:textFill>
                  <w14:solidFill>
                    <w14:schemeClr w14:val="tx1"/>
                  </w14:solidFill>
                </w14:textFill>
              </w:rPr>
              <w:t>勘探</w:t>
            </w:r>
            <w:r>
              <w:rPr>
                <w:color w:val="000000" w:themeColor="text1"/>
                <w:highlight w:val="none"/>
                <w14:textFill>
                  <w14:solidFill>
                    <w14:schemeClr w14:val="tx1"/>
                  </w14:solidFill>
                </w14:textFill>
              </w:rPr>
              <w:t>和试采工程，不涉及以上总体生态环境管控要求。</w:t>
            </w:r>
          </w:p>
        </w:tc>
        <w:tc>
          <w:tcPr>
            <w:tcW w:w="5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tabs>
          <w:tab w:val="left" w:pos="0"/>
        </w:tabs>
        <w:spacing w:before="120" w:beforeLines="50"/>
        <w:ind w:firstLine="480"/>
        <w:rPr>
          <w:rFonts w:cs="Times New Roman"/>
          <w:bCs/>
          <w:color w:val="000000" w:themeColor="text1"/>
          <w:kern w:val="21"/>
          <w:szCs w:val="24"/>
          <w:highlight w:val="none"/>
          <w14:textFill>
            <w14:solidFill>
              <w14:schemeClr w14:val="tx1"/>
            </w14:solidFill>
          </w14:textFill>
        </w:rPr>
      </w:pPr>
      <w:r>
        <w:rPr>
          <w:rFonts w:hint="eastAsia" w:cs="Times New Roman"/>
          <w:bCs/>
          <w:color w:val="000000" w:themeColor="text1"/>
          <w:kern w:val="21"/>
          <w:szCs w:val="24"/>
          <w:highlight w:val="none"/>
          <w14:textFill>
            <w14:solidFill>
              <w14:schemeClr w14:val="tx1"/>
            </w14:solidFill>
          </w14:textFill>
        </w:rPr>
        <w:t>由上表可知，本项目符合达州市生态环境准入总体要求以及宣汉县生态环境准入总体要求。</w:t>
      </w:r>
    </w:p>
    <w:p>
      <w:pPr>
        <w:tabs>
          <w:tab w:val="left" w:pos="0"/>
        </w:tabs>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14:textFill>
            <w14:solidFill>
              <w14:schemeClr w14:val="tx1"/>
            </w14:solidFill>
          </w14:textFill>
        </w:rPr>
        <w:t>5</w:t>
      </w:r>
      <w:r>
        <w:rPr>
          <w:rFonts w:eastAsia="黑体" w:cs="Times New Roman"/>
          <w:color w:val="000000" w:themeColor="text1"/>
          <w:highlight w:val="none"/>
          <w14:textFill>
            <w14:solidFill>
              <w14:schemeClr w14:val="tx1"/>
            </w14:solidFill>
          </w14:textFill>
        </w:rPr>
        <w:t>、与环境准入负面清单的符合性分析</w:t>
      </w:r>
    </w:p>
    <w:p>
      <w:pPr>
        <w:autoSpaceDE w:val="0"/>
        <w:autoSpaceDN w:val="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工程选址位于达州市宣汉县，根据《四川省人民政府关于落实生态保护红线、环境质量底线、资源利用上线，制定生态环境准入清单，实施生态环境分区管控的通知》（川府发〔2020〕9号），项目所在地属于川东北经济区，该区域总体生态环境管控要求为：</w:t>
      </w: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控制农村面源污染，提高污水收集处理率，加快乡镇污水处理基础设施建设。</w:t>
      </w: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建设流域水环境风险联防联控体系。</w:t>
      </w:r>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提高大气污染治理水平。</w:t>
      </w:r>
    </w:p>
    <w:p>
      <w:pPr>
        <w:autoSpaceDE w:val="0"/>
        <w:autoSpaceDN w:val="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本项目为天然气</w:t>
      </w:r>
      <w:r>
        <w:rPr>
          <w:rFonts w:hint="eastAsia" w:cs="Times New Roman"/>
          <w:color w:val="000000" w:themeColor="text1"/>
          <w:szCs w:val="24"/>
          <w:highlight w:val="none"/>
          <w14:textFill>
            <w14:solidFill>
              <w14:schemeClr w14:val="tx1"/>
            </w14:solidFill>
          </w14:textFill>
        </w:rPr>
        <w:t>勘探和试采工程</w:t>
      </w:r>
      <w:r>
        <w:rPr>
          <w:rFonts w:cs="Times New Roman"/>
          <w:color w:val="000000" w:themeColor="text1"/>
          <w:szCs w:val="24"/>
          <w:highlight w:val="none"/>
          <w14:textFill>
            <w14:solidFill>
              <w14:schemeClr w14:val="tx1"/>
            </w14:solidFill>
          </w14:textFill>
        </w:rPr>
        <w:t>，不属于《四川省人民政府关于落实生态保护红线、环境质量底线、资源利用上线，制定生态环境准入清单，实施生态环境分区管控的通知》（川府发〔2020〕9号）中所列的建材、家具、电子信息、装备制造、先进材料、食品饮料、生物医药等行业，项目施工期和试采期废水不外排，试采期水套加热炉燃烧废气经排气筒排放，放空火炬长明灯烟气通过放空火炬高空排放，污染物排放量较小。项目所在地生态环境良好，无突出环境问题，因此，项目的建设满足《四川省人民政府关于落实生态保护红线、环境质量底线、资源利用上线，制定生态环境准入清单，实施生态环境分区管控的通知》（川府发〔2020〕9号）中川东北经济区的生态环境管控要求。</w:t>
      </w:r>
    </w:p>
    <w:p>
      <w:pPr>
        <w:autoSpaceDE w:val="0"/>
        <w:autoSpaceDN w:val="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工程不涉及《四川省国家重点生态功能区产业准入负面清单（第一批）（试行）》42个市县、《四川省重点生态功能区产业准入负面清单（第二批）（试行）》15个县。因此，不属于区域环境准入负面清单行业内容。</w:t>
      </w:r>
    </w:p>
    <w:p>
      <w:pPr>
        <w:autoSpaceDE w:val="0"/>
        <w:autoSpaceDN w:val="0"/>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本项目不涉及</w:t>
      </w:r>
      <w:r>
        <w:rPr>
          <w:rFonts w:cs="Times New Roman"/>
          <w:bCs/>
          <w:color w:val="000000" w:themeColor="text1"/>
          <w:szCs w:val="24"/>
          <w:highlight w:val="none"/>
          <w14:textFill>
            <w14:solidFill>
              <w14:schemeClr w14:val="tx1"/>
            </w14:solidFill>
          </w14:textFill>
        </w:rPr>
        <w:t>《四川省、重庆市长江经济带发展负面清单实施细则（试行，2022年版）》（川长江办〔2022〕17号）中限制与禁止建设的项目</w:t>
      </w:r>
      <w:r>
        <w:rPr>
          <w:rFonts w:hint="eastAsia" w:cs="Times New Roman"/>
          <w:bCs/>
          <w:color w:val="000000" w:themeColor="text1"/>
          <w:szCs w:val="24"/>
          <w:highlight w:val="none"/>
          <w14:textFill>
            <w14:solidFill>
              <w14:schemeClr w14:val="tx1"/>
            </w14:solidFill>
          </w14:textFill>
        </w:rPr>
        <w:t>，本项目与</w:t>
      </w:r>
      <w:r>
        <w:rPr>
          <w:rFonts w:cs="Times New Roman"/>
          <w:bCs/>
          <w:color w:val="000000" w:themeColor="text1"/>
          <w:szCs w:val="24"/>
          <w:highlight w:val="none"/>
          <w14:textFill>
            <w14:solidFill>
              <w14:schemeClr w14:val="tx1"/>
            </w14:solidFill>
          </w14:textFill>
        </w:rPr>
        <w:t>《四川省、重庆市长江经济带发展负面清单实施细则（试行，2022年版）》（川长江办〔2022〕17号）</w:t>
      </w:r>
      <w:r>
        <w:rPr>
          <w:rFonts w:hint="eastAsia" w:cs="Times New Roman"/>
          <w:bCs/>
          <w:color w:val="000000" w:themeColor="text1"/>
          <w:szCs w:val="24"/>
          <w:highlight w:val="none"/>
          <w14:textFill>
            <w14:solidFill>
              <w14:schemeClr w14:val="tx1"/>
            </w14:solidFill>
          </w14:textFill>
        </w:rPr>
        <w:t>符合性分析如下</w:t>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22 与川长江办发〔</w:t>
      </w:r>
      <w:r>
        <w:rPr>
          <w:color w:val="000000" w:themeColor="text1"/>
          <w:highlight w:val="none"/>
          <w14:textFill>
            <w14:solidFill>
              <w14:schemeClr w14:val="tx1"/>
            </w14:solidFill>
          </w14:textFill>
        </w:rPr>
        <w:t>2022</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17</w:t>
      </w:r>
      <w:r>
        <w:rPr>
          <w:rFonts w:hint="eastAsia"/>
          <w:color w:val="000000" w:themeColor="text1"/>
          <w:highlight w:val="none"/>
          <w14:textFill>
            <w14:solidFill>
              <w14:schemeClr w14:val="tx1"/>
            </w14:solidFill>
          </w14:textFill>
        </w:rPr>
        <w:t>号符合性分析表</w:t>
      </w:r>
    </w:p>
    <w:tbl>
      <w:tblPr>
        <w:tblStyle w:val="55"/>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605"/>
        <w:gridCol w:w="4082"/>
        <w:gridCol w:w="2521"/>
        <w:gridCol w:w="10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top w:val="single" w:color="auto" w:sz="4" w:space="0"/>
              <w:left w:val="single" w:color="auto" w:sz="4" w:space="0"/>
              <w:tl2br w:val="nil"/>
              <w:tr2bl w:val="nil"/>
            </w:tcBorders>
            <w:vAlign w:val="center"/>
          </w:tcPr>
          <w:p>
            <w:pPr>
              <w:pStyle w:val="13"/>
              <w:overflowPunct w:val="0"/>
              <w:adjustRightInd/>
              <w:spacing w:line="240" w:lineRule="auto"/>
              <w:ind w:firstLine="0" w:firstLineChars="0"/>
              <w:jc w:val="center"/>
              <w:rPr>
                <w:b/>
                <w:bCs/>
                <w:color w:val="000000" w:themeColor="text1"/>
                <w:kern w:val="21"/>
                <w:sz w:val="21"/>
                <w:szCs w:val="21"/>
                <w:highlight w:val="none"/>
                <w14:textFill>
                  <w14:solidFill>
                    <w14:schemeClr w14:val="tx1"/>
                  </w14:solidFill>
                </w14:textFill>
              </w:rPr>
            </w:pPr>
            <w:r>
              <w:rPr>
                <w:b/>
                <w:bCs/>
                <w:color w:val="000000" w:themeColor="text1"/>
                <w:kern w:val="21"/>
                <w:sz w:val="21"/>
                <w:szCs w:val="21"/>
                <w:highlight w:val="none"/>
                <w14:textFill>
                  <w14:solidFill>
                    <w14:schemeClr w14:val="tx1"/>
                  </w14:solidFill>
                </w14:textFill>
              </w:rPr>
              <w:t>序号</w:t>
            </w:r>
          </w:p>
        </w:tc>
        <w:tc>
          <w:tcPr>
            <w:tcW w:w="4082" w:type="dxa"/>
            <w:tcBorders>
              <w:top w:val="single" w:color="auto" w:sz="4" w:space="0"/>
              <w:tl2br w:val="nil"/>
              <w:tr2bl w:val="nil"/>
            </w:tcBorders>
            <w:vAlign w:val="center"/>
          </w:tcPr>
          <w:p>
            <w:pPr>
              <w:pStyle w:val="13"/>
              <w:overflowPunct w:val="0"/>
              <w:adjustRightInd/>
              <w:spacing w:line="240" w:lineRule="auto"/>
              <w:ind w:firstLine="0" w:firstLineChars="0"/>
              <w:jc w:val="center"/>
              <w:rPr>
                <w:b/>
                <w:bCs/>
                <w:color w:val="000000" w:themeColor="text1"/>
                <w:kern w:val="21"/>
                <w:sz w:val="21"/>
                <w:szCs w:val="21"/>
                <w:highlight w:val="none"/>
                <w14:textFill>
                  <w14:solidFill>
                    <w14:schemeClr w14:val="tx1"/>
                  </w14:solidFill>
                </w14:textFill>
              </w:rPr>
            </w:pPr>
            <w:r>
              <w:rPr>
                <w:b/>
                <w:bCs/>
                <w:color w:val="000000" w:themeColor="text1"/>
                <w:kern w:val="21"/>
                <w:sz w:val="21"/>
                <w:szCs w:val="21"/>
                <w:highlight w:val="none"/>
                <w14:textFill>
                  <w14:solidFill>
                    <w14:schemeClr w14:val="tx1"/>
                  </w14:solidFill>
                </w14:textFill>
              </w:rPr>
              <w:t>相关要求</w:t>
            </w:r>
          </w:p>
        </w:tc>
        <w:tc>
          <w:tcPr>
            <w:tcW w:w="2521" w:type="dxa"/>
            <w:tcBorders>
              <w:top w:val="single" w:color="auto" w:sz="4" w:space="0"/>
              <w:tl2br w:val="nil"/>
              <w:tr2bl w:val="nil"/>
            </w:tcBorders>
            <w:vAlign w:val="center"/>
          </w:tcPr>
          <w:p>
            <w:pPr>
              <w:pStyle w:val="13"/>
              <w:overflowPunct w:val="0"/>
              <w:adjustRightInd/>
              <w:spacing w:line="240" w:lineRule="auto"/>
              <w:ind w:firstLine="0" w:firstLineChars="0"/>
              <w:jc w:val="center"/>
              <w:rPr>
                <w:b/>
                <w:bCs/>
                <w:color w:val="000000" w:themeColor="text1"/>
                <w:kern w:val="21"/>
                <w:sz w:val="21"/>
                <w:szCs w:val="21"/>
                <w:highlight w:val="none"/>
                <w14:textFill>
                  <w14:solidFill>
                    <w14:schemeClr w14:val="tx1"/>
                  </w14:solidFill>
                </w14:textFill>
              </w:rPr>
            </w:pPr>
            <w:r>
              <w:rPr>
                <w:b/>
                <w:bCs/>
                <w:color w:val="000000" w:themeColor="text1"/>
                <w:kern w:val="21"/>
                <w:sz w:val="21"/>
                <w:szCs w:val="21"/>
                <w:highlight w:val="none"/>
                <w14:textFill>
                  <w14:solidFill>
                    <w14:schemeClr w14:val="tx1"/>
                  </w14:solidFill>
                </w14:textFill>
              </w:rPr>
              <w:t>本项目情况</w:t>
            </w:r>
          </w:p>
        </w:tc>
        <w:tc>
          <w:tcPr>
            <w:tcW w:w="1012" w:type="dxa"/>
            <w:tcBorders>
              <w:top w:val="single" w:color="auto" w:sz="4" w:space="0"/>
              <w:right w:val="single" w:color="auto" w:sz="4" w:space="0"/>
              <w:tl2br w:val="nil"/>
              <w:tr2bl w:val="nil"/>
            </w:tcBorders>
            <w:vAlign w:val="center"/>
          </w:tcPr>
          <w:p>
            <w:pPr>
              <w:pStyle w:val="13"/>
              <w:overflowPunct w:val="0"/>
              <w:adjustRightInd/>
              <w:spacing w:line="240" w:lineRule="auto"/>
              <w:ind w:firstLine="0" w:firstLineChars="0"/>
              <w:jc w:val="center"/>
              <w:rPr>
                <w:b/>
                <w:bCs/>
                <w:color w:val="000000" w:themeColor="text1"/>
                <w:kern w:val="21"/>
                <w:sz w:val="21"/>
                <w:szCs w:val="21"/>
                <w:highlight w:val="none"/>
                <w14:textFill>
                  <w14:solidFill>
                    <w14:schemeClr w14:val="tx1"/>
                  </w14:solidFill>
                </w14:textFill>
              </w:rPr>
            </w:pPr>
            <w:r>
              <w:rPr>
                <w:b/>
                <w:bCs/>
                <w:color w:val="000000" w:themeColor="text1"/>
                <w:kern w:val="21"/>
                <w:sz w:val="21"/>
                <w:szCs w:val="21"/>
                <w:highlight w:val="none"/>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禁止新建、改建和扩建不符合全国港口布局规划，以及《四川省内河水运发展规划》《泸州一宜宾一乐山港口群布局以及《重庆港总体规划（2035年）》等省级港口布局规划及市级规划港口总体规划的码头项目。</w:t>
            </w:r>
          </w:p>
        </w:tc>
        <w:tc>
          <w:tcPr>
            <w:tcW w:w="2521"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w:t>
            </w:r>
            <w:r>
              <w:rPr>
                <w:rFonts w:hint="eastAsia" w:cs="Times New Roman"/>
                <w:color w:val="000000" w:themeColor="text1"/>
                <w:kern w:val="21"/>
                <w:sz w:val="21"/>
                <w:szCs w:val="21"/>
                <w:highlight w:val="none"/>
                <w:lang w:bidi="ar"/>
                <w14:textFill>
                  <w14:solidFill>
                    <w14:schemeClr w14:val="tx1"/>
                  </w14:solidFill>
                </w14:textFill>
              </w:rPr>
              <w:t>为天然气勘探及试采项目，</w:t>
            </w:r>
            <w:r>
              <w:rPr>
                <w:rFonts w:cs="Times New Roman"/>
                <w:color w:val="000000" w:themeColor="text1"/>
                <w:kern w:val="21"/>
                <w:sz w:val="21"/>
                <w:szCs w:val="21"/>
                <w:highlight w:val="none"/>
                <w:lang w:bidi="ar"/>
                <w14:textFill>
                  <w14:solidFill>
                    <w14:schemeClr w14:val="tx1"/>
                  </w14:solidFill>
                </w14:textFill>
              </w:rPr>
              <w:t>不属于码头</w:t>
            </w:r>
            <w:r>
              <w:rPr>
                <w:rFonts w:hint="eastAsia" w:cs="Times New Roman"/>
                <w:color w:val="000000" w:themeColor="text1"/>
                <w:kern w:val="21"/>
                <w:sz w:val="21"/>
                <w:szCs w:val="21"/>
                <w:highlight w:val="none"/>
                <w:lang w:bidi="ar"/>
                <w14:textFill>
                  <w14:solidFill>
                    <w14:schemeClr w14:val="tx1"/>
                  </w14:solidFill>
                </w14:textFill>
              </w:rPr>
              <w:t>项目</w:t>
            </w:r>
            <w:r>
              <w:rPr>
                <w:rFonts w:cs="Times New Roman"/>
                <w:color w:val="000000" w:themeColor="text1"/>
                <w:kern w:val="21"/>
                <w:sz w:val="21"/>
                <w:szCs w:val="21"/>
                <w:highlight w:val="none"/>
                <w:lang w:bidi="ar"/>
                <w14:textFill>
                  <w14:solidFill>
                    <w14:schemeClr w14:val="tx1"/>
                  </w14:solidFill>
                </w14:textFill>
              </w:rPr>
              <w:t>。</w:t>
            </w:r>
          </w:p>
        </w:tc>
        <w:tc>
          <w:tcPr>
            <w:tcW w:w="1012" w:type="dxa"/>
            <w:tcBorders>
              <w:righ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2</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禁止新建、改建和扩建不符合《长江干线过江通道布局规划（2020-2035）》的过长江通道项目（含桥梁、隧道），布局规划（</w:t>
            </w:r>
            <w:r>
              <w:rPr>
                <w:rFonts w:hint="eastAsia" w:cs="Times New Roman"/>
                <w:color w:val="000000" w:themeColor="text1"/>
                <w:kern w:val="21"/>
                <w:sz w:val="21"/>
                <w:szCs w:val="21"/>
                <w:highlight w:val="none"/>
                <w:lang w:bidi="ar"/>
                <w14:textFill>
                  <w14:solidFill>
                    <w14:schemeClr w14:val="tx1"/>
                  </w14:solidFill>
                </w14:textFill>
              </w:rPr>
              <w:t>2020-2035</w:t>
            </w:r>
            <w:r>
              <w:rPr>
                <w:rFonts w:cs="Times New Roman"/>
                <w:color w:val="000000" w:themeColor="text1"/>
                <w:kern w:val="21"/>
                <w:sz w:val="21"/>
                <w:szCs w:val="21"/>
                <w:highlight w:val="none"/>
                <w:lang w:bidi="ar"/>
                <w14:textFill>
                  <w14:solidFill>
                    <w14:schemeClr w14:val="tx1"/>
                  </w14:solidFill>
                </w14:textFill>
              </w:rPr>
              <w:t>）》的过长江通道项目（含桥梁、隧道），国家发展改革委同意过长江通道线位调整的除外。禁止在自然保护区核心区、缓冲区的岸线和河段范围内投资建设旅游和生产经营项目。自然保护区的内部未分区的，依照核心区和缓冲区的规定管控。</w:t>
            </w:r>
          </w:p>
        </w:tc>
        <w:tc>
          <w:tcPr>
            <w:tcW w:w="2521"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本项目不属于过长江通道项目。</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3</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lang w:bidi="ar"/>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禁止在自然保护区核心区、缓冲区的岸线和河段范围内投资建设旅游和生产经营项目。自然保护区的内部未分区的，依照核心区和缓冲区的规定管控。</w:t>
            </w:r>
          </w:p>
        </w:tc>
        <w:tc>
          <w:tcPr>
            <w:tcW w:w="2521" w:type="dxa"/>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color w:val="000000" w:themeColor="text1"/>
                <w:kern w:val="21"/>
                <w:sz w:val="21"/>
                <w:szCs w:val="21"/>
                <w:highlight w:val="none"/>
                <w:lang w:bidi="ar"/>
                <w14:textFill>
                  <w14:solidFill>
                    <w14:schemeClr w14:val="tx1"/>
                  </w14:solidFill>
                </w14:textFill>
              </w:rPr>
              <w:t>本项目不涉及自然保护区。</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4</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禁止违反风景名胜区规划，在风景名胜区内设立各类开发区。禁止在风景名胜区核心景区的岸线和河段范围内建设宾馆、招待所、培训中心、疗养院以及与风景名</w:t>
            </w:r>
            <w:r>
              <w:rPr>
                <w:rFonts w:hint="eastAsia" w:cs="Times New Roman"/>
                <w:color w:val="000000" w:themeColor="text1"/>
                <w:kern w:val="21"/>
                <w:sz w:val="21"/>
                <w:szCs w:val="21"/>
                <w:highlight w:val="none"/>
                <w:lang w:bidi="ar"/>
                <w14:textFill>
                  <w14:solidFill>
                    <w14:schemeClr w14:val="tx1"/>
                  </w14:solidFill>
                </w14:textFill>
              </w:rPr>
              <w:t>胜区</w:t>
            </w:r>
            <w:r>
              <w:rPr>
                <w:rFonts w:cs="Times New Roman"/>
                <w:color w:val="000000" w:themeColor="text1"/>
                <w:kern w:val="21"/>
                <w:sz w:val="21"/>
                <w:szCs w:val="21"/>
                <w:highlight w:val="none"/>
                <w:lang w:bidi="ar"/>
                <w14:textFill>
                  <w14:solidFill>
                    <w14:schemeClr w14:val="tx1"/>
                  </w14:solidFill>
                </w14:textFill>
              </w:rPr>
              <w:t>资源保护无关的项目。</w:t>
            </w:r>
          </w:p>
        </w:tc>
        <w:tc>
          <w:tcPr>
            <w:tcW w:w="2521" w:type="dxa"/>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color w:val="000000" w:themeColor="text1"/>
                <w:kern w:val="21"/>
                <w:sz w:val="21"/>
                <w:szCs w:val="21"/>
                <w:highlight w:val="none"/>
                <w:lang w:bidi="ar"/>
                <w14:textFill>
                  <w14:solidFill>
                    <w14:schemeClr w14:val="tx1"/>
                  </w14:solidFill>
                </w14:textFill>
              </w:rPr>
              <w:t>本项目不涉及风景名胜区。</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5</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禁止在饮用水水源准保护区的岸线和河段范围内新建、扩建对水体污染严重的建设项目，禁止改建增加排污量的建设项目。</w:t>
            </w:r>
          </w:p>
        </w:tc>
        <w:tc>
          <w:tcPr>
            <w:tcW w:w="2521" w:type="dxa"/>
            <w:vMerge w:val="restart"/>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rFonts w:hint="eastAsia"/>
                <w:color w:val="000000" w:themeColor="text1"/>
                <w:kern w:val="21"/>
                <w:sz w:val="21"/>
                <w:szCs w:val="21"/>
                <w:highlight w:val="none"/>
                <w:lang w:bidi="ar"/>
                <w14:textFill>
                  <w14:solidFill>
                    <w14:schemeClr w14:val="tx1"/>
                  </w14:solidFill>
                </w14:textFill>
              </w:rPr>
              <w:t>本项目不涉及饮用水水源保护区和准保护区。</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6</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饮用水水源二级保护区的岸线和河段范围内，除遵守准保护区规定外，禁止新建、改建、扩建排放污染物的投资建设项目；禁止从事对水体有污染的水产养殖等活动。</w:t>
            </w:r>
          </w:p>
        </w:tc>
        <w:tc>
          <w:tcPr>
            <w:tcW w:w="2521" w:type="dxa"/>
            <w:vMerge w:val="continue"/>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7</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饮用水水源一级保护区的岸线和河段范围内，除遵守二级保护区规定外，禁止新建、改建、扩建与供水设施和保护水源无关的项目，以及网箱养殖、畜禽养殖、旅游等可能污染饮用水水体的投资建设项目。</w:t>
            </w:r>
          </w:p>
        </w:tc>
        <w:tc>
          <w:tcPr>
            <w:tcW w:w="2521" w:type="dxa"/>
            <w:vMerge w:val="continue"/>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8</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禁止在水产种质资源保护区岸线和河段范围内新建围湖造田、围湖造地或挖沙采石等投资建设项目。</w:t>
            </w:r>
          </w:p>
        </w:tc>
        <w:tc>
          <w:tcPr>
            <w:tcW w:w="2521" w:type="dxa"/>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rFonts w:hint="eastAsia"/>
                <w:color w:val="000000" w:themeColor="text1"/>
                <w:kern w:val="21"/>
                <w:sz w:val="21"/>
                <w:szCs w:val="21"/>
                <w:highlight w:val="none"/>
                <w:lang w:bidi="ar"/>
                <w14:textFill>
                  <w14:solidFill>
                    <w14:schemeClr w14:val="tx1"/>
                  </w14:solidFill>
                </w14:textFill>
              </w:rPr>
              <w:t>本项目不涉及</w:t>
            </w:r>
            <w:r>
              <w:rPr>
                <w:color w:val="000000" w:themeColor="text1"/>
                <w:kern w:val="21"/>
                <w:sz w:val="21"/>
                <w:szCs w:val="21"/>
                <w:highlight w:val="none"/>
                <w:lang w:bidi="ar"/>
                <w14:textFill>
                  <w14:solidFill>
                    <w14:schemeClr w14:val="tx1"/>
                  </w14:solidFill>
                </w14:textFill>
              </w:rPr>
              <w:t>水产种质资源保护区</w:t>
            </w:r>
            <w:r>
              <w:rPr>
                <w:rFonts w:hint="eastAsia"/>
                <w:color w:val="000000" w:themeColor="text1"/>
                <w:kern w:val="21"/>
                <w:sz w:val="21"/>
                <w:szCs w:val="21"/>
                <w:highlight w:val="none"/>
                <w:lang w:bidi="ar"/>
                <w14:textFill>
                  <w14:solidFill>
                    <w14:schemeClr w14:val="tx1"/>
                  </w14:solidFill>
                </w14:textFill>
              </w:rPr>
              <w:t>。</w:t>
            </w:r>
          </w:p>
        </w:tc>
        <w:tc>
          <w:tcPr>
            <w:tcW w:w="1012" w:type="dxa"/>
            <w:tcBorders>
              <w:righ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rFonts w:hint="eastAsia"/>
                <w:color w:val="000000" w:themeColor="text1"/>
                <w:kern w:val="21"/>
                <w:sz w:val="21"/>
                <w:szCs w:val="21"/>
                <w:highlight w:val="none"/>
                <w:lang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9</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2521" w:type="dxa"/>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color w:val="000000" w:themeColor="text1"/>
                <w:kern w:val="21"/>
                <w:sz w:val="21"/>
                <w:szCs w:val="21"/>
                <w:highlight w:val="none"/>
                <w:lang w:bidi="ar"/>
                <w14:textFill>
                  <w14:solidFill>
                    <w14:schemeClr w14:val="tx1"/>
                  </w14:solidFill>
                </w14:textFill>
              </w:rPr>
              <w:t>本项目不涉及国家湿地公园。</w:t>
            </w:r>
          </w:p>
        </w:tc>
        <w:tc>
          <w:tcPr>
            <w:tcW w:w="1012" w:type="dxa"/>
            <w:tcBorders>
              <w:righ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rFonts w:hint="eastAsia"/>
                <w:color w:val="000000" w:themeColor="text1"/>
                <w:kern w:val="21"/>
                <w:sz w:val="21"/>
                <w:szCs w:val="21"/>
                <w:highlight w:val="none"/>
                <w:lang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10</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2521" w:type="dxa"/>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color w:val="000000" w:themeColor="text1"/>
                <w:kern w:val="21"/>
                <w:sz w:val="21"/>
                <w:szCs w:val="21"/>
                <w:highlight w:val="none"/>
                <w:lang w:bidi="ar"/>
                <w14:textFill>
                  <w14:solidFill>
                    <w14:schemeClr w14:val="tx1"/>
                  </w14:solidFill>
                </w14:textFill>
              </w:rPr>
              <w:t>本项目不涉及长江流域河湖岸线</w:t>
            </w:r>
            <w:r>
              <w:rPr>
                <w:rFonts w:hint="eastAsia"/>
                <w:color w:val="000000" w:themeColor="text1"/>
                <w:kern w:val="21"/>
                <w:sz w:val="21"/>
                <w:szCs w:val="21"/>
                <w:highlight w:val="none"/>
                <w:lang w:bidi="ar"/>
                <w14:textFill>
                  <w14:solidFill>
                    <w14:schemeClr w14:val="tx1"/>
                  </w14:solidFill>
                </w14:textFill>
              </w:rPr>
              <w:t>。</w:t>
            </w:r>
          </w:p>
        </w:tc>
        <w:tc>
          <w:tcPr>
            <w:tcW w:w="1012" w:type="dxa"/>
            <w:tcBorders>
              <w:righ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rFonts w:hint="eastAsia"/>
                <w:color w:val="000000" w:themeColor="text1"/>
                <w:kern w:val="21"/>
                <w:sz w:val="21"/>
                <w:szCs w:val="21"/>
                <w:highlight w:val="none"/>
                <w:lang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11</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禁止在《全国重要江河湖泊水功能区划》划定的河段及湖泊保护区、保留区内投资建设不利于水资源及自然生态保护的项目。</w:t>
            </w:r>
          </w:p>
        </w:tc>
        <w:tc>
          <w:tcPr>
            <w:tcW w:w="2521" w:type="dxa"/>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rFonts w:hint="eastAsia"/>
                <w:color w:val="000000" w:themeColor="text1"/>
                <w:kern w:val="21"/>
                <w:sz w:val="21"/>
                <w:szCs w:val="21"/>
                <w:highlight w:val="none"/>
                <w:lang w:bidi="ar"/>
                <w14:textFill>
                  <w14:solidFill>
                    <w14:schemeClr w14:val="tx1"/>
                  </w14:solidFill>
                </w14:textFill>
              </w:rPr>
              <w:t>本项目不涉及</w:t>
            </w:r>
            <w:r>
              <w:rPr>
                <w:color w:val="000000" w:themeColor="text1"/>
                <w:kern w:val="21"/>
                <w:sz w:val="21"/>
                <w:szCs w:val="21"/>
                <w:highlight w:val="none"/>
                <w:lang w:bidi="ar"/>
                <w14:textFill>
                  <w14:solidFill>
                    <w14:schemeClr w14:val="tx1"/>
                  </w14:solidFill>
                </w14:textFill>
              </w:rPr>
              <w:t>《全国重要江河湖泊水功能区划》划定的河段及湖泊保护区、保留区</w:t>
            </w:r>
            <w:r>
              <w:rPr>
                <w:rFonts w:hint="eastAsia"/>
                <w:color w:val="000000" w:themeColor="text1"/>
                <w:kern w:val="21"/>
                <w:sz w:val="21"/>
                <w:szCs w:val="21"/>
                <w:highlight w:val="none"/>
                <w:lang w:bidi="ar"/>
                <w14:textFill>
                  <w14:solidFill>
                    <w14:schemeClr w14:val="tx1"/>
                  </w14:solidFill>
                </w14:textFill>
              </w:rPr>
              <w:t>。</w:t>
            </w:r>
          </w:p>
        </w:tc>
        <w:tc>
          <w:tcPr>
            <w:tcW w:w="1012" w:type="dxa"/>
            <w:tcBorders>
              <w:righ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rFonts w:hint="eastAsia"/>
                <w:color w:val="000000" w:themeColor="text1"/>
                <w:kern w:val="21"/>
                <w:sz w:val="21"/>
                <w:szCs w:val="21"/>
                <w:highlight w:val="none"/>
                <w:lang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12</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禁止在长江流域江河、湖泊新设、改设或者扩大排污口，经有管辖权的生态环境主管部门或者长江流域生态环境监督管理机构同意的除外。</w:t>
            </w:r>
          </w:p>
        </w:tc>
        <w:tc>
          <w:tcPr>
            <w:tcW w:w="2521" w:type="dxa"/>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color w:val="000000" w:themeColor="text1"/>
                <w:kern w:val="21"/>
                <w:sz w:val="21"/>
                <w:szCs w:val="21"/>
                <w:highlight w:val="none"/>
                <w:lang w:bidi="ar"/>
                <w14:textFill>
                  <w14:solidFill>
                    <w14:schemeClr w14:val="tx1"/>
                  </w14:solidFill>
                </w14:textFill>
              </w:rPr>
              <w:t>本项目</w:t>
            </w:r>
            <w:r>
              <w:rPr>
                <w:rFonts w:hint="eastAsia"/>
                <w:color w:val="000000" w:themeColor="text1"/>
                <w:kern w:val="21"/>
                <w:sz w:val="21"/>
                <w:szCs w:val="21"/>
                <w:highlight w:val="none"/>
                <w:lang w:bidi="ar"/>
                <w14:textFill>
                  <w14:solidFill>
                    <w14:schemeClr w14:val="tx1"/>
                  </w14:solidFill>
                </w14:textFill>
              </w:rPr>
              <w:t>各类废水均不外排，不新增或扩大排污口。</w:t>
            </w:r>
          </w:p>
        </w:tc>
        <w:tc>
          <w:tcPr>
            <w:tcW w:w="1012" w:type="dxa"/>
            <w:tcBorders>
              <w:righ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rFonts w:hint="eastAsia"/>
                <w:color w:val="000000" w:themeColor="text1"/>
                <w:kern w:val="21"/>
                <w:sz w:val="21"/>
                <w:szCs w:val="21"/>
                <w:highlight w:val="none"/>
                <w:lang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13</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禁止在长江干流、大渡河、岷江、赤水河、沱江、嘉陵江、乌江、汉江和51个（四川省45个、重庆市6个）水生生物保护区开展生产性捕捞。</w:t>
            </w:r>
          </w:p>
        </w:tc>
        <w:tc>
          <w:tcPr>
            <w:tcW w:w="2521" w:type="dxa"/>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color w:val="000000" w:themeColor="text1"/>
                <w:kern w:val="21"/>
                <w:sz w:val="21"/>
                <w:szCs w:val="21"/>
                <w:highlight w:val="none"/>
                <w:lang w:bidi="ar"/>
                <w14:textFill>
                  <w14:solidFill>
                    <w14:schemeClr w14:val="tx1"/>
                  </w14:solidFill>
                </w14:textFill>
              </w:rPr>
              <w:t>本项目不涉及生产性捕捞。</w:t>
            </w:r>
          </w:p>
        </w:tc>
        <w:tc>
          <w:tcPr>
            <w:tcW w:w="1012" w:type="dxa"/>
            <w:tcBorders>
              <w:righ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lang w:bidi="ar"/>
                <w14:textFill>
                  <w14:solidFill>
                    <w14:schemeClr w14:val="tx1"/>
                  </w14:solidFill>
                </w14:textFill>
              </w:rPr>
            </w:pPr>
            <w:r>
              <w:rPr>
                <w:rFonts w:hint="eastAsia"/>
                <w:color w:val="000000" w:themeColor="text1"/>
                <w:kern w:val="21"/>
                <w:sz w:val="21"/>
                <w:szCs w:val="21"/>
                <w:highlight w:val="none"/>
                <w:lang w:bidi="ar"/>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14</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禁止在长江干支流、重要湖泊岸线一公里范围内新建、扩建化工园区和化工项目。</w:t>
            </w:r>
          </w:p>
        </w:tc>
        <w:tc>
          <w:tcPr>
            <w:tcW w:w="2521"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本项目不属于化工项目。</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15</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禁止在长江干流岸线三公里范围内和重要支流岸线一公里范围内新建、改建、扩建尾矿库、冶炼渣库、磷石膏库，以提升安全、生态环境保护水平为目的的改建除外。</w:t>
            </w:r>
          </w:p>
        </w:tc>
        <w:tc>
          <w:tcPr>
            <w:tcW w:w="2521"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本项目不涉及尾矿库、冶炼渣库、磷石膏库等的建设。</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16</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禁止在生态保护红线区域、永久基本农田集中区域和其他需要特别保护的区域内选址建设尾矿库、冶炼渣库、磷石膏库。</w:t>
            </w:r>
          </w:p>
        </w:tc>
        <w:tc>
          <w:tcPr>
            <w:tcW w:w="2521"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lang w:bidi="ar"/>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本项目不涉及尾矿库、冶炼渣库、磷石膏库等的建设。</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17</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禁止在合规园区外新建、扩建钢铁、石化、化工、焦化、建材、有色、制浆造纸等高污染项目。</w:t>
            </w:r>
          </w:p>
        </w:tc>
        <w:tc>
          <w:tcPr>
            <w:tcW w:w="2521"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lang w:bidi="ar"/>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w:t>
            </w:r>
            <w:r>
              <w:rPr>
                <w:rFonts w:hint="eastAsia" w:cs="Times New Roman"/>
                <w:color w:val="000000" w:themeColor="text1"/>
                <w:kern w:val="21"/>
                <w:sz w:val="21"/>
                <w:szCs w:val="21"/>
                <w:highlight w:val="none"/>
                <w:lang w:bidi="ar"/>
                <w14:textFill>
                  <w14:solidFill>
                    <w14:schemeClr w14:val="tx1"/>
                  </w14:solidFill>
                </w14:textFill>
              </w:rPr>
              <w:t>不涉及</w:t>
            </w:r>
            <w:r>
              <w:rPr>
                <w:rFonts w:cs="Times New Roman"/>
                <w:color w:val="000000" w:themeColor="text1"/>
                <w:kern w:val="21"/>
                <w:sz w:val="21"/>
                <w:szCs w:val="21"/>
                <w:highlight w:val="none"/>
                <w:lang w:bidi="ar"/>
                <w14:textFill>
                  <w14:solidFill>
                    <w14:schemeClr w14:val="tx1"/>
                  </w14:solidFill>
                </w14:textFill>
              </w:rPr>
              <w:t>钢铁、石化、化工、焦化、建材、有色、制浆造纸等高污染项目</w:t>
            </w:r>
            <w:r>
              <w:rPr>
                <w:rFonts w:hint="eastAsia" w:cs="Times New Roman"/>
                <w:color w:val="000000" w:themeColor="text1"/>
                <w:kern w:val="21"/>
                <w:sz w:val="21"/>
                <w:szCs w:val="21"/>
                <w:highlight w:val="none"/>
                <w:lang w:bidi="ar"/>
                <w14:textFill>
                  <w14:solidFill>
                    <w14:schemeClr w14:val="tx1"/>
                  </w14:solidFill>
                </w14:textFill>
              </w:rPr>
              <w:t>。</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18</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新建、扩建不符合国家石化、现代煤化工等产业布局规划的项目。（一）严格控制新增炼油产能，未列入《石化产业规划布局方案（修订版）》的新增炼油产能一律不得建设。（二）新建煤制烯烃、煤制芳烃项目必须列入《现代煤化工产业创新发展布局方案》，必须符合现代煤化工建设项目环境</w:t>
            </w:r>
            <w:r>
              <w:rPr>
                <w:rFonts w:hint="eastAsia" w:cs="Times New Roman"/>
                <w:color w:val="000000" w:themeColor="text1"/>
                <w:kern w:val="21"/>
                <w:sz w:val="21"/>
                <w:szCs w:val="21"/>
                <w:highlight w:val="none"/>
                <w:lang w:bidi="ar"/>
                <w14:textFill>
                  <w14:solidFill>
                    <w14:schemeClr w14:val="tx1"/>
                  </w14:solidFill>
                </w14:textFill>
              </w:rPr>
              <w:t>标准</w:t>
            </w:r>
            <w:r>
              <w:rPr>
                <w:rFonts w:cs="Times New Roman"/>
                <w:color w:val="000000" w:themeColor="text1"/>
                <w:kern w:val="21"/>
                <w:sz w:val="21"/>
                <w:szCs w:val="21"/>
                <w:highlight w:val="none"/>
                <w:lang w:bidi="ar"/>
                <w14:textFill>
                  <w14:solidFill>
                    <w14:schemeClr w14:val="tx1"/>
                  </w14:solidFill>
                </w14:textFill>
              </w:rPr>
              <w:t>。</w:t>
            </w:r>
          </w:p>
        </w:tc>
        <w:tc>
          <w:tcPr>
            <w:tcW w:w="2521"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lang w:bidi="ar"/>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w:t>
            </w:r>
            <w:r>
              <w:rPr>
                <w:rFonts w:hint="eastAsia" w:cs="Times New Roman"/>
                <w:color w:val="000000" w:themeColor="text1"/>
                <w:kern w:val="21"/>
                <w:sz w:val="21"/>
                <w:szCs w:val="21"/>
                <w:highlight w:val="none"/>
                <w:lang w:bidi="ar"/>
                <w14:textFill>
                  <w14:solidFill>
                    <w14:schemeClr w14:val="tx1"/>
                  </w14:solidFill>
                </w14:textFill>
              </w:rPr>
              <w:t>不涉及左述项目。</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19</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2521"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lang w:bidi="ar"/>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本项目属于《产业结构调整指导目录（20</w:t>
            </w:r>
            <w:r>
              <w:rPr>
                <w:rFonts w:hint="eastAsia" w:cs="Times New Roman"/>
                <w:color w:val="000000" w:themeColor="text1"/>
                <w:kern w:val="21"/>
                <w:sz w:val="21"/>
                <w:szCs w:val="21"/>
                <w:highlight w:val="none"/>
                <w:lang w:bidi="ar"/>
                <w14:textFill>
                  <w14:solidFill>
                    <w14:schemeClr w14:val="tx1"/>
                  </w14:solidFill>
                </w14:textFill>
              </w:rPr>
              <w:t>24</w:t>
            </w:r>
            <w:r>
              <w:rPr>
                <w:rFonts w:cs="Times New Roman"/>
                <w:color w:val="000000" w:themeColor="text1"/>
                <w:kern w:val="21"/>
                <w:sz w:val="21"/>
                <w:szCs w:val="21"/>
                <w:highlight w:val="none"/>
                <w:lang w:bidi="ar"/>
                <w14:textFill>
                  <w14:solidFill>
                    <w14:schemeClr w14:val="tx1"/>
                  </w14:solidFill>
                </w14:textFill>
              </w:rPr>
              <w:t>年）》中鼓励类项目。</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20</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禁止新建、扩建不符合国家产能置换要求的严重过剩产能行业的项目。对于不符合国家产能置换要求的严重过剩产能行业，不得以其他任何名义、任何方式备案新增产能项目。</w:t>
            </w:r>
          </w:p>
        </w:tc>
        <w:tc>
          <w:tcPr>
            <w:tcW w:w="2521"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lang w:bidi="ar"/>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本项目不属于严重过剩产能行业。</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21</w:t>
            </w:r>
          </w:p>
        </w:tc>
        <w:tc>
          <w:tcPr>
            <w:tcW w:w="4082" w:type="dxa"/>
            <w:tcBorders>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禁止建设以下燃油汽车投资项目</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不在中国境内销售产品的投资项目除外</w:t>
            </w:r>
            <w:r>
              <w:rPr>
                <w:rFonts w:hint="eastAsia" w:cs="Times New Roman"/>
                <w:color w:val="000000" w:themeColor="text1"/>
                <w:kern w:val="21"/>
                <w:sz w:val="21"/>
                <w:szCs w:val="21"/>
                <w:highlight w:val="none"/>
                <w:lang w:bidi="ar"/>
                <w14:textFill>
                  <w14:solidFill>
                    <w14:schemeClr w14:val="tx1"/>
                  </w14:solidFill>
                </w14:textFill>
              </w:rPr>
              <w:t>）：（一）</w:t>
            </w:r>
            <w:r>
              <w:rPr>
                <w:rFonts w:cs="Times New Roman"/>
                <w:color w:val="000000" w:themeColor="text1"/>
                <w:kern w:val="21"/>
                <w:sz w:val="21"/>
                <w:szCs w:val="21"/>
                <w:highlight w:val="none"/>
                <w:lang w:bidi="ar"/>
                <w14:textFill>
                  <w14:solidFill>
                    <w14:schemeClr w14:val="tx1"/>
                  </w14:solidFill>
                </w14:textFill>
              </w:rPr>
              <w:t>新建独立燃油汽车企业；</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二</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现有汽车企业跨乘用车、商用车类别建设燃油汽车生产能力；</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三</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外省现有燃油汽车企业整体搬迁至本省</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列入国家级区域发展规划或不改变企业股权结构的项目除外</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四</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对行业管理部门特别公示的燃油汽车企业进行投资</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企业原有股东投资或将该企业转为非独立法人的投资项目除外</w:t>
            </w:r>
            <w:r>
              <w:rPr>
                <w:rFonts w:hint="eastAsia" w:cs="Times New Roman"/>
                <w:color w:val="000000" w:themeColor="text1"/>
                <w:kern w:val="21"/>
                <w:sz w:val="21"/>
                <w:szCs w:val="21"/>
                <w:highlight w:val="none"/>
                <w:lang w:bidi="ar"/>
                <w14:textFill>
                  <w14:solidFill>
                    <w14:schemeClr w14:val="tx1"/>
                  </w14:solidFill>
                </w14:textFill>
              </w:rPr>
              <w:t>）</w:t>
            </w:r>
            <w:r>
              <w:rPr>
                <w:rFonts w:cs="Times New Roman"/>
                <w:color w:val="000000" w:themeColor="text1"/>
                <w:kern w:val="21"/>
                <w:sz w:val="21"/>
                <w:szCs w:val="21"/>
                <w:highlight w:val="none"/>
                <w:lang w:bidi="ar"/>
                <w14:textFill>
                  <w14:solidFill>
                    <w14:schemeClr w14:val="tx1"/>
                  </w14:solidFill>
                </w14:textFill>
              </w:rPr>
              <w:t>。</w:t>
            </w:r>
          </w:p>
        </w:tc>
        <w:tc>
          <w:tcPr>
            <w:tcW w:w="2521" w:type="dxa"/>
            <w:tcBorders>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color w:val="000000" w:themeColor="text1"/>
                <w:kern w:val="21"/>
                <w:sz w:val="21"/>
                <w:szCs w:val="21"/>
                <w:highlight w:val="none"/>
                <w14:textFill>
                  <w14:solidFill>
                    <w14:schemeClr w14:val="tx1"/>
                  </w14:solidFill>
                </w14:textFill>
              </w:rPr>
              <w:t>本项目不涉及</w:t>
            </w:r>
            <w:r>
              <w:rPr>
                <w:rFonts w:hint="eastAsia"/>
                <w:color w:val="000000" w:themeColor="text1"/>
                <w:kern w:val="21"/>
                <w:sz w:val="21"/>
                <w:szCs w:val="21"/>
                <w:highlight w:val="none"/>
                <w14:textFill>
                  <w14:solidFill>
                    <w14:schemeClr w14:val="tx1"/>
                  </w14:solidFill>
                </w14:textFill>
              </w:rPr>
              <w:t>左述所列行业。</w:t>
            </w:r>
          </w:p>
        </w:tc>
        <w:tc>
          <w:tcPr>
            <w:tcW w:w="1012" w:type="dxa"/>
            <w:tcBorders>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jc w:val="center"/>
        </w:trPr>
        <w:tc>
          <w:tcPr>
            <w:tcW w:w="605" w:type="dxa"/>
            <w:tcBorders>
              <w:left w:val="single" w:color="auto" w:sz="4" w:space="0"/>
              <w:bottom w:val="single" w:color="auto" w:sz="4" w:space="0"/>
              <w:tl2br w:val="nil"/>
              <w:tr2bl w:val="nil"/>
            </w:tcBorders>
            <w:vAlign w:val="center"/>
          </w:tcPr>
          <w:p>
            <w:pPr>
              <w:pStyle w:val="13"/>
              <w:overflowPunct w:val="0"/>
              <w:adjustRightInd/>
              <w:spacing w:line="240" w:lineRule="auto"/>
              <w:ind w:firstLine="0" w:firstLineChars="0"/>
              <w:jc w:val="center"/>
              <w:rPr>
                <w:color w:val="000000" w:themeColor="text1"/>
                <w:kern w:val="21"/>
                <w:sz w:val="21"/>
                <w:szCs w:val="21"/>
                <w:highlight w:val="none"/>
                <w14:textFill>
                  <w14:solidFill>
                    <w14:schemeClr w14:val="tx1"/>
                  </w14:solidFill>
                </w14:textFill>
              </w:rPr>
            </w:pPr>
            <w:r>
              <w:rPr>
                <w:rFonts w:hint="eastAsia"/>
                <w:color w:val="000000" w:themeColor="text1"/>
                <w:kern w:val="21"/>
                <w:sz w:val="21"/>
                <w:szCs w:val="21"/>
                <w:highlight w:val="none"/>
                <w14:textFill>
                  <w14:solidFill>
                    <w14:schemeClr w14:val="tx1"/>
                  </w14:solidFill>
                </w14:textFill>
              </w:rPr>
              <w:t>22</w:t>
            </w:r>
          </w:p>
        </w:tc>
        <w:tc>
          <w:tcPr>
            <w:tcW w:w="4082" w:type="dxa"/>
            <w:tcBorders>
              <w:bottom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禁止新建、扩建不符合要求的高耗能、高排放、低水平项目。</w:t>
            </w:r>
          </w:p>
        </w:tc>
        <w:tc>
          <w:tcPr>
            <w:tcW w:w="2521" w:type="dxa"/>
            <w:tcBorders>
              <w:bottom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cs="Times New Roman"/>
                <w:color w:val="000000" w:themeColor="text1"/>
                <w:kern w:val="21"/>
                <w:sz w:val="21"/>
                <w:szCs w:val="21"/>
                <w:highlight w:val="none"/>
                <w:lang w:bidi="ar"/>
                <w14:textFill>
                  <w14:solidFill>
                    <w14:schemeClr w14:val="tx1"/>
                  </w14:solidFill>
                </w14:textFill>
              </w:rPr>
              <w:t>本项目不属于高耗能、高排放、低水平项目。</w:t>
            </w:r>
          </w:p>
        </w:tc>
        <w:tc>
          <w:tcPr>
            <w:tcW w:w="1012" w:type="dxa"/>
            <w:tcBorders>
              <w:bottom w:val="single" w:color="auto" w:sz="4" w:space="0"/>
              <w:right w:val="single" w:color="auto" w:sz="4" w:space="0"/>
              <w:tl2br w:val="nil"/>
              <w:tr2bl w:val="nil"/>
            </w:tcBorders>
            <w:vAlign w:val="center"/>
          </w:tcPr>
          <w:p>
            <w:pPr>
              <w:overflowPunct w:val="0"/>
              <w:adjustRightInd/>
              <w:spacing w:line="240" w:lineRule="auto"/>
              <w:ind w:firstLine="0" w:firstLineChars="0"/>
              <w:jc w:val="center"/>
              <w:rPr>
                <w:rFonts w:cs="Times New Roman"/>
                <w:color w:val="000000" w:themeColor="text1"/>
                <w:kern w:val="2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符合</w:t>
            </w:r>
          </w:p>
        </w:tc>
      </w:tr>
    </w:tbl>
    <w:p>
      <w:pPr>
        <w:autoSpaceDE w:val="0"/>
        <w:autoSpaceDN w:val="0"/>
        <w:spacing w:before="120" w:beforeLines="50"/>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由上表可知，本项目符合《四川省、重庆市长江经济带发展负面清单实施细则》（试行、</w:t>
      </w:r>
      <w:r>
        <w:rPr>
          <w:rFonts w:cs="Times New Roman"/>
          <w:color w:val="000000" w:themeColor="text1"/>
          <w:szCs w:val="24"/>
          <w:highlight w:val="none"/>
          <w14:textFill>
            <w14:solidFill>
              <w14:schemeClr w14:val="tx1"/>
            </w14:solidFill>
          </w14:textFill>
        </w:rPr>
        <w:t>2022</w:t>
      </w:r>
      <w:r>
        <w:rPr>
          <w:rFonts w:hint="eastAsia" w:cs="Times New Roman"/>
          <w:color w:val="000000" w:themeColor="text1"/>
          <w:szCs w:val="24"/>
          <w:highlight w:val="none"/>
          <w14:textFill>
            <w14:solidFill>
              <w14:schemeClr w14:val="tx1"/>
            </w14:solidFill>
          </w14:textFill>
        </w:rPr>
        <w:t>年版）（川长江办发〔</w:t>
      </w:r>
      <w:r>
        <w:rPr>
          <w:rFonts w:cs="Times New Roman"/>
          <w:color w:val="000000" w:themeColor="text1"/>
          <w:szCs w:val="24"/>
          <w:highlight w:val="none"/>
          <w14:textFill>
            <w14:solidFill>
              <w14:schemeClr w14:val="tx1"/>
            </w14:solidFill>
          </w14:textFill>
        </w:rPr>
        <w:t>2022</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17</w:t>
      </w:r>
      <w:r>
        <w:rPr>
          <w:rFonts w:hint="eastAsia" w:cs="Times New Roman"/>
          <w:color w:val="000000" w:themeColor="text1"/>
          <w:szCs w:val="24"/>
          <w:highlight w:val="none"/>
          <w14:textFill>
            <w14:solidFill>
              <w14:schemeClr w14:val="tx1"/>
            </w14:solidFill>
          </w14:textFill>
        </w:rPr>
        <w:t>号）的相关要求。</w:t>
      </w:r>
    </w:p>
    <w:p>
      <w:pPr>
        <w:autoSpaceDE w:val="0"/>
        <w:autoSpaceDN w:val="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综上，本项目位于达州市四川省达州市</w:t>
      </w:r>
      <w:r>
        <w:rPr>
          <w:rFonts w:hint="eastAsia" w:cs="Times New Roman"/>
          <w:color w:val="000000" w:themeColor="text1"/>
          <w:highlight w:val="none"/>
          <w14:textFill>
            <w14:solidFill>
              <w14:schemeClr w14:val="tx1"/>
            </w14:solidFill>
          </w14:textFill>
        </w:rPr>
        <w:t>宣汉县</w:t>
      </w:r>
      <w:r>
        <w:rPr>
          <w:rFonts w:hint="eastAsia" w:cs="Times New Roman"/>
          <w:color w:val="000000" w:themeColor="text1"/>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，查阅相关资料，项目建设区域不属于自然保护区、风景名胜区、饮用水源保护区以及生态保护红线范围等。项目为天然气钻探与试采项目，属于鼓励类项目</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项目的建设满足区域</w:t>
      </w:r>
      <w:r>
        <w:rPr>
          <w:rFonts w:ascii="宋体" w:hAnsi="宋体" w:cs="Times New Roman"/>
          <w:color w:val="000000" w:themeColor="text1"/>
          <w:szCs w:val="24"/>
          <w:highlight w:val="none"/>
          <w14:textFill>
            <w14:solidFill>
              <w14:schemeClr w14:val="tx1"/>
            </w14:solidFill>
          </w14:textFill>
        </w:rPr>
        <w:t>“三线一单”</w:t>
      </w:r>
      <w:r>
        <w:rPr>
          <w:rFonts w:cs="Times New Roman"/>
          <w:color w:val="000000" w:themeColor="text1"/>
          <w:szCs w:val="24"/>
          <w:highlight w:val="none"/>
          <w14:textFill>
            <w14:solidFill>
              <w14:schemeClr w14:val="tx1"/>
            </w14:solidFill>
          </w14:textFill>
        </w:rPr>
        <w:t>的环境管理要求。</w:t>
      </w:r>
    </w:p>
    <w:p>
      <w:pPr>
        <w:pStyle w:val="4"/>
        <w:spacing w:before="0" w:beforeLines="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项目周边饮用水水源地保护区符合性分析</w:t>
      </w:r>
    </w:p>
    <w:p>
      <w:pPr>
        <w:ind w:firstLine="482"/>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（1）项目与周边饮用水水源地保护区位置关系</w:t>
      </w:r>
    </w:p>
    <w:p>
      <w:pPr>
        <w:ind w:firstLine="480"/>
        <w:rPr>
          <w:color w:val="000000" w:themeColor="text1"/>
          <w:highlight w:val="none"/>
          <w14:textFill>
            <w14:solidFill>
              <w14:schemeClr w14:val="tx1"/>
            </w14:solidFill>
          </w14:textFill>
        </w:rPr>
      </w:pPr>
      <w:r>
        <w:rPr>
          <w:rFonts w:hint="eastAsia" w:cs="Times New Roman"/>
          <w:bCs/>
          <w:color w:val="000000" w:themeColor="text1"/>
          <w:kern w:val="0"/>
          <w:szCs w:val="24"/>
          <w:highlight w:val="none"/>
          <w14:textFill>
            <w14:solidFill>
              <w14:schemeClr w14:val="tx1"/>
            </w14:solidFill>
          </w14:textFill>
        </w:rPr>
        <w:t>通过与宣汉县饮用水源地保护区叠图，本项目距宣汉县最近的饮用水水源保护区为毛坝镇牛市河水源地，项目距毛坝镇牛市河水源地最近距离约为8.0km</w:t>
      </w:r>
      <w:r>
        <w:rPr>
          <w:rFonts w:hint="eastAsia" w:cs="Times New Roman"/>
          <w:color w:val="000000" w:themeColor="text1"/>
          <w:kern w:val="0"/>
          <w:szCs w:val="24"/>
          <w:highlight w:val="none"/>
          <w14:textFill>
            <w14:solidFill>
              <w14:schemeClr w14:val="tx1"/>
            </w14:solidFill>
          </w14:textFill>
        </w:rPr>
        <w:t>。</w:t>
      </w:r>
    </w:p>
    <w:p>
      <w:pPr>
        <w:ind w:firstLine="482"/>
        <w:jc w:val="center"/>
        <w:rPr>
          <w:rFonts w:hint="eastAsia"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w:t>
      </w:r>
    </w:p>
    <w:p>
      <w:pPr>
        <w:ind w:firstLine="482"/>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（2）项目与《达州市饮用水水源地保护区管理条例》符合性分析</w:t>
      </w:r>
    </w:p>
    <w:p>
      <w:pPr>
        <w:autoSpaceDE w:val="0"/>
        <w:autoSpaceDN w:val="0"/>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w:t>
      </w:r>
      <w:r>
        <w:rPr>
          <w:rFonts w:hint="eastAsia" w:cs="Times New Roman"/>
          <w:bCs/>
          <w:color w:val="000000" w:themeColor="text1"/>
          <w:szCs w:val="24"/>
          <w:highlight w:val="none"/>
          <w14:textFill>
            <w14:solidFill>
              <w14:schemeClr w14:val="tx1"/>
            </w14:solidFill>
          </w14:textFill>
        </w:rPr>
        <w:t>2020年3月31日四川省第十三届人民代表大会常务委员会第十七次会议批准的《关于修改〈达州市集中式饮用水水源保护管理条例〉的决定》修正）（2020年4月2日施行），</w:t>
      </w:r>
      <w:r>
        <w:rPr>
          <w:rFonts w:cs="Times New Roman"/>
          <w:bCs/>
          <w:color w:val="000000" w:themeColor="text1"/>
          <w:szCs w:val="24"/>
          <w:highlight w:val="none"/>
          <w14:textFill>
            <w14:solidFill>
              <w14:schemeClr w14:val="tx1"/>
            </w14:solidFill>
          </w14:textFill>
        </w:rPr>
        <w:t>本项目与其符合性分析如下：</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与《达州市饮用水水源地保护区管理条例》符合性分析</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35"/>
        <w:gridCol w:w="3757"/>
        <w:gridCol w:w="3030"/>
        <w:gridCol w:w="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2" w:hRule="atLeast"/>
          <w:tblHeader/>
          <w:jc w:val="center"/>
        </w:trPr>
        <w:tc>
          <w:tcPr>
            <w:tcW w:w="32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228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条例管理要求</w:t>
            </w:r>
          </w:p>
        </w:tc>
        <w:tc>
          <w:tcPr>
            <w:tcW w:w="184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项目内容</w:t>
            </w:r>
          </w:p>
        </w:tc>
        <w:tc>
          <w:tcPr>
            <w:tcW w:w="54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Align w:val="center"/>
          </w:tcPr>
          <w:p>
            <w:pPr>
              <w:pStyle w:val="297"/>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第十八条</w:t>
            </w: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集中式饮用水水源保护区内，禁止设置排污口。</w:t>
            </w:r>
          </w:p>
        </w:tc>
        <w:tc>
          <w:tcPr>
            <w:tcW w:w="1843"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本项目各类废水均依托处置，不设置排污口</w:t>
            </w:r>
            <w:r>
              <w:rPr>
                <w:rFonts w:hint="eastAsia"/>
                <w:color w:val="000000" w:themeColor="text1"/>
                <w:highlight w:val="none"/>
                <w14:textFill>
                  <w14:solidFill>
                    <w14:schemeClr w14:val="tx1"/>
                  </w14:solidFill>
                </w14:textFill>
              </w:rPr>
              <w:t>。</w:t>
            </w: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第十九条</w:t>
            </w:r>
          </w:p>
        </w:tc>
        <w:tc>
          <w:tcPr>
            <w:tcW w:w="4674" w:type="pct"/>
            <w:gridSpan w:val="3"/>
            <w:vAlign w:val="center"/>
          </w:tcPr>
          <w:p>
            <w:pPr>
              <w:pStyle w:val="297"/>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集中式地表水饮用水水源准保护区内，应当遵守下列规定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（一）禁止新建、扩建造纸、制革、印染、染料、炼焦、炼砷、炼油、电镀、农药、化工、冶炼等对水体污染严重的建设项目；改建建设项目，不得增加排污量；</w:t>
            </w:r>
          </w:p>
        </w:tc>
        <w:tc>
          <w:tcPr>
            <w:tcW w:w="1843"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本项目选址选线位于地表水</w:t>
            </w:r>
            <w:r>
              <w:rPr>
                <w:color w:val="000000" w:themeColor="text1"/>
                <w:highlight w:val="none"/>
                <w:shd w:val="clear" w:color="auto" w:fill="FFFFFF"/>
                <w14:textFill>
                  <w14:solidFill>
                    <w14:schemeClr w14:val="tx1"/>
                  </w14:solidFill>
                </w14:textFill>
              </w:rPr>
              <w:t>饮用水水源准保护区外，不涉及违反上述规定</w:t>
            </w:r>
            <w:r>
              <w:rPr>
                <w:rFonts w:hint="eastAsia"/>
                <w:color w:val="000000" w:themeColor="text1"/>
                <w:highlight w:val="none"/>
                <w:shd w:val="clear" w:color="auto" w:fill="FFFFFF"/>
                <w14:textFill>
                  <w14:solidFill>
                    <w14:schemeClr w14:val="tx1"/>
                  </w14:solidFill>
                </w14:textFill>
              </w:rPr>
              <w:t>。</w:t>
            </w: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（二）禁止设置易溶性、有毒有害废弃物和危险废物的暂存和转运场所；禁止设置生活垃圾和工业固体废物的处置场所，生活垃圾转运站和工业固体废物暂存场所应当设置防护设施；</w:t>
            </w:r>
          </w:p>
        </w:tc>
        <w:tc>
          <w:tcPr>
            <w:tcW w:w="1843" w:type="pct"/>
            <w:vMerge w:val="continue"/>
            <w:vAlign w:val="center"/>
          </w:tcPr>
          <w:p>
            <w:pPr>
              <w:pStyle w:val="297"/>
              <w:rPr>
                <w:color w:val="000000" w:themeColor="text1"/>
                <w:highlight w:val="none"/>
                <w14:textFill>
                  <w14:solidFill>
                    <w14:schemeClr w14:val="tx1"/>
                  </w14:solidFill>
                </w14:textFill>
              </w:rPr>
            </w:pP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（三）禁止进行可能影响饮用水水源水质的天然气、石灰石、盐卤等矿产勘查、开采等活动；</w:t>
            </w:r>
          </w:p>
        </w:tc>
        <w:tc>
          <w:tcPr>
            <w:tcW w:w="1843" w:type="pct"/>
            <w:vMerge w:val="continue"/>
            <w:vAlign w:val="center"/>
          </w:tcPr>
          <w:p>
            <w:pPr>
              <w:pStyle w:val="297"/>
              <w:rPr>
                <w:color w:val="000000" w:themeColor="text1"/>
                <w:highlight w:val="none"/>
                <w14:textFill>
                  <w14:solidFill>
                    <w14:schemeClr w14:val="tx1"/>
                  </w14:solidFill>
                </w14:textFill>
              </w:rPr>
            </w:pP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（四）法律、法规禁止的其他行为。</w:t>
            </w:r>
          </w:p>
        </w:tc>
        <w:tc>
          <w:tcPr>
            <w:tcW w:w="1843" w:type="pct"/>
            <w:vMerge w:val="continue"/>
            <w:vAlign w:val="center"/>
          </w:tcPr>
          <w:p>
            <w:pPr>
              <w:pStyle w:val="297"/>
              <w:rPr>
                <w:color w:val="000000" w:themeColor="text1"/>
                <w:highlight w:val="none"/>
                <w14:textFill>
                  <w14:solidFill>
                    <w14:schemeClr w14:val="tx1"/>
                  </w14:solidFill>
                </w14:textFill>
              </w:rPr>
            </w:pP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第二十条</w:t>
            </w:r>
          </w:p>
        </w:tc>
        <w:tc>
          <w:tcPr>
            <w:tcW w:w="4674" w:type="pct"/>
            <w:gridSpan w:val="3"/>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集中式地表水饮用水水源二级保护区内，应当遵守下列规定</w:t>
            </w:r>
            <w:r>
              <w:rPr>
                <w:rFonts w:hint="eastAsia"/>
                <w:color w:val="000000" w:themeColor="text1"/>
                <w:highlight w:val="none"/>
                <w:shd w:val="clear" w:color="auto" w:fill="FFFFFF"/>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一）禁止新建、改建、扩建排放污染物的建设项目（含排污口不在保护区的建设项目）；已建成的排放污染物的建设项目，由市、县级人民政府责令限期拆除或者关闭；饮用水水源二级保护区内已存在的乡镇（居民聚居点）可以建设生活污水集中处理设施，生活污水经集中处理后排到水源保护区外；</w:t>
            </w:r>
          </w:p>
        </w:tc>
        <w:tc>
          <w:tcPr>
            <w:tcW w:w="1843" w:type="pct"/>
            <w:vMerge w:val="restar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本项目选址选线位于地表水</w:t>
            </w:r>
            <w:r>
              <w:rPr>
                <w:color w:val="000000" w:themeColor="text1"/>
                <w:highlight w:val="none"/>
                <w:shd w:val="clear" w:color="auto" w:fill="FFFFFF"/>
                <w14:textFill>
                  <w14:solidFill>
                    <w14:schemeClr w14:val="tx1"/>
                  </w14:solidFill>
                </w14:textFill>
              </w:rPr>
              <w:t>饮用水水源二级保护区外，不涉及违反上述规定</w:t>
            </w:r>
            <w:r>
              <w:rPr>
                <w:rFonts w:hint="eastAsia"/>
                <w:color w:val="000000" w:themeColor="text1"/>
                <w:highlight w:val="none"/>
                <w:shd w:val="clear" w:color="auto" w:fill="FFFFFF"/>
                <w14:textFill>
                  <w14:solidFill>
                    <w14:schemeClr w14:val="tx1"/>
                  </w14:solidFill>
                </w14:textFill>
              </w:rPr>
              <w:t>。</w:t>
            </w: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（二）禁止从事经营性取土和采石（砂）等活动；</w:t>
            </w:r>
          </w:p>
        </w:tc>
        <w:tc>
          <w:tcPr>
            <w:tcW w:w="1843" w:type="pct"/>
            <w:vMerge w:val="continue"/>
            <w:vAlign w:val="center"/>
          </w:tcPr>
          <w:p>
            <w:pPr>
              <w:pStyle w:val="297"/>
              <w:jc w:val="left"/>
              <w:rPr>
                <w:color w:val="000000" w:themeColor="text1"/>
                <w:highlight w:val="none"/>
                <w14:textFill>
                  <w14:solidFill>
                    <w14:schemeClr w14:val="tx1"/>
                  </w14:solidFill>
                </w14:textFill>
              </w:rPr>
            </w:pP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（三）禁止设置畜禽养殖场、养殖小区；</w:t>
            </w:r>
          </w:p>
        </w:tc>
        <w:tc>
          <w:tcPr>
            <w:tcW w:w="1843" w:type="pct"/>
            <w:vMerge w:val="continue"/>
            <w:vAlign w:val="center"/>
          </w:tcPr>
          <w:p>
            <w:pPr>
              <w:pStyle w:val="297"/>
              <w:jc w:val="left"/>
              <w:rPr>
                <w:color w:val="000000" w:themeColor="text1"/>
                <w:highlight w:val="none"/>
                <w14:textFill>
                  <w14:solidFill>
                    <w14:schemeClr w14:val="tx1"/>
                  </w14:solidFill>
                </w14:textFill>
              </w:rPr>
            </w:pP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（四）禁止从事网箱养殖、施肥养鱼、超标准养殖、投放暂存鱼、电鱼、炸鱼、毒鱼等污染饮用水水体的活动；</w:t>
            </w:r>
          </w:p>
        </w:tc>
        <w:tc>
          <w:tcPr>
            <w:tcW w:w="1843" w:type="pct"/>
            <w:vMerge w:val="continue"/>
            <w:vAlign w:val="center"/>
          </w:tcPr>
          <w:p>
            <w:pPr>
              <w:pStyle w:val="297"/>
              <w:jc w:val="left"/>
              <w:rPr>
                <w:color w:val="000000" w:themeColor="text1"/>
                <w:highlight w:val="none"/>
                <w14:textFill>
                  <w14:solidFill>
                    <w14:schemeClr w14:val="tx1"/>
                  </w14:solidFill>
                </w14:textFill>
              </w:rPr>
            </w:pP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（五）禁止使用农药；禁止丢弃农药、农药包装物或者清洗施药器械；限制使用化肥；</w:t>
            </w:r>
          </w:p>
        </w:tc>
        <w:tc>
          <w:tcPr>
            <w:tcW w:w="1843" w:type="pct"/>
            <w:vMerge w:val="continue"/>
            <w:vAlign w:val="center"/>
          </w:tcPr>
          <w:p>
            <w:pPr>
              <w:pStyle w:val="297"/>
              <w:jc w:val="left"/>
              <w:rPr>
                <w:color w:val="000000" w:themeColor="text1"/>
                <w:highlight w:val="none"/>
                <w14:textFill>
                  <w14:solidFill>
                    <w14:schemeClr w14:val="tx1"/>
                  </w14:solidFill>
                </w14:textFill>
              </w:rPr>
            </w:pP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（六）法律、法规和本条例第十九条禁止的其他行为。</w:t>
            </w:r>
          </w:p>
        </w:tc>
        <w:tc>
          <w:tcPr>
            <w:tcW w:w="1843" w:type="pct"/>
            <w:vMerge w:val="continue"/>
            <w:vAlign w:val="center"/>
          </w:tcPr>
          <w:p>
            <w:pPr>
              <w:pStyle w:val="297"/>
              <w:jc w:val="left"/>
              <w:rPr>
                <w:color w:val="000000" w:themeColor="text1"/>
                <w:highlight w:val="none"/>
                <w14:textFill>
                  <w14:solidFill>
                    <w14:schemeClr w14:val="tx1"/>
                  </w14:solidFill>
                </w14:textFill>
              </w:rPr>
            </w:pP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第二十一条</w:t>
            </w:r>
          </w:p>
        </w:tc>
        <w:tc>
          <w:tcPr>
            <w:tcW w:w="4674" w:type="pct"/>
            <w:gridSpan w:val="3"/>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中式地表水饮用水水源一级保护区内，应当遵守下列规定：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（一）禁止从事餐饮、旅游、游泳、垂钓或者其他可能污染水体的活动；</w:t>
            </w:r>
          </w:p>
        </w:tc>
        <w:tc>
          <w:tcPr>
            <w:tcW w:w="1843" w:type="pct"/>
            <w:vMerge w:val="restar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本项目选址选线位于地表水</w:t>
            </w:r>
            <w:r>
              <w:rPr>
                <w:color w:val="000000" w:themeColor="text1"/>
                <w:highlight w:val="none"/>
                <w:shd w:val="clear" w:color="auto" w:fill="FFFFFF"/>
                <w14:textFill>
                  <w14:solidFill>
                    <w14:schemeClr w14:val="tx1"/>
                  </w14:solidFill>
                </w14:textFill>
              </w:rPr>
              <w:t>饮用水水源一级保护区外，不涉及违反上述规定</w:t>
            </w:r>
            <w:r>
              <w:rPr>
                <w:rFonts w:hint="eastAsia"/>
                <w:color w:val="000000" w:themeColor="text1"/>
                <w:highlight w:val="none"/>
                <w:shd w:val="clear" w:color="auto" w:fill="FFFFFF"/>
                <w14:textFill>
                  <w14:solidFill>
                    <w14:schemeClr w14:val="tx1"/>
                  </w14:solidFill>
                </w14:textFill>
              </w:rPr>
              <w:t>。</w:t>
            </w: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26" w:type="pct"/>
            <w:vMerge w:val="continue"/>
            <w:vAlign w:val="center"/>
          </w:tcPr>
          <w:p>
            <w:pPr>
              <w:pStyle w:val="297"/>
              <w:rPr>
                <w:color w:val="000000" w:themeColor="text1"/>
                <w:highlight w:val="none"/>
                <w14:textFill>
                  <w14:solidFill>
                    <w14:schemeClr w14:val="tx1"/>
                  </w14:solidFill>
                </w14:textFill>
              </w:rPr>
            </w:pPr>
          </w:p>
        </w:tc>
        <w:tc>
          <w:tcPr>
            <w:tcW w:w="228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shd w:val="clear" w:color="auto" w:fill="FFFFFF"/>
                <w14:textFill>
                  <w14:solidFill>
                    <w14:schemeClr w14:val="tx1"/>
                  </w14:solidFill>
                </w14:textFill>
              </w:rPr>
              <w:t>（二）法律、法规和本条例第十九条、第二十条禁止的行为。</w:t>
            </w:r>
          </w:p>
        </w:tc>
        <w:tc>
          <w:tcPr>
            <w:tcW w:w="1843" w:type="pct"/>
            <w:vMerge w:val="continue"/>
            <w:vAlign w:val="center"/>
          </w:tcPr>
          <w:p>
            <w:pPr>
              <w:pStyle w:val="297"/>
              <w:rPr>
                <w:color w:val="000000" w:themeColor="text1"/>
                <w:highlight w:val="none"/>
                <w14:textFill>
                  <w14:solidFill>
                    <w14:schemeClr w14:val="tx1"/>
                  </w14:solidFill>
                </w14:textFill>
              </w:rPr>
            </w:pPr>
          </w:p>
        </w:tc>
        <w:tc>
          <w:tcPr>
            <w:tcW w:w="54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w:t>
            </w:r>
          </w:p>
        </w:tc>
      </w:tr>
    </w:tbl>
    <w:p>
      <w:pPr>
        <w:pStyle w:val="21"/>
        <w:tabs>
          <w:tab w:val="left" w:pos="3864"/>
        </w:tabs>
        <w:spacing w:before="120" w:beforeLines="50"/>
        <w:ind w:left="0" w:firstLine="480"/>
        <w:rPr>
          <w:rFonts w:ascii="Times New Roman" w:hAnsi="Times New Roman"/>
          <w:bCs/>
          <w:color w:val="000000" w:themeColor="text1"/>
          <w:kern w:val="2"/>
          <w:highlight w:val="none"/>
          <w:lang w:eastAsia="zh-CN"/>
          <w14:textFill>
            <w14:solidFill>
              <w14:schemeClr w14:val="tx1"/>
            </w14:solidFill>
          </w14:textFill>
        </w:rPr>
      </w:pPr>
      <w:r>
        <w:rPr>
          <w:rFonts w:hint="eastAsia" w:ascii="Times New Roman" w:hAnsi="Times New Roman"/>
          <w:bCs/>
          <w:color w:val="000000" w:themeColor="text1"/>
          <w:kern w:val="2"/>
          <w:highlight w:val="none"/>
          <w:lang w:eastAsia="zh-CN"/>
          <w14:textFill>
            <w14:solidFill>
              <w14:schemeClr w14:val="tx1"/>
            </w14:solidFill>
          </w14:textFill>
        </w:rPr>
        <w:t>综上所述，本项目选址均不涉及达州市集中式饮用水水源各级保护区，本项目的建设与《达州市饮用水水源地保护区管理条例》相符合。</w:t>
      </w:r>
    </w:p>
    <w:p>
      <w:pPr>
        <w:pStyle w:val="3"/>
        <w:spacing w:before="120"/>
        <w:rPr>
          <w:color w:val="000000" w:themeColor="text1"/>
          <w:sz w:val="26"/>
          <w:szCs w:val="26"/>
          <w:highlight w:val="none"/>
          <w:lang w:eastAsia="zh-CN"/>
          <w14:textFill>
            <w14:solidFill>
              <w14:schemeClr w14:val="tx1"/>
            </w14:solidFill>
          </w14:textFill>
        </w:rPr>
      </w:pPr>
      <w:bookmarkStart w:id="97" w:name="_Toc16080"/>
      <w:r>
        <w:rPr>
          <w:color w:val="000000" w:themeColor="text1"/>
          <w:highlight w:val="none"/>
          <w:lang w:eastAsia="zh-CN"/>
          <w14:textFill>
            <w14:solidFill>
              <w14:schemeClr w14:val="tx1"/>
            </w14:solidFill>
          </w14:textFill>
        </w:rPr>
        <w:t>评价内容及时段</w:t>
      </w:r>
      <w:bookmarkEnd w:id="97"/>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1、评价内容</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（1）分析本项目建设方案与相关法律法规、环境经济技术政策、产业政策以及相关规划的协调性；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）运用现状监测与资料收集等手段，对项目所在区域进行环境质量回顾性评价，分析环境空气、地表水、地下水、土壤、声环境等环境质量变化趋势；</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3</w:t>
      </w:r>
      <w:r>
        <w:rPr>
          <w:rFonts w:cs="Times New Roman"/>
          <w:bCs/>
          <w:color w:val="000000" w:themeColor="text1"/>
          <w:szCs w:val="24"/>
          <w:highlight w:val="none"/>
          <w14:textFill>
            <w14:solidFill>
              <w14:schemeClr w14:val="tx1"/>
            </w14:solidFill>
          </w14:textFill>
        </w:rPr>
        <w:t>）对可能会对区域内的环境空气、地表水环境、地下水环境、声环境、土壤环境、生态环境等带来的环境污染影响和环境风险影响进行全面深入的分析、预测和评价，同时结合项目选址的合理性，论证产能建设项目的环境可行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4</w:t>
      </w:r>
      <w:r>
        <w:rPr>
          <w:rFonts w:cs="Times New Roman"/>
          <w:bCs/>
          <w:color w:val="000000" w:themeColor="text1"/>
          <w:szCs w:val="24"/>
          <w:highlight w:val="none"/>
          <w14:textFill>
            <w14:solidFill>
              <w14:schemeClr w14:val="tx1"/>
            </w14:solidFill>
          </w14:textFill>
        </w:rPr>
        <w:t>）调查项目依托环保基础设施现状，说明污水处理设施、回注井等设施的建设地点、规模、服务范围以及运行现状，分析评价依托处置规模合理性，工艺可行性，环保设施可依托性等，论证项目的可依托性；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5</w:t>
      </w:r>
      <w:r>
        <w:rPr>
          <w:rFonts w:cs="Times New Roman"/>
          <w:bCs/>
          <w:color w:val="000000" w:themeColor="text1"/>
          <w:szCs w:val="24"/>
          <w:highlight w:val="none"/>
          <w14:textFill>
            <w14:solidFill>
              <w14:schemeClr w14:val="tx1"/>
            </w14:solidFill>
          </w14:textFill>
        </w:rPr>
        <w:t>）从天然气开发活动是否突破当地生态保护红线、环境质量底线、资源利用上线和生态环境准入清单，从环境保护角度分析建设项目区域环境的可承载性。</w:t>
      </w:r>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2、评价重点</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（1）分析本项目建设方案与相关政策、法规、规划在资源利用、环境保护要求等方面的符合性。</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调查识别区域环境敏感区和重点生态功能区等环境保护目标的分布情况及保护要求，分析资源利用和保护中存在的问题，评价区域环境质量状况，评价生态系统的组成、结构与功能状况、变化趋势和存在的主要环境问题，提出本项目建设的资源与环境制约因素。</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（3）本项目天然气</w:t>
      </w:r>
      <w:r>
        <w:rPr>
          <w:rFonts w:hint="eastAsia" w:cs="Times New Roman"/>
          <w:bCs/>
          <w:color w:val="000000" w:themeColor="text1"/>
          <w:szCs w:val="24"/>
          <w:highlight w:val="none"/>
          <w14:textFill>
            <w14:solidFill>
              <w14:schemeClr w14:val="tx1"/>
            </w14:solidFill>
          </w14:textFill>
        </w:rPr>
        <w:t>勘探及</w:t>
      </w:r>
      <w:r>
        <w:rPr>
          <w:rFonts w:cs="Times New Roman"/>
          <w:bCs/>
          <w:color w:val="000000" w:themeColor="text1"/>
          <w:szCs w:val="24"/>
          <w:highlight w:val="none"/>
          <w14:textFill>
            <w14:solidFill>
              <w14:schemeClr w14:val="tx1"/>
            </w14:solidFill>
          </w14:textFill>
        </w:rPr>
        <w:t>试采对区域环境质量的影响，对区域生态系统完整性所造成的影响，对主要环境敏感区和重点生态功能区等环境保护目标的影响性质与程度。</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（4）分析评价区域资源与环境承载能力对本项目天然气开发的支撑状况，综合论证建设方案的环境合理性，提出项目建设方案优化调整建议。</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（5）以</w:t>
      </w:r>
      <w:r>
        <w:rPr>
          <w:rFonts w:ascii="宋体" w:hAnsi="宋体" w:cs="Times New Roman"/>
          <w:bCs/>
          <w:color w:val="000000" w:themeColor="text1"/>
          <w:szCs w:val="24"/>
          <w:highlight w:val="none"/>
          <w14:textFill>
            <w14:solidFill>
              <w14:schemeClr w14:val="tx1"/>
            </w14:solidFill>
          </w14:textFill>
        </w:rPr>
        <w:t>“三线一单”</w:t>
      </w:r>
      <w:r>
        <w:rPr>
          <w:rFonts w:cs="Times New Roman"/>
          <w:bCs/>
          <w:color w:val="000000" w:themeColor="text1"/>
          <w:szCs w:val="24"/>
          <w:highlight w:val="none"/>
          <w14:textFill>
            <w14:solidFill>
              <w14:schemeClr w14:val="tx1"/>
            </w14:solidFill>
          </w14:textFill>
        </w:rPr>
        <w:t>（生态保护红线、环境质量底线、资源利用上线和环境准入负面清单）为手段，强化空间、准入环境管理和总量控制。</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（6）提出预防或者减轻不良环境影响的对策和措施。</w:t>
      </w:r>
    </w:p>
    <w:p>
      <w:pPr>
        <w:tabs>
          <w:tab w:val="left" w:pos="0"/>
        </w:tabs>
        <w:ind w:firstLine="480"/>
        <w:rPr>
          <w:rFonts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3、评价时段</w:t>
      </w:r>
    </w:p>
    <w:p>
      <w:pPr>
        <w:tabs>
          <w:tab w:val="left" w:pos="0"/>
        </w:tabs>
        <w:ind w:firstLine="480"/>
        <w:rPr>
          <w:rFonts w:cs="Times New Roman"/>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 陆地石油天然气开发建设项目》（HJ/T349-2023）中的有关规定，本次评价时段分施工期、运行期（试采期）和退役期三个时段来开展环境影响评价。</w:t>
      </w:r>
    </w:p>
    <w:p>
      <w:pPr>
        <w:pStyle w:val="3"/>
        <w:spacing w:before="120"/>
        <w:rPr>
          <w:color w:val="000000" w:themeColor="text1"/>
          <w:highlight w:val="none"/>
          <w:lang w:eastAsia="zh-CN"/>
          <w14:textFill>
            <w14:solidFill>
              <w14:schemeClr w14:val="tx1"/>
            </w14:solidFill>
          </w14:textFill>
        </w:rPr>
      </w:pPr>
      <w:bookmarkStart w:id="98" w:name="_Toc7555"/>
      <w:r>
        <w:rPr>
          <w:color w:val="000000" w:themeColor="text1"/>
          <w:highlight w:val="none"/>
          <w:lang w:eastAsia="zh-CN"/>
          <w14:textFill>
            <w14:solidFill>
              <w14:schemeClr w14:val="tx1"/>
            </w14:solidFill>
          </w14:textFill>
        </w:rPr>
        <w:t>环境保护目标</w:t>
      </w:r>
      <w:bookmarkEnd w:id="98"/>
    </w:p>
    <w:p>
      <w:pPr>
        <w:pStyle w:val="4"/>
        <w:spacing w:before="0" w:beforeLines="0"/>
        <w:ind w:firstLine="480"/>
        <w:rPr>
          <w:b/>
          <w:color w:val="000000" w:themeColor="text1"/>
          <w:highlight w:val="none"/>
          <w:lang w:eastAsia="zh-CN"/>
          <w14:textFill>
            <w14:solidFill>
              <w14:schemeClr w14:val="tx1"/>
            </w14:solidFill>
          </w14:textFill>
        </w:rPr>
      </w:pPr>
      <w:bookmarkStart w:id="99" w:name="_Toc120173085"/>
      <w:r>
        <w:rPr>
          <w:color w:val="000000" w:themeColor="text1"/>
          <w:highlight w:val="none"/>
          <w:lang w:eastAsia="zh-CN"/>
          <w14:textFill>
            <w14:solidFill>
              <w14:schemeClr w14:val="tx1"/>
            </w14:solidFill>
          </w14:textFill>
        </w:rPr>
        <w:t>外环境关系</w:t>
      </w:r>
      <w:bookmarkEnd w:id="99"/>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1、</w:t>
      </w:r>
      <w:r>
        <w:rPr>
          <w:rFonts w:hint="eastAsia" w:eastAsia="黑体" w:cs="Times New Roman"/>
          <w:bCs/>
          <w:color w:val="000000" w:themeColor="text1"/>
          <w:szCs w:val="24"/>
          <w:highlight w:val="none"/>
          <w14:textFill>
            <w14:solidFill>
              <w14:schemeClr w14:val="tx1"/>
            </w14:solidFill>
          </w14:textFill>
        </w:rPr>
        <w:t>拟建</w:t>
      </w:r>
      <w:r>
        <w:rPr>
          <w:rFonts w:eastAsia="黑体" w:cs="Times New Roman"/>
          <w:bCs/>
          <w:color w:val="000000" w:themeColor="text1"/>
          <w:szCs w:val="24"/>
          <w:highlight w:val="none"/>
          <w14:textFill>
            <w14:solidFill>
              <w14:schemeClr w14:val="tx1"/>
            </w14:solidFill>
          </w14:textFill>
        </w:rPr>
        <w:t>井场外环境简况</w:t>
      </w:r>
    </w:p>
    <w:p>
      <w:pPr>
        <w:tabs>
          <w:tab w:val="left" w:pos="5812"/>
        </w:tabs>
        <w:adjustRightInd/>
        <w:snapToGrid/>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highlight w:val="none"/>
          <w14:textFill>
            <w14:solidFill>
              <w14:schemeClr w14:val="tx1"/>
            </w14:solidFill>
          </w14:textFill>
        </w:rPr>
        <w:t>本项目</w:t>
      </w:r>
      <w:r>
        <w:rPr>
          <w:rFonts w:hint="eastAsia" w:cs="Times New Roman"/>
          <w:color w:val="000000" w:themeColor="text1"/>
          <w:kern w:val="0"/>
          <w:highlight w:val="none"/>
          <w14:textFill>
            <w14:solidFill>
              <w14:schemeClr w14:val="tx1"/>
            </w14:solidFill>
          </w14:textFill>
        </w:rPr>
        <w:t>试采站位于四川省宣汉县</w:t>
      </w:r>
      <w:r>
        <w:rPr>
          <w:rFonts w:hint="eastAsia" w:cs="Times New Roman"/>
          <w:color w:val="000000" w:themeColor="text1"/>
          <w:kern w:val="0"/>
          <w:highlight w:val="none"/>
          <w:lang w:eastAsia="zh-CN"/>
          <w14:textFill>
            <w14:solidFill>
              <w14:schemeClr w14:val="tx1"/>
            </w14:solidFill>
          </w14:textFill>
        </w:rPr>
        <w:t>***</w:t>
      </w:r>
      <w:r>
        <w:rPr>
          <w:rFonts w:cs="Times New Roman"/>
          <w:color w:val="000000" w:themeColor="text1"/>
          <w:kern w:val="0"/>
          <w:highlight w:val="none"/>
          <w14:textFill>
            <w14:solidFill>
              <w14:schemeClr w14:val="tx1"/>
            </w14:solidFill>
          </w14:textFill>
        </w:rPr>
        <w:t>，</w:t>
      </w:r>
      <w:r>
        <w:rPr>
          <w:rFonts w:cs="Times New Roman"/>
          <w:color w:val="000000" w:themeColor="text1"/>
          <w:kern w:val="0"/>
          <w:szCs w:val="20"/>
          <w:highlight w:val="none"/>
          <w14:textFill>
            <w14:solidFill>
              <w14:schemeClr w14:val="tx1"/>
            </w14:solidFill>
          </w14:textFill>
        </w:rPr>
        <w:t>项目所在地属于农村环境，</w:t>
      </w:r>
      <w:r>
        <w:rPr>
          <w:rFonts w:hint="eastAsia" w:cs="Times New Roman"/>
          <w:color w:val="000000" w:themeColor="text1"/>
          <w:kern w:val="0"/>
          <w:szCs w:val="20"/>
          <w:highlight w:val="none"/>
          <w14:textFill>
            <w14:solidFill>
              <w14:schemeClr w14:val="tx1"/>
            </w14:solidFill>
          </w14:textFill>
        </w:rPr>
        <w:t>外环境关系简单，本项目周边</w:t>
      </w:r>
      <w:r>
        <w:rPr>
          <w:rFonts w:cs="Times New Roman"/>
          <w:color w:val="000000" w:themeColor="text1"/>
          <w:kern w:val="0"/>
          <w:szCs w:val="20"/>
          <w:highlight w:val="none"/>
          <w14:textFill>
            <w14:solidFill>
              <w14:schemeClr w14:val="tx1"/>
            </w14:solidFill>
          </w14:textFill>
        </w:rPr>
        <w:t>主要</w:t>
      </w:r>
      <w:r>
        <w:rPr>
          <w:rFonts w:hint="eastAsia" w:cs="Times New Roman"/>
          <w:color w:val="000000" w:themeColor="text1"/>
          <w:kern w:val="0"/>
          <w:szCs w:val="20"/>
          <w:highlight w:val="none"/>
          <w14:textFill>
            <w14:solidFill>
              <w14:schemeClr w14:val="tx1"/>
            </w14:solidFill>
          </w14:textFill>
        </w:rPr>
        <w:t>零散</w:t>
      </w:r>
      <w:r>
        <w:rPr>
          <w:rFonts w:cs="Times New Roman"/>
          <w:color w:val="000000" w:themeColor="text1"/>
          <w:kern w:val="0"/>
          <w:szCs w:val="20"/>
          <w:highlight w:val="none"/>
          <w14:textFill>
            <w14:solidFill>
              <w14:schemeClr w14:val="tx1"/>
            </w14:solidFill>
          </w14:textFill>
        </w:rPr>
        <w:t>分布有农村居民等环境敏感目标</w:t>
      </w:r>
      <w:r>
        <w:rPr>
          <w:rFonts w:hint="eastAsia" w:cs="Times New Roman"/>
          <w:color w:val="000000" w:themeColor="text1"/>
          <w:kern w:val="0"/>
          <w:szCs w:val="20"/>
          <w:highlight w:val="none"/>
          <w:lang w:eastAsia="zh-CN"/>
          <w14:textFill>
            <w14:solidFill>
              <w14:schemeClr w14:val="tx1"/>
            </w14:solidFill>
          </w14:textFill>
        </w:rPr>
        <w:t>，</w:t>
      </w:r>
      <w:r>
        <w:rPr>
          <w:rFonts w:hint="eastAsia" w:cs="Times New Roman"/>
          <w:color w:val="000000" w:themeColor="text1"/>
          <w:kern w:val="0"/>
          <w:szCs w:val="20"/>
          <w:highlight w:val="none"/>
          <w:lang w:val="en-US" w:eastAsia="zh-CN"/>
          <w14:textFill>
            <w14:solidFill>
              <w14:schemeClr w14:val="tx1"/>
            </w14:solidFill>
          </w14:textFill>
        </w:rPr>
        <w:t>井口500m范围内无居民分布</w:t>
      </w:r>
      <w:r>
        <w:rPr>
          <w:rFonts w:hint="eastAsia" w:cs="Times New Roman"/>
          <w:color w:val="000000" w:themeColor="text1"/>
          <w:kern w:val="0"/>
          <w:szCs w:val="20"/>
          <w:highlight w:val="none"/>
          <w:lang w:eastAsia="zh-CN"/>
          <w14:textFill>
            <w14:solidFill>
              <w14:schemeClr w14:val="tx1"/>
            </w14:solidFill>
          </w14:textFill>
        </w:rPr>
        <w:t>；</w:t>
      </w:r>
      <w:r>
        <w:rPr>
          <w:rFonts w:hint="eastAsia" w:cs="Times New Roman"/>
          <w:color w:val="000000" w:themeColor="text1"/>
          <w:kern w:val="0"/>
          <w:szCs w:val="20"/>
          <w:highlight w:val="none"/>
          <w14:textFill>
            <w14:solidFill>
              <w14:schemeClr w14:val="tx1"/>
            </w14:solidFill>
          </w14:textFill>
        </w:rPr>
        <w:t>输气线路较短，200m范围内无居民分布</w:t>
      </w:r>
      <w:r>
        <w:rPr>
          <w:rFonts w:cs="Times New Roman"/>
          <w:color w:val="000000" w:themeColor="text1"/>
          <w:kern w:val="0"/>
          <w:szCs w:val="20"/>
          <w:highlight w:val="none"/>
          <w14:textFill>
            <w14:solidFill>
              <w14:schemeClr w14:val="tx1"/>
            </w14:solidFill>
          </w14:textFill>
        </w:rPr>
        <w:t>；项目</w:t>
      </w:r>
      <w:r>
        <w:rPr>
          <w:rFonts w:hint="eastAsia" w:cs="Times New Roman"/>
          <w:color w:val="000000" w:themeColor="text1"/>
          <w:kern w:val="0"/>
          <w:szCs w:val="20"/>
          <w:highlight w:val="none"/>
          <w14:textFill>
            <w14:solidFill>
              <w14:schemeClr w14:val="tx1"/>
            </w14:solidFill>
          </w14:textFill>
        </w:rPr>
        <w:t>周围主要为耕地、林地，林地类型主要为乔木林地。</w:t>
      </w:r>
    </w:p>
    <w:p>
      <w:pPr>
        <w:ind w:firstLine="480"/>
        <w:rPr>
          <w:rFonts w:cs="Times New Roman"/>
          <w:bCs/>
          <w:color w:val="000000" w:themeColor="text1"/>
          <w:szCs w:val="24"/>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试采站</w:t>
      </w:r>
      <w:r>
        <w:rPr>
          <w:rFonts w:cs="Times New Roman"/>
          <w:color w:val="000000" w:themeColor="text1"/>
          <w:kern w:val="0"/>
          <w:szCs w:val="20"/>
          <w:highlight w:val="none"/>
          <w14:textFill>
            <w14:solidFill>
              <w14:schemeClr w14:val="tx1"/>
            </w14:solidFill>
          </w14:textFill>
        </w:rPr>
        <w:t>500m范围内</w:t>
      </w:r>
      <w:r>
        <w:rPr>
          <w:rFonts w:hint="eastAsia" w:cs="Times New Roman"/>
          <w:color w:val="000000" w:themeColor="text1"/>
          <w:kern w:val="0"/>
          <w:szCs w:val="20"/>
          <w:highlight w:val="none"/>
          <w14:textFill>
            <w14:solidFill>
              <w14:schemeClr w14:val="tx1"/>
            </w14:solidFill>
          </w14:textFill>
        </w:rPr>
        <w:t>及线路两侧200m范围内</w:t>
      </w:r>
      <w:r>
        <w:rPr>
          <w:rFonts w:cs="Times New Roman"/>
          <w:color w:val="000000" w:themeColor="text1"/>
          <w:kern w:val="0"/>
          <w:szCs w:val="20"/>
          <w:highlight w:val="none"/>
          <w14:textFill>
            <w14:solidFill>
              <w14:schemeClr w14:val="tx1"/>
            </w14:solidFill>
          </w14:textFill>
        </w:rPr>
        <w:t>不涉及自然保护</w:t>
      </w:r>
      <w:r>
        <w:rPr>
          <w:rFonts w:cs="Times New Roman"/>
          <w:color w:val="000000" w:themeColor="text1"/>
          <w:spacing w:val="-1"/>
          <w:kern w:val="0"/>
          <w:szCs w:val="20"/>
          <w:highlight w:val="none"/>
          <w14:textFill>
            <w14:solidFill>
              <w14:schemeClr w14:val="tx1"/>
            </w14:solidFill>
          </w14:textFill>
        </w:rPr>
        <w:t>区</w:t>
      </w:r>
      <w:r>
        <w:rPr>
          <w:rFonts w:cs="Times New Roman"/>
          <w:color w:val="000000" w:themeColor="text1"/>
          <w:kern w:val="0"/>
          <w:szCs w:val="20"/>
          <w:highlight w:val="none"/>
          <w14:textFill>
            <w14:solidFill>
              <w14:schemeClr w14:val="tx1"/>
            </w14:solidFill>
          </w14:textFill>
        </w:rPr>
        <w:t>、风景名胜区、森林公园、</w:t>
      </w:r>
      <w:r>
        <w:rPr>
          <w:rFonts w:hint="eastAsia" w:cs="Times New Roman"/>
          <w:color w:val="000000" w:themeColor="text1"/>
          <w:kern w:val="0"/>
          <w:szCs w:val="20"/>
          <w:highlight w:val="none"/>
          <w14:textFill>
            <w14:solidFill>
              <w14:schemeClr w14:val="tx1"/>
            </w14:solidFill>
          </w14:textFill>
        </w:rPr>
        <w:t>集中式</w:t>
      </w:r>
      <w:r>
        <w:rPr>
          <w:rFonts w:cs="Times New Roman"/>
          <w:color w:val="000000" w:themeColor="text1"/>
          <w:kern w:val="0"/>
          <w:szCs w:val="20"/>
          <w:highlight w:val="none"/>
          <w14:textFill>
            <w14:solidFill>
              <w14:schemeClr w14:val="tx1"/>
            </w14:solidFill>
          </w14:textFill>
        </w:rPr>
        <w:t>饮用水</w:t>
      </w:r>
      <w:r>
        <w:rPr>
          <w:rFonts w:hint="eastAsia" w:cs="Times New Roman"/>
          <w:color w:val="000000" w:themeColor="text1"/>
          <w:kern w:val="0"/>
          <w:szCs w:val="20"/>
          <w:highlight w:val="none"/>
          <w14:textFill>
            <w14:solidFill>
              <w14:schemeClr w14:val="tx1"/>
            </w14:solidFill>
          </w14:textFill>
        </w:rPr>
        <w:t>水</w:t>
      </w:r>
      <w:r>
        <w:rPr>
          <w:rFonts w:cs="Times New Roman"/>
          <w:color w:val="000000" w:themeColor="text1"/>
          <w:kern w:val="0"/>
          <w:szCs w:val="20"/>
          <w:highlight w:val="none"/>
          <w14:textFill>
            <w14:solidFill>
              <w14:schemeClr w14:val="tx1"/>
            </w14:solidFill>
          </w14:textFill>
        </w:rPr>
        <w:t>源保护区等特殊和重要的敏感区</w:t>
      </w:r>
      <w:r>
        <w:rPr>
          <w:rFonts w:cs="Times New Roman"/>
          <w:bCs/>
          <w:color w:val="000000" w:themeColor="text1"/>
          <w:szCs w:val="24"/>
          <w:highlight w:val="none"/>
          <w14:textFill>
            <w14:solidFill>
              <w14:schemeClr w14:val="tx1"/>
            </w14:solidFill>
          </w14:textFill>
        </w:rPr>
        <w:t>。</w:t>
      </w:r>
    </w:p>
    <w:p>
      <w:pPr>
        <w:pBdr>
          <w:bottom w:val="dotted" w:color="auto" w:sz="24" w:space="0"/>
        </w:pBd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项目所在地道路较发达，大多为水泥路，周边铺设了电网。该项目外环境关系情况见附图2</w:t>
      </w:r>
      <w:r>
        <w:rPr>
          <w:rFonts w:cs="Times New Roman"/>
          <w:bCs/>
          <w:color w:val="000000" w:themeColor="text1"/>
          <w:szCs w:val="24"/>
          <w:highlight w:val="none"/>
          <w14:textFill>
            <w14:solidFill>
              <w14:schemeClr w14:val="tx1"/>
            </w14:solidFill>
          </w14:textFill>
        </w:rPr>
        <w:t>。</w:t>
      </w:r>
    </w:p>
    <w:p>
      <w:pPr>
        <w:pStyle w:val="21"/>
        <w:tabs>
          <w:tab w:val="left" w:pos="3864"/>
        </w:tabs>
        <w:spacing w:before="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图2.9-</w:t>
      </w:r>
      <w:r>
        <w:rPr>
          <w:rFonts w:hint="eastAsia" w:ascii="Times New Roman" w:hAnsi="Times New Roman" w:eastAsia="黑体"/>
          <w:color w:val="000000" w:themeColor="text1"/>
          <w:sz w:val="21"/>
          <w:szCs w:val="21"/>
          <w:highlight w:val="none"/>
          <w:lang w:eastAsia="zh-CN"/>
          <w14:textFill>
            <w14:solidFill>
              <w14:schemeClr w14:val="tx1"/>
            </w14:solidFill>
          </w14:textFill>
        </w:rPr>
        <w:t>1</w:t>
      </w:r>
      <w:r>
        <w:rPr>
          <w:rFonts w:ascii="Times New Roman" w:hAnsi="Times New Roman" w:eastAsia="黑体"/>
          <w:color w:val="000000" w:themeColor="text1"/>
          <w:sz w:val="21"/>
          <w:szCs w:val="21"/>
          <w:highlight w:val="none"/>
          <w:lang w:eastAsia="zh-CN"/>
          <w14:textFill>
            <w14:solidFill>
              <w14:schemeClr w14:val="tx1"/>
            </w14:solidFill>
          </w14:textFill>
        </w:rPr>
        <w:t xml:space="preserve"> 项目及周边照片</w:t>
      </w:r>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2、</w:t>
      </w:r>
      <w:r>
        <w:rPr>
          <w:rFonts w:hint="eastAsia" w:eastAsia="黑体" w:cs="Times New Roman"/>
          <w:bCs/>
          <w:color w:val="000000" w:themeColor="text1"/>
          <w:szCs w:val="24"/>
          <w:highlight w:val="none"/>
          <w14:textFill>
            <w14:solidFill>
              <w14:schemeClr w14:val="tx1"/>
            </w14:solidFill>
          </w14:textFill>
        </w:rPr>
        <w:t>拟建</w:t>
      </w:r>
      <w:r>
        <w:rPr>
          <w:rFonts w:eastAsia="黑体" w:cs="Times New Roman"/>
          <w:bCs/>
          <w:color w:val="000000" w:themeColor="text1"/>
          <w:szCs w:val="24"/>
          <w:highlight w:val="none"/>
          <w14:textFill>
            <w14:solidFill>
              <w14:schemeClr w14:val="tx1"/>
            </w14:solidFill>
          </w14:textFill>
        </w:rPr>
        <w:t>井场周边</w:t>
      </w:r>
      <w:r>
        <w:rPr>
          <w:rFonts w:hint="eastAsia" w:eastAsia="黑体" w:cs="Times New Roman"/>
          <w:bCs/>
          <w:color w:val="000000" w:themeColor="text1"/>
          <w:szCs w:val="24"/>
          <w:highlight w:val="none"/>
          <w14:textFill>
            <w14:solidFill>
              <w14:schemeClr w14:val="tx1"/>
            </w14:solidFill>
          </w14:textFill>
        </w:rPr>
        <w:t>人居及</w:t>
      </w:r>
      <w:r>
        <w:rPr>
          <w:rFonts w:eastAsia="黑体" w:cs="Times New Roman"/>
          <w:bCs/>
          <w:color w:val="000000" w:themeColor="text1"/>
          <w:szCs w:val="24"/>
          <w:highlight w:val="none"/>
          <w14:textFill>
            <w14:solidFill>
              <w14:schemeClr w14:val="tx1"/>
            </w14:solidFill>
          </w14:textFill>
        </w:rPr>
        <w:t>地下水现状</w:t>
      </w:r>
    </w:p>
    <w:p>
      <w:pPr>
        <w:tabs>
          <w:tab w:val="left" w:pos="0"/>
        </w:tabs>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根据现场调查，本项目位于</w:t>
      </w:r>
      <w:r>
        <w:rPr>
          <w:rFonts w:hint="eastAsia"/>
          <w:color w:val="000000" w:themeColor="text1"/>
          <w:highlight w:val="none"/>
          <w14:textFill>
            <w14:solidFill>
              <w14:schemeClr w14:val="tx1"/>
            </w14:solidFill>
          </w14:textFill>
        </w:rPr>
        <w:t>宣汉县</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境内</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钻井</w:t>
      </w:r>
      <w:r>
        <w:rPr>
          <w:bCs/>
          <w:color w:val="000000" w:themeColor="text1"/>
          <w:szCs w:val="24"/>
          <w:highlight w:val="none"/>
          <w14:textFill>
            <w14:solidFill>
              <w14:schemeClr w14:val="tx1"/>
            </w14:solidFill>
          </w14:textFill>
        </w:rPr>
        <w:t>井口方圆500m区域</w:t>
      </w:r>
      <w:bookmarkStart w:id="100" w:name="_Hlk33089211"/>
      <w:r>
        <w:rPr>
          <w:bCs/>
          <w:color w:val="000000" w:themeColor="text1"/>
          <w:szCs w:val="24"/>
          <w:highlight w:val="none"/>
          <w14:textFill>
            <w14:solidFill>
              <w14:schemeClr w14:val="tx1"/>
            </w14:solidFill>
          </w14:textFill>
        </w:rPr>
        <w:t>属中低山斜坡地形，周边生态环境属农村环境，项目周边</w:t>
      </w:r>
      <w:r>
        <w:rPr>
          <w:rFonts w:hint="eastAsia"/>
          <w:bCs/>
          <w:color w:val="000000" w:themeColor="text1"/>
          <w:szCs w:val="24"/>
          <w:highlight w:val="none"/>
          <w14:textFill>
            <w14:solidFill>
              <w14:schemeClr w14:val="tx1"/>
            </w14:solidFill>
          </w14:textFill>
        </w:rPr>
        <w:t>部分</w:t>
      </w:r>
      <w:r>
        <w:rPr>
          <w:bCs/>
          <w:color w:val="000000" w:themeColor="text1"/>
          <w:szCs w:val="24"/>
          <w:highlight w:val="none"/>
          <w14:textFill>
            <w14:solidFill>
              <w14:schemeClr w14:val="tx1"/>
            </w14:solidFill>
          </w14:textFill>
        </w:rPr>
        <w:t>农户以山泉水或地下水作为饮用水源。地下水评价范围内具备饮用功能的井泉约1</w:t>
      </w:r>
      <w:r>
        <w:rPr>
          <w:rFonts w:hint="eastAsia"/>
          <w:bCs/>
          <w:color w:val="000000" w:themeColor="text1"/>
          <w:szCs w:val="24"/>
          <w:highlight w:val="none"/>
          <w14:textFill>
            <w14:solidFill>
              <w14:schemeClr w14:val="tx1"/>
            </w14:solidFill>
          </w14:textFill>
        </w:rPr>
        <w:t>2</w:t>
      </w:r>
      <w:r>
        <w:rPr>
          <w:bCs/>
          <w:color w:val="000000" w:themeColor="text1"/>
          <w:szCs w:val="24"/>
          <w:highlight w:val="none"/>
          <w14:textFill>
            <w14:solidFill>
              <w14:schemeClr w14:val="tx1"/>
            </w14:solidFill>
          </w14:textFill>
        </w:rPr>
        <w:t>处，井深约3～12m，水位埋深一般为0.2-8m以内。这些水井均为各农户自家使用的分散式水井，不涉及集中式饮用水取水口。</w:t>
      </w:r>
    </w:p>
    <w:p>
      <w:pPr>
        <w:tabs>
          <w:tab w:val="left" w:pos="0"/>
        </w:tabs>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项目区地下水取水层位为侏罗系中统上沙溪 庙组</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J</w:t>
      </w:r>
      <w:r>
        <w:rPr>
          <w:bCs/>
          <w:color w:val="000000" w:themeColor="text1"/>
          <w:szCs w:val="24"/>
          <w:highlight w:val="none"/>
          <w:vertAlign w:val="subscript"/>
          <w14:textFill>
            <w14:solidFill>
              <w14:schemeClr w14:val="tx1"/>
            </w14:solidFill>
          </w14:textFill>
        </w:rPr>
        <w:t>2</w:t>
      </w:r>
      <w:r>
        <w:rPr>
          <w:bCs/>
          <w:color w:val="000000" w:themeColor="text1"/>
          <w:szCs w:val="24"/>
          <w:highlight w:val="none"/>
          <w14:textFill>
            <w14:solidFill>
              <w14:schemeClr w14:val="tx1"/>
            </w14:solidFill>
          </w14:textFill>
        </w:rPr>
        <w:t>s</w:t>
      </w:r>
      <w:r>
        <w:rPr>
          <w:bCs/>
          <w:color w:val="000000" w:themeColor="text1"/>
          <w:szCs w:val="24"/>
          <w:highlight w:val="none"/>
          <w:vertAlign w:val="superscript"/>
          <w14:textFill>
            <w14:solidFill>
              <w14:schemeClr w14:val="tx1"/>
            </w14:solidFill>
          </w14:textFill>
        </w:rPr>
        <w:t>2</w:t>
      </w:r>
      <w:r>
        <w:rPr>
          <w:bCs/>
          <w:color w:val="000000" w:themeColor="text1"/>
          <w:szCs w:val="24"/>
          <w:highlight w:val="none"/>
          <w14:textFill>
            <w14:solidFill>
              <w14:schemeClr w14:val="tx1"/>
            </w14:solidFill>
          </w14:textFill>
        </w:rPr>
        <w:t xml:space="preserve"> </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含水层，地下水类型为浅层风化带裂隙潜水。根据外环境调查，井场附近居民家中均使用山泉水或地下水作为饮用水源，基本为3~15户1泉井</w:t>
      </w:r>
      <w:r>
        <w:rPr>
          <w:rFonts w:cs="Times New Roman"/>
          <w:bCs/>
          <w:color w:val="000000" w:themeColor="text1"/>
          <w:szCs w:val="24"/>
          <w:highlight w:val="none"/>
          <w14:textFill>
            <w14:solidFill>
              <w14:schemeClr w14:val="tx1"/>
            </w14:solidFill>
          </w14:textFill>
        </w:rPr>
        <w:t>。</w:t>
      </w:r>
      <w:bookmarkEnd w:id="100"/>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3、</w:t>
      </w:r>
      <w:r>
        <w:rPr>
          <w:rFonts w:hint="eastAsia" w:eastAsia="黑体" w:cs="Times New Roman"/>
          <w:bCs/>
          <w:color w:val="000000" w:themeColor="text1"/>
          <w:szCs w:val="24"/>
          <w:highlight w:val="none"/>
          <w14:textFill>
            <w14:solidFill>
              <w14:schemeClr w14:val="tx1"/>
            </w14:solidFill>
          </w14:textFill>
        </w:rPr>
        <w:t>拟建</w:t>
      </w:r>
      <w:r>
        <w:rPr>
          <w:rFonts w:eastAsia="黑体" w:cs="Times New Roman"/>
          <w:bCs/>
          <w:color w:val="000000" w:themeColor="text1"/>
          <w:szCs w:val="24"/>
          <w:highlight w:val="none"/>
          <w14:textFill>
            <w14:solidFill>
              <w14:schemeClr w14:val="tx1"/>
            </w14:solidFill>
          </w14:textFill>
        </w:rPr>
        <w:t>井场周边植被及地表水现状</w:t>
      </w:r>
    </w:p>
    <w:p>
      <w:pPr>
        <w:tabs>
          <w:tab w:val="left" w:pos="0"/>
        </w:tabs>
        <w:ind w:firstLine="480"/>
        <w:rPr>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本项目井场所在地及周边地貌主要为林地、耕地，</w:t>
      </w:r>
      <w:r>
        <w:rPr>
          <w:bCs/>
          <w:color w:val="000000" w:themeColor="text1"/>
          <w:szCs w:val="24"/>
          <w:highlight w:val="none"/>
          <w14:textFill>
            <w14:solidFill>
              <w14:schemeClr w14:val="tx1"/>
            </w14:solidFill>
          </w14:textFill>
        </w:rPr>
        <w:t>中低山等较陡地段地表一般为植被覆盖，包括乔木、灌木，主要有麻栎、青冈、栓皮栎、枫香、响叶杨、马尾松、杉木、柏木为主的针叶林植被等林地等，耕地主要种植</w:t>
      </w:r>
      <w:r>
        <w:rPr>
          <w:color w:val="000000" w:themeColor="text1"/>
          <w:highlight w:val="none"/>
          <w14:textFill>
            <w14:solidFill>
              <w14:schemeClr w14:val="tx1"/>
            </w14:solidFill>
          </w14:textFill>
        </w:rPr>
        <w:t>玉米、红苕、棉花、花生、小麦、马铃薯、豌豆</w:t>
      </w:r>
      <w:r>
        <w:rPr>
          <w:bCs/>
          <w:color w:val="000000" w:themeColor="text1"/>
          <w:szCs w:val="24"/>
          <w:highlight w:val="none"/>
          <w14:textFill>
            <w14:solidFill>
              <w14:schemeClr w14:val="tx1"/>
            </w14:solidFill>
          </w14:textFill>
        </w:rPr>
        <w:t>等。项目周边外环境无珍稀动植物。</w:t>
      </w:r>
    </w:p>
    <w:p>
      <w:pPr>
        <w:tabs>
          <w:tab w:val="left" w:pos="0"/>
        </w:tabs>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w:t>
      </w:r>
      <w:r>
        <w:rPr>
          <w:rFonts w:hint="eastAsia"/>
          <w:bCs/>
          <w:color w:val="000000" w:themeColor="text1"/>
          <w:szCs w:val="24"/>
          <w:highlight w:val="none"/>
          <w14:textFill>
            <w14:solidFill>
              <w14:schemeClr w14:val="tx1"/>
            </w14:solidFill>
          </w14:textFill>
        </w:rPr>
        <w:t>现场勘查</w:t>
      </w:r>
      <w:r>
        <w:rPr>
          <w:bCs/>
          <w:color w:val="000000" w:themeColor="text1"/>
          <w:szCs w:val="24"/>
          <w:highlight w:val="none"/>
          <w14:textFill>
            <w14:solidFill>
              <w14:schemeClr w14:val="tx1"/>
            </w14:solidFill>
          </w14:textFill>
        </w:rPr>
        <w:t>，本项目最近的河流为场区</w:t>
      </w:r>
      <w:r>
        <w:rPr>
          <w:rFonts w:hint="eastAsia"/>
          <w:bCs/>
          <w:color w:val="000000" w:themeColor="text1"/>
          <w:szCs w:val="24"/>
          <w:highlight w:val="none"/>
          <w14:textFill>
            <w14:solidFill>
              <w14:schemeClr w14:val="tx1"/>
            </w14:solidFill>
          </w14:textFill>
        </w:rPr>
        <w:t>西侧约2km处后</w:t>
      </w:r>
      <w:r>
        <w:rPr>
          <w:bCs/>
          <w:color w:val="000000" w:themeColor="text1"/>
          <w:szCs w:val="24"/>
          <w:highlight w:val="none"/>
          <w14:textFill>
            <w14:solidFill>
              <w14:schemeClr w14:val="tx1"/>
            </w14:solidFill>
          </w14:textFill>
        </w:rPr>
        <w:t>河，</w:t>
      </w:r>
      <w:r>
        <w:rPr>
          <w:rFonts w:hint="eastAsia"/>
          <w:bCs/>
          <w:color w:val="000000" w:themeColor="text1"/>
          <w:szCs w:val="24"/>
          <w:highlight w:val="none"/>
          <w14:textFill>
            <w14:solidFill>
              <w14:schemeClr w14:val="tx1"/>
            </w14:solidFill>
          </w14:textFill>
        </w:rPr>
        <w:t>后</w:t>
      </w:r>
      <w:r>
        <w:rPr>
          <w:bCs/>
          <w:color w:val="000000" w:themeColor="text1"/>
          <w:szCs w:val="24"/>
          <w:highlight w:val="none"/>
          <w14:textFill>
            <w14:solidFill>
              <w14:schemeClr w14:val="tx1"/>
            </w14:solidFill>
          </w14:textFill>
        </w:rPr>
        <w:t>河的主要水体功能为灌溉</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行洪</w:t>
      </w:r>
      <w:r>
        <w:rPr>
          <w:rFonts w:hint="eastAsia"/>
          <w:bCs/>
          <w:color w:val="000000" w:themeColor="text1"/>
          <w:szCs w:val="24"/>
          <w:highlight w:val="none"/>
          <w14:textFill>
            <w14:solidFill>
              <w14:schemeClr w14:val="tx1"/>
            </w14:solidFill>
          </w14:textFill>
        </w:rPr>
        <w:t>及</w:t>
      </w:r>
      <w:r>
        <w:rPr>
          <w:bCs/>
          <w:color w:val="000000" w:themeColor="text1"/>
          <w:szCs w:val="24"/>
          <w:highlight w:val="none"/>
          <w14:textFill>
            <w14:solidFill>
              <w14:schemeClr w14:val="tx1"/>
            </w14:solidFill>
          </w14:textFill>
        </w:rPr>
        <w:t>饮用水</w:t>
      </w:r>
      <w:r>
        <w:rPr>
          <w:rFonts w:hint="eastAsia"/>
          <w:bCs/>
          <w:color w:val="000000" w:themeColor="text1"/>
          <w:szCs w:val="24"/>
          <w:highlight w:val="none"/>
          <w14:textFill>
            <w14:solidFill>
              <w14:schemeClr w14:val="tx1"/>
            </w14:solidFill>
          </w14:textFill>
        </w:rPr>
        <w:t>功能，</w:t>
      </w:r>
      <w:r>
        <w:rPr>
          <w:rFonts w:hint="eastAsia" w:cs="Times New Roman"/>
          <w:color w:val="000000" w:themeColor="text1"/>
          <w:highlight w:val="none"/>
          <w14:textFill>
            <w14:solidFill>
              <w14:schemeClr w14:val="tx1"/>
            </w14:solidFill>
          </w14:textFill>
        </w:rPr>
        <w:t>此外，后河在下游2km之后的河段，还有</w:t>
      </w:r>
      <w:r>
        <w:rPr>
          <w:rFonts w:cs="Times New Roman"/>
          <w:color w:val="000000" w:themeColor="text1"/>
          <w:highlight w:val="none"/>
          <w14:textFill>
            <w14:solidFill>
              <w14:schemeClr w14:val="tx1"/>
            </w14:solidFill>
          </w14:textFill>
        </w:rPr>
        <w:t>后河特有鱼类国家级水产种质资源保护区</w:t>
      </w:r>
      <w:r>
        <w:rPr>
          <w:rFonts w:hint="eastAsia" w:cs="Times New Roman"/>
          <w:color w:val="000000" w:themeColor="text1"/>
          <w:highlight w:val="none"/>
          <w14:textFill>
            <w14:solidFill>
              <w14:schemeClr w14:val="tx1"/>
            </w14:solidFill>
          </w14:textFill>
        </w:rPr>
        <w:t>分布</w:t>
      </w:r>
      <w:r>
        <w:rPr>
          <w:rFonts w:cs="Times New Roman"/>
          <w:bCs/>
          <w:color w:val="000000" w:themeColor="text1"/>
          <w:szCs w:val="24"/>
          <w:highlight w:val="none"/>
          <w14:textFill>
            <w14:solidFill>
              <w14:schemeClr w14:val="tx1"/>
            </w14:solidFill>
          </w14:textFill>
        </w:rPr>
        <w:t>。</w:t>
      </w:r>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4、</w:t>
      </w:r>
      <w:r>
        <w:rPr>
          <w:rFonts w:hint="eastAsia" w:eastAsia="黑体" w:cs="Times New Roman"/>
          <w:bCs/>
          <w:color w:val="000000" w:themeColor="text1"/>
          <w:szCs w:val="24"/>
          <w:highlight w:val="none"/>
          <w14:textFill>
            <w14:solidFill>
              <w14:schemeClr w14:val="tx1"/>
            </w14:solidFill>
          </w14:textFill>
        </w:rPr>
        <w:t>拟建</w:t>
      </w:r>
      <w:r>
        <w:rPr>
          <w:rFonts w:eastAsia="黑体" w:cs="Times New Roman"/>
          <w:bCs/>
          <w:color w:val="000000" w:themeColor="text1"/>
          <w:szCs w:val="24"/>
          <w:highlight w:val="none"/>
          <w14:textFill>
            <w14:solidFill>
              <w14:schemeClr w14:val="tx1"/>
            </w14:solidFill>
          </w14:textFill>
        </w:rPr>
        <w:t>放喷池及火炬区外环境简况</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根据调查，</w:t>
      </w:r>
      <w:r>
        <w:rPr>
          <w:rFonts w:hint="eastAsia" w:cs="Times New Roman"/>
          <w:bCs/>
          <w:color w:val="000000" w:themeColor="text1"/>
          <w:szCs w:val="24"/>
          <w:highlight w:val="none"/>
          <w14:textFill>
            <w14:solidFill>
              <w14:schemeClr w14:val="tx1"/>
            </w14:solidFill>
          </w14:textFill>
        </w:rPr>
        <w:t>主</w:t>
      </w:r>
      <w:r>
        <w:rPr>
          <w:rFonts w:cs="Times New Roman"/>
          <w:bCs/>
          <w:color w:val="000000" w:themeColor="text1"/>
          <w:szCs w:val="24"/>
          <w:highlight w:val="none"/>
          <w14:textFill>
            <w14:solidFill>
              <w14:schemeClr w14:val="tx1"/>
            </w14:solidFill>
          </w14:textFill>
        </w:rPr>
        <w:t>放喷池</w:t>
      </w:r>
      <w:r>
        <w:rPr>
          <w:rFonts w:hint="eastAsia" w:cs="Times New Roman"/>
          <w:bCs/>
          <w:color w:val="000000" w:themeColor="text1"/>
          <w:szCs w:val="24"/>
          <w:highlight w:val="none"/>
          <w14:textFill>
            <w14:solidFill>
              <w14:schemeClr w14:val="tx1"/>
            </w14:solidFill>
          </w14:textFill>
        </w:rPr>
        <w:t>（利旧）</w:t>
      </w:r>
      <w:r>
        <w:rPr>
          <w:rFonts w:cs="Times New Roman"/>
          <w:bCs/>
          <w:color w:val="000000" w:themeColor="text1"/>
          <w:szCs w:val="24"/>
          <w:highlight w:val="none"/>
          <w14:textFill>
            <w14:solidFill>
              <w14:schemeClr w14:val="tx1"/>
            </w14:solidFill>
          </w14:textFill>
        </w:rPr>
        <w:t>布置在井场外井口</w:t>
      </w:r>
      <w:r>
        <w:rPr>
          <w:rFonts w:hint="eastAsia" w:cs="Times New Roman"/>
          <w:bCs/>
          <w:color w:val="000000" w:themeColor="text1"/>
          <w:szCs w:val="24"/>
          <w:highlight w:val="none"/>
          <w14:textFill>
            <w14:solidFill>
              <w14:schemeClr w14:val="tx1"/>
            </w14:solidFill>
          </w14:textFill>
        </w:rPr>
        <w:t>西北</w:t>
      </w:r>
      <w:r>
        <w:rPr>
          <w:rFonts w:cs="Times New Roman"/>
          <w:bCs/>
          <w:color w:val="000000" w:themeColor="text1"/>
          <w:szCs w:val="24"/>
          <w:highlight w:val="none"/>
          <w14:textFill>
            <w14:solidFill>
              <w14:schemeClr w14:val="tx1"/>
            </w14:solidFill>
          </w14:textFill>
        </w:rPr>
        <w:t>侧</w:t>
      </w:r>
      <w:r>
        <w:rPr>
          <w:rFonts w:hint="eastAsia" w:cs="Times New Roman"/>
          <w:bCs/>
          <w:color w:val="000000" w:themeColor="text1"/>
          <w:szCs w:val="24"/>
          <w:highlight w:val="none"/>
          <w14:textFill>
            <w14:solidFill>
              <w14:schemeClr w14:val="tx1"/>
            </w14:solidFill>
          </w14:textFill>
        </w:rPr>
        <w:t>耕</w:t>
      </w:r>
      <w:r>
        <w:rPr>
          <w:rFonts w:cs="Times New Roman"/>
          <w:bCs/>
          <w:color w:val="000000" w:themeColor="text1"/>
          <w:szCs w:val="24"/>
          <w:highlight w:val="none"/>
          <w14:textFill>
            <w14:solidFill>
              <w14:schemeClr w14:val="tx1"/>
            </w14:solidFill>
          </w14:textFill>
        </w:rPr>
        <w:t>地内，距离井口约</w:t>
      </w:r>
      <w:r>
        <w:rPr>
          <w:rFonts w:hint="eastAsia" w:cs="Times New Roman"/>
          <w:bCs/>
          <w:color w:val="000000" w:themeColor="text1"/>
          <w:szCs w:val="24"/>
          <w:highlight w:val="none"/>
          <w14:textFill>
            <w14:solidFill>
              <w14:schemeClr w14:val="tx1"/>
            </w14:solidFill>
          </w14:textFill>
        </w:rPr>
        <w:t>26</w:t>
      </w:r>
      <w:r>
        <w:rPr>
          <w:rFonts w:cs="Times New Roman"/>
          <w:bCs/>
          <w:color w:val="000000" w:themeColor="text1"/>
          <w:szCs w:val="24"/>
          <w:highlight w:val="none"/>
          <w14:textFill>
            <w14:solidFill>
              <w14:schemeClr w14:val="tx1"/>
            </w14:solidFill>
          </w14:textFill>
        </w:rPr>
        <w:t>0m处</w:t>
      </w:r>
      <w:r>
        <w:rPr>
          <w:rFonts w:hint="eastAsia" w:cs="Times New Roman"/>
          <w:bCs/>
          <w:color w:val="000000" w:themeColor="text1"/>
          <w:szCs w:val="24"/>
          <w:highlight w:val="none"/>
          <w14:textFill>
            <w14:solidFill>
              <w14:schemeClr w14:val="tx1"/>
            </w14:solidFill>
          </w14:textFill>
        </w:rPr>
        <w:t>；副放喷池</w:t>
      </w:r>
      <w:r>
        <w:rPr>
          <w:rFonts w:cs="Times New Roman"/>
          <w:bCs/>
          <w:color w:val="000000" w:themeColor="text1"/>
          <w:szCs w:val="24"/>
          <w:highlight w:val="none"/>
          <w14:textFill>
            <w14:solidFill>
              <w14:schemeClr w14:val="tx1"/>
            </w14:solidFill>
          </w14:textFill>
        </w:rPr>
        <w:t>布置在井场外井口</w:t>
      </w:r>
      <w:r>
        <w:rPr>
          <w:rFonts w:hint="eastAsia" w:cs="Times New Roman"/>
          <w:bCs/>
          <w:color w:val="000000" w:themeColor="text1"/>
          <w:szCs w:val="24"/>
          <w:highlight w:val="none"/>
          <w14:textFill>
            <w14:solidFill>
              <w14:schemeClr w14:val="tx1"/>
            </w14:solidFill>
          </w14:textFill>
        </w:rPr>
        <w:t>南</w:t>
      </w:r>
      <w:r>
        <w:rPr>
          <w:rFonts w:cs="Times New Roman"/>
          <w:bCs/>
          <w:color w:val="000000" w:themeColor="text1"/>
          <w:szCs w:val="24"/>
          <w:highlight w:val="none"/>
          <w14:textFill>
            <w14:solidFill>
              <w14:schemeClr w14:val="tx1"/>
            </w14:solidFill>
          </w14:textFill>
        </w:rPr>
        <w:t>侧</w:t>
      </w:r>
      <w:r>
        <w:rPr>
          <w:rFonts w:hint="eastAsia" w:cs="Times New Roman"/>
          <w:bCs/>
          <w:color w:val="000000" w:themeColor="text1"/>
          <w:szCs w:val="24"/>
          <w:highlight w:val="none"/>
          <w14:textFill>
            <w14:solidFill>
              <w14:schemeClr w14:val="tx1"/>
            </w14:solidFill>
          </w14:textFill>
        </w:rPr>
        <w:t>林</w:t>
      </w:r>
      <w:r>
        <w:rPr>
          <w:rFonts w:cs="Times New Roman"/>
          <w:bCs/>
          <w:color w:val="000000" w:themeColor="text1"/>
          <w:szCs w:val="24"/>
          <w:highlight w:val="none"/>
          <w14:textFill>
            <w14:solidFill>
              <w14:schemeClr w14:val="tx1"/>
            </w14:solidFill>
          </w14:textFill>
        </w:rPr>
        <w:t>地内，距离井口约</w:t>
      </w:r>
      <w:r>
        <w:rPr>
          <w:rFonts w:hint="eastAsia" w:cs="Times New Roman"/>
          <w:bCs/>
          <w:color w:val="000000" w:themeColor="text1"/>
          <w:szCs w:val="24"/>
          <w:highlight w:val="none"/>
          <w14:textFill>
            <w14:solidFill>
              <w14:schemeClr w14:val="tx1"/>
            </w14:solidFill>
          </w14:textFill>
        </w:rPr>
        <w:t>85</w:t>
      </w:r>
      <w:r>
        <w:rPr>
          <w:rFonts w:cs="Times New Roman"/>
          <w:bCs/>
          <w:color w:val="000000" w:themeColor="text1"/>
          <w:szCs w:val="24"/>
          <w:highlight w:val="none"/>
          <w14:textFill>
            <w14:solidFill>
              <w14:schemeClr w14:val="tx1"/>
            </w14:solidFill>
          </w14:textFill>
        </w:rPr>
        <w:t>m处。根据现场调查，放喷池周围50m范围内无民房等各类设施。</w:t>
      </w:r>
      <w:r>
        <w:rPr>
          <w:rFonts w:hint="eastAsia" w:cs="Times New Roman"/>
          <w:bCs/>
          <w:color w:val="000000" w:themeColor="text1"/>
          <w:szCs w:val="24"/>
          <w:highlight w:val="none"/>
          <w14:textFill>
            <w14:solidFill>
              <w14:schemeClr w14:val="tx1"/>
            </w14:solidFill>
          </w14:textFill>
        </w:rPr>
        <w:t>主、副</w:t>
      </w:r>
      <w:r>
        <w:rPr>
          <w:rFonts w:cs="Times New Roman"/>
          <w:bCs/>
          <w:color w:val="000000" w:themeColor="text1"/>
          <w:szCs w:val="24"/>
          <w:highlight w:val="none"/>
          <w14:textFill>
            <w14:solidFill>
              <w14:schemeClr w14:val="tx1"/>
            </w14:solidFill>
          </w14:textFill>
        </w:rPr>
        <w:t>放喷池</w:t>
      </w:r>
      <w:r>
        <w:rPr>
          <w:rFonts w:hint="eastAsia" w:cs="Times New Roman"/>
          <w:bCs/>
          <w:color w:val="000000" w:themeColor="text1"/>
          <w:szCs w:val="24"/>
          <w:highlight w:val="none"/>
          <w14:textFill>
            <w14:solidFill>
              <w14:schemeClr w14:val="tx1"/>
            </w14:solidFill>
          </w14:textFill>
        </w:rPr>
        <w:t>四周</w:t>
      </w:r>
      <w:r>
        <w:rPr>
          <w:rFonts w:cs="Times New Roman"/>
          <w:bCs/>
          <w:color w:val="000000" w:themeColor="text1"/>
          <w:szCs w:val="24"/>
          <w:highlight w:val="none"/>
          <w14:textFill>
            <w14:solidFill>
              <w14:schemeClr w14:val="tx1"/>
            </w14:solidFill>
          </w14:textFill>
        </w:rPr>
        <w:t>有小片林木和灌木，</w:t>
      </w:r>
      <w:r>
        <w:rPr>
          <w:rFonts w:hint="eastAsia" w:cs="Times New Roman"/>
          <w:bCs/>
          <w:color w:val="000000" w:themeColor="text1"/>
          <w:szCs w:val="24"/>
          <w:highlight w:val="none"/>
          <w14:textFill>
            <w14:solidFill>
              <w14:schemeClr w14:val="tx1"/>
            </w14:solidFill>
          </w14:textFill>
        </w:rPr>
        <w:t>不存在</w:t>
      </w:r>
      <w:r>
        <w:rPr>
          <w:rFonts w:cs="Times New Roman"/>
          <w:bCs/>
          <w:color w:val="000000" w:themeColor="text1"/>
          <w:szCs w:val="24"/>
          <w:highlight w:val="none"/>
          <w14:textFill>
            <w14:solidFill>
              <w14:schemeClr w14:val="tx1"/>
            </w14:solidFill>
          </w14:textFill>
        </w:rPr>
        <w:t>重点保护野生动植物栖息地</w:t>
      </w:r>
      <w:r>
        <w:rPr>
          <w:rFonts w:hint="eastAsia" w:cs="Times New Roman"/>
          <w:bCs/>
          <w:color w:val="000000" w:themeColor="text1"/>
          <w:szCs w:val="24"/>
          <w:highlight w:val="none"/>
          <w14:textFill>
            <w14:solidFill>
              <w14:schemeClr w14:val="tx1"/>
            </w14:solidFill>
          </w14:textFill>
        </w:rPr>
        <w:t>等，需要对放喷池周围50m范围内分布的林木等进行清除，且</w:t>
      </w:r>
      <w:r>
        <w:rPr>
          <w:rFonts w:cs="Times New Roman"/>
          <w:bCs/>
          <w:color w:val="000000" w:themeColor="text1"/>
          <w:szCs w:val="24"/>
          <w:highlight w:val="none"/>
          <w14:textFill>
            <w14:solidFill>
              <w14:schemeClr w14:val="tx1"/>
            </w14:solidFill>
          </w14:textFill>
        </w:rPr>
        <w:t>放喷池在</w:t>
      </w:r>
      <w:r>
        <w:rPr>
          <w:rFonts w:hint="eastAsia" w:cs="Times New Roman"/>
          <w:bCs/>
          <w:color w:val="000000" w:themeColor="text1"/>
          <w:szCs w:val="24"/>
          <w:highlight w:val="none"/>
          <w14:textFill>
            <w14:solidFill>
              <w14:schemeClr w14:val="tx1"/>
            </w14:solidFill>
          </w14:textFill>
        </w:rPr>
        <w:t>东</w:t>
      </w:r>
      <w:r>
        <w:rPr>
          <w:rFonts w:cs="Times New Roman"/>
          <w:bCs/>
          <w:color w:val="000000" w:themeColor="text1"/>
          <w:szCs w:val="24"/>
          <w:highlight w:val="none"/>
          <w14:textFill>
            <w14:solidFill>
              <w14:schemeClr w14:val="tx1"/>
            </w14:solidFill>
          </w14:textFill>
        </w:rPr>
        <w:t>、南、</w:t>
      </w:r>
      <w:r>
        <w:rPr>
          <w:rFonts w:hint="eastAsia" w:cs="Times New Roman"/>
          <w:bCs/>
          <w:color w:val="000000" w:themeColor="text1"/>
          <w:szCs w:val="24"/>
          <w:highlight w:val="none"/>
          <w14:textFill>
            <w14:solidFill>
              <w14:schemeClr w14:val="tx1"/>
            </w14:solidFill>
          </w14:textFill>
        </w:rPr>
        <w:t>北</w:t>
      </w:r>
      <w:r>
        <w:rPr>
          <w:rFonts w:cs="Times New Roman"/>
          <w:bCs/>
          <w:color w:val="000000" w:themeColor="text1"/>
          <w:szCs w:val="24"/>
          <w:highlight w:val="none"/>
          <w14:textFill>
            <w14:solidFill>
              <w14:schemeClr w14:val="tx1"/>
            </w14:solidFill>
          </w14:textFill>
        </w:rPr>
        <w:t>三面均将设置挡火墙，仅在靠近井场较空旷处设置入口</w:t>
      </w:r>
      <w:r>
        <w:rPr>
          <w:rFonts w:hint="eastAsia" w:cs="Times New Roman"/>
          <w:bCs/>
          <w:color w:val="000000" w:themeColor="text1"/>
          <w:szCs w:val="24"/>
          <w:highlight w:val="none"/>
          <w14:textFill>
            <w14:solidFill>
              <w14:schemeClr w14:val="tx1"/>
            </w14:solidFill>
          </w14:textFill>
        </w:rPr>
        <w:t>，通过</w:t>
      </w:r>
      <w:r>
        <w:rPr>
          <w:rFonts w:cs="Times New Roman"/>
          <w:bCs/>
          <w:color w:val="000000" w:themeColor="text1"/>
          <w:szCs w:val="24"/>
          <w:highlight w:val="none"/>
          <w14:textFill>
            <w14:solidFill>
              <w14:schemeClr w14:val="tx1"/>
            </w14:solidFill>
          </w14:textFill>
        </w:rPr>
        <w:t>加强监管</w:t>
      </w:r>
      <w:r>
        <w:rPr>
          <w:rFonts w:hint="eastAsia" w:cs="Times New Roman"/>
          <w:bCs/>
          <w:color w:val="000000" w:themeColor="text1"/>
          <w:szCs w:val="24"/>
          <w:highlight w:val="none"/>
          <w14:textFill>
            <w14:solidFill>
              <w14:schemeClr w14:val="tx1"/>
            </w14:solidFill>
          </w14:textFill>
        </w:rPr>
        <w:t>和清除树林后，</w:t>
      </w:r>
      <w:r>
        <w:rPr>
          <w:rFonts w:cs="Times New Roman"/>
          <w:bCs/>
          <w:color w:val="000000" w:themeColor="text1"/>
          <w:szCs w:val="24"/>
          <w:highlight w:val="none"/>
          <w14:textFill>
            <w14:solidFill>
              <w14:schemeClr w14:val="tx1"/>
            </w14:solidFill>
          </w14:textFill>
        </w:rPr>
        <w:t>树林距离是满足放喷池防火要求的。周边无珍稀动植物和环境敏感目标。</w:t>
      </w:r>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5、</w:t>
      </w:r>
      <w:r>
        <w:rPr>
          <w:rFonts w:hint="eastAsia" w:eastAsia="黑体" w:cs="Times New Roman"/>
          <w:bCs/>
          <w:color w:val="000000" w:themeColor="text1"/>
          <w:szCs w:val="24"/>
          <w:highlight w:val="none"/>
          <w14:textFill>
            <w14:solidFill>
              <w14:schemeClr w14:val="tx1"/>
            </w14:solidFill>
          </w14:textFill>
        </w:rPr>
        <w:t>依托</w:t>
      </w:r>
      <w:r>
        <w:rPr>
          <w:rFonts w:eastAsia="黑体" w:cs="Times New Roman"/>
          <w:bCs/>
          <w:color w:val="000000" w:themeColor="text1"/>
          <w:szCs w:val="24"/>
          <w:highlight w:val="none"/>
          <w14:textFill>
            <w14:solidFill>
              <w14:schemeClr w14:val="tx1"/>
            </w14:solidFill>
          </w14:textFill>
        </w:rPr>
        <w:t>井场道路周边外环境简况</w:t>
      </w:r>
    </w:p>
    <w:p>
      <w:pPr>
        <w:tabs>
          <w:tab w:val="left" w:pos="0"/>
        </w:tabs>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进场道路依托大湾</w:t>
      </w:r>
      <w:r>
        <w:rPr>
          <w:rFonts w:hint="eastAsia" w:cs="Times New Roman"/>
          <w:bCs/>
          <w:color w:val="000000" w:themeColor="text1"/>
          <w:szCs w:val="24"/>
          <w:highlight w:val="none"/>
          <w:lang w:eastAsia="zh-CN"/>
          <w14:textFill>
            <w14:solidFill>
              <w14:schemeClr w14:val="tx1"/>
            </w14:solidFill>
          </w14:textFill>
        </w:rPr>
        <w:t>408试采站</w:t>
      </w:r>
      <w:r>
        <w:rPr>
          <w:rFonts w:hint="eastAsia" w:cs="Times New Roman"/>
          <w:bCs/>
          <w:color w:val="000000" w:themeColor="text1"/>
          <w:szCs w:val="24"/>
          <w:highlight w:val="none"/>
          <w14:textFill>
            <w14:solidFill>
              <w14:schemeClr w14:val="tx1"/>
            </w14:solidFill>
          </w14:textFill>
        </w:rPr>
        <w:t>已建设进场道路，完全依托大湾</w:t>
      </w:r>
      <w:r>
        <w:rPr>
          <w:rFonts w:hint="eastAsia" w:cs="Times New Roman"/>
          <w:bCs/>
          <w:color w:val="000000" w:themeColor="text1"/>
          <w:szCs w:val="24"/>
          <w:highlight w:val="none"/>
          <w:lang w:eastAsia="zh-CN"/>
          <w14:textFill>
            <w14:solidFill>
              <w14:schemeClr w14:val="tx1"/>
            </w14:solidFill>
          </w14:textFill>
        </w:rPr>
        <w:t>408试采站</w:t>
      </w:r>
      <w:r>
        <w:rPr>
          <w:rFonts w:hint="eastAsia" w:cs="Times New Roman"/>
          <w:bCs/>
          <w:color w:val="000000" w:themeColor="text1"/>
          <w:szCs w:val="24"/>
          <w:highlight w:val="none"/>
          <w14:textFill>
            <w14:solidFill>
              <w14:schemeClr w14:val="tx1"/>
            </w14:solidFill>
          </w14:textFill>
        </w:rPr>
        <w:t>既有进场道路可满足建设需求。</w:t>
      </w:r>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6、管线沿线周边外环境简况</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本项目新建</w:t>
      </w:r>
      <w:r>
        <w:rPr>
          <w:rFonts w:hint="eastAsia" w:cs="Times New Roman"/>
          <w:color w:val="000000" w:themeColor="text1"/>
          <w:highlight w:val="none"/>
          <w14:textFill>
            <w14:solidFill>
              <w14:schemeClr w14:val="tx1"/>
            </w14:solidFill>
          </w14:textFill>
        </w:rPr>
        <w:t>大湾408-3井场</w:t>
      </w:r>
      <w:r>
        <w:rPr>
          <w:rFonts w:cs="Times New Roman"/>
          <w:color w:val="000000" w:themeColor="text1"/>
          <w:highlight w:val="none"/>
          <w14:textFill>
            <w14:solidFill>
              <w14:schemeClr w14:val="tx1"/>
            </w14:solidFill>
          </w14:textFill>
        </w:rPr>
        <w:t>试采站</w:t>
      </w:r>
      <w:r>
        <w:rPr>
          <w:rFonts w:hint="eastAsia" w:cs="Times New Roman"/>
          <w:color w:val="000000" w:themeColor="text1"/>
          <w:highlight w:val="none"/>
          <w14:textFill>
            <w14:solidFill>
              <w14:schemeClr w14:val="tx1"/>
            </w14:solidFill>
          </w14:textFill>
        </w:rPr>
        <w:t>～大湾</w:t>
      </w:r>
      <w:r>
        <w:rPr>
          <w:rFonts w:hint="eastAsia" w:cs="Times New Roman"/>
          <w:color w:val="000000" w:themeColor="text1"/>
          <w:highlight w:val="none"/>
          <w:lang w:eastAsia="zh-CN"/>
          <w14:textFill>
            <w14:solidFill>
              <w14:schemeClr w14:val="tx1"/>
            </w14:solidFill>
          </w14:textFill>
        </w:rPr>
        <w:t>408试采站</w:t>
      </w:r>
      <w:r>
        <w:rPr>
          <w:rFonts w:cs="Times New Roman"/>
          <w:color w:val="000000" w:themeColor="text1"/>
          <w:highlight w:val="none"/>
          <w14:textFill>
            <w14:solidFill>
              <w14:schemeClr w14:val="tx1"/>
            </w14:solidFill>
          </w14:textFill>
        </w:rPr>
        <w:t>管线</w:t>
      </w:r>
      <w:r>
        <w:rPr>
          <w:rFonts w:hint="eastAsia" w:cs="Times New Roman"/>
          <w:color w:val="000000" w:themeColor="text1"/>
          <w:highlight w:val="none"/>
          <w14:textFill>
            <w14:solidFill>
              <w14:schemeClr w14:val="tx1"/>
            </w14:solidFill>
          </w14:textFill>
        </w:rPr>
        <w:t>长度约200m</w:t>
      </w:r>
      <w:r>
        <w:rPr>
          <w:rFonts w:cs="Times New Roman"/>
          <w:color w:val="000000" w:themeColor="text1"/>
          <w:highlight w:val="none"/>
          <w14:textFill>
            <w14:solidFill>
              <w14:schemeClr w14:val="tx1"/>
            </w14:solidFill>
          </w14:textFill>
        </w:rPr>
        <w:t>，管线沿线主要为耕地，周边</w:t>
      </w:r>
      <w:r>
        <w:rPr>
          <w:rFonts w:cs="Times New Roman"/>
          <w:bCs/>
          <w:color w:val="000000" w:themeColor="text1"/>
          <w:highlight w:val="none"/>
          <w14:textFill>
            <w14:solidFill>
              <w14:schemeClr w14:val="tx1"/>
            </w14:solidFill>
          </w14:textFill>
        </w:rPr>
        <w:t>无珍稀动植物和保护区分布。</w:t>
      </w:r>
    </w:p>
    <w:p>
      <w:pPr>
        <w:pStyle w:val="4"/>
        <w:spacing w:before="120"/>
        <w:ind w:firstLine="480"/>
        <w:rPr>
          <w:color w:val="000000" w:themeColor="text1"/>
          <w:highlight w:val="none"/>
          <w:lang w:eastAsia="zh-CN"/>
          <w14:textFill>
            <w14:solidFill>
              <w14:schemeClr w14:val="tx1"/>
            </w14:solidFill>
          </w14:textFill>
        </w:rPr>
      </w:pPr>
      <w:bookmarkStart w:id="101" w:name="_Toc120173086"/>
      <w:r>
        <w:rPr>
          <w:color w:val="000000" w:themeColor="text1"/>
          <w:highlight w:val="none"/>
          <w:lang w:eastAsia="zh-CN"/>
          <w14:textFill>
            <w14:solidFill>
              <w14:schemeClr w14:val="tx1"/>
            </w14:solidFill>
          </w14:textFill>
        </w:rPr>
        <w:t>主要环境保护目标</w:t>
      </w:r>
      <w:bookmarkEnd w:id="101"/>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生态环境保护目标</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本项目所在地以耕地、林地</w:t>
      </w:r>
      <w:r>
        <w:rPr>
          <w:rFonts w:hint="eastAsia"/>
          <w:bCs/>
          <w:color w:val="000000" w:themeColor="text1"/>
          <w:highlight w:val="none"/>
          <w14:textFill>
            <w14:solidFill>
              <w14:schemeClr w14:val="tx1"/>
            </w14:solidFill>
          </w14:textFill>
        </w:rPr>
        <w:t>为主（本项目周边有公益林及天然林分布，但主要分布于场地东侧和南侧，本项目不直接占用天然林及公益林，</w:t>
      </w:r>
      <w:r>
        <w:rPr>
          <w:bCs/>
          <w:color w:val="000000" w:themeColor="text1"/>
          <w:highlight w:val="none"/>
          <w14:textFill>
            <w14:solidFill>
              <w14:schemeClr w14:val="tx1"/>
            </w14:solidFill>
          </w14:textFill>
        </w:rPr>
        <w:t>最近天然林位于井场东南侧50m；最近公益林位于井场东南侧50m</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。评价范围内不涉及自然保护区、风景名胜区、湿地公园、集中式饮用水源保护区、生态保护红线等特殊或重要生态敏感区。故本次评价的主要生态环境保护目标为项目周边的耕地、植被（主要是农作物与林地</w:t>
      </w:r>
      <w:r>
        <w:rPr>
          <w:rFonts w:hint="eastAsia"/>
          <w:bCs/>
          <w:color w:val="000000" w:themeColor="text1"/>
          <w:highlight w:val="none"/>
          <w14:textFill>
            <w14:solidFill>
              <w14:schemeClr w14:val="tx1"/>
            </w14:solidFill>
          </w14:textFill>
        </w:rPr>
        <w:t>、天然林、公益林</w:t>
      </w:r>
      <w:r>
        <w:rPr>
          <w:bCs/>
          <w:color w:val="000000" w:themeColor="text1"/>
          <w:highlight w:val="none"/>
          <w14:textFill>
            <w14:solidFill>
              <w14:schemeClr w14:val="tx1"/>
            </w14:solidFill>
          </w14:textFill>
        </w:rPr>
        <w:t>）、动物、</w:t>
      </w:r>
      <w:r>
        <w:rPr>
          <w:rFonts w:hint="eastAsia"/>
          <w:bCs/>
          <w:color w:val="000000" w:themeColor="text1"/>
          <w:highlight w:val="none"/>
          <w14:textFill>
            <w14:solidFill>
              <w14:schemeClr w14:val="tx1"/>
            </w14:solidFill>
          </w14:textFill>
        </w:rPr>
        <w:t>永久</w:t>
      </w:r>
      <w:r>
        <w:rPr>
          <w:bCs/>
          <w:color w:val="000000" w:themeColor="text1"/>
          <w:highlight w:val="none"/>
          <w14:textFill>
            <w14:solidFill>
              <w14:schemeClr w14:val="tx1"/>
            </w14:solidFill>
          </w14:textFill>
        </w:rPr>
        <w:t>基本农田等。</w:t>
      </w:r>
    </w:p>
    <w:p>
      <w:pPr>
        <w:pStyle w:val="5"/>
        <w:ind w:firstLine="480"/>
        <w:rPr>
          <w:color w:val="000000" w:themeColor="text1"/>
          <w:highlight w:val="none"/>
          <w14:textFill>
            <w14:solidFill>
              <w14:schemeClr w14:val="tx1"/>
            </w14:solidFill>
          </w14:textFill>
        </w:rPr>
      </w:pPr>
      <w:bookmarkStart w:id="102" w:name="_Toc140496887"/>
      <w:r>
        <w:rPr>
          <w:rFonts w:hint="eastAsia"/>
          <w:color w:val="000000" w:themeColor="text1"/>
          <w:highlight w:val="none"/>
          <w14:textFill>
            <w14:solidFill>
              <w14:schemeClr w14:val="tx1"/>
            </w14:solidFill>
          </w14:textFill>
        </w:rPr>
        <w:t>地表水环境保护目标</w:t>
      </w:r>
      <w:bookmarkEnd w:id="102"/>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根据调查，本项目井场和管线</w:t>
      </w:r>
      <w:r>
        <w:rPr>
          <w:rFonts w:hint="eastAsia" w:cs="Times New Roman"/>
          <w:bCs/>
          <w:color w:val="000000" w:themeColor="text1"/>
          <w:highlight w:val="none"/>
          <w14:textFill>
            <w14:solidFill>
              <w14:schemeClr w14:val="tx1"/>
            </w14:solidFill>
          </w14:textFill>
        </w:rPr>
        <w:t>不位于</w:t>
      </w:r>
      <w:r>
        <w:rPr>
          <w:rFonts w:cs="Times New Roman"/>
          <w:bCs/>
          <w:color w:val="000000" w:themeColor="text1"/>
          <w:highlight w:val="none"/>
          <w14:textFill>
            <w14:solidFill>
              <w14:schemeClr w14:val="tx1"/>
            </w14:solidFill>
          </w14:textFill>
        </w:rPr>
        <w:t>集中式饮用水水源保护区、自然保护区、风景名胜区、重要湿地、重点保护与珍稀水生生物的栖息地、重要水生生物的自然产卵场及索饵场、越冬场和洄游通道天然渔场等渔业水体以及水产种质资源保护区</w:t>
      </w:r>
      <w:r>
        <w:rPr>
          <w:rFonts w:hint="eastAsia" w:cs="Times New Roman"/>
          <w:bCs/>
          <w:color w:val="000000" w:themeColor="text1"/>
          <w:highlight w:val="none"/>
          <w14:textFill>
            <w14:solidFill>
              <w14:schemeClr w14:val="tx1"/>
            </w14:solidFill>
          </w14:textFill>
        </w:rPr>
        <w:t>内</w:t>
      </w:r>
      <w:r>
        <w:rPr>
          <w:rFonts w:cs="Times New Roman"/>
          <w:bCs/>
          <w:color w:val="000000" w:themeColor="text1"/>
          <w:highlight w:val="none"/>
          <w14:textFill>
            <w14:solidFill>
              <w14:schemeClr w14:val="tx1"/>
            </w14:solidFill>
          </w14:textFill>
        </w:rPr>
        <w:t>等。</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项目周边地表水体分布及敏感性见</w:t>
      </w:r>
      <w:r>
        <w:rPr>
          <w:bCs/>
          <w:color w:val="000000" w:themeColor="text1"/>
          <w:highlight w:val="none"/>
          <w14:textFill>
            <w14:solidFill>
              <w14:schemeClr w14:val="tx1"/>
            </w14:solidFill>
          </w14:textFill>
        </w:rPr>
        <w:fldChar w:fldCharType="begin"/>
      </w:r>
      <w:r>
        <w:rPr>
          <w:bCs/>
          <w:color w:val="000000" w:themeColor="text1"/>
          <w:highlight w:val="none"/>
          <w14:textFill>
            <w14:solidFill>
              <w14:schemeClr w14:val="tx1"/>
            </w14:solidFill>
          </w14:textFill>
        </w:rPr>
        <w:instrText xml:space="preserve"> REF _Ref22892 \h </w:instrText>
      </w:r>
      <w:r>
        <w:rPr>
          <w:bCs/>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1</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03" w:name="_Ref2289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10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本项目地表水环境保护目标及环境敏感特性一览表</w:t>
      </w:r>
    </w:p>
    <w:tbl>
      <w:tblPr>
        <w:tblStyle w:val="5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43"/>
        <w:gridCol w:w="2745"/>
        <w:gridCol w:w="3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jc w:val="center"/>
        </w:trPr>
        <w:tc>
          <w:tcPr>
            <w:tcW w:w="1941"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bookmarkStart w:id="104" w:name="_Toc140496888"/>
            <w:r>
              <w:rPr>
                <w:rFonts w:cs="Times New Roman"/>
                <w:b/>
                <w:bCs/>
                <w:color w:val="000000" w:themeColor="text1"/>
                <w:kern w:val="0"/>
                <w:sz w:val="21"/>
                <w:szCs w:val="21"/>
                <w:highlight w:val="none"/>
                <w14:textFill>
                  <w14:solidFill>
                    <w14:schemeClr w14:val="tx1"/>
                  </w14:solidFill>
                </w14:textFill>
              </w:rPr>
              <w:t>名称</w:t>
            </w:r>
          </w:p>
        </w:tc>
        <w:tc>
          <w:tcPr>
            <w:tcW w:w="2742"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位置（m）</w:t>
            </w:r>
          </w:p>
        </w:tc>
        <w:tc>
          <w:tcPr>
            <w:tcW w:w="3619"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b/>
                <w:bCs/>
                <w:color w:val="000000" w:themeColor="text1"/>
                <w:kern w:val="0"/>
                <w:sz w:val="21"/>
                <w:szCs w:val="21"/>
                <w:highlight w:val="none"/>
                <w14:textFill>
                  <w14:solidFill>
                    <w14:schemeClr w14:val="tx1"/>
                  </w14:solidFill>
                </w14:textFill>
              </w:rPr>
            </w:pPr>
            <w:r>
              <w:rPr>
                <w:rFonts w:cs="Times New Roman"/>
                <w:b/>
                <w:bCs/>
                <w:color w:val="000000" w:themeColor="text1"/>
                <w:kern w:val="0"/>
                <w:sz w:val="21"/>
                <w:szCs w:val="21"/>
                <w:highlight w:val="none"/>
                <w14:textFill>
                  <w14:solidFill>
                    <w14:schemeClr w14:val="tx1"/>
                  </w14:solidFill>
                </w14:textFill>
              </w:rPr>
              <w:t>环境敏感特性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941"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后</w:t>
            </w:r>
            <w:r>
              <w:rPr>
                <w:rFonts w:cs="Times New Roman"/>
                <w:color w:val="000000" w:themeColor="text1"/>
                <w:kern w:val="0"/>
                <w:sz w:val="21"/>
                <w:szCs w:val="21"/>
                <w:highlight w:val="none"/>
                <w14:textFill>
                  <w14:solidFill>
                    <w14:schemeClr w14:val="tx1"/>
                  </w14:solidFill>
                </w14:textFill>
              </w:rPr>
              <w:t>河</w:t>
            </w:r>
          </w:p>
        </w:tc>
        <w:tc>
          <w:tcPr>
            <w:tcW w:w="2742" w:type="dxa"/>
            <w:tcBorders>
              <w:top w:val="single" w:color="auto" w:sz="4" w:space="0"/>
              <w:left w:val="single" w:color="auto" w:sz="4" w:space="0"/>
              <w:bottom w:val="single" w:color="auto" w:sz="4" w:space="0"/>
              <w:right w:val="single" w:color="auto" w:sz="4" w:space="0"/>
            </w:tcBorders>
            <w:vAlign w:val="center"/>
          </w:tcPr>
          <w:p>
            <w:pPr>
              <w:pStyle w:val="255"/>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位于场区</w:t>
            </w:r>
            <w:r>
              <w:rPr>
                <w:rFonts w:hint="eastAsia" w:cs="Times New Roman"/>
                <w:color w:val="000000" w:themeColor="text1"/>
                <w:highlight w:val="none"/>
                <w14:textFill>
                  <w14:solidFill>
                    <w14:schemeClr w14:val="tx1"/>
                  </w14:solidFill>
                </w14:textFill>
              </w:rPr>
              <w:t>西</w:t>
            </w:r>
            <w:r>
              <w:rPr>
                <w:rFonts w:cs="Times New Roman"/>
                <w:color w:val="000000" w:themeColor="text1"/>
                <w:highlight w:val="none"/>
                <w14:textFill>
                  <w14:solidFill>
                    <w14:schemeClr w14:val="tx1"/>
                  </w14:solidFill>
                </w14:textFill>
              </w:rPr>
              <w:t>侧约</w:t>
            </w:r>
            <w:r>
              <w:rPr>
                <w:rFonts w:hint="eastAsia" w:cs="Times New Roman"/>
                <w:color w:val="000000" w:themeColor="text1"/>
                <w:highlight w:val="none"/>
                <w14:textFill>
                  <w14:solidFill>
                    <w14:schemeClr w14:val="tx1"/>
                  </w14:solidFill>
                </w14:textFill>
              </w:rPr>
              <w:t>2.</w:t>
            </w:r>
            <w:r>
              <w:rPr>
                <w:rFonts w:cs="Times New Roman"/>
                <w:color w:val="000000" w:themeColor="text1"/>
                <w:highlight w:val="none"/>
                <w14:textFill>
                  <w14:solidFill>
                    <w14:schemeClr w14:val="tx1"/>
                  </w14:solidFill>
                </w14:textFill>
              </w:rPr>
              <w:t>0km处</w:t>
            </w:r>
          </w:p>
        </w:tc>
        <w:tc>
          <w:tcPr>
            <w:tcW w:w="3619" w:type="dxa"/>
            <w:tcBorders>
              <w:top w:val="single" w:color="auto" w:sz="4" w:space="0"/>
              <w:left w:val="single" w:color="auto" w:sz="4" w:space="0"/>
              <w:bottom w:val="single" w:color="auto" w:sz="4" w:space="0"/>
              <w:right w:val="single" w:color="auto" w:sz="4" w:space="0"/>
            </w:tcBorders>
            <w:vAlign w:val="center"/>
          </w:tcPr>
          <w:p>
            <w:pPr>
              <w:pStyle w:val="255"/>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项目所在河段为Ⅲ类水域，主要功能为灌溉和行洪</w:t>
            </w:r>
            <w:r>
              <w:rPr>
                <w:rFonts w:hint="eastAsia" w:cs="Times New Roman"/>
                <w:color w:val="000000" w:themeColor="text1"/>
                <w:highlight w:val="none"/>
                <w14:textFill>
                  <w14:solidFill>
                    <w14:schemeClr w14:val="tx1"/>
                  </w14:solidFill>
                </w14:textFill>
              </w:rPr>
              <w:t>，此外，后河在下游2km之后的河段，还有</w:t>
            </w:r>
            <w:r>
              <w:rPr>
                <w:rFonts w:cs="Times New Roman"/>
                <w:color w:val="000000" w:themeColor="text1"/>
                <w:highlight w:val="none"/>
                <w14:textFill>
                  <w14:solidFill>
                    <w14:schemeClr w14:val="tx1"/>
                  </w14:solidFill>
                </w14:textFill>
              </w:rPr>
              <w:t>后河特有鱼类国家级水产种质资源保护区</w:t>
            </w:r>
            <w:r>
              <w:rPr>
                <w:rFonts w:hint="eastAsia" w:cs="Times New Roman"/>
                <w:color w:val="000000" w:themeColor="text1"/>
                <w:highlight w:val="none"/>
                <w14:textFill>
                  <w14:solidFill>
                    <w14:schemeClr w14:val="tx1"/>
                  </w14:solidFill>
                </w14:textFill>
              </w:rPr>
              <w:t>分布。</w:t>
            </w:r>
          </w:p>
        </w:tc>
      </w:tr>
    </w:tbl>
    <w:p>
      <w:pPr>
        <w:pStyle w:val="5"/>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地下水环境保护目标</w:t>
      </w:r>
      <w:bookmarkEnd w:id="104"/>
    </w:p>
    <w:p>
      <w:pPr>
        <w:ind w:firstLine="480"/>
        <w:rPr>
          <w:bCs/>
          <w:color w:val="000000" w:themeColor="text1"/>
          <w:highlight w:val="none"/>
          <w14:textFill>
            <w14:solidFill>
              <w14:schemeClr w14:val="tx1"/>
            </w14:solidFill>
          </w14:textFill>
        </w:rPr>
      </w:pPr>
      <w:bookmarkStart w:id="105" w:name="_Hlk74674654"/>
      <w:r>
        <w:rPr>
          <w:bCs/>
          <w:color w:val="000000" w:themeColor="text1"/>
          <w:szCs w:val="24"/>
          <w:highlight w:val="none"/>
          <w14:textFill>
            <w14:solidFill>
              <w14:schemeClr w14:val="tx1"/>
            </w14:solidFill>
          </w14:textFill>
        </w:rPr>
        <w:t>项目区域内地下水类型</w:t>
      </w:r>
      <w:r>
        <w:rPr>
          <w:color w:val="000000" w:themeColor="text1"/>
          <w:szCs w:val="24"/>
          <w:highlight w:val="none"/>
          <w14:textFill>
            <w14:solidFill>
              <w14:schemeClr w14:val="tx1"/>
            </w14:solidFill>
          </w14:textFill>
        </w:rPr>
        <w:t>以基岩裂隙水与碎屑岩类裂隙水为主</w:t>
      </w:r>
      <w:r>
        <w:rPr>
          <w:bCs/>
          <w:color w:val="000000" w:themeColor="text1"/>
          <w:szCs w:val="24"/>
          <w:highlight w:val="none"/>
          <w14:textFill>
            <w14:solidFill>
              <w14:schemeClr w14:val="tx1"/>
            </w14:solidFill>
          </w14:textFill>
        </w:rPr>
        <w:t>。根据外环境调查，井场附近居民家中均使用山泉水作为饮用水源，经山上水池收集后分散供周边居民使用，平均约</w:t>
      </w:r>
      <w:r>
        <w:rPr>
          <w:rFonts w:hint="eastAsia"/>
          <w:bCs/>
          <w:color w:val="000000" w:themeColor="text1"/>
          <w:szCs w:val="24"/>
          <w:highlight w:val="none"/>
          <w14:textFill>
            <w14:solidFill>
              <w14:schemeClr w14:val="tx1"/>
            </w14:solidFill>
          </w14:textFill>
        </w:rPr>
        <w:t>3</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10</w:t>
      </w:r>
      <w:r>
        <w:rPr>
          <w:bCs/>
          <w:color w:val="000000" w:themeColor="text1"/>
          <w:szCs w:val="24"/>
          <w:highlight w:val="none"/>
          <w14:textFill>
            <w14:solidFill>
              <w14:schemeClr w14:val="tx1"/>
            </w14:solidFill>
          </w14:textFill>
        </w:rPr>
        <w:t>户使用1处泉水，地下水评价范围内具备饮用功能的井泉约1</w:t>
      </w:r>
      <w:r>
        <w:rPr>
          <w:rFonts w:hint="eastAsia"/>
          <w:bCs/>
          <w:color w:val="000000" w:themeColor="text1"/>
          <w:szCs w:val="24"/>
          <w:highlight w:val="none"/>
          <w14:textFill>
            <w14:solidFill>
              <w14:schemeClr w14:val="tx1"/>
            </w14:solidFill>
          </w14:textFill>
        </w:rPr>
        <w:t>2</w:t>
      </w:r>
      <w:r>
        <w:rPr>
          <w:bCs/>
          <w:color w:val="000000" w:themeColor="text1"/>
          <w:szCs w:val="24"/>
          <w:highlight w:val="none"/>
          <w14:textFill>
            <w14:solidFill>
              <w14:schemeClr w14:val="tx1"/>
            </w14:solidFill>
          </w14:textFill>
        </w:rPr>
        <w:t>处，具体分布如下。</w:t>
      </w:r>
      <w:r>
        <w:rPr>
          <w:bCs/>
          <w:color w:val="000000" w:themeColor="text1"/>
          <w:highlight w:val="none"/>
          <w14:textFill>
            <w14:solidFill>
              <w14:schemeClr w14:val="tx1"/>
            </w14:solidFill>
          </w14:textFill>
        </w:rPr>
        <w:t>根据调查，地下水环境保护目标见</w:t>
      </w:r>
      <w:r>
        <w:rPr>
          <w:bCs/>
          <w:color w:val="000000" w:themeColor="text1"/>
          <w:highlight w:val="none"/>
          <w14:textFill>
            <w14:solidFill>
              <w14:schemeClr w14:val="tx1"/>
            </w14:solidFill>
          </w14:textFill>
        </w:rPr>
        <w:fldChar w:fldCharType="begin"/>
      </w:r>
      <w:r>
        <w:rPr>
          <w:bCs/>
          <w:color w:val="000000" w:themeColor="text1"/>
          <w:highlight w:val="none"/>
          <w14:textFill>
            <w14:solidFill>
              <w14:schemeClr w14:val="tx1"/>
            </w14:solidFill>
          </w14:textFill>
        </w:rPr>
        <w:instrText xml:space="preserve"> REF _Ref22944 \h </w:instrText>
      </w:r>
      <w:r>
        <w:rPr>
          <w:bCs/>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2</w:t>
      </w:r>
      <w:r>
        <w:rPr>
          <w:bCs/>
          <w:color w:val="000000" w:themeColor="text1"/>
          <w:highlight w:val="none"/>
          <w14:textFill>
            <w14:solidFill>
              <w14:schemeClr w14:val="tx1"/>
            </w14:solidFill>
          </w14:textFill>
        </w:rPr>
        <w:fldChar w:fldCharType="end"/>
      </w:r>
      <w:r>
        <w:rPr>
          <w:bCs/>
          <w:color w:val="000000" w:themeColor="text1"/>
          <w:highlight w:val="none"/>
          <w14:textFill>
            <w14:solidFill>
              <w14:schemeClr w14:val="tx1"/>
            </w14:solidFill>
          </w14:textFill>
        </w:rPr>
        <w:t>。</w:t>
      </w:r>
    </w:p>
    <w:bookmarkEnd w:id="105"/>
    <w:p>
      <w:pPr>
        <w:pStyle w:val="203"/>
        <w:spacing w:before="120"/>
        <w:rPr>
          <w:color w:val="000000" w:themeColor="text1"/>
          <w:highlight w:val="none"/>
          <w14:textFill>
            <w14:solidFill>
              <w14:schemeClr w14:val="tx1"/>
            </w14:solidFill>
          </w14:textFill>
        </w:rPr>
      </w:pPr>
      <w:bookmarkStart w:id="106" w:name="_Ref22944"/>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10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地下水环境保护目标一览表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74"/>
        <w:gridCol w:w="1247"/>
        <w:gridCol w:w="1139"/>
        <w:gridCol w:w="836"/>
        <w:gridCol w:w="909"/>
        <w:gridCol w:w="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jc w:val="center"/>
        </w:trPr>
        <w:tc>
          <w:tcPr>
            <w:tcW w:w="2038"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检测点位信息</w:t>
            </w:r>
          </w:p>
        </w:tc>
        <w:tc>
          <w:tcPr>
            <w:tcW w:w="1399" w:type="pct"/>
            <w:gridSpan w:val="2"/>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49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水位（m）</w:t>
            </w:r>
          </w:p>
        </w:tc>
        <w:tc>
          <w:tcPr>
            <w:tcW w:w="533" w:type="pct"/>
            <w:vMerge w:val="restart"/>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埋深（m）</w:t>
            </w:r>
          </w:p>
        </w:tc>
        <w:tc>
          <w:tcPr>
            <w:tcW w:w="54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blHeader/>
          <w:jc w:val="center"/>
        </w:trPr>
        <w:tc>
          <w:tcPr>
            <w:tcW w:w="2038" w:type="pct"/>
            <w:vMerge w:val="continue"/>
            <w:vAlign w:val="center"/>
          </w:tcPr>
          <w:p>
            <w:pPr>
              <w:pStyle w:val="297"/>
              <w:rPr>
                <w:b/>
                <w:bCs/>
                <w:color w:val="000000" w:themeColor="text1"/>
                <w:highlight w:val="none"/>
                <w14:textFill>
                  <w14:solidFill>
                    <w14:schemeClr w14:val="tx1"/>
                  </w14:solidFill>
                </w14:textFill>
              </w:rPr>
            </w:pPr>
          </w:p>
        </w:tc>
        <w:tc>
          <w:tcPr>
            <w:tcW w:w="731" w:type="pct"/>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X</w:t>
            </w:r>
          </w:p>
        </w:tc>
        <w:tc>
          <w:tcPr>
            <w:tcW w:w="668" w:type="pct"/>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Y</w:t>
            </w:r>
          </w:p>
        </w:tc>
        <w:tc>
          <w:tcPr>
            <w:tcW w:w="490" w:type="pct"/>
            <w:vMerge w:val="continue"/>
            <w:vAlign w:val="center"/>
          </w:tcPr>
          <w:p>
            <w:pPr>
              <w:pStyle w:val="297"/>
              <w:rPr>
                <w:b/>
                <w:bCs/>
                <w:color w:val="000000" w:themeColor="text1"/>
                <w:highlight w:val="none"/>
                <w14:textFill>
                  <w14:solidFill>
                    <w14:schemeClr w14:val="tx1"/>
                  </w14:solidFill>
                </w14:textFill>
              </w:rPr>
            </w:pPr>
          </w:p>
        </w:tc>
        <w:tc>
          <w:tcPr>
            <w:tcW w:w="533" w:type="pct"/>
            <w:vMerge w:val="continue"/>
            <w:vAlign w:val="center"/>
          </w:tcPr>
          <w:p>
            <w:pPr>
              <w:pStyle w:val="297"/>
              <w:rPr>
                <w:b/>
                <w:bCs/>
                <w:color w:val="000000" w:themeColor="text1"/>
                <w:highlight w:val="none"/>
                <w14:textFill>
                  <w14:solidFill>
                    <w14:schemeClr w14:val="tx1"/>
                  </w14:solidFill>
                </w14:textFill>
              </w:rPr>
            </w:pPr>
          </w:p>
        </w:tc>
        <w:tc>
          <w:tcPr>
            <w:tcW w:w="540" w:type="pct"/>
            <w:vMerge w:val="continue"/>
            <w:vAlign w:val="center"/>
          </w:tcPr>
          <w:p>
            <w:pPr>
              <w:pStyle w:val="297"/>
              <w:rPr>
                <w:b/>
                <w:bCs/>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井场南侧</w:t>
            </w:r>
            <w:r>
              <w:rPr>
                <w:color w:val="000000" w:themeColor="text1"/>
                <w:highlight w:val="none"/>
                <w14:textFill>
                  <w14:solidFill>
                    <w14:schemeClr w14:val="tx1"/>
                  </w14:solidFill>
                </w14:textFill>
              </w:rPr>
              <w:t>约193m处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649</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井场西南侧</w:t>
            </w:r>
            <w:r>
              <w:rPr>
                <w:color w:val="000000" w:themeColor="text1"/>
                <w:highlight w:val="none"/>
                <w14:textFill>
                  <w14:solidFill>
                    <w14:schemeClr w14:val="tx1"/>
                  </w14:solidFill>
                </w14:textFill>
              </w:rPr>
              <w:t>约510m处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562</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井场北侧</w:t>
            </w:r>
            <w:r>
              <w:rPr>
                <w:color w:val="000000" w:themeColor="text1"/>
                <w:highlight w:val="none"/>
                <w14:textFill>
                  <w14:solidFill>
                    <w14:schemeClr w14:val="tx1"/>
                  </w14:solidFill>
                </w14:textFill>
              </w:rPr>
              <w:t>约360m处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574</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井场南侧</w:t>
            </w:r>
            <w:r>
              <w:rPr>
                <w:color w:val="000000" w:themeColor="text1"/>
                <w:highlight w:val="none"/>
                <w14:textFill>
                  <w14:solidFill>
                    <w14:schemeClr w14:val="tx1"/>
                  </w14:solidFill>
                </w14:textFill>
              </w:rPr>
              <w:t>约550m处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731</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r>
              <w:rPr>
                <w:color w:val="000000" w:themeColor="text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井场西侧</w:t>
            </w:r>
            <w:r>
              <w:rPr>
                <w:color w:val="000000" w:themeColor="text1"/>
                <w:highlight w:val="none"/>
                <w14:textFill>
                  <w14:solidFill>
                    <w14:schemeClr w14:val="tx1"/>
                  </w14:solidFill>
                </w14:textFill>
              </w:rPr>
              <w:t>约583m处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591</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r>
              <w:rPr>
                <w:rFonts w:hint="eastAsia"/>
                <w:color w:val="000000" w:themeColor="text1"/>
                <w:szCs w:val="21"/>
                <w:highlight w:val="none"/>
                <w14:textFill>
                  <w14:solidFill>
                    <w14:schemeClr w14:val="tx1"/>
                  </w14:solidFill>
                </w14:textFill>
              </w:rPr>
              <w:t>D408至D403管线南侧1</w:t>
            </w:r>
            <w:r>
              <w:rPr>
                <w:color w:val="000000" w:themeColor="text1"/>
                <w:szCs w:val="21"/>
                <w:highlight w:val="none"/>
                <w14:textFill>
                  <w14:solidFill>
                    <w14:schemeClr w14:val="tx1"/>
                  </w14:solidFill>
                </w14:textFill>
              </w:rPr>
              <w:t>20</w:t>
            </w:r>
            <w:r>
              <w:rPr>
                <w:rFonts w:hint="eastAsia"/>
                <w:color w:val="000000" w:themeColor="text1"/>
                <w:szCs w:val="21"/>
                <w:highlight w:val="none"/>
                <w14:textFill>
                  <w14:solidFill>
                    <w14:schemeClr w14:val="tx1"/>
                  </w14:solidFill>
                </w14:textFill>
              </w:rPr>
              <w:t>m处</w:t>
            </w:r>
          </w:p>
        </w:tc>
        <w:tc>
          <w:tcPr>
            <w:tcW w:w="731" w:type="pct"/>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32</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7#大湾408井台</w:t>
            </w:r>
            <w:r>
              <w:rPr>
                <w:rFonts w:hint="eastAsia"/>
                <w:color w:val="000000" w:themeColor="text1"/>
                <w:highlight w:val="none"/>
                <w14:textFill>
                  <w14:solidFill>
                    <w14:schemeClr w14:val="tx1"/>
                  </w14:solidFill>
                </w14:textFill>
              </w:rPr>
              <w:t>东南</w:t>
            </w:r>
            <w:r>
              <w:rPr>
                <w:color w:val="000000" w:themeColor="text1"/>
                <w:highlight w:val="none"/>
                <w14:textFill>
                  <w14:solidFill>
                    <w14:schemeClr w14:val="tx1"/>
                  </w14:solidFill>
                </w14:textFill>
              </w:rPr>
              <w:t>侧约698m处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806</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8#大湾408井台</w:t>
            </w:r>
            <w:r>
              <w:rPr>
                <w:rFonts w:hint="eastAsia"/>
                <w:color w:val="000000" w:themeColor="text1"/>
                <w:highlight w:val="none"/>
                <w14:textFill>
                  <w14:solidFill>
                    <w14:schemeClr w14:val="tx1"/>
                  </w14:solidFill>
                </w14:textFill>
              </w:rPr>
              <w:t>西南</w:t>
            </w:r>
            <w:r>
              <w:rPr>
                <w:color w:val="000000" w:themeColor="text1"/>
                <w:highlight w:val="none"/>
                <w14:textFill>
                  <w14:solidFill>
                    <w14:schemeClr w14:val="tx1"/>
                  </w14:solidFill>
                </w14:textFill>
              </w:rPr>
              <w:t>侧约617m处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582</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9#大湾408井台</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侧约669m处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576</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10#大湾408井台</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侧约927m处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518</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11#大湾408井台东</w:t>
            </w:r>
            <w:r>
              <w:rPr>
                <w:rFonts w:hint="eastAsia"/>
                <w:color w:val="000000" w:themeColor="text1"/>
                <w:highlight w:val="none"/>
                <w14:textFill>
                  <w14:solidFill>
                    <w14:schemeClr w14:val="tx1"/>
                  </w14:solidFill>
                </w14:textFill>
              </w:rPr>
              <w:t>南</w:t>
            </w:r>
            <w:r>
              <w:rPr>
                <w:color w:val="000000" w:themeColor="text1"/>
                <w:highlight w:val="none"/>
                <w14:textFill>
                  <w14:solidFill>
                    <w14:schemeClr w14:val="tx1"/>
                  </w14:solidFill>
                </w14:textFill>
              </w:rPr>
              <w:t>侧约882m处</w:t>
            </w:r>
          </w:p>
        </w:tc>
        <w:tc>
          <w:tcPr>
            <w:tcW w:w="731"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811</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12#</w:t>
            </w:r>
            <w:r>
              <w:rPr>
                <w:rFonts w:hint="eastAsia"/>
                <w:color w:val="000000" w:themeColor="text1"/>
                <w:szCs w:val="21"/>
                <w:highlight w:val="none"/>
                <w14:textFill>
                  <w14:solidFill>
                    <w14:schemeClr w14:val="tx1"/>
                  </w14:solidFill>
                </w14:textFill>
              </w:rPr>
              <w:t>D408至D403管线南侧1</w:t>
            </w:r>
            <w:r>
              <w:rPr>
                <w:color w:val="000000" w:themeColor="text1"/>
                <w:szCs w:val="21"/>
                <w:highlight w:val="none"/>
                <w14:textFill>
                  <w14:solidFill>
                    <w14:schemeClr w14:val="tx1"/>
                  </w14:solidFill>
                </w14:textFill>
              </w:rPr>
              <w:t>03</w:t>
            </w:r>
            <w:r>
              <w:rPr>
                <w:rFonts w:hint="eastAsia"/>
                <w:color w:val="000000" w:themeColor="text1"/>
                <w:szCs w:val="21"/>
                <w:highlight w:val="none"/>
                <w14:textFill>
                  <w14:solidFill>
                    <w14:schemeClr w14:val="tx1"/>
                  </w14:solidFill>
                </w14:textFill>
              </w:rPr>
              <w:t>m处</w:t>
            </w:r>
          </w:p>
        </w:tc>
        <w:tc>
          <w:tcPr>
            <w:tcW w:w="731" w:type="pct"/>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668" w:type="pct"/>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490"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33</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bl>
    <w:p>
      <w:pPr>
        <w:pStyle w:val="204"/>
        <w:ind w:firstLine="480"/>
        <w:rPr>
          <w:color w:val="000000" w:themeColor="text1"/>
          <w:highlight w:val="none"/>
          <w14:textFill>
            <w14:solidFill>
              <w14:schemeClr w14:val="tx1"/>
            </w14:solidFill>
          </w14:textFill>
        </w:rPr>
      </w:pPr>
    </w:p>
    <w:p>
      <w:pPr>
        <w:pStyle w:val="5"/>
        <w:spacing w:before="120" w:beforeLines="50"/>
        <w:ind w:firstLine="480"/>
        <w:rPr>
          <w:color w:val="000000" w:themeColor="text1"/>
          <w:highlight w:val="none"/>
          <w14:textFill>
            <w14:solidFill>
              <w14:schemeClr w14:val="tx1"/>
            </w14:solidFill>
          </w14:textFill>
        </w:rPr>
      </w:pPr>
      <w:bookmarkStart w:id="107" w:name="_Toc140496889"/>
      <w:r>
        <w:rPr>
          <w:color w:val="000000" w:themeColor="text1"/>
          <w:highlight w:val="none"/>
          <w14:textFill>
            <w14:solidFill>
              <w14:schemeClr w14:val="tx1"/>
            </w14:solidFill>
          </w14:textFill>
        </w:rPr>
        <w:t>环境空气保护目标</w:t>
      </w:r>
      <w:bookmarkEnd w:id="107"/>
    </w:p>
    <w:p>
      <w:pPr>
        <w:tabs>
          <w:tab w:val="left" w:pos="0"/>
        </w:tabs>
        <w:ind w:firstLine="480"/>
        <w:rPr>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本项目井口</w:t>
      </w:r>
      <w:r>
        <w:rPr>
          <w:rFonts w:hint="eastAsia" w:cs="Times New Roman"/>
          <w:bCs/>
          <w:color w:val="000000" w:themeColor="text1"/>
          <w:szCs w:val="24"/>
          <w:highlight w:val="none"/>
          <w:lang w:val="en-US" w:eastAsia="zh-CN"/>
          <w14:textFill>
            <w14:solidFill>
              <w14:schemeClr w14:val="tx1"/>
            </w14:solidFill>
          </w14:textFill>
        </w:rPr>
        <w:t>5</w:t>
      </w:r>
      <w:r>
        <w:rPr>
          <w:rFonts w:cs="Times New Roman"/>
          <w:bCs/>
          <w:color w:val="000000" w:themeColor="text1"/>
          <w:szCs w:val="24"/>
          <w:highlight w:val="none"/>
          <w14:textFill>
            <w14:solidFill>
              <w14:schemeClr w14:val="tx1"/>
            </w14:solidFill>
          </w14:textFill>
        </w:rPr>
        <w:t>00m范围内无居民等敏感目标分布</w:t>
      </w:r>
      <w:r>
        <w:rPr>
          <w:rFonts w:hint="eastAsia" w:cs="Times New Roman"/>
          <w:bCs/>
          <w:color w:val="000000" w:themeColor="text1"/>
          <w:szCs w:val="24"/>
          <w:highlight w:val="none"/>
          <w14:textFill>
            <w14:solidFill>
              <w14:schemeClr w14:val="tx1"/>
            </w14:solidFill>
          </w14:textFill>
        </w:rPr>
        <w:t>，集气管线300m</w:t>
      </w:r>
      <w:r>
        <w:rPr>
          <w:rFonts w:cs="Times New Roman"/>
          <w:bCs/>
          <w:color w:val="000000" w:themeColor="text1"/>
          <w:szCs w:val="24"/>
          <w:highlight w:val="none"/>
          <w14:textFill>
            <w14:solidFill>
              <w14:schemeClr w14:val="tx1"/>
            </w14:solidFill>
          </w14:textFill>
        </w:rPr>
        <w:t>范围内无居民等敏感目标分布，井场距铁路及高速公路直线距离均远大于200m，距公共设施及城镇中心均大于500m；井场及放喷池、清水池、</w:t>
      </w:r>
      <w:r>
        <w:rPr>
          <w:rFonts w:hint="eastAsia" w:cs="Times New Roman"/>
          <w:bCs/>
          <w:color w:val="000000" w:themeColor="text1"/>
          <w:szCs w:val="24"/>
          <w:highlight w:val="none"/>
          <w14:textFill>
            <w14:solidFill>
              <w14:schemeClr w14:val="tx1"/>
            </w14:solidFill>
          </w14:textFill>
        </w:rPr>
        <w:t>集</w:t>
      </w:r>
      <w:r>
        <w:rPr>
          <w:rFonts w:cs="Times New Roman"/>
          <w:bCs/>
          <w:color w:val="000000" w:themeColor="text1"/>
          <w:szCs w:val="24"/>
          <w:highlight w:val="none"/>
          <w14:textFill>
            <w14:solidFill>
              <w14:schemeClr w14:val="tx1"/>
            </w14:solidFill>
          </w14:textFill>
        </w:rPr>
        <w:t>输管线等500m范围内的敏感点主要为散状分布的居民点，无医院、学校、城镇等特别敏感区域，本项目重点调查周边500m范围内的居民等敏感目标</w:t>
      </w:r>
      <w:r>
        <w:rPr>
          <w:rFonts w:hint="eastAsia" w:cs="Times New Roman"/>
          <w:bCs/>
          <w:color w:val="000000" w:themeColor="text1"/>
          <w:szCs w:val="24"/>
          <w:highlight w:val="none"/>
          <w14:textFill>
            <w14:solidFill>
              <w14:schemeClr w14:val="tx1"/>
            </w14:solidFill>
          </w14:textFill>
        </w:rPr>
        <w:t>，并简要调查周边2</w:t>
      </w:r>
      <w:r>
        <w:rPr>
          <w:rFonts w:cs="Times New Roman"/>
          <w:bCs/>
          <w:color w:val="000000" w:themeColor="text1"/>
          <w:szCs w:val="24"/>
          <w:highlight w:val="none"/>
          <w14:textFill>
            <w14:solidFill>
              <w14:schemeClr w14:val="tx1"/>
            </w14:solidFill>
          </w14:textFill>
        </w:rPr>
        <w:t>500</w:t>
      </w:r>
      <w:r>
        <w:rPr>
          <w:rFonts w:hint="eastAsia" w:cs="Times New Roman"/>
          <w:bCs/>
          <w:color w:val="000000" w:themeColor="text1"/>
          <w:szCs w:val="24"/>
          <w:highlight w:val="none"/>
          <w14:textFill>
            <w14:solidFill>
              <w14:schemeClr w14:val="tx1"/>
            </w14:solidFill>
          </w14:textFill>
        </w:rPr>
        <w:t>m范围内的居民等敏感目标</w:t>
      </w:r>
      <w:r>
        <w:rPr>
          <w:rFonts w:cs="Times New Roman"/>
          <w:bCs/>
          <w:color w:val="000000" w:themeColor="text1"/>
          <w:szCs w:val="24"/>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大湾408-3井场</w:t>
      </w:r>
      <w:r>
        <w:rPr>
          <w:rFonts w:cs="Times New Roman"/>
          <w:color w:val="000000" w:themeColor="text1"/>
          <w:highlight w:val="none"/>
          <w14:textFill>
            <w14:solidFill>
              <w14:schemeClr w14:val="tx1"/>
            </w14:solidFill>
          </w14:textFill>
        </w:rPr>
        <w:t>采气站</w:t>
      </w:r>
      <w:r>
        <w:rPr>
          <w:rFonts w:hint="eastAsia" w:cs="Times New Roman"/>
          <w:color w:val="000000" w:themeColor="text1"/>
          <w:highlight w:val="none"/>
          <w14:textFill>
            <w14:solidFill>
              <w14:schemeClr w14:val="tx1"/>
            </w14:solidFill>
          </w14:textFill>
        </w:rPr>
        <w:t>～大湾</w:t>
      </w:r>
      <w:r>
        <w:rPr>
          <w:rFonts w:hint="eastAsia" w:cs="Times New Roman"/>
          <w:color w:val="000000" w:themeColor="text1"/>
          <w:highlight w:val="none"/>
          <w:lang w:eastAsia="zh-CN"/>
          <w14:textFill>
            <w14:solidFill>
              <w14:schemeClr w14:val="tx1"/>
            </w14:solidFill>
          </w14:textFill>
        </w:rPr>
        <w:t>408试采站</w:t>
      </w:r>
      <w:r>
        <w:rPr>
          <w:rFonts w:cs="Times New Roman"/>
          <w:color w:val="000000" w:themeColor="text1"/>
          <w:highlight w:val="none"/>
          <w14:textFill>
            <w14:solidFill>
              <w14:schemeClr w14:val="tx1"/>
            </w14:solidFill>
          </w14:textFill>
        </w:rPr>
        <w:t>之间的采气管道</w:t>
      </w:r>
      <w:r>
        <w:rPr>
          <w:rFonts w:hint="eastAsia" w:cs="Times New Roman"/>
          <w:color w:val="000000" w:themeColor="text1"/>
          <w:highlight w:val="none"/>
          <w14:textFill>
            <w14:solidFill>
              <w14:schemeClr w14:val="tx1"/>
            </w14:solidFill>
          </w14:textFill>
        </w:rPr>
        <w:t>考虑施工期对周边环境空气的影响，对管线沿线两侧2</w:t>
      </w:r>
      <w:r>
        <w:rPr>
          <w:rFonts w:cs="Times New Roman"/>
          <w:color w:val="000000" w:themeColor="text1"/>
          <w:highlight w:val="none"/>
          <w14:textFill>
            <w14:solidFill>
              <w14:schemeClr w14:val="tx1"/>
            </w14:solidFill>
          </w14:textFill>
        </w:rPr>
        <w:t>00</w:t>
      </w:r>
      <w:r>
        <w:rPr>
          <w:rFonts w:hint="eastAsia" w:cs="Times New Roman"/>
          <w:color w:val="000000" w:themeColor="text1"/>
          <w:highlight w:val="none"/>
          <w14:textFill>
            <w14:solidFill>
              <w14:schemeClr w14:val="tx1"/>
            </w14:solidFill>
          </w14:textFill>
        </w:rPr>
        <w:t>m范围内的居民等敏感目标进行调查</w:t>
      </w:r>
      <w:r>
        <w:rPr>
          <w:rFonts w:cs="Times New Roman"/>
          <w:bCs/>
          <w:color w:val="000000" w:themeColor="text1"/>
          <w:szCs w:val="24"/>
          <w:highlight w:val="none"/>
          <w14:textFill>
            <w14:solidFill>
              <w14:schemeClr w14:val="tx1"/>
            </w14:solidFill>
          </w14:textFill>
        </w:rPr>
        <w:t>。环境空气保护目标见表2.9-3</w:t>
      </w:r>
      <w:r>
        <w:rPr>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本项目主要环境空气保护目标一览表（井场、试采站及管线）</w:t>
      </w:r>
    </w:p>
    <w:tbl>
      <w:tblPr>
        <w:tblStyle w:val="54"/>
        <w:tblW w:w="50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53"/>
        <w:gridCol w:w="1306"/>
        <w:gridCol w:w="1234"/>
        <w:gridCol w:w="539"/>
        <w:gridCol w:w="933"/>
        <w:gridCol w:w="347"/>
        <w:gridCol w:w="449"/>
        <w:gridCol w:w="1192"/>
        <w:gridCol w:w="1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9" w:type="pct"/>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bookmarkStart w:id="108" w:name="_Ref20550"/>
            <w:bookmarkStart w:id="109" w:name="_Toc140496890"/>
            <w:r>
              <w:rPr>
                <w:b/>
                <w:bCs/>
                <w:color w:val="000000" w:themeColor="text1"/>
                <w:highlight w:val="none"/>
                <w14:textFill>
                  <w14:solidFill>
                    <w14:schemeClr w14:val="tx1"/>
                  </w14:solidFill>
                </w14:textFill>
              </w:rPr>
              <w:t>名称</w:t>
            </w:r>
          </w:p>
        </w:tc>
        <w:tc>
          <w:tcPr>
            <w:tcW w:w="1517" w:type="pct"/>
            <w:gridSpan w:val="2"/>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经纬度</w:t>
            </w:r>
          </w:p>
        </w:tc>
        <w:tc>
          <w:tcPr>
            <w:tcW w:w="322" w:type="pct"/>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保护</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对象</w:t>
            </w:r>
          </w:p>
        </w:tc>
        <w:tc>
          <w:tcPr>
            <w:tcW w:w="557" w:type="pct"/>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保护内容</w:t>
            </w:r>
          </w:p>
        </w:tc>
        <w:tc>
          <w:tcPr>
            <w:tcW w:w="207" w:type="pct"/>
            <w:vMerge w:val="restart"/>
            <w:tcBorders>
              <w:top w:val="single" w:color="auto" w:sz="4" w:space="0"/>
              <w:left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环境功能区</w:t>
            </w:r>
          </w:p>
        </w:tc>
        <w:tc>
          <w:tcPr>
            <w:tcW w:w="1705" w:type="pct"/>
            <w:gridSpan w:val="3"/>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大湾4</w:t>
            </w:r>
            <w:r>
              <w:rPr>
                <w:b/>
                <w:bCs/>
                <w:color w:val="000000" w:themeColor="text1"/>
                <w:highlight w:val="none"/>
                <w14:textFill>
                  <w14:solidFill>
                    <w14:schemeClr w14:val="tx1"/>
                  </w14:solidFill>
                </w14:textFill>
              </w:rPr>
              <w:t>08</w:t>
            </w:r>
            <w:r>
              <w:rPr>
                <w:rFonts w:hint="eastAsia"/>
                <w:b/>
                <w:bCs/>
                <w:color w:val="000000" w:themeColor="text1"/>
                <w:highlight w:val="none"/>
                <w14:textFill>
                  <w14:solidFill>
                    <w14:schemeClr w14:val="tx1"/>
                  </w14:solidFill>
                </w14:textFill>
              </w:rPr>
              <w:t>-3井场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9" w:type="pct"/>
            <w:vMerge w:val="continue"/>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780"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经度</w:t>
            </w:r>
          </w:p>
        </w:tc>
        <w:tc>
          <w:tcPr>
            <w:tcW w:w="737"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纬度</w:t>
            </w:r>
          </w:p>
        </w:tc>
        <w:tc>
          <w:tcPr>
            <w:tcW w:w="322" w:type="pct"/>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p>
        </w:tc>
        <w:tc>
          <w:tcPr>
            <w:tcW w:w="557" w:type="pct"/>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p>
        </w:tc>
        <w:tc>
          <w:tcPr>
            <w:tcW w:w="207" w:type="pct"/>
            <w:vMerge w:val="continue"/>
            <w:tcBorders>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p>
        </w:tc>
        <w:tc>
          <w:tcPr>
            <w:tcW w:w="268"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方位</w:t>
            </w:r>
          </w:p>
        </w:tc>
        <w:tc>
          <w:tcPr>
            <w:tcW w:w="712" w:type="pct"/>
            <w:tcBorders>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井口距离/m</w:t>
            </w:r>
          </w:p>
        </w:tc>
        <w:tc>
          <w:tcPr>
            <w:tcW w:w="724"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场界距离/m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9"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#居民点</w:t>
            </w:r>
            <w:r>
              <w:rPr>
                <w:rFonts w:hint="eastAsia"/>
                <w:color w:val="000000" w:themeColor="text1"/>
                <w:szCs w:val="21"/>
                <w:highlight w:val="none"/>
                <w14:textFill>
                  <w14:solidFill>
                    <w14:schemeClr w14:val="tx1"/>
                  </w14:solidFill>
                </w14:textFill>
              </w:rPr>
              <w:t>（炉旺村）</w:t>
            </w:r>
          </w:p>
        </w:tc>
        <w:tc>
          <w:tcPr>
            <w:tcW w:w="780" w:type="pct"/>
            <w:tcBorders>
              <w:top w:val="single" w:color="auto" w:sz="4" w:space="0"/>
              <w:left w:val="single" w:color="auto" w:sz="4" w:space="0"/>
              <w:bottom w:val="single" w:color="auto" w:sz="4" w:space="0"/>
              <w:right w:val="single" w:color="auto" w:sz="4" w:space="0"/>
            </w:tcBorders>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737" w:type="pct"/>
            <w:tcBorders>
              <w:top w:val="single" w:color="auto" w:sz="4" w:space="0"/>
              <w:left w:val="single" w:color="auto" w:sz="4" w:space="0"/>
              <w:bottom w:val="single" w:color="auto" w:sz="4" w:space="0"/>
              <w:right w:val="single" w:color="auto" w:sz="4" w:space="0"/>
            </w:tcBorders>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3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居民</w:t>
            </w:r>
          </w:p>
        </w:tc>
        <w:tc>
          <w:tcPr>
            <w:tcW w:w="557"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5</w:t>
            </w:r>
            <w:r>
              <w:rPr>
                <w:color w:val="000000" w:themeColor="text1"/>
                <w:szCs w:val="21"/>
                <w:highlight w:val="none"/>
                <w14:textFill>
                  <w14:solidFill>
                    <w14:schemeClr w14:val="tx1"/>
                  </w14:solidFill>
                </w14:textFill>
              </w:rPr>
              <w:t>户，约</w:t>
            </w: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00人</w:t>
            </w:r>
          </w:p>
        </w:tc>
        <w:tc>
          <w:tcPr>
            <w:tcW w:w="207"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二类</w:t>
            </w:r>
          </w:p>
        </w:tc>
        <w:tc>
          <w:tcPr>
            <w:tcW w:w="26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西侧</w:t>
            </w:r>
          </w:p>
        </w:tc>
        <w:tc>
          <w:tcPr>
            <w:tcW w:w="71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w:t>
            </w:r>
            <w:r>
              <w:rPr>
                <w:rFonts w:hint="eastAsia"/>
                <w:color w:val="000000" w:themeColor="text1"/>
                <w:szCs w:val="21"/>
                <w:highlight w:val="none"/>
                <w14:textFill>
                  <w14:solidFill>
                    <w14:schemeClr w14:val="tx1"/>
                  </w14:solidFill>
                </w14:textFill>
              </w:rPr>
              <w:t>83~1270</w:t>
            </w:r>
          </w:p>
        </w:tc>
        <w:tc>
          <w:tcPr>
            <w:tcW w:w="724"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w:t>
            </w:r>
            <w:r>
              <w:rPr>
                <w:rFonts w:hint="eastAsia"/>
                <w:color w:val="000000" w:themeColor="text1"/>
                <w:szCs w:val="21"/>
                <w:highlight w:val="none"/>
                <w14:textFill>
                  <w14:solidFill>
                    <w14:schemeClr w14:val="tx1"/>
                  </w14:solidFill>
                </w14:textFill>
              </w:rPr>
              <w:t>67~1130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9"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#居民点</w:t>
            </w:r>
            <w:r>
              <w:rPr>
                <w:rFonts w:hint="eastAsia"/>
                <w:color w:val="000000" w:themeColor="text1"/>
                <w:szCs w:val="21"/>
                <w:highlight w:val="none"/>
                <w14:textFill>
                  <w14:solidFill>
                    <w14:schemeClr w14:val="tx1"/>
                  </w14:solidFill>
                </w14:textFill>
              </w:rPr>
              <w:t>（炉旺村）</w:t>
            </w:r>
          </w:p>
        </w:tc>
        <w:tc>
          <w:tcPr>
            <w:tcW w:w="780" w:type="pct"/>
            <w:tcBorders>
              <w:top w:val="single" w:color="auto" w:sz="4" w:space="0"/>
              <w:left w:val="single" w:color="auto" w:sz="4" w:space="0"/>
              <w:bottom w:val="single" w:color="auto" w:sz="4" w:space="0"/>
              <w:right w:val="single" w:color="auto" w:sz="4" w:space="0"/>
            </w:tcBorders>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737" w:type="pct"/>
            <w:tcBorders>
              <w:top w:val="single" w:color="auto" w:sz="4" w:space="0"/>
              <w:left w:val="single" w:color="auto" w:sz="4" w:space="0"/>
              <w:bottom w:val="single" w:color="auto" w:sz="4" w:space="0"/>
              <w:right w:val="single" w:color="auto" w:sz="4" w:space="0"/>
            </w:tcBorders>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3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居民</w:t>
            </w:r>
          </w:p>
        </w:tc>
        <w:tc>
          <w:tcPr>
            <w:tcW w:w="557"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35</w:t>
            </w:r>
            <w:r>
              <w:rPr>
                <w:color w:val="000000" w:themeColor="text1"/>
                <w:szCs w:val="21"/>
                <w:highlight w:val="none"/>
                <w14:textFill>
                  <w14:solidFill>
                    <w14:schemeClr w14:val="tx1"/>
                  </w14:solidFill>
                </w14:textFill>
              </w:rPr>
              <w:t>户，约</w:t>
            </w: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40人</w:t>
            </w:r>
          </w:p>
        </w:tc>
        <w:tc>
          <w:tcPr>
            <w:tcW w:w="207"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二类</w:t>
            </w:r>
          </w:p>
        </w:tc>
        <w:tc>
          <w:tcPr>
            <w:tcW w:w="26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西</w:t>
            </w:r>
          </w:p>
        </w:tc>
        <w:tc>
          <w:tcPr>
            <w:tcW w:w="71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1890~</w:t>
            </w:r>
            <w:r>
              <w:rPr>
                <w:color w:val="000000" w:themeColor="text1"/>
                <w:szCs w:val="21"/>
                <w:highlight w:val="none"/>
                <w14:textFill>
                  <w14:solidFill>
                    <w14:schemeClr w14:val="tx1"/>
                  </w14:solidFill>
                </w14:textFill>
              </w:rPr>
              <w:t>2200</w:t>
            </w:r>
          </w:p>
        </w:tc>
        <w:tc>
          <w:tcPr>
            <w:tcW w:w="724"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1181~</w:t>
            </w: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0</w:t>
            </w:r>
            <w:r>
              <w:rPr>
                <w:color w:val="000000" w:themeColor="text1"/>
                <w:szCs w:val="21"/>
                <w:highlight w:val="none"/>
                <w14:textFill>
                  <w14:solidFill>
                    <w14:schemeClr w14:val="tx1"/>
                  </w14:solidFill>
                </w14:textFill>
              </w:rPr>
              <w:t>8</w:t>
            </w:r>
            <w:r>
              <w:rPr>
                <w:rFonts w:hint="eastAsia"/>
                <w:color w:val="000000" w:themeColor="text1"/>
                <w:szCs w:val="21"/>
                <w:highlight w:val="none"/>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9"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#居民点</w:t>
            </w:r>
            <w:r>
              <w:rPr>
                <w:rFonts w:hint="eastAsia"/>
                <w:color w:val="000000" w:themeColor="text1"/>
                <w:szCs w:val="21"/>
                <w:highlight w:val="none"/>
                <w14:textFill>
                  <w14:solidFill>
                    <w14:schemeClr w14:val="tx1"/>
                  </w14:solidFill>
                </w14:textFill>
              </w:rPr>
              <w:t>（炉旺村）</w:t>
            </w:r>
          </w:p>
        </w:tc>
        <w:tc>
          <w:tcPr>
            <w:tcW w:w="780" w:type="pct"/>
            <w:tcBorders>
              <w:top w:val="single" w:color="auto" w:sz="4" w:space="0"/>
              <w:left w:val="single" w:color="auto" w:sz="4" w:space="0"/>
              <w:bottom w:val="single" w:color="auto" w:sz="4" w:space="0"/>
              <w:right w:val="single" w:color="auto" w:sz="4" w:space="0"/>
            </w:tcBorders>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737" w:type="pct"/>
            <w:tcBorders>
              <w:top w:val="single" w:color="auto" w:sz="4" w:space="0"/>
              <w:left w:val="single" w:color="auto" w:sz="4" w:space="0"/>
              <w:bottom w:val="single" w:color="auto" w:sz="4" w:space="0"/>
              <w:right w:val="single" w:color="auto" w:sz="4" w:space="0"/>
            </w:tcBorders>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3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居民</w:t>
            </w:r>
          </w:p>
        </w:tc>
        <w:tc>
          <w:tcPr>
            <w:tcW w:w="557"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52户，208人</w:t>
            </w:r>
          </w:p>
        </w:tc>
        <w:tc>
          <w:tcPr>
            <w:tcW w:w="207"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二类</w:t>
            </w:r>
          </w:p>
        </w:tc>
        <w:tc>
          <w:tcPr>
            <w:tcW w:w="26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西南</w:t>
            </w:r>
          </w:p>
        </w:tc>
        <w:tc>
          <w:tcPr>
            <w:tcW w:w="71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1405~2500</w:t>
            </w:r>
          </w:p>
        </w:tc>
        <w:tc>
          <w:tcPr>
            <w:tcW w:w="724"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1366~2500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#居民点</w:t>
            </w:r>
            <w:r>
              <w:rPr>
                <w:rFonts w:hint="eastAsia"/>
                <w:color w:val="000000" w:themeColor="text1"/>
                <w:szCs w:val="21"/>
                <w:highlight w:val="none"/>
                <w14:textFill>
                  <w14:solidFill>
                    <w14:schemeClr w14:val="tx1"/>
                  </w14:solidFill>
                </w14:textFill>
              </w:rPr>
              <w:t>（贾口村）</w:t>
            </w:r>
          </w:p>
        </w:tc>
        <w:tc>
          <w:tcPr>
            <w:tcW w:w="780" w:type="pct"/>
            <w:tcBorders>
              <w:top w:val="single" w:color="auto" w:sz="4" w:space="0"/>
              <w:left w:val="single" w:color="auto" w:sz="4" w:space="0"/>
              <w:bottom w:val="single" w:color="auto" w:sz="4" w:space="0"/>
              <w:right w:val="single" w:color="auto" w:sz="4" w:space="0"/>
            </w:tcBorders>
            <w:shd w:val="clear" w:color="auto" w:fill="auto"/>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737" w:type="pct"/>
            <w:tcBorders>
              <w:top w:val="single" w:color="auto" w:sz="4" w:space="0"/>
              <w:left w:val="single" w:color="auto" w:sz="4" w:space="0"/>
              <w:bottom w:val="single" w:color="auto" w:sz="4" w:space="0"/>
              <w:right w:val="single" w:color="auto" w:sz="4" w:space="0"/>
            </w:tcBorders>
            <w:shd w:val="clear" w:color="auto" w:fill="auto"/>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32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居民</w:t>
            </w:r>
          </w:p>
        </w:tc>
        <w:tc>
          <w:tcPr>
            <w:tcW w:w="55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17户，78人</w:t>
            </w:r>
          </w:p>
        </w:tc>
        <w:tc>
          <w:tcPr>
            <w:tcW w:w="2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二类</w:t>
            </w:r>
          </w:p>
        </w:tc>
        <w:tc>
          <w:tcPr>
            <w:tcW w:w="26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东南</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1352~2500</w:t>
            </w:r>
          </w:p>
        </w:tc>
        <w:tc>
          <w:tcPr>
            <w:tcW w:w="7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1234~2500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9"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5#居民点（海棠村）</w:t>
            </w:r>
          </w:p>
        </w:tc>
        <w:tc>
          <w:tcPr>
            <w:tcW w:w="780" w:type="pct"/>
            <w:tcBorders>
              <w:top w:val="single" w:color="auto" w:sz="4" w:space="0"/>
              <w:left w:val="single" w:color="auto" w:sz="4" w:space="0"/>
              <w:bottom w:val="single" w:color="auto" w:sz="4" w:space="0"/>
              <w:right w:val="single" w:color="auto" w:sz="4" w:space="0"/>
            </w:tcBorders>
            <w:shd w:val="clear" w:color="auto" w:fill="auto"/>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737" w:type="pct"/>
            <w:tcBorders>
              <w:top w:val="single" w:color="auto" w:sz="4" w:space="0"/>
              <w:left w:val="single" w:color="auto" w:sz="4" w:space="0"/>
              <w:bottom w:val="single" w:color="auto" w:sz="4" w:space="0"/>
              <w:right w:val="single" w:color="auto" w:sz="4" w:space="0"/>
            </w:tcBorders>
            <w:shd w:val="clear" w:color="auto" w:fill="auto"/>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32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居民</w:t>
            </w:r>
          </w:p>
        </w:tc>
        <w:tc>
          <w:tcPr>
            <w:tcW w:w="55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7户，28人</w:t>
            </w:r>
          </w:p>
        </w:tc>
        <w:tc>
          <w:tcPr>
            <w:tcW w:w="207"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二类</w:t>
            </w:r>
          </w:p>
        </w:tc>
        <w:tc>
          <w:tcPr>
            <w:tcW w:w="268"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北</w:t>
            </w:r>
          </w:p>
        </w:tc>
        <w:tc>
          <w:tcPr>
            <w:tcW w:w="712"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1672~1870</w:t>
            </w:r>
          </w:p>
        </w:tc>
        <w:tc>
          <w:tcPr>
            <w:tcW w:w="724" w:type="pc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1684~1851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9"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6#居民点</w:t>
            </w:r>
          </w:p>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（海棠村）</w:t>
            </w:r>
          </w:p>
        </w:tc>
        <w:tc>
          <w:tcPr>
            <w:tcW w:w="780" w:type="pct"/>
            <w:tcBorders>
              <w:top w:val="single" w:color="auto" w:sz="4" w:space="0"/>
              <w:left w:val="single" w:color="auto" w:sz="4" w:space="0"/>
              <w:bottom w:val="single" w:color="auto" w:sz="4" w:space="0"/>
              <w:right w:val="single" w:color="auto" w:sz="4" w:space="0"/>
            </w:tcBorders>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737" w:type="pct"/>
            <w:tcBorders>
              <w:top w:val="single" w:color="auto" w:sz="4" w:space="0"/>
              <w:left w:val="single" w:color="auto" w:sz="4" w:space="0"/>
              <w:bottom w:val="single" w:color="auto" w:sz="4" w:space="0"/>
              <w:right w:val="single" w:color="auto" w:sz="4" w:space="0"/>
            </w:tcBorders>
            <w:vAlign w:val="center"/>
          </w:tcPr>
          <w:p>
            <w:pPr>
              <w:ind w:firstLine="480" w:firstLineChars="200"/>
              <w:rPr>
                <w:color w:val="000000" w:themeColor="text1"/>
                <w:szCs w:val="21"/>
                <w:highlight w:val="none"/>
                <w14:textFill>
                  <w14:solidFill>
                    <w14:schemeClr w14:val="tx1"/>
                  </w14:solidFill>
                </w14:textFill>
              </w:rPr>
            </w:pPr>
            <w:r>
              <w:rPr>
                <w:rFonts w:hint="eastAsia"/>
              </w:rPr>
              <w:t>***</w:t>
            </w:r>
          </w:p>
        </w:tc>
        <w:tc>
          <w:tcPr>
            <w:tcW w:w="3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居民</w:t>
            </w:r>
          </w:p>
        </w:tc>
        <w:tc>
          <w:tcPr>
            <w:tcW w:w="557"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27户，约108人</w:t>
            </w:r>
          </w:p>
        </w:tc>
        <w:tc>
          <w:tcPr>
            <w:tcW w:w="207"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二类</w:t>
            </w:r>
          </w:p>
        </w:tc>
        <w:tc>
          <w:tcPr>
            <w:tcW w:w="26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西北</w:t>
            </w:r>
          </w:p>
        </w:tc>
        <w:tc>
          <w:tcPr>
            <w:tcW w:w="71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2036~2500</w:t>
            </w:r>
          </w:p>
        </w:tc>
        <w:tc>
          <w:tcPr>
            <w:tcW w:w="724"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1947~2500</w:t>
            </w:r>
          </w:p>
        </w:tc>
      </w:tr>
      <w:bookmarkEnd w:id="108"/>
      <w:bookmarkEnd w:id="109"/>
    </w:tbl>
    <w:p>
      <w:pPr>
        <w:pStyle w:val="203"/>
        <w:spacing w:before="120"/>
        <w:rPr>
          <w:color w:val="000000" w:themeColor="text1"/>
          <w:highlight w:val="none"/>
          <w14:textFill>
            <w14:solidFill>
              <w14:schemeClr w14:val="tx1"/>
            </w14:solidFill>
          </w14:textFill>
        </w:rPr>
      </w:pPr>
    </w:p>
    <w:p>
      <w:pPr>
        <w:pStyle w:val="5"/>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土壤保护目标</w:t>
      </w:r>
    </w:p>
    <w:p>
      <w:pPr>
        <w:tabs>
          <w:tab w:val="left" w:pos="0"/>
        </w:tabs>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根据本次现状监测结果，本项目所在地周边土壤以棕色土壤为主。本项目土壤环境保护目标主要为项目占地范围以及占地范围外0.2km内的耕地（含基本农田）、</w:t>
      </w:r>
      <w:r>
        <w:rPr>
          <w:rFonts w:hint="eastAsia"/>
          <w:bCs/>
          <w:color w:val="000000" w:themeColor="text1"/>
          <w:szCs w:val="24"/>
          <w:highlight w:val="none"/>
          <w14:textFill>
            <w14:solidFill>
              <w14:schemeClr w14:val="tx1"/>
            </w14:solidFill>
          </w14:textFill>
        </w:rPr>
        <w:t>林</w:t>
      </w:r>
      <w:r>
        <w:rPr>
          <w:bCs/>
          <w:color w:val="000000" w:themeColor="text1"/>
          <w:szCs w:val="24"/>
          <w:highlight w:val="none"/>
          <w14:textFill>
            <w14:solidFill>
              <w14:schemeClr w14:val="tx1"/>
            </w14:solidFill>
          </w14:textFill>
        </w:rPr>
        <w:t>地等。</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环境风险保护目标</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本项目环境风险潜势划分为Ⅱ，根据《建设项目环境风险评价技术导则》（HJ 169-2018），对本项目需做“三级评价”，</w:t>
      </w:r>
      <w:r>
        <w:rPr>
          <w:rFonts w:cs="Times New Roman"/>
          <w:color w:val="000000" w:themeColor="text1"/>
          <w:szCs w:val="24"/>
          <w:highlight w:val="none"/>
          <w14:textFill>
            <w14:solidFill>
              <w14:schemeClr w14:val="tx1"/>
            </w14:solidFill>
          </w14:textFill>
        </w:rPr>
        <w:t>但考虑到硫化氢毒性较大，一旦发生井喷事故后对环境空气影响较大，进而会对周边居民生命财产安全造成影响，因此本次评价将环境风险评价等级中的大气环境定为二级，地下水环境、地表水环境仍为三级评价，</w:t>
      </w:r>
      <w:r>
        <w:rPr>
          <w:rFonts w:hint="eastAsia" w:cs="Times New Roman"/>
          <w:color w:val="000000" w:themeColor="text1"/>
          <w:szCs w:val="24"/>
          <w:highlight w:val="none"/>
          <w14:textFill>
            <w14:solidFill>
              <w14:schemeClr w14:val="tx1"/>
            </w14:solidFill>
          </w14:textFill>
        </w:rPr>
        <w:t>考虑到事故状态下的环境风险较大，本次评价环境风险等级按照</w:t>
      </w:r>
      <w:r>
        <w:rPr>
          <w:rFonts w:cs="Times New Roman"/>
          <w:color w:val="000000" w:themeColor="text1"/>
          <w:szCs w:val="24"/>
          <w:highlight w:val="none"/>
          <w14:textFill>
            <w14:solidFill>
              <w14:schemeClr w14:val="tx1"/>
            </w14:solidFill>
          </w14:textFill>
        </w:rPr>
        <w:t>二级</w:t>
      </w:r>
      <w:r>
        <w:rPr>
          <w:rFonts w:hint="eastAsia" w:cs="Times New Roman"/>
          <w:color w:val="000000" w:themeColor="text1"/>
          <w:szCs w:val="24"/>
          <w:highlight w:val="none"/>
          <w14:textFill>
            <w14:solidFill>
              <w14:schemeClr w14:val="tx1"/>
            </w14:solidFill>
          </w14:textFill>
        </w:rPr>
        <w:t>进行评价，本次评价</w:t>
      </w:r>
      <w:r>
        <w:rPr>
          <w:rFonts w:cs="Times New Roman"/>
          <w:color w:val="000000" w:themeColor="text1"/>
          <w:szCs w:val="24"/>
          <w:highlight w:val="none"/>
          <w14:textFill>
            <w14:solidFill>
              <w14:schemeClr w14:val="tx1"/>
            </w14:solidFill>
          </w14:textFill>
        </w:rPr>
        <w:t>地下水环境、地表水环境不设置环境风险评价范围，只对涉及的危险物质、环境影响途径、环境危害、风险防范措施等方面给出定性的说明；大气环境风险评价范围确定为井口周边5km范围</w:t>
      </w:r>
      <w:r>
        <w:rPr>
          <w:rFonts w:hint="eastAsia" w:cs="Times New Roman"/>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项目周边环境风险保护目标具体见下表。</w:t>
      </w:r>
    </w:p>
    <w:p>
      <w:pPr>
        <w:pStyle w:val="203"/>
        <w:spacing w:before="120"/>
        <w:rPr>
          <w:color w:val="000000" w:themeColor="text1"/>
          <w:highlight w:val="none"/>
          <w14:textFill>
            <w14:solidFill>
              <w14:schemeClr w14:val="tx1"/>
            </w14:solidFill>
          </w14:textFill>
        </w:rPr>
      </w:pPr>
      <w:bookmarkStart w:id="110" w:name="_Ref1683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110"/>
      <w:r>
        <w:rPr>
          <w:rFonts w:hint="eastAsia"/>
          <w:color w:val="000000" w:themeColor="text1"/>
          <w:highlight w:val="none"/>
          <w:lang w:val="en-US" w:eastAsia="zh-CN"/>
          <w14:textFill>
            <w14:solidFill>
              <w14:schemeClr w14:val="tx1"/>
            </w14:solidFill>
          </w14:textFill>
        </w:rPr>
        <w:t>4</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本项目环境风险保护目标一览表</w:t>
      </w:r>
    </w:p>
    <w:tbl>
      <w:tblPr>
        <w:tblStyle w:val="54"/>
        <w:tblW w:w="48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3"/>
        <w:gridCol w:w="720"/>
        <w:gridCol w:w="1174"/>
        <w:gridCol w:w="584"/>
        <w:gridCol w:w="291"/>
        <w:gridCol w:w="1455"/>
        <w:gridCol w:w="289"/>
        <w:gridCol w:w="1165"/>
        <w:gridCol w:w="1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类别</w:t>
            </w:r>
          </w:p>
        </w:tc>
        <w:tc>
          <w:tcPr>
            <w:tcW w:w="7400" w:type="dxa"/>
            <w:gridSpan w:val="8"/>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大气环境敏感特征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环境空气</w:t>
            </w:r>
          </w:p>
        </w:tc>
        <w:tc>
          <w:tcPr>
            <w:tcW w:w="7400" w:type="dxa"/>
            <w:gridSpan w:val="8"/>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井场周边500m范围与管线沿线两侧200m范围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序号</w:t>
            </w: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敏感目标名称</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相对方位</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lang w:bidi="ar"/>
                <w14:textFill>
                  <w14:solidFill>
                    <w14:schemeClr w14:val="tx1"/>
                  </w14:solidFill>
                </w14:textFill>
              </w:rPr>
              <w:t>相对井口</w:t>
            </w:r>
            <w:r>
              <w:rPr>
                <w:color w:val="000000" w:themeColor="text1"/>
                <w:highlight w:val="none"/>
                <w:lang w:bidi="ar"/>
                <w14:textFill>
                  <w14:solidFill>
                    <w14:schemeClr w14:val="tx1"/>
                  </w14:solidFill>
                </w14:textFill>
              </w:rPr>
              <w:t>距离/m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属性</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lang w:bidi="ar"/>
                <w14:textFill>
                  <w14:solidFill>
                    <w14:schemeClr w14:val="tx1"/>
                  </w14:solidFill>
                </w14:textFill>
              </w:rPr>
              <w:t>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长征</w:t>
            </w:r>
            <w:r>
              <w:rPr>
                <w:color w:val="000000" w:themeColor="text1"/>
                <w:highlight w:val="none"/>
                <w14:textFill>
                  <w14:solidFill>
                    <w14:schemeClr w14:val="tx1"/>
                  </w14:solidFill>
                </w14:textFill>
              </w:rPr>
              <w:t>村</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西</w:t>
            </w:r>
            <w:r>
              <w:rPr>
                <w:rFonts w:hint="eastAsia"/>
                <w:color w:val="000000" w:themeColor="text1"/>
                <w:highlight w:val="none"/>
                <w14:textFill>
                  <w14:solidFill>
                    <w14:schemeClr w14:val="tx1"/>
                  </w14:solidFill>
                </w14:textFill>
              </w:rPr>
              <w:t>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1800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约220户880人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炉旺</w:t>
            </w:r>
            <w:r>
              <w:rPr>
                <w:color w:val="000000" w:themeColor="text1"/>
                <w:highlight w:val="none"/>
                <w14:textFill>
                  <w14:solidFill>
                    <w14:schemeClr w14:val="tx1"/>
                  </w14:solidFill>
                </w14:textFill>
              </w:rPr>
              <w:t>村</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约300户1200人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大水凼</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约150户600人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海棠</w:t>
            </w:r>
            <w:r>
              <w:rPr>
                <w:color w:val="000000" w:themeColor="text1"/>
                <w:highlight w:val="none"/>
                <w14:textFill>
                  <w14:solidFill>
                    <w14:schemeClr w14:val="tx1"/>
                  </w14:solidFill>
                </w14:textFill>
              </w:rPr>
              <w:t>村</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西北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t>2200m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约210户840人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lang w:bidi="ar"/>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田家营村</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西北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59</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约250户1000人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lang w:bidi="ar"/>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火石岭村</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90</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4300m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约230户920人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lang w:bidi="ar"/>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罗文</w:t>
            </w:r>
            <w:r>
              <w:rPr>
                <w:color w:val="000000" w:themeColor="text1"/>
                <w:highlight w:val="none"/>
                <w14:textFill>
                  <w14:solidFill>
                    <w14:schemeClr w14:val="tx1"/>
                  </w14:solidFill>
                </w14:textFill>
              </w:rPr>
              <w:t>镇场镇</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00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集中居民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约5000人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lang w:bidi="ar"/>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苟家寨</w:t>
            </w:r>
            <w:r>
              <w:rPr>
                <w:color w:val="000000" w:themeColor="text1"/>
                <w:highlight w:val="none"/>
                <w14:textFill>
                  <w14:solidFill>
                    <w14:schemeClr w14:val="tx1"/>
                  </w14:solidFill>
                </w14:textFill>
              </w:rPr>
              <w:t>村</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东北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42</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约190户760人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lang w:bidi="ar"/>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慈竹</w:t>
            </w:r>
            <w:r>
              <w:rPr>
                <w:color w:val="000000" w:themeColor="text1"/>
                <w:highlight w:val="none"/>
                <w14:textFill>
                  <w14:solidFill>
                    <w14:schemeClr w14:val="tx1"/>
                  </w14:solidFill>
                </w14:textFill>
              </w:rPr>
              <w:t>村</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82</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约110户440人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lang w:bidi="ar"/>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贾口</w:t>
            </w:r>
            <w:r>
              <w:rPr>
                <w:color w:val="000000" w:themeColor="text1"/>
                <w:highlight w:val="none"/>
                <w14:textFill>
                  <w14:solidFill>
                    <w14:schemeClr w14:val="tx1"/>
                  </w14:solidFill>
                </w14:textFill>
              </w:rPr>
              <w:t>村</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东南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15</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约180户720人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lang w:bidi="ar"/>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独坪</w:t>
            </w:r>
            <w:r>
              <w:rPr>
                <w:color w:val="000000" w:themeColor="text1"/>
                <w:highlight w:val="none"/>
                <w14:textFill>
                  <w14:solidFill>
                    <w14:schemeClr w14:val="tx1"/>
                  </w14:solidFill>
                </w14:textFill>
              </w:rPr>
              <w:t>村</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25</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分散居民</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约200户800人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lang w:bidi="ar"/>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毛坝镇饶坝</w:t>
            </w:r>
            <w:r>
              <w:rPr>
                <w:color w:val="000000" w:themeColor="text1"/>
                <w:highlight w:val="none"/>
                <w14:textFill>
                  <w14:solidFill>
                    <w14:schemeClr w14:val="tx1"/>
                  </w14:solidFill>
                </w14:textFill>
              </w:rPr>
              <w:t>小学</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西南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约4</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师生</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师生约200人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numPr>
                <w:ilvl w:val="0"/>
                <w:numId w:val="8"/>
              </w:numPr>
              <w:rPr>
                <w:color w:val="000000" w:themeColor="text1"/>
                <w:highlight w:val="none"/>
                <w:lang w:bidi="ar"/>
                <w14:textFill>
                  <w14:solidFill>
                    <w14:schemeClr w14:val="tx1"/>
                  </w14:solidFill>
                </w14:textFill>
              </w:rPr>
            </w:pPr>
          </w:p>
        </w:tc>
        <w:tc>
          <w:tcPr>
            <w:tcW w:w="117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万源市第四中</w:t>
            </w:r>
            <w:r>
              <w:rPr>
                <w:color w:val="000000" w:themeColor="text1"/>
                <w:highlight w:val="none"/>
                <w14:textFill>
                  <w14:solidFill>
                    <w14:schemeClr w14:val="tx1"/>
                  </w14:solidFill>
                </w14:textFill>
              </w:rPr>
              <w:t>学</w:t>
            </w:r>
          </w:p>
        </w:tc>
        <w:tc>
          <w:tcPr>
            <w:tcW w:w="87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北</w:t>
            </w:r>
          </w:p>
        </w:tc>
        <w:tc>
          <w:tcPr>
            <w:tcW w:w="145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80</w:t>
            </w:r>
            <w:r>
              <w:rPr>
                <w:color w:val="000000" w:themeColor="text1"/>
                <w:highlight w:val="none"/>
                <w14:textFill>
                  <w14:solidFill>
                    <w14:schemeClr w14:val="tx1"/>
                  </w14:solidFill>
                </w14:textFill>
              </w:rPr>
              <w:t>0m</w:t>
            </w:r>
          </w:p>
        </w:tc>
        <w:tc>
          <w:tcPr>
            <w:tcW w:w="14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师生</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师生约900人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5677" w:type="dxa"/>
            <w:gridSpan w:val="7"/>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项目周边5000m范围内人口数小计</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约</w:t>
            </w:r>
            <w:r>
              <w:rPr>
                <w:rFonts w:hint="eastAsia"/>
                <w:color w:val="000000" w:themeColor="text1"/>
                <w:highlight w:val="none"/>
                <w:lang w:bidi="ar"/>
                <w14:textFill>
                  <w14:solidFill>
                    <w14:schemeClr w14:val="tx1"/>
                  </w14:solidFill>
                </w14:textFill>
              </w:rPr>
              <w:t>14260</w:t>
            </w:r>
            <w:r>
              <w:rPr>
                <w:color w:val="000000" w:themeColor="text1"/>
                <w:highlight w:val="none"/>
                <w:lang w:bidi="ar"/>
                <w14:textFill>
                  <w14:solidFill>
                    <w14:schemeClr w14:val="tx1"/>
                  </w14:solidFill>
                </w14:textFill>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地下水</w:t>
            </w: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序号</w:t>
            </w:r>
          </w:p>
        </w:tc>
        <w:tc>
          <w:tcPr>
            <w:tcW w:w="1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环境敏感区名称</w:t>
            </w:r>
          </w:p>
        </w:tc>
        <w:tc>
          <w:tcPr>
            <w:tcW w:w="203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环境敏感特征</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水质目标</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与场界距离/m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1</w:t>
            </w:r>
          </w:p>
        </w:tc>
        <w:tc>
          <w:tcPr>
            <w:tcW w:w="1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井场周边出露井泉与浅层地下水</w:t>
            </w:r>
          </w:p>
        </w:tc>
        <w:tc>
          <w:tcPr>
            <w:tcW w:w="203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分散式地下饮用水源</w:t>
            </w:r>
            <w:r>
              <w:rPr>
                <w:rFonts w:hint="eastAsia"/>
                <w:color w:val="000000" w:themeColor="text1"/>
                <w:highlight w:val="none"/>
                <w:lang w:bidi="ar"/>
                <w14:textFill>
                  <w14:solidFill>
                    <w14:schemeClr w14:val="tx1"/>
                  </w14:solidFill>
                </w14:textFill>
              </w:rPr>
              <w:t>（泉井）</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fldChar w:fldCharType="begin"/>
            </w:r>
            <w:r>
              <w:rPr>
                <w:color w:val="000000" w:themeColor="text1"/>
                <w:highlight w:val="none"/>
                <w:lang w:bidi="ar"/>
                <w14:textFill>
                  <w14:solidFill>
                    <w14:schemeClr w14:val="tx1"/>
                  </w14:solidFill>
                </w14:textFill>
              </w:rPr>
              <w:instrText xml:space="preserve"> = 3 \* ROMAN \* MERGEFORMAT </w:instrText>
            </w:r>
            <w:r>
              <w:rPr>
                <w:color w:val="000000" w:themeColor="text1"/>
                <w:highlight w:val="none"/>
                <w:lang w:bidi="ar"/>
                <w14:textFill>
                  <w14:solidFill>
                    <w14:schemeClr w14:val="tx1"/>
                  </w14:solidFill>
                </w14:textFill>
              </w:rPr>
              <w:fldChar w:fldCharType="separate"/>
            </w:r>
            <w:r>
              <w:rPr>
                <w:color w:val="000000" w:themeColor="text1"/>
                <w:highlight w:val="none"/>
                <w:lang w:bidi="ar"/>
                <w14:textFill>
                  <w14:solidFill>
                    <w14:schemeClr w14:val="tx1"/>
                  </w14:solidFill>
                </w14:textFill>
              </w:rPr>
              <w:t>III</w:t>
            </w:r>
            <w:r>
              <w:rPr>
                <w:color w:val="000000" w:themeColor="text1"/>
                <w:highlight w:val="none"/>
                <w:lang w:bidi="ar"/>
                <w14:textFill>
                  <w14:solidFill>
                    <w14:schemeClr w14:val="tx1"/>
                  </w14:solidFill>
                </w14:textFill>
              </w:rPr>
              <w:fldChar w:fldCharType="end"/>
            </w:r>
            <w:r>
              <w:rPr>
                <w:color w:val="000000" w:themeColor="text1"/>
                <w:highlight w:val="none"/>
                <w:lang w:bidi="ar"/>
                <w14:textFill>
                  <w14:solidFill>
                    <w14:schemeClr w14:val="tx1"/>
                  </w14:solidFill>
                </w14:textFill>
              </w:rPr>
              <w:t>类</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lang w:bidi="ar"/>
                <w14:textFill>
                  <w14:solidFill>
                    <w14:schemeClr w14:val="tx1"/>
                  </w14:solidFill>
                </w14:textFill>
              </w:rPr>
              <w:t>约12口泉井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1" w:type="dxa"/>
            <w:vMerge w:val="restart"/>
            <w:tcBorders>
              <w:top w:val="single" w:color="auto" w:sz="4" w:space="0"/>
              <w:left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r>
              <w:rPr>
                <w:color w:val="000000" w:themeColor="text1"/>
                <w:sz w:val="20"/>
                <w:highlight w:val="none"/>
                <w14:textFill>
                  <w14:solidFill>
                    <w14:schemeClr w14:val="tx1"/>
                  </w14:solidFill>
                </w14:textFill>
              </w:rPr>
              <w:t>地表水</w:t>
            </w:r>
          </w:p>
        </w:tc>
        <w:tc>
          <w:tcPr>
            <w:tcW w:w="71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序号</w:t>
            </w:r>
          </w:p>
        </w:tc>
        <w:tc>
          <w:tcPr>
            <w:tcW w:w="1756"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环境敏感区名称</w:t>
            </w:r>
          </w:p>
        </w:tc>
        <w:tc>
          <w:tcPr>
            <w:tcW w:w="2039" w:type="dxa"/>
            <w:gridSpan w:val="3"/>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环境敏感特征</w:t>
            </w:r>
          </w:p>
        </w:tc>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水质目标</w:t>
            </w:r>
          </w:p>
        </w:tc>
        <w:tc>
          <w:tcPr>
            <w:tcW w:w="17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与场界距离/m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9" w:hRule="atLeast"/>
          <w:jc w:val="center"/>
        </w:trPr>
        <w:tc>
          <w:tcPr>
            <w:tcW w:w="871" w:type="dxa"/>
            <w:vMerge w:val="continue"/>
            <w:tcBorders>
              <w:left w:val="single" w:color="auto" w:sz="4" w:space="0"/>
              <w:right w:val="single" w:color="auto" w:sz="4" w:space="0"/>
            </w:tcBorders>
            <w:shd w:val="clear" w:color="auto" w:fill="auto"/>
            <w:vAlign w:val="center"/>
          </w:tcPr>
          <w:p>
            <w:pPr>
              <w:pStyle w:val="297"/>
              <w:rPr>
                <w:color w:val="000000" w:themeColor="text1"/>
                <w:sz w:val="20"/>
                <w:highlight w:val="none"/>
                <w14:textFill>
                  <w14:solidFill>
                    <w14:schemeClr w14:val="tx1"/>
                  </w14:solidFill>
                </w14:textFill>
              </w:rPr>
            </w:pPr>
          </w:p>
        </w:tc>
        <w:tc>
          <w:tcPr>
            <w:tcW w:w="717" w:type="dxa"/>
            <w:tcBorders>
              <w:top w:val="single" w:color="auto" w:sz="4" w:space="0"/>
              <w:left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1</w:t>
            </w:r>
          </w:p>
        </w:tc>
        <w:tc>
          <w:tcPr>
            <w:tcW w:w="1756" w:type="dxa"/>
            <w:gridSpan w:val="2"/>
            <w:tcBorders>
              <w:top w:val="single" w:color="auto" w:sz="4" w:space="0"/>
              <w:left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14:textFill>
                  <w14:solidFill>
                    <w14:schemeClr w14:val="tx1"/>
                  </w14:solidFill>
                </w14:textFill>
              </w:rPr>
              <w:t>后河</w:t>
            </w:r>
          </w:p>
        </w:tc>
        <w:tc>
          <w:tcPr>
            <w:tcW w:w="2039" w:type="dxa"/>
            <w:gridSpan w:val="3"/>
            <w:tcBorders>
              <w:top w:val="single" w:color="auto" w:sz="4" w:space="0"/>
              <w:left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14:textFill>
                  <w14:solidFill>
                    <w14:schemeClr w14:val="tx1"/>
                  </w14:solidFill>
                </w14:textFill>
              </w:rPr>
              <w:t>主要功能为行洪、灌溉</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后河特有鱼类国家级水产种质资源保护区</w:t>
            </w:r>
          </w:p>
        </w:tc>
        <w:tc>
          <w:tcPr>
            <w:tcW w:w="1165" w:type="dxa"/>
            <w:tcBorders>
              <w:top w:val="single" w:color="auto" w:sz="4" w:space="0"/>
              <w:left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fldChar w:fldCharType="begin"/>
            </w:r>
            <w:r>
              <w:rPr>
                <w:color w:val="000000" w:themeColor="text1"/>
                <w:highlight w:val="none"/>
                <w:lang w:bidi="ar"/>
                <w14:textFill>
                  <w14:solidFill>
                    <w14:schemeClr w14:val="tx1"/>
                  </w14:solidFill>
                </w14:textFill>
              </w:rPr>
              <w:instrText xml:space="preserve"> = 3 \* ROMAN \* MERGEFORMAT </w:instrText>
            </w:r>
            <w:r>
              <w:rPr>
                <w:color w:val="000000" w:themeColor="text1"/>
                <w:highlight w:val="none"/>
                <w:lang w:bidi="ar"/>
                <w14:textFill>
                  <w14:solidFill>
                    <w14:schemeClr w14:val="tx1"/>
                  </w14:solidFill>
                </w14:textFill>
              </w:rPr>
              <w:fldChar w:fldCharType="separate"/>
            </w:r>
            <w:r>
              <w:rPr>
                <w:color w:val="000000" w:themeColor="text1"/>
                <w:highlight w:val="none"/>
                <w:lang w:bidi="ar"/>
                <w14:textFill>
                  <w14:solidFill>
                    <w14:schemeClr w14:val="tx1"/>
                  </w14:solidFill>
                </w14:textFill>
              </w:rPr>
              <w:t>III</w:t>
            </w:r>
            <w:r>
              <w:rPr>
                <w:color w:val="000000" w:themeColor="text1"/>
                <w:highlight w:val="none"/>
                <w:lang w:bidi="ar"/>
                <w14:textFill>
                  <w14:solidFill>
                    <w14:schemeClr w14:val="tx1"/>
                  </w14:solidFill>
                </w14:textFill>
              </w:rPr>
              <w:fldChar w:fldCharType="end"/>
            </w:r>
            <w:r>
              <w:rPr>
                <w:color w:val="000000" w:themeColor="text1"/>
                <w:highlight w:val="none"/>
                <w:lang w:bidi="ar"/>
                <w14:textFill>
                  <w14:solidFill>
                    <w14:schemeClr w14:val="tx1"/>
                  </w14:solidFill>
                </w14:textFill>
              </w:rPr>
              <w:t>类</w:t>
            </w:r>
          </w:p>
        </w:tc>
        <w:tc>
          <w:tcPr>
            <w:tcW w:w="1723" w:type="dxa"/>
            <w:tcBorders>
              <w:top w:val="single" w:color="auto" w:sz="4" w:space="0"/>
              <w:left w:val="single" w:color="auto" w:sz="4" w:space="0"/>
              <w:right w:val="single" w:color="auto" w:sz="4" w:space="0"/>
            </w:tcBorders>
            <w:shd w:val="clear" w:color="auto" w:fill="auto"/>
            <w:vAlign w:val="center"/>
          </w:tcPr>
          <w:p>
            <w:pPr>
              <w:pStyle w:val="297"/>
              <w:rPr>
                <w:color w:val="000000" w:themeColor="text1"/>
                <w:highlight w:val="none"/>
                <w:lang w:bidi="ar"/>
                <w14:textFill>
                  <w14:solidFill>
                    <w14:schemeClr w14:val="tx1"/>
                  </w14:solidFill>
                </w14:textFill>
              </w:rPr>
            </w:pPr>
            <w:r>
              <w:rPr>
                <w:color w:val="000000" w:themeColor="text1"/>
                <w:highlight w:val="none"/>
                <w14:textFill>
                  <w14:solidFill>
                    <w14:schemeClr w14:val="tx1"/>
                  </w14:solidFill>
                </w14:textFill>
              </w:rPr>
              <w:t>位于场区</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侧约</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0km处</w:t>
            </w:r>
          </w:p>
        </w:tc>
      </w:tr>
    </w:tbl>
    <w:p>
      <w:pPr>
        <w:pStyle w:val="203"/>
        <w:spacing w:before="120"/>
        <w:rPr>
          <w:color w:val="000000" w:themeColor="text1"/>
          <w:highlight w:val="none"/>
          <w14:textFill>
            <w14:solidFill>
              <w14:schemeClr w14:val="tx1"/>
            </w14:solidFill>
          </w14:textFill>
        </w:rPr>
      </w:pPr>
    </w:p>
    <w:p>
      <w:pPr>
        <w:pStyle w:val="4"/>
        <w:spacing w:before="12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自然保护区、风景名胜区、文物古迹</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本项目不涉及风景名胜区和文物古迹，5km范围内的敏感区为后河特有鱼类国家级水产种质资源保护区。该保护区于2010年11月25日由农业部以第1491号公告批准建立。保护区总面积840hm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，其中核心区面积320hm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，实验区面积520hm</w:t>
      </w:r>
      <w:r>
        <w:rPr>
          <w:rFonts w:hint="eastAsia"/>
          <w:color w:val="000000" w:themeColor="text1"/>
          <w:highlight w:val="none"/>
          <w:vertAlign w:val="superscript"/>
          <w14:textFill>
            <w14:solidFill>
              <w14:schemeClr w14:val="tx1"/>
            </w14:solidFill>
          </w14:textFill>
        </w:rPr>
        <w:t>2</w:t>
      </w:r>
      <w:r>
        <w:rPr>
          <w:rFonts w:hint="eastAsia"/>
          <w:color w:val="000000" w:themeColor="text1"/>
          <w:highlight w:val="none"/>
          <w14:textFill>
            <w14:solidFill>
              <w14:schemeClr w14:val="tx1"/>
            </w14:solidFill>
          </w14:textFill>
        </w:rPr>
        <w:t>。主要保护对象为岩原鲤、南方大口鲶、黄颡鱼、华鲮、中华鳖、中华倒刺鲃，其它保护对象包括鳜鱼、中华裂腹鱼、重口裂腹鱼、大鳍鱯、白缘央、黑尾央等。</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后河特有鱼类国家级水产种质资源保护区</w:t>
      </w:r>
      <w:r>
        <w:rPr>
          <w:rFonts w:cs="Times New Roman"/>
          <w:color w:val="000000" w:themeColor="text1"/>
          <w:highlight w:val="none"/>
          <w14:textFill>
            <w14:solidFill>
              <w14:schemeClr w14:val="tx1"/>
            </w14:solidFill>
          </w14:textFill>
        </w:rPr>
        <w:t>自上游至下游依次经由毛坝大水荡村高落关（107°46′54″E，31°39′6″N）、毛坝大水荡村灯笼扁（107°46′58″E，31°39′16″N）、毛坝老街溪口（107°44′25″E，31°36′36″N）、毛坝弹子村小胡岸（107°44′9″E，31°34′51″N）、胡家镇跳河村陈家嘴（107°42′56″E，31°35′5″N）、胡家镇堰沟村黄家湾（107°54′34″E，31°32′2″N）、普光镇巴人村樊家湾（107°43′19″E，31°34′53″N）、普光镇铜坎村铜坎洞（107°44′40″E，31°31′59″N）、普光镇巴人村鸭嘴（107°45′33″E，31°31′56″N）九个拐点的后河组成，流经毛坝镇、胡家镇、普光镇，全长56公里。其中核心区为毛坝镇大水荡（107°45′52″E，31°38′30″N）至胡家镇跳河（107°45′43″E，31°34′29″N）的河段。实验区分为2段，第一河段从毛坝大水荡村灯笼扁（107°46′58″E，31°39′16″N）至毛坝镇大水荡（107°45′52″E，31°38′30″N）；第二河段从胡家镇跳河（107°45′43″E，31°34′29″N）至普光镇巴人村鸭嘴（107°45′33″E，31°31′56″N）</w:t>
      </w:r>
      <w:r>
        <w:rPr>
          <w:rFonts w:hint="eastAsia"/>
          <w:color w:val="000000" w:themeColor="text1"/>
          <w:highlight w:val="none"/>
          <w14:textFill>
            <w14:solidFill>
              <w14:schemeClr w14:val="tx1"/>
            </w14:solidFill>
          </w14:textFill>
        </w:rPr>
        <w:t>。</w:t>
      </w:r>
    </w:p>
    <w:p>
      <w:pPr>
        <w:ind w:firstLine="480"/>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本项目井口与后河直线距离</w:t>
      </w:r>
      <w:r>
        <w:rPr>
          <w:color w:val="000000" w:themeColor="text1"/>
          <w:highlight w:val="none"/>
          <w14:textFill>
            <w14:solidFill>
              <w14:schemeClr w14:val="tx1"/>
            </w14:solidFill>
          </w14:textFill>
        </w:rPr>
        <w:t>2.0</w:t>
      </w:r>
      <w:r>
        <w:rPr>
          <w:rFonts w:hint="eastAsia"/>
          <w:color w:val="000000" w:themeColor="text1"/>
          <w:highlight w:val="none"/>
          <w14:textFill>
            <w14:solidFill>
              <w14:schemeClr w14:val="tx1"/>
            </w14:solidFill>
          </w14:textFill>
        </w:rPr>
        <w:t>km，与后河特有鱼类国家级水产种质资源保护区的实验区直线距离</w:t>
      </w:r>
      <w:r>
        <w:rPr>
          <w:color w:val="000000" w:themeColor="text1"/>
          <w:highlight w:val="none"/>
          <w14:textFill>
            <w14:solidFill>
              <w14:schemeClr w14:val="tx1"/>
            </w14:solidFill>
          </w14:textFill>
        </w:rPr>
        <w:t>2.0</w:t>
      </w:r>
      <w:r>
        <w:rPr>
          <w:rFonts w:hint="eastAsia"/>
          <w:color w:val="000000" w:themeColor="text1"/>
          <w:highlight w:val="none"/>
          <w14:textFill>
            <w14:solidFill>
              <w14:schemeClr w14:val="tx1"/>
            </w14:solidFill>
          </w14:textFill>
        </w:rPr>
        <w:t>km，与核心区直线距离</w:t>
      </w:r>
      <w:r>
        <w:rPr>
          <w:color w:val="000000" w:themeColor="text1"/>
          <w:highlight w:val="none"/>
          <w14:textFill>
            <w14:solidFill>
              <w14:schemeClr w14:val="tx1"/>
            </w14:solidFill>
          </w14:textFill>
        </w:rPr>
        <w:t>4.0</w:t>
      </w:r>
      <w:r>
        <w:rPr>
          <w:rFonts w:hint="eastAsia"/>
          <w:color w:val="000000" w:themeColor="text1"/>
          <w:highlight w:val="none"/>
          <w14:textFill>
            <w14:solidFill>
              <w14:schemeClr w14:val="tx1"/>
            </w14:solidFill>
          </w14:textFill>
        </w:rPr>
        <w:t>km。本项目与后河特有鱼类国家级水产种质资源保护区的位置关系见下图。</w:t>
      </w:r>
    </w:p>
    <w:p>
      <w:pPr>
        <w:ind w:firstLine="480"/>
        <w:jc w:val="center"/>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111" w:name="_Toc17463"/>
      <w:r>
        <w:rPr>
          <w:color w:val="000000" w:themeColor="text1"/>
          <w:highlight w:val="none"/>
          <w:lang w:eastAsia="zh-CN"/>
          <w14:textFill>
            <w14:solidFill>
              <w14:schemeClr w14:val="tx1"/>
            </w14:solidFill>
          </w14:textFill>
        </w:rPr>
        <w:t>工程方案的合理性分析</w:t>
      </w:r>
      <w:bookmarkEnd w:id="111"/>
    </w:p>
    <w:p>
      <w:pPr>
        <w:pStyle w:val="4"/>
        <w:spacing w:before="0" w:beforeLines="0"/>
        <w:ind w:firstLine="480"/>
        <w:rPr>
          <w:color w:val="000000" w:themeColor="text1"/>
          <w:highlight w:val="none"/>
          <w:lang w:eastAsia="zh-CN"/>
          <w14:textFill>
            <w14:solidFill>
              <w14:schemeClr w14:val="tx1"/>
            </w14:solidFill>
          </w14:textFill>
        </w:rPr>
      </w:pPr>
      <w:bookmarkStart w:id="112" w:name="_Toc120173088"/>
      <w:r>
        <w:rPr>
          <w:rFonts w:hint="eastAsia"/>
          <w:color w:val="000000" w:themeColor="text1"/>
          <w:highlight w:val="none"/>
          <w:lang w:eastAsia="zh-CN"/>
          <w14:textFill>
            <w14:solidFill>
              <w14:schemeClr w14:val="tx1"/>
            </w14:solidFill>
          </w14:textFill>
        </w:rPr>
        <w:t>井场</w:t>
      </w:r>
      <w:r>
        <w:rPr>
          <w:color w:val="000000" w:themeColor="text1"/>
          <w:highlight w:val="none"/>
          <w:lang w:eastAsia="zh-CN"/>
          <w14:textFill>
            <w14:solidFill>
              <w14:schemeClr w14:val="tx1"/>
            </w14:solidFill>
          </w14:textFill>
        </w:rPr>
        <w:t>选址合理性分析</w:t>
      </w:r>
      <w:bookmarkEnd w:id="112"/>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根据《钻前工程及井场布置技术要求SY/T5466-2013</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石油天然气钻井井控技术规范》（GB/T 31033-2014）、《钻井井控技术规程》（SY/T6426-2005）等规定：油气井井口距高压线及其他永久性设施不小于75m，距民宅不小于100m，距铁路、高速公路不小于200m，距学校、医院和大型油库等人口密集性、高危性场所不小于500m。根据现场调查，项目井口与各设施的距离及符合性分析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_Ref142900221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13" w:name="_Ref14290022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11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本项目井口与各设施距离</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0"/>
        <w:gridCol w:w="1275"/>
        <w:gridCol w:w="2835"/>
        <w:gridCol w:w="1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名称</w:t>
            </w:r>
          </w:p>
        </w:tc>
        <w:tc>
          <w:tcPr>
            <w:tcW w:w="127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钻前工程井场技术要求</w:t>
            </w:r>
          </w:p>
        </w:tc>
        <w:tc>
          <w:tcPr>
            <w:tcW w:w="283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本工程是否涉及居民区、铁路等，以及距井口距离</w:t>
            </w:r>
          </w:p>
        </w:tc>
        <w:tc>
          <w:tcPr>
            <w:tcW w:w="146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是否满足钻前技术要求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高压线及其他永久性设施</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≥75m</w:t>
            </w:r>
          </w:p>
        </w:tc>
        <w:tc>
          <w:tcPr>
            <w:tcW w:w="283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75m范围内不涉及</w:t>
            </w:r>
          </w:p>
        </w:tc>
        <w:tc>
          <w:tcPr>
            <w:tcW w:w="146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民宅</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≥100m</w:t>
            </w:r>
          </w:p>
        </w:tc>
        <w:tc>
          <w:tcPr>
            <w:tcW w:w="2835"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100m内无民房</w:t>
            </w:r>
          </w:p>
        </w:tc>
        <w:tc>
          <w:tcPr>
            <w:tcW w:w="146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铁路</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≥200m</w:t>
            </w:r>
          </w:p>
        </w:tc>
        <w:tc>
          <w:tcPr>
            <w:tcW w:w="283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200m范围内不涉及</w:t>
            </w:r>
          </w:p>
        </w:tc>
        <w:tc>
          <w:tcPr>
            <w:tcW w:w="146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高速公路</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≥200m</w:t>
            </w:r>
          </w:p>
        </w:tc>
        <w:tc>
          <w:tcPr>
            <w:tcW w:w="283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200m范围内不涉及</w:t>
            </w:r>
          </w:p>
        </w:tc>
        <w:tc>
          <w:tcPr>
            <w:tcW w:w="146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学校</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≥500m</w:t>
            </w:r>
          </w:p>
        </w:tc>
        <w:tc>
          <w:tcPr>
            <w:tcW w:w="283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500m范围内不涉及</w:t>
            </w:r>
          </w:p>
        </w:tc>
        <w:tc>
          <w:tcPr>
            <w:tcW w:w="146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医院</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≥500m</w:t>
            </w:r>
          </w:p>
        </w:tc>
        <w:tc>
          <w:tcPr>
            <w:tcW w:w="283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500m范围内不涉及</w:t>
            </w:r>
          </w:p>
        </w:tc>
        <w:tc>
          <w:tcPr>
            <w:tcW w:w="146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油库等高危险场所</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≥500m</w:t>
            </w:r>
          </w:p>
        </w:tc>
        <w:tc>
          <w:tcPr>
            <w:tcW w:w="283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500m范围内不涉及</w:t>
            </w:r>
          </w:p>
        </w:tc>
        <w:tc>
          <w:tcPr>
            <w:tcW w:w="146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5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集中居住地等人口密集区</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≥500m</w:t>
            </w:r>
          </w:p>
        </w:tc>
        <w:tc>
          <w:tcPr>
            <w:tcW w:w="283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500m范围内不涉及</w:t>
            </w:r>
          </w:p>
        </w:tc>
        <w:tc>
          <w:tcPr>
            <w:tcW w:w="146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满足要求</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由上表可知，项目井口与各项设施的距离均满足《钻前工程及井场布置技术要求SY/T5466-2013</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石油天然气钻井井控技术规范》（GB/T31033-2014）、《钻井井控技术规程》（SY/T6426-2005）等中规定的要求。</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现场调查，本项目处于农村环境，本项目试采期井站为五级站场，周围50m范围内无100人以下的散居房屋和100人以上的居住区、厂矿企业、35kV及以上独立变电所、无林地、无高速公路和铁路、无架空电力线路，300m范围内无爆炸作业场地，满足《石油天然气工程设计防火规范》（GB50183-2004）等要求。</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拟建项目选址内无泉眼、地下暗河等控制性水点分布，不涉及各类环境敏感区，符合规划和国土管理方面的规定，其选址比较理想。本项目为新建，本项目</w:t>
      </w:r>
      <w:r>
        <w:rPr>
          <w:rFonts w:hint="eastAsia" w:cs="Times New Roman"/>
          <w:bCs/>
          <w:color w:val="000000" w:themeColor="text1"/>
          <w:szCs w:val="24"/>
          <w:highlight w:val="none"/>
          <w14:textFill>
            <w14:solidFill>
              <w14:schemeClr w14:val="tx1"/>
            </w14:solidFill>
          </w14:textFill>
        </w:rPr>
        <w:t>试采期</w:t>
      </w:r>
      <w:r>
        <w:rPr>
          <w:rFonts w:cs="Times New Roman"/>
          <w:bCs/>
          <w:color w:val="000000" w:themeColor="text1"/>
          <w:szCs w:val="24"/>
          <w:highlight w:val="none"/>
          <w14:textFill>
            <w14:solidFill>
              <w14:schemeClr w14:val="tx1"/>
            </w14:solidFill>
          </w14:textFill>
        </w:rPr>
        <w:t>不涉及新增占地</w:t>
      </w:r>
      <w:r>
        <w:rPr>
          <w:rFonts w:hint="eastAsia" w:cs="Times New Roman"/>
          <w:bCs/>
          <w:color w:val="000000" w:themeColor="text1"/>
          <w:szCs w:val="24"/>
          <w:highlight w:val="none"/>
          <w14:textFill>
            <w14:solidFill>
              <w14:schemeClr w14:val="tx1"/>
            </w14:solidFill>
          </w14:textFill>
        </w:rPr>
        <w:t>（利用井场和试采站已征地上建设），</w:t>
      </w:r>
      <w:r>
        <w:rPr>
          <w:rFonts w:cs="Times New Roman"/>
          <w:bCs/>
          <w:color w:val="000000" w:themeColor="text1"/>
          <w:szCs w:val="24"/>
          <w:highlight w:val="none"/>
          <w14:textFill>
            <w14:solidFill>
              <w14:schemeClr w14:val="tx1"/>
            </w14:solidFill>
          </w14:textFill>
        </w:rPr>
        <w:t>施工期新增临时占地</w:t>
      </w:r>
      <w:r>
        <w:rPr>
          <w:rFonts w:hint="eastAsia" w:cs="Times New Roman"/>
          <w:bCs/>
          <w:color w:val="000000" w:themeColor="text1"/>
          <w:szCs w:val="24"/>
          <w:highlight w:val="none"/>
          <w14:textFill>
            <w14:solidFill>
              <w14:schemeClr w14:val="tx1"/>
            </w14:solidFill>
          </w14:textFill>
        </w:rPr>
        <w:t>面积小</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不新增占用基本农田，不占用天然林、公益林，不涉及重点保护野生动植物栖息地等生态敏感区，</w:t>
      </w:r>
      <w:r>
        <w:rPr>
          <w:rFonts w:cs="Times New Roman"/>
          <w:bCs/>
          <w:color w:val="000000" w:themeColor="text1"/>
          <w:szCs w:val="24"/>
          <w:highlight w:val="none"/>
          <w14:textFill>
            <w14:solidFill>
              <w14:schemeClr w14:val="tx1"/>
            </w14:solidFill>
          </w14:textFill>
        </w:rPr>
        <w:t>施工结束后复垦，在采取补偿等措施后，对失地农民的生活影响较小。选址位于当地城镇规划区外，不涉及环境敏感区，符合</w:t>
      </w:r>
      <w:r>
        <w:rPr>
          <w:rFonts w:hint="eastAsia" w:ascii="宋体" w:hAnsi="宋体" w:cs="Times New Roman"/>
          <w:bCs/>
          <w:color w:val="000000" w:themeColor="text1"/>
          <w:szCs w:val="24"/>
          <w:highlight w:val="none"/>
          <w14:textFill>
            <w14:solidFill>
              <w14:schemeClr w14:val="tx1"/>
            </w14:solidFill>
          </w14:textFill>
        </w:rPr>
        <w:t>生态环境分区管控要求</w:t>
      </w:r>
      <w:r>
        <w:rPr>
          <w:rFonts w:cs="Times New Roman"/>
          <w:bCs/>
          <w:color w:val="000000" w:themeColor="text1"/>
          <w:szCs w:val="24"/>
          <w:highlight w:val="none"/>
          <w14:textFill>
            <w14:solidFill>
              <w14:schemeClr w14:val="tx1"/>
            </w14:solidFill>
          </w14:textFill>
        </w:rPr>
        <w:t>，因此项目选址合理。</w:t>
      </w:r>
    </w:p>
    <w:p>
      <w:pPr>
        <w:pStyle w:val="4"/>
        <w:spacing w:before="0" w:beforeLines="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集输管线</w:t>
      </w:r>
      <w:r>
        <w:rPr>
          <w:rFonts w:hint="eastAsia"/>
          <w:color w:val="000000" w:themeColor="text1"/>
          <w:highlight w:val="none"/>
          <w:lang w:eastAsia="zh-CN"/>
          <w14:textFill>
            <w14:solidFill>
              <w14:schemeClr w14:val="tx1"/>
            </w14:solidFill>
          </w14:textFill>
        </w:rPr>
        <w:t>选线合理</w:t>
      </w:r>
      <w:r>
        <w:rPr>
          <w:color w:val="000000" w:themeColor="text1"/>
          <w:highlight w:val="none"/>
          <w:lang w:eastAsia="zh-CN"/>
          <w14:textFill>
            <w14:solidFill>
              <w14:schemeClr w14:val="tx1"/>
            </w14:solidFill>
          </w14:textFill>
        </w:rPr>
        <w:t>性分析</w:t>
      </w:r>
    </w:p>
    <w:p>
      <w:pPr>
        <w:widowControl/>
        <w:adjustRightInd/>
        <w:snapToGrid/>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本工程需新建一条</w:t>
      </w:r>
      <w:r>
        <w:rPr>
          <w:rFonts w:hint="eastAsia" w:cs="Times New Roman"/>
          <w:color w:val="000000" w:themeColor="text1"/>
          <w:szCs w:val="24"/>
          <w:highlight w:val="none"/>
          <w14:textFill>
            <w14:solidFill>
              <w14:schemeClr w14:val="tx1"/>
            </w14:solidFill>
          </w14:textFill>
        </w:rPr>
        <w:t>大湾408-3井场试采站～大湾</w:t>
      </w:r>
      <w:r>
        <w:rPr>
          <w:rFonts w:hint="eastAsia" w:cs="Times New Roman"/>
          <w:color w:val="000000" w:themeColor="text1"/>
          <w:szCs w:val="24"/>
          <w:highlight w:val="none"/>
          <w:lang w:eastAsia="zh-CN"/>
          <w14:textFill>
            <w14:solidFill>
              <w14:schemeClr w14:val="tx1"/>
            </w14:solidFill>
          </w14:textFill>
        </w:rPr>
        <w:t>408试采站</w:t>
      </w:r>
      <w:r>
        <w:rPr>
          <w:rFonts w:hint="eastAsia" w:cs="Times New Roman"/>
          <w:color w:val="000000" w:themeColor="text1"/>
          <w:szCs w:val="24"/>
          <w:highlight w:val="none"/>
          <w14:textFill>
            <w14:solidFill>
              <w14:schemeClr w14:val="tx1"/>
            </w14:solidFill>
          </w14:textFill>
        </w:rPr>
        <w:t>的输气管道</w:t>
      </w:r>
      <w:r>
        <w:rPr>
          <w:rFonts w:cs="Times New Roman"/>
          <w:color w:val="000000" w:themeColor="text1"/>
          <w:kern w:val="0"/>
          <w:szCs w:val="24"/>
          <w:highlight w:val="none"/>
          <w14:textFill>
            <w14:solidFill>
              <w14:schemeClr w14:val="tx1"/>
            </w14:solidFill>
          </w14:textFill>
        </w:rPr>
        <w:t>，</w:t>
      </w:r>
      <w:r>
        <w:rPr>
          <w:rFonts w:hint="eastAsia" w:cs="Times New Roman"/>
          <w:color w:val="000000" w:themeColor="text1"/>
          <w:kern w:val="0"/>
          <w:szCs w:val="24"/>
          <w:highlight w:val="none"/>
          <w14:textFill>
            <w14:solidFill>
              <w14:schemeClr w14:val="tx1"/>
            </w14:solidFill>
          </w14:textFill>
        </w:rPr>
        <w:t>长度约200m</w:t>
      </w:r>
      <w:r>
        <w:rPr>
          <w:rFonts w:cs="Times New Roman"/>
          <w:color w:val="000000" w:themeColor="text1"/>
          <w:kern w:val="0"/>
          <w:szCs w:val="24"/>
          <w:highlight w:val="none"/>
          <w14:textFill>
            <w14:solidFill>
              <w14:schemeClr w14:val="tx1"/>
            </w14:solidFill>
          </w14:textFill>
        </w:rPr>
        <w:t>，由于输气管线路径较短，且受起点站址、终点站址因素影响，</w:t>
      </w:r>
      <w:r>
        <w:rPr>
          <w:rFonts w:hint="eastAsia" w:cs="Times New Roman"/>
          <w:color w:val="000000" w:themeColor="text1"/>
          <w:kern w:val="0"/>
          <w:szCs w:val="24"/>
          <w:highlight w:val="none"/>
          <w14:textFill>
            <w14:solidFill>
              <w14:schemeClr w14:val="tx1"/>
            </w14:solidFill>
          </w14:textFill>
        </w:rPr>
        <w:t>路径方案唯一。</w:t>
      </w:r>
    </w:p>
    <w:p>
      <w:pPr>
        <w:pStyle w:val="4"/>
        <w:spacing w:before="0" w:beforeLines="0"/>
        <w:ind w:firstLine="480"/>
        <w:rPr>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占用永久基本农田的必要性分析</w:t>
      </w:r>
    </w:p>
    <w:p>
      <w:pPr>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本项目井场和管线已避免的占用永久基本农田。但</w:t>
      </w:r>
      <w:r>
        <w:rPr>
          <w:rFonts w:hint="eastAsia" w:cs="Times New Roman"/>
          <w:b/>
          <w:bCs/>
          <w:color w:val="000000" w:themeColor="text1"/>
          <w:kern w:val="0"/>
          <w:szCs w:val="24"/>
          <w:highlight w:val="none"/>
          <w14:textFill>
            <w14:solidFill>
              <w14:schemeClr w14:val="tx1"/>
            </w14:solidFill>
          </w14:textFill>
        </w:rPr>
        <w:t>利旧的</w:t>
      </w:r>
      <w:r>
        <w:rPr>
          <w:rFonts w:hint="eastAsia" w:cs="Times New Roman"/>
          <w:b/>
          <w:bCs/>
          <w:color w:val="000000" w:themeColor="text1"/>
          <w:highlight w:val="none"/>
          <w14:textFill>
            <w14:solidFill>
              <w14:schemeClr w14:val="tx1"/>
            </w14:solidFill>
          </w14:textFill>
        </w:rPr>
        <w:t>放喷池、清水池不可避免占用一定基本农田，根据前文图2.6-6可见，</w:t>
      </w:r>
      <w:r>
        <w:rPr>
          <w:rFonts w:hint="eastAsia" w:cs="Times New Roman"/>
          <w:color w:val="000000" w:themeColor="text1"/>
          <w:highlight w:val="none"/>
          <w14:textFill>
            <w14:solidFill>
              <w14:schemeClr w14:val="tx1"/>
            </w14:solidFill>
          </w14:textFill>
        </w:rPr>
        <w:t>结合《大湾409井台钻井及试采工程环境影响报告书》，同时从外环境关系来看，井场拟建地西北侧、北侧、东侧、东南侧、南侧区域均为林木茂密，且地质条件不稳定的山地区域，若设置放喷池及清水池，则施工过程会造成大量的林木砍伐，且东北侧、东南侧林地属性为（天然林、公益林），同时上述区域地质条件不稳定，容易造成垮塌事故，则会增加废水泄漏污染周边环境的可能。此外，井场东南侧区域虽然地势条件较好，但是有基本农田和耕地保护红线分布，且场地处于地势低洼处，不方便废水转运。因此，综合考虑，林木砍伐因素，生态保护目标分布（天然林、公益林分布）因素和场地地质条件因素，选址井场西北侧两座山体中部地势较平坦的区域来建设清水池和放喷池，虽然其占用一定基本农田，但是属于临时占用，在施工结束后将对其进行复垦，对其影响较小。</w:t>
      </w:r>
      <w:r>
        <w:rPr>
          <w:rFonts w:hint="eastAsia" w:cs="Times New Roman"/>
          <w:b/>
          <w:bCs/>
          <w:color w:val="000000" w:themeColor="text1"/>
          <w:highlight w:val="none"/>
          <w14:textFill>
            <w14:solidFill>
              <w14:schemeClr w14:val="tx1"/>
            </w14:solidFill>
          </w14:textFill>
        </w:rPr>
        <w:t>综上所述，由于利旧的放喷池、清水池均已建，且其在选址阶段占用基本农田不可避让，因此，本工程利旧该设施仍不可避免占用基本农田，但是本项目新增占地均已避让基本农田。</w:t>
      </w:r>
    </w:p>
    <w:p>
      <w:pPr>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此外，</w:t>
      </w:r>
      <w:r>
        <w:rPr>
          <w:rFonts w:cs="Times New Roman"/>
          <w:color w:val="000000" w:themeColor="text1"/>
          <w:kern w:val="0"/>
          <w:szCs w:val="24"/>
          <w:highlight w:val="none"/>
          <w14:textFill>
            <w14:solidFill>
              <w14:schemeClr w14:val="tx1"/>
            </w14:solidFill>
          </w14:textFill>
        </w:rPr>
        <w:t>根据达州市水利局《关于水土保持</w:t>
      </w:r>
      <w:r>
        <w:rPr>
          <w:rFonts w:hint="eastAsia" w:ascii="宋体" w:hAnsi="宋体" w:cs="宋体"/>
          <w:color w:val="000000" w:themeColor="text1"/>
          <w:kern w:val="0"/>
          <w:szCs w:val="24"/>
          <w:highlight w:val="none"/>
          <w14:textFill>
            <w14:solidFill>
              <w14:schemeClr w14:val="tx1"/>
            </w14:solidFill>
          </w14:textFill>
        </w:rPr>
        <w:t>“两区”</w:t>
      </w:r>
      <w:r>
        <w:rPr>
          <w:rFonts w:cs="Times New Roman"/>
          <w:color w:val="000000" w:themeColor="text1"/>
          <w:kern w:val="0"/>
          <w:szCs w:val="24"/>
          <w:highlight w:val="none"/>
          <w14:textFill>
            <w14:solidFill>
              <w14:schemeClr w14:val="tx1"/>
            </w14:solidFill>
          </w14:textFill>
        </w:rPr>
        <w:t>划分的公告》</w:t>
      </w:r>
      <w:r>
        <w:rPr>
          <w:rFonts w:hint="eastAsia" w:cs="Times New Roman"/>
          <w:color w:val="000000" w:themeColor="text1"/>
          <w:kern w:val="0"/>
          <w:szCs w:val="24"/>
          <w:highlight w:val="none"/>
          <w14:textFill>
            <w14:solidFill>
              <w14:schemeClr w14:val="tx1"/>
            </w14:solidFill>
          </w14:textFill>
        </w:rPr>
        <w:t>，毛坝镇全镇划分为</w:t>
      </w:r>
      <w:r>
        <w:rPr>
          <w:rFonts w:cs="Times New Roman"/>
          <w:color w:val="000000" w:themeColor="text1"/>
          <w:kern w:val="0"/>
          <w:szCs w:val="24"/>
          <w:highlight w:val="none"/>
          <w14:textFill>
            <w14:solidFill>
              <w14:schemeClr w14:val="tx1"/>
            </w14:solidFill>
          </w14:textFill>
        </w:rPr>
        <w:t>水土流失重点治理区</w:t>
      </w:r>
      <w:r>
        <w:rPr>
          <w:rFonts w:hint="eastAsia" w:cs="Times New Roman"/>
          <w:color w:val="000000" w:themeColor="text1"/>
          <w:kern w:val="0"/>
          <w:szCs w:val="24"/>
          <w:highlight w:val="none"/>
          <w14:textFill>
            <w14:solidFill>
              <w14:schemeClr w14:val="tx1"/>
            </w14:solidFill>
          </w14:textFill>
        </w:rPr>
        <w:t>，天然气勘探试采项目属于“地下决定地面”项目，因此本项目井位选址具有唯一性，可调整空间很小，也无法避让</w:t>
      </w:r>
      <w:r>
        <w:rPr>
          <w:rFonts w:cs="Times New Roman"/>
          <w:color w:val="000000" w:themeColor="text1"/>
          <w:kern w:val="0"/>
          <w:szCs w:val="24"/>
          <w:highlight w:val="none"/>
          <w14:textFill>
            <w14:solidFill>
              <w14:schemeClr w14:val="tx1"/>
            </w14:solidFill>
          </w14:textFill>
        </w:rPr>
        <w:t>水土流失重点预防区</w:t>
      </w:r>
      <w:r>
        <w:rPr>
          <w:rFonts w:hint="eastAsia" w:cs="Times New Roman"/>
          <w:color w:val="000000" w:themeColor="text1"/>
          <w:kern w:val="0"/>
          <w:szCs w:val="24"/>
          <w:highlight w:val="none"/>
          <w14:textFill>
            <w14:solidFill>
              <w14:schemeClr w14:val="tx1"/>
            </w14:solidFill>
          </w14:textFill>
        </w:rPr>
        <w:t>和</w:t>
      </w:r>
      <w:r>
        <w:rPr>
          <w:rFonts w:cs="Times New Roman"/>
          <w:color w:val="000000" w:themeColor="text1"/>
          <w:kern w:val="0"/>
          <w:szCs w:val="24"/>
          <w:highlight w:val="none"/>
          <w14:textFill>
            <w14:solidFill>
              <w14:schemeClr w14:val="tx1"/>
            </w14:solidFill>
          </w14:textFill>
        </w:rPr>
        <w:t>重点治理区</w:t>
      </w:r>
      <w:r>
        <w:rPr>
          <w:rFonts w:hint="eastAsia" w:cs="Times New Roman"/>
          <w:color w:val="000000" w:themeColor="text1"/>
          <w:kern w:val="0"/>
          <w:szCs w:val="24"/>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根据前文分析，</w:t>
      </w:r>
      <w:r>
        <w:rPr>
          <w:b/>
          <w:bCs/>
          <w:color w:val="000000" w:themeColor="text1"/>
          <w:highlight w:val="none"/>
          <w14:textFill>
            <w14:solidFill>
              <w14:schemeClr w14:val="tx1"/>
            </w14:solidFill>
          </w14:textFill>
        </w:rPr>
        <w:t>本项目为天然气</w:t>
      </w:r>
      <w:r>
        <w:rPr>
          <w:rFonts w:hint="eastAsia"/>
          <w:b/>
          <w:bCs/>
          <w:color w:val="000000" w:themeColor="text1"/>
          <w:highlight w:val="none"/>
          <w14:textFill>
            <w14:solidFill>
              <w14:schemeClr w14:val="tx1"/>
            </w14:solidFill>
          </w14:textFill>
        </w:rPr>
        <w:t>试验性</w:t>
      </w:r>
      <w:r>
        <w:rPr>
          <w:b/>
          <w:bCs/>
          <w:color w:val="000000" w:themeColor="text1"/>
          <w:highlight w:val="none"/>
          <w14:textFill>
            <w14:solidFill>
              <w14:schemeClr w14:val="tx1"/>
            </w14:solidFill>
          </w14:textFill>
        </w:rPr>
        <w:t>探井</w:t>
      </w:r>
      <w:r>
        <w:rPr>
          <w:rFonts w:hint="eastAsia"/>
          <w:b/>
          <w:bCs/>
          <w:color w:val="000000" w:themeColor="text1"/>
          <w:highlight w:val="none"/>
          <w14:textFill>
            <w14:solidFill>
              <w14:schemeClr w14:val="tx1"/>
            </w14:solidFill>
          </w14:textFill>
        </w:rPr>
        <w:t>及试采</w:t>
      </w:r>
      <w:r>
        <w:rPr>
          <w:b/>
          <w:bCs/>
          <w:color w:val="000000" w:themeColor="text1"/>
          <w:highlight w:val="none"/>
          <w14:textFill>
            <w14:solidFill>
              <w14:schemeClr w14:val="tx1"/>
            </w14:solidFill>
          </w14:textFill>
        </w:rPr>
        <w:t>工程，</w:t>
      </w:r>
      <w:r>
        <w:rPr>
          <w:rFonts w:hint="eastAsia"/>
          <w:color w:val="000000" w:themeColor="text1"/>
          <w:highlight w:val="none"/>
          <w14:textFill>
            <w14:solidFill>
              <w14:schemeClr w14:val="tx1"/>
            </w14:solidFill>
          </w14:textFill>
        </w:rPr>
        <w:t>本项目不新增占用基本农田，但利旧的主放喷池、清水池临时占用永久基本农田，利旧的主放喷池及清水池涉及占用基本农田的手续已在前期大湾408井台钻井及试采工程中统一办理（见附件8））</w:t>
      </w:r>
      <w:r>
        <w:rPr>
          <w:rFonts w:hint="eastAsia"/>
          <w:bCs/>
          <w:color w:val="000000" w:themeColor="text1"/>
          <w:highlight w:val="none"/>
          <w14:textFill>
            <w14:solidFill>
              <w14:schemeClr w14:val="tx1"/>
            </w14:solidFill>
          </w14:textFill>
        </w:rPr>
        <w:t>，本项目后续在施工结束后，将按照《石油天然气项目土地复垦与生态修复技术规范》（GB/T 4396-2024）要求制定土地复垦计划，对永久基本农田加以重点保护，</w:t>
      </w:r>
      <w:r>
        <w:rPr>
          <w:rFonts w:hint="eastAsia"/>
          <w:color w:val="000000" w:themeColor="text1"/>
          <w:highlight w:val="none"/>
          <w14:textFill>
            <w14:solidFill>
              <w14:schemeClr w14:val="tx1"/>
            </w14:solidFill>
          </w14:textFill>
        </w:rPr>
        <w:t>施工结束后及时进行耕地恢复。</w:t>
      </w:r>
    </w:p>
    <w:p>
      <w:pPr>
        <w:pStyle w:val="4"/>
        <w:spacing w:before="0" w:beforeLines="0"/>
        <w:ind w:firstLine="480"/>
        <w:rPr>
          <w:b/>
          <w:color w:val="000000" w:themeColor="text1"/>
          <w:highlight w:val="none"/>
          <w:lang w:eastAsia="zh-CN"/>
          <w14:textFill>
            <w14:solidFill>
              <w14:schemeClr w14:val="tx1"/>
            </w14:solidFill>
          </w14:textFill>
        </w:rPr>
      </w:pPr>
      <w:bookmarkStart w:id="114" w:name="_Toc120173089"/>
      <w:bookmarkStart w:id="115" w:name="_Hlk49360744"/>
      <w:r>
        <w:rPr>
          <w:color w:val="000000" w:themeColor="text1"/>
          <w:highlight w:val="none"/>
          <w:lang w:eastAsia="zh-CN"/>
          <w14:textFill>
            <w14:solidFill>
              <w14:schemeClr w14:val="tx1"/>
            </w14:solidFill>
          </w14:textFill>
        </w:rPr>
        <w:t>平面布置合理性分析</w:t>
      </w:r>
      <w:bookmarkEnd w:id="114"/>
    </w:p>
    <w:p>
      <w:pPr>
        <w:tabs>
          <w:tab w:val="left" w:pos="0"/>
        </w:tabs>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1、钻井工程平面布局合理性分析</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本项目钻井井场沿</w:t>
      </w:r>
      <w:r>
        <w:rPr>
          <w:rFonts w:hint="eastAsia" w:cs="Times New Roman"/>
          <w:bCs/>
          <w:color w:val="000000" w:themeColor="text1"/>
          <w:szCs w:val="24"/>
          <w:highlight w:val="none"/>
          <w14:textFill>
            <w14:solidFill>
              <w14:schemeClr w14:val="tx1"/>
            </w14:solidFill>
          </w14:textFill>
        </w:rPr>
        <w:t>北偏西</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南偏东</w:t>
      </w:r>
      <w:r>
        <w:rPr>
          <w:rFonts w:cs="Times New Roman"/>
          <w:bCs/>
          <w:color w:val="000000" w:themeColor="text1"/>
          <w:szCs w:val="24"/>
          <w:highlight w:val="none"/>
          <w14:textFill>
            <w14:solidFill>
              <w14:schemeClr w14:val="tx1"/>
            </w14:solidFill>
          </w14:textFill>
        </w:rPr>
        <w:t>方向布置，井场长约1</w:t>
      </w:r>
      <w:r>
        <w:rPr>
          <w:rFonts w:hint="eastAsia" w:cs="Times New Roman"/>
          <w:bCs/>
          <w:color w:val="000000" w:themeColor="text1"/>
          <w:szCs w:val="24"/>
          <w:highlight w:val="none"/>
          <w14:textFill>
            <w14:solidFill>
              <w14:schemeClr w14:val="tx1"/>
            </w14:solidFill>
          </w14:textFill>
        </w:rPr>
        <w:t>14</w:t>
      </w:r>
      <w:r>
        <w:rPr>
          <w:rFonts w:cs="Times New Roman"/>
          <w:bCs/>
          <w:color w:val="000000" w:themeColor="text1"/>
          <w:szCs w:val="24"/>
          <w:highlight w:val="none"/>
          <w14:textFill>
            <w14:solidFill>
              <w14:schemeClr w14:val="tx1"/>
            </w14:solidFill>
          </w14:textFill>
        </w:rPr>
        <w:t>m，宽约5</w:t>
      </w:r>
      <w:r>
        <w:rPr>
          <w:rFonts w:hint="eastAsia" w:cs="Times New Roman"/>
          <w:bCs/>
          <w:color w:val="000000" w:themeColor="text1"/>
          <w:szCs w:val="24"/>
          <w:highlight w:val="none"/>
          <w14:textFill>
            <w14:solidFill>
              <w14:schemeClr w14:val="tx1"/>
            </w14:solidFill>
          </w14:textFill>
        </w:rPr>
        <w:t>0</w:t>
      </w:r>
      <w:r>
        <w:rPr>
          <w:rFonts w:cs="Times New Roman"/>
          <w:bCs/>
          <w:color w:val="000000" w:themeColor="text1"/>
          <w:szCs w:val="24"/>
          <w:highlight w:val="none"/>
          <w14:textFill>
            <w14:solidFill>
              <w14:schemeClr w14:val="tx1"/>
            </w14:solidFill>
          </w14:textFill>
        </w:rPr>
        <w:t>m；</w:t>
      </w:r>
      <w:r>
        <w:rPr>
          <w:rFonts w:hint="eastAsia" w:cs="Times New Roman"/>
          <w:bCs/>
          <w:color w:val="000000" w:themeColor="text1"/>
          <w:szCs w:val="24"/>
          <w:highlight w:val="none"/>
          <w14:textFill>
            <w14:solidFill>
              <w14:schemeClr w14:val="tx1"/>
            </w14:solidFill>
          </w14:textFill>
        </w:rPr>
        <w:t>主</w:t>
      </w:r>
      <w:r>
        <w:rPr>
          <w:rFonts w:cs="Times New Roman"/>
          <w:bCs/>
          <w:color w:val="000000" w:themeColor="text1"/>
          <w:szCs w:val="24"/>
          <w:highlight w:val="none"/>
          <w14:textFill>
            <w14:solidFill>
              <w14:schemeClr w14:val="tx1"/>
            </w14:solidFill>
          </w14:textFill>
        </w:rPr>
        <w:t>放喷池</w:t>
      </w:r>
      <w:r>
        <w:rPr>
          <w:rFonts w:hint="eastAsia" w:cs="Times New Roman"/>
          <w:bCs/>
          <w:color w:val="000000" w:themeColor="text1"/>
          <w:szCs w:val="24"/>
          <w:highlight w:val="none"/>
          <w14:textFill>
            <w14:solidFill>
              <w14:schemeClr w14:val="tx1"/>
            </w14:solidFill>
          </w14:textFill>
        </w:rPr>
        <w:t>（利旧）</w:t>
      </w:r>
      <w:r>
        <w:rPr>
          <w:rFonts w:cs="Times New Roman"/>
          <w:bCs/>
          <w:color w:val="000000" w:themeColor="text1"/>
          <w:szCs w:val="24"/>
          <w:highlight w:val="none"/>
          <w14:textFill>
            <w14:solidFill>
              <w14:schemeClr w14:val="tx1"/>
            </w14:solidFill>
          </w14:textFill>
        </w:rPr>
        <w:t>布置在井场外井口</w:t>
      </w:r>
      <w:r>
        <w:rPr>
          <w:rFonts w:hint="eastAsia" w:cs="Times New Roman"/>
          <w:bCs/>
          <w:color w:val="000000" w:themeColor="text1"/>
          <w:szCs w:val="24"/>
          <w:highlight w:val="none"/>
          <w14:textFill>
            <w14:solidFill>
              <w14:schemeClr w14:val="tx1"/>
            </w14:solidFill>
          </w14:textFill>
        </w:rPr>
        <w:t>西北</w:t>
      </w:r>
      <w:r>
        <w:rPr>
          <w:rFonts w:cs="Times New Roman"/>
          <w:bCs/>
          <w:color w:val="000000" w:themeColor="text1"/>
          <w:szCs w:val="24"/>
          <w:highlight w:val="none"/>
          <w14:textFill>
            <w14:solidFill>
              <w14:schemeClr w14:val="tx1"/>
            </w14:solidFill>
          </w14:textFill>
        </w:rPr>
        <w:t>侧</w:t>
      </w:r>
      <w:r>
        <w:rPr>
          <w:rFonts w:hint="eastAsia" w:cs="Times New Roman"/>
          <w:bCs/>
          <w:color w:val="000000" w:themeColor="text1"/>
          <w:szCs w:val="24"/>
          <w:highlight w:val="none"/>
          <w14:textFill>
            <w14:solidFill>
              <w14:schemeClr w14:val="tx1"/>
            </w14:solidFill>
          </w14:textFill>
        </w:rPr>
        <w:t>耕</w:t>
      </w:r>
      <w:r>
        <w:rPr>
          <w:rFonts w:cs="Times New Roman"/>
          <w:bCs/>
          <w:color w:val="000000" w:themeColor="text1"/>
          <w:szCs w:val="24"/>
          <w:highlight w:val="none"/>
          <w14:textFill>
            <w14:solidFill>
              <w14:schemeClr w14:val="tx1"/>
            </w14:solidFill>
          </w14:textFill>
        </w:rPr>
        <w:t>地内，距离井口约</w:t>
      </w:r>
      <w:r>
        <w:rPr>
          <w:rFonts w:hint="eastAsia" w:cs="Times New Roman"/>
          <w:bCs/>
          <w:color w:val="000000" w:themeColor="text1"/>
          <w:szCs w:val="24"/>
          <w:highlight w:val="none"/>
          <w14:textFill>
            <w14:solidFill>
              <w14:schemeClr w14:val="tx1"/>
            </w14:solidFill>
          </w14:textFill>
        </w:rPr>
        <w:t>26</w:t>
      </w:r>
      <w:r>
        <w:rPr>
          <w:rFonts w:cs="Times New Roman"/>
          <w:bCs/>
          <w:color w:val="000000" w:themeColor="text1"/>
          <w:szCs w:val="24"/>
          <w:highlight w:val="none"/>
          <w14:textFill>
            <w14:solidFill>
              <w14:schemeClr w14:val="tx1"/>
            </w14:solidFill>
          </w14:textFill>
        </w:rPr>
        <w:t>0m处</w:t>
      </w:r>
      <w:r>
        <w:rPr>
          <w:rFonts w:hint="eastAsia" w:cs="Times New Roman"/>
          <w:bCs/>
          <w:color w:val="000000" w:themeColor="text1"/>
          <w:szCs w:val="24"/>
          <w:highlight w:val="none"/>
          <w14:textFill>
            <w14:solidFill>
              <w14:schemeClr w14:val="tx1"/>
            </w14:solidFill>
          </w14:textFill>
        </w:rPr>
        <w:t>；副放喷池</w:t>
      </w:r>
      <w:r>
        <w:rPr>
          <w:rFonts w:cs="Times New Roman"/>
          <w:bCs/>
          <w:color w:val="000000" w:themeColor="text1"/>
          <w:szCs w:val="24"/>
          <w:highlight w:val="none"/>
          <w14:textFill>
            <w14:solidFill>
              <w14:schemeClr w14:val="tx1"/>
            </w14:solidFill>
          </w14:textFill>
        </w:rPr>
        <w:t>布置在井场外井口</w:t>
      </w:r>
      <w:r>
        <w:rPr>
          <w:rFonts w:hint="eastAsia" w:cs="Times New Roman"/>
          <w:bCs/>
          <w:color w:val="000000" w:themeColor="text1"/>
          <w:szCs w:val="24"/>
          <w:highlight w:val="none"/>
          <w14:textFill>
            <w14:solidFill>
              <w14:schemeClr w14:val="tx1"/>
            </w14:solidFill>
          </w14:textFill>
        </w:rPr>
        <w:t>南</w:t>
      </w:r>
      <w:r>
        <w:rPr>
          <w:rFonts w:cs="Times New Roman"/>
          <w:bCs/>
          <w:color w:val="000000" w:themeColor="text1"/>
          <w:szCs w:val="24"/>
          <w:highlight w:val="none"/>
          <w14:textFill>
            <w14:solidFill>
              <w14:schemeClr w14:val="tx1"/>
            </w14:solidFill>
          </w14:textFill>
        </w:rPr>
        <w:t>侧</w:t>
      </w:r>
      <w:r>
        <w:rPr>
          <w:rFonts w:hint="eastAsia" w:cs="Times New Roman"/>
          <w:bCs/>
          <w:color w:val="000000" w:themeColor="text1"/>
          <w:szCs w:val="24"/>
          <w:highlight w:val="none"/>
          <w14:textFill>
            <w14:solidFill>
              <w14:schemeClr w14:val="tx1"/>
            </w14:solidFill>
          </w14:textFill>
        </w:rPr>
        <w:t>林</w:t>
      </w:r>
      <w:r>
        <w:rPr>
          <w:rFonts w:cs="Times New Roman"/>
          <w:bCs/>
          <w:color w:val="000000" w:themeColor="text1"/>
          <w:szCs w:val="24"/>
          <w:highlight w:val="none"/>
          <w14:textFill>
            <w14:solidFill>
              <w14:schemeClr w14:val="tx1"/>
            </w14:solidFill>
          </w14:textFill>
        </w:rPr>
        <w:t>地内，距离井口约</w:t>
      </w:r>
      <w:r>
        <w:rPr>
          <w:rFonts w:hint="eastAsia" w:cs="Times New Roman"/>
          <w:bCs/>
          <w:color w:val="000000" w:themeColor="text1"/>
          <w:szCs w:val="24"/>
          <w:highlight w:val="none"/>
          <w14:textFill>
            <w14:solidFill>
              <w14:schemeClr w14:val="tx1"/>
            </w14:solidFill>
          </w14:textFill>
        </w:rPr>
        <w:t>85</w:t>
      </w:r>
      <w:r>
        <w:rPr>
          <w:rFonts w:cs="Times New Roman"/>
          <w:bCs/>
          <w:color w:val="000000" w:themeColor="text1"/>
          <w:szCs w:val="24"/>
          <w:highlight w:val="none"/>
          <w14:textFill>
            <w14:solidFill>
              <w14:schemeClr w14:val="tx1"/>
            </w14:solidFill>
          </w14:textFill>
        </w:rPr>
        <w:t>m处，放喷池容积为300m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，开口朝向井口方向设置</w:t>
      </w:r>
      <w:r>
        <w:rPr>
          <w:rFonts w:hint="eastAsia" w:cs="Times New Roman"/>
          <w:bCs/>
          <w:color w:val="000000" w:themeColor="text1"/>
          <w:szCs w:val="24"/>
          <w:highlight w:val="none"/>
          <w14:textFill>
            <w14:solidFill>
              <w14:schemeClr w14:val="tx1"/>
            </w14:solidFill>
          </w14:textFill>
        </w:rPr>
        <w:t>，在放喷池南侧，利旧600m</w:t>
      </w:r>
      <w:r>
        <w:rPr>
          <w:bCs/>
          <w:color w:val="000000" w:themeColor="text1"/>
          <w:szCs w:val="24"/>
          <w:highlight w:val="none"/>
          <w:vertAlign w:val="superscript"/>
          <w14:textFill>
            <w14:solidFill>
              <w14:schemeClr w14:val="tx1"/>
            </w14:solidFill>
          </w14:textFill>
        </w:rPr>
        <w:t>3</w:t>
      </w:r>
      <w:r>
        <w:rPr>
          <w:bCs/>
          <w:color w:val="000000" w:themeColor="text1"/>
          <w:szCs w:val="24"/>
          <w:highlight w:val="none"/>
          <w14:textFill>
            <w14:solidFill>
              <w14:schemeClr w14:val="tx1"/>
            </w14:solidFill>
          </w14:textFill>
        </w:rPr>
        <w:t>清水池</w:t>
      </w:r>
      <w:r>
        <w:rPr>
          <w:rFonts w:hint="eastAsia"/>
          <w:bCs/>
          <w:color w:val="000000" w:themeColor="text1"/>
          <w:szCs w:val="24"/>
          <w:highlight w:val="none"/>
          <w14:textFill>
            <w14:solidFill>
              <w14:schemeClr w14:val="tx1"/>
            </w14:solidFill>
          </w14:textFill>
        </w:rPr>
        <w:t>，表土堆场</w:t>
      </w:r>
      <w:r>
        <w:rPr>
          <w:bCs/>
          <w:color w:val="000000" w:themeColor="text1"/>
          <w:szCs w:val="24"/>
          <w:highlight w:val="none"/>
          <w14:textFill>
            <w14:solidFill>
              <w14:schemeClr w14:val="tx1"/>
            </w14:solidFill>
          </w14:textFill>
        </w:rPr>
        <w:t>在井场</w:t>
      </w:r>
      <w:r>
        <w:rPr>
          <w:rFonts w:hint="eastAsia"/>
          <w:bCs/>
          <w:color w:val="000000" w:themeColor="text1"/>
          <w:szCs w:val="24"/>
          <w:highlight w:val="none"/>
          <w14:textFill>
            <w14:solidFill>
              <w14:schemeClr w14:val="tx1"/>
            </w14:solidFill>
          </w14:textFill>
        </w:rPr>
        <w:t>南侧道路旁地势相对平坦处</w:t>
      </w:r>
      <w:r>
        <w:rPr>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总的来说，本项目钻井施工期平面布置按照《钻前工程及井场布置技术要求》（SY/T5466-2013）、《石油与天然气钻井、开发、储运防火防爆安全生产管理规定》（SY5225-2019）、《石油天然气工程设计防火规范》（GB50183-2004）等石油和天然气行业标准的要求进行，钻井井场主要包括井控台、柴油发电机组、泥浆循环系统、泥浆泵、泥浆不落地装置、值班室、技术房、油罐区等。井场外设置有放喷池等。井场平面布置满足防火、安全间距要求，各工程连通顺畅，尽量降低了占地，降低了钻前工程量，施工期钻井工程布局是合理的。</w:t>
      </w:r>
    </w:p>
    <w:p>
      <w:pPr>
        <w:tabs>
          <w:tab w:val="left" w:pos="0"/>
        </w:tabs>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（1）噪声源布局合理性分析</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本工程井场噪声源布置与《钻前工程及井场布置技术要求》</w:t>
      </w:r>
      <w:r>
        <w:rPr>
          <w:rFonts w:ascii="宋体" w:hAnsi="宋体"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SY/T5466-2013</w:t>
      </w:r>
      <w:r>
        <w:rPr>
          <w:rFonts w:ascii="宋体" w:hAnsi="宋体"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等相关要求的符合性见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_Ref142900231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3</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16" w:name="_Ref14290023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11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噪声源布局合理性</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81"/>
        <w:gridCol w:w="3003"/>
        <w:gridCol w:w="15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33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标准及规范要求</w:t>
            </w:r>
          </w:p>
        </w:tc>
        <w:tc>
          <w:tcPr>
            <w:tcW w:w="1761"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本工程噪声源布置</w:t>
            </w:r>
          </w:p>
        </w:tc>
        <w:tc>
          <w:tcPr>
            <w:tcW w:w="90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5"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《钻前工程及井场布置技术要求》（SY/T5466-2013）中的第4.3.2条规定：电动钻机发电机组和电控房应布置并排置于井场的后方。尽量远离敏感点或受噪声影响农户最少</w:t>
            </w:r>
          </w:p>
        </w:tc>
        <w:tc>
          <w:tcPr>
            <w:tcW w:w="1761"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柴油机、泥浆泵布置在中后场（</w:t>
            </w:r>
            <w:r>
              <w:rPr>
                <w:rFonts w:hint="eastAsia"/>
                <w:color w:val="000000" w:themeColor="text1"/>
                <w:highlight w:val="none"/>
                <w14:textFill>
                  <w14:solidFill>
                    <w14:schemeClr w14:val="tx1"/>
                  </w14:solidFill>
                </w14:textFill>
              </w:rPr>
              <w:t>东</w:t>
            </w:r>
            <w:r>
              <w:rPr>
                <w:color w:val="000000" w:themeColor="text1"/>
                <w:highlight w:val="none"/>
                <w14:textFill>
                  <w14:solidFill>
                    <w14:schemeClr w14:val="tx1"/>
                  </w14:solidFill>
                </w14:textFill>
              </w:rPr>
              <w:t>侧）。散居农户主要分布在井口</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00m外</w:t>
            </w:r>
            <w:r>
              <w:rPr>
                <w:rFonts w:hint="eastAsia"/>
                <w:color w:val="000000" w:themeColor="text1"/>
                <w:highlight w:val="none"/>
                <w14:textFill>
                  <w14:solidFill>
                    <w14:schemeClr w14:val="tx1"/>
                  </w14:solidFill>
                </w14:textFill>
              </w:rPr>
              <w:t>。</w:t>
            </w:r>
          </w:p>
        </w:tc>
        <w:tc>
          <w:tcPr>
            <w:tcW w:w="90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符合要求</w:t>
            </w:r>
          </w:p>
        </w:tc>
      </w:tr>
    </w:tbl>
    <w:p>
      <w:pPr>
        <w:tabs>
          <w:tab w:val="left" w:pos="0"/>
        </w:tabs>
        <w:spacing w:before="120" w:beforeLines="50"/>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（2）放喷池布置合理性分析</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本项目井场放喷池布置与《钻井井控技术规程》（SY/T6426-2005）等相关要求及规程的符合性见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_Ref142900247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3</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17" w:name="_Ref14290024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117"/>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放喷池布置合理性</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1"/>
        <w:gridCol w:w="4145"/>
        <w:gridCol w:w="9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22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标准及规范要求</w:t>
            </w:r>
          </w:p>
        </w:tc>
        <w:tc>
          <w:tcPr>
            <w:tcW w:w="414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本工程放喷池布置</w:t>
            </w:r>
          </w:p>
        </w:tc>
        <w:tc>
          <w:tcPr>
            <w:tcW w:w="93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21"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《钻井井控技术规程》（SY/T6426-2005）中的第4.1.2.3条规定：放喷管线应接至距井口75m以上的安全地带，距各种设施不小于50m。</w:t>
            </w:r>
          </w:p>
        </w:tc>
        <w:tc>
          <w:tcPr>
            <w:tcW w:w="4145" w:type="dxa"/>
            <w:vAlign w:val="center"/>
          </w:tcPr>
          <w:p>
            <w:pPr>
              <w:pStyle w:val="297"/>
              <w:jc w:val="left"/>
              <w:rPr>
                <w:color w:val="000000" w:themeColor="text1"/>
                <w:highlight w:val="none"/>
                <w14:textFill>
                  <w14:solidFill>
                    <w14:schemeClr w14:val="tx1"/>
                  </w14:solidFill>
                </w14:textFill>
              </w:rPr>
            </w:pPr>
            <w:r>
              <w:rPr>
                <w:bCs/>
                <w:color w:val="000000" w:themeColor="text1"/>
                <w:szCs w:val="24"/>
                <w:highlight w:val="none"/>
                <w14:textFill>
                  <w14:solidFill>
                    <w14:schemeClr w14:val="tx1"/>
                  </w14:solidFill>
                </w14:textFill>
              </w:rPr>
              <w:t>放喷池布置在井场外井口</w:t>
            </w:r>
            <w:r>
              <w:rPr>
                <w:rFonts w:hint="eastAsia"/>
                <w:bCs/>
                <w:color w:val="000000" w:themeColor="text1"/>
                <w:szCs w:val="24"/>
                <w:highlight w:val="none"/>
                <w14:textFill>
                  <w14:solidFill>
                    <w14:schemeClr w14:val="tx1"/>
                  </w14:solidFill>
                </w14:textFill>
              </w:rPr>
              <w:t>西北</w:t>
            </w:r>
            <w:r>
              <w:rPr>
                <w:bCs/>
                <w:color w:val="000000" w:themeColor="text1"/>
                <w:szCs w:val="24"/>
                <w:highlight w:val="none"/>
                <w14:textFill>
                  <w14:solidFill>
                    <w14:schemeClr w14:val="tx1"/>
                  </w14:solidFill>
                </w14:textFill>
              </w:rPr>
              <w:t>侧</w:t>
            </w:r>
            <w:r>
              <w:rPr>
                <w:rFonts w:hint="eastAsia"/>
                <w:bCs/>
                <w:color w:val="000000" w:themeColor="text1"/>
                <w:szCs w:val="24"/>
                <w:highlight w:val="none"/>
                <w14:textFill>
                  <w14:solidFill>
                    <w14:schemeClr w14:val="tx1"/>
                  </w14:solidFill>
                </w14:textFill>
              </w:rPr>
              <w:t>耕</w:t>
            </w:r>
            <w:r>
              <w:rPr>
                <w:bCs/>
                <w:color w:val="000000" w:themeColor="text1"/>
                <w:szCs w:val="24"/>
                <w:highlight w:val="none"/>
                <w14:textFill>
                  <w14:solidFill>
                    <w14:schemeClr w14:val="tx1"/>
                  </w14:solidFill>
                </w14:textFill>
              </w:rPr>
              <w:t>地内，距离井口约</w:t>
            </w:r>
            <w:r>
              <w:rPr>
                <w:rFonts w:hint="eastAsia"/>
                <w:bCs/>
                <w:color w:val="000000" w:themeColor="text1"/>
                <w:szCs w:val="24"/>
                <w:highlight w:val="none"/>
                <w14:textFill>
                  <w14:solidFill>
                    <w14:schemeClr w14:val="tx1"/>
                  </w14:solidFill>
                </w14:textFill>
              </w:rPr>
              <w:t>26</w:t>
            </w:r>
            <w:r>
              <w:rPr>
                <w:bCs/>
                <w:color w:val="000000" w:themeColor="text1"/>
                <w:szCs w:val="24"/>
                <w:highlight w:val="none"/>
                <w14:textFill>
                  <w14:solidFill>
                    <w14:schemeClr w14:val="tx1"/>
                  </w14:solidFill>
                </w14:textFill>
              </w:rPr>
              <w:t>0m处</w:t>
            </w:r>
            <w:r>
              <w:rPr>
                <w:rFonts w:hint="eastAsia"/>
                <w:bCs/>
                <w:color w:val="000000" w:themeColor="text1"/>
                <w:szCs w:val="24"/>
                <w:highlight w:val="none"/>
                <w14:textFill>
                  <w14:solidFill>
                    <w14:schemeClr w14:val="tx1"/>
                  </w14:solidFill>
                </w14:textFill>
              </w:rPr>
              <w:t>；副放喷池</w:t>
            </w:r>
            <w:r>
              <w:rPr>
                <w:bCs/>
                <w:color w:val="000000" w:themeColor="text1"/>
                <w:szCs w:val="24"/>
                <w:highlight w:val="none"/>
                <w14:textFill>
                  <w14:solidFill>
                    <w14:schemeClr w14:val="tx1"/>
                  </w14:solidFill>
                </w14:textFill>
              </w:rPr>
              <w:t>布置在井场外井口</w:t>
            </w:r>
            <w:r>
              <w:rPr>
                <w:rFonts w:hint="eastAsia"/>
                <w:bCs/>
                <w:color w:val="000000" w:themeColor="text1"/>
                <w:szCs w:val="24"/>
                <w:highlight w:val="none"/>
                <w14:textFill>
                  <w14:solidFill>
                    <w14:schemeClr w14:val="tx1"/>
                  </w14:solidFill>
                </w14:textFill>
              </w:rPr>
              <w:t>南</w:t>
            </w:r>
            <w:r>
              <w:rPr>
                <w:bCs/>
                <w:color w:val="000000" w:themeColor="text1"/>
                <w:szCs w:val="24"/>
                <w:highlight w:val="none"/>
                <w14:textFill>
                  <w14:solidFill>
                    <w14:schemeClr w14:val="tx1"/>
                  </w14:solidFill>
                </w14:textFill>
              </w:rPr>
              <w:t>侧</w:t>
            </w:r>
            <w:r>
              <w:rPr>
                <w:rFonts w:hint="eastAsia"/>
                <w:bCs/>
                <w:color w:val="000000" w:themeColor="text1"/>
                <w:szCs w:val="24"/>
                <w:highlight w:val="none"/>
                <w14:textFill>
                  <w14:solidFill>
                    <w14:schemeClr w14:val="tx1"/>
                  </w14:solidFill>
                </w14:textFill>
              </w:rPr>
              <w:t>林</w:t>
            </w:r>
            <w:r>
              <w:rPr>
                <w:bCs/>
                <w:color w:val="000000" w:themeColor="text1"/>
                <w:szCs w:val="24"/>
                <w:highlight w:val="none"/>
                <w14:textFill>
                  <w14:solidFill>
                    <w14:schemeClr w14:val="tx1"/>
                  </w14:solidFill>
                </w14:textFill>
              </w:rPr>
              <w:t>地内，距离井口约</w:t>
            </w:r>
            <w:r>
              <w:rPr>
                <w:rFonts w:hint="eastAsia"/>
                <w:bCs/>
                <w:color w:val="000000" w:themeColor="text1"/>
                <w:szCs w:val="24"/>
                <w:highlight w:val="none"/>
                <w14:textFill>
                  <w14:solidFill>
                    <w14:schemeClr w14:val="tx1"/>
                  </w14:solidFill>
                </w14:textFill>
              </w:rPr>
              <w:t>85</w:t>
            </w:r>
            <w:r>
              <w:rPr>
                <w:bCs/>
                <w:color w:val="000000" w:themeColor="text1"/>
                <w:szCs w:val="24"/>
                <w:highlight w:val="none"/>
                <w14:textFill>
                  <w14:solidFill>
                    <w14:schemeClr w14:val="tx1"/>
                  </w14:solidFill>
                </w14:textFill>
              </w:rPr>
              <w:t>m处</w:t>
            </w:r>
            <w:r>
              <w:rPr>
                <w:color w:val="000000" w:themeColor="text1"/>
                <w:highlight w:val="none"/>
                <w14:textFill>
                  <w14:solidFill>
                    <w14:schemeClr w14:val="tx1"/>
                  </w14:solidFill>
                </w14:textFill>
              </w:rPr>
              <w:t>，放喷池周边</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0m范围内</w:t>
            </w:r>
            <w:r>
              <w:rPr>
                <w:rFonts w:hint="eastAsia"/>
                <w:color w:val="000000" w:themeColor="text1"/>
                <w:highlight w:val="none"/>
                <w14:textFill>
                  <w14:solidFill>
                    <w14:schemeClr w14:val="tx1"/>
                  </w14:solidFill>
                </w14:textFill>
              </w:rPr>
              <w:t>均</w:t>
            </w:r>
            <w:r>
              <w:rPr>
                <w:color w:val="000000" w:themeColor="text1"/>
                <w:highlight w:val="none"/>
                <w14:textFill>
                  <w14:solidFill>
                    <w14:schemeClr w14:val="tx1"/>
                  </w14:solidFill>
                </w14:textFill>
              </w:rPr>
              <w:t>无居民等敏感目标分布，</w:t>
            </w:r>
            <w:r>
              <w:rPr>
                <w:bCs/>
                <w:color w:val="000000" w:themeColor="text1"/>
                <w:highlight w:val="none"/>
                <w14:textFill>
                  <w14:solidFill>
                    <w14:schemeClr w14:val="tx1"/>
                  </w14:solidFill>
                </w14:textFill>
              </w:rPr>
              <w:t>放喷池周边200m范围内均无居民等敏感目标分布</w:t>
            </w:r>
            <w:r>
              <w:rPr>
                <w:color w:val="000000" w:themeColor="text1"/>
                <w:highlight w:val="none"/>
                <w14:textFill>
                  <w14:solidFill>
                    <w14:schemeClr w14:val="tx1"/>
                  </w14:solidFill>
                </w14:textFill>
              </w:rPr>
              <w:t>，</w:t>
            </w:r>
            <w:r>
              <w:rPr>
                <w:rFonts w:hint="eastAsia"/>
                <w:bCs/>
                <w:color w:val="000000" w:themeColor="text1"/>
                <w:highlight w:val="none"/>
                <w14:textFill>
                  <w14:solidFill>
                    <w14:schemeClr w14:val="tx1"/>
                  </w14:solidFill>
                </w14:textFill>
              </w:rPr>
              <w:t>放喷池测试放喷期间对周边居民等敏感目标影响较小，从环保角度而言选址合理</w:t>
            </w:r>
            <w:r>
              <w:rPr>
                <w:color w:val="000000" w:themeColor="text1"/>
                <w:highlight w:val="none"/>
                <w14:textFill>
                  <w14:solidFill>
                    <w14:schemeClr w14:val="tx1"/>
                  </w14:solidFill>
                </w14:textFill>
              </w:rPr>
              <w:t>。</w:t>
            </w:r>
          </w:p>
        </w:tc>
        <w:tc>
          <w:tcPr>
            <w:tcW w:w="93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符合要求</w:t>
            </w:r>
          </w:p>
        </w:tc>
      </w:tr>
    </w:tbl>
    <w:p>
      <w:pPr>
        <w:tabs>
          <w:tab w:val="left" w:pos="0"/>
        </w:tabs>
        <w:spacing w:before="120" w:beforeLines="50"/>
        <w:ind w:firstLine="482"/>
        <w:rPr>
          <w:rFonts w:cs="Times New Roman"/>
          <w:bCs/>
          <w:color w:val="000000" w:themeColor="text1"/>
          <w:szCs w:val="24"/>
          <w:highlight w:val="none"/>
          <w14:textFill>
            <w14:solidFill>
              <w14:schemeClr w14:val="tx1"/>
            </w14:solidFill>
          </w14:textFill>
        </w:rPr>
      </w:pPr>
      <w:r>
        <w:rPr>
          <w:rFonts w:hint="eastAsia" w:cs="Times New Roman"/>
          <w:b/>
          <w:color w:val="000000" w:themeColor="text1"/>
          <w:szCs w:val="24"/>
          <w:highlight w:val="none"/>
          <w14:textFill>
            <w14:solidFill>
              <w14:schemeClr w14:val="tx1"/>
            </w14:solidFill>
          </w14:textFill>
        </w:rPr>
        <w:t>（3）清洁生产操作平台</w:t>
      </w:r>
      <w:r>
        <w:rPr>
          <w:rFonts w:cs="Times New Roman"/>
          <w:b/>
          <w:color w:val="000000" w:themeColor="text1"/>
          <w:szCs w:val="24"/>
          <w:highlight w:val="none"/>
          <w14:textFill>
            <w14:solidFill>
              <w14:schemeClr w14:val="tx1"/>
            </w14:solidFill>
          </w14:textFill>
        </w:rPr>
        <w:t>布置合理性分析</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清洁生产操作平台布置于井口旁，紧挨泥浆循环系统，钻井产生的循环泥浆、岩屑等产生后经短距离输送后即可得到有效妥善处置和重复利用，避免了钻井产生的循环泥浆、岩屑的长距离输送而导致的泄漏风险，因此从环保角度而言布置合理。</w:t>
      </w:r>
    </w:p>
    <w:p>
      <w:pPr>
        <w:tabs>
          <w:tab w:val="left" w:pos="0"/>
        </w:tabs>
        <w:ind w:firstLine="482"/>
        <w:rPr>
          <w:rFonts w:cs="Times New Roman"/>
          <w:bCs/>
          <w:color w:val="000000" w:themeColor="text1"/>
          <w:szCs w:val="24"/>
          <w:highlight w:val="none"/>
          <w14:textFill>
            <w14:solidFill>
              <w14:schemeClr w14:val="tx1"/>
            </w14:solidFill>
          </w14:textFill>
        </w:rPr>
      </w:pPr>
      <w:r>
        <w:rPr>
          <w:rFonts w:hint="eastAsia" w:cs="Times New Roman"/>
          <w:b/>
          <w:color w:val="000000" w:themeColor="text1"/>
          <w:szCs w:val="24"/>
          <w:highlight w:val="none"/>
          <w14:textFill>
            <w14:solidFill>
              <w14:schemeClr w14:val="tx1"/>
            </w14:solidFill>
          </w14:textFill>
        </w:rPr>
        <w:t>（4）清水池</w:t>
      </w:r>
      <w:r>
        <w:rPr>
          <w:rFonts w:cs="Times New Roman"/>
          <w:b/>
          <w:color w:val="000000" w:themeColor="text1"/>
          <w:szCs w:val="24"/>
          <w:highlight w:val="none"/>
          <w14:textFill>
            <w14:solidFill>
              <w14:schemeClr w14:val="tx1"/>
            </w14:solidFill>
          </w14:textFill>
        </w:rPr>
        <w:t>布置合理性分析</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清水池（利旧）布置于井场外西北侧区域，相对平坦的地势区域，既便于用水的转运，又能有效暂存井场用水和避免在井场内对钻井作业造成干扰影响，降低极端情况下发生泄漏导致井场废水增多的风险，因此从环保角度而言布置合理。</w:t>
      </w:r>
    </w:p>
    <w:p>
      <w:pPr>
        <w:tabs>
          <w:tab w:val="left" w:pos="0"/>
        </w:tabs>
        <w:ind w:firstLine="482"/>
        <w:rPr>
          <w:rFonts w:cs="Times New Roman"/>
          <w:bCs/>
          <w:color w:val="000000" w:themeColor="text1"/>
          <w:szCs w:val="24"/>
          <w:highlight w:val="none"/>
          <w14:textFill>
            <w14:solidFill>
              <w14:schemeClr w14:val="tx1"/>
            </w14:solidFill>
          </w14:textFill>
        </w:rPr>
      </w:pPr>
      <w:r>
        <w:rPr>
          <w:rFonts w:hint="eastAsia" w:cs="Times New Roman"/>
          <w:b/>
          <w:color w:val="000000" w:themeColor="text1"/>
          <w:szCs w:val="24"/>
          <w:highlight w:val="none"/>
          <w14:textFill>
            <w14:solidFill>
              <w14:schemeClr w14:val="tx1"/>
            </w14:solidFill>
          </w14:textFill>
        </w:rPr>
        <w:t>（5）储液池布置合理性分析</w:t>
      </w:r>
    </w:p>
    <w:p>
      <w:pPr>
        <w:tabs>
          <w:tab w:val="left" w:pos="0"/>
        </w:tabs>
        <w:ind w:firstLine="480"/>
        <w:rPr>
          <w:rFonts w:cs="Times New Roman"/>
          <w:bCs/>
          <w:color w:val="000000" w:themeColor="text1"/>
          <w:szCs w:val="24"/>
          <w:highlight w:val="none"/>
          <w:vertAlign w:val="superscript"/>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储层改造阶段，项目钻井设备已搬离，井场大部分用地将空出。本工程为收集反排出的压裂液，将在井场范围内布置</w:t>
      </w:r>
      <w:r>
        <w:rPr>
          <w:rFonts w:cs="Times New Roman"/>
          <w:bCs/>
          <w:color w:val="000000" w:themeColor="text1"/>
          <w:szCs w:val="24"/>
          <w:highlight w:val="none"/>
          <w14:textFill>
            <w14:solidFill>
              <w14:schemeClr w14:val="tx1"/>
            </w14:solidFill>
          </w14:textFill>
        </w:rPr>
        <w:t>40个40m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压裂液储罐</w:t>
      </w:r>
      <w:r>
        <w:rPr>
          <w:rFonts w:hint="eastAsia" w:cs="Times New Roman"/>
          <w:bCs/>
          <w:color w:val="000000" w:themeColor="text1"/>
          <w:szCs w:val="24"/>
          <w:highlight w:val="none"/>
          <w14:textFill>
            <w14:solidFill>
              <w14:schemeClr w14:val="tx1"/>
            </w14:solidFill>
          </w14:textFill>
        </w:rPr>
        <w:t>，压裂液储罐主要布置于井场经重点防渗处理的区域（如泥浆循环系统区域、泥浆不落地系统区域、泥浆储备罐区、循环罐区、柴油罐区等原经过重点防渗处置的区域）。</w:t>
      </w:r>
      <w:r>
        <w:rPr>
          <w:rFonts w:cs="Times New Roman"/>
          <w:bCs/>
          <w:color w:val="000000" w:themeColor="text1"/>
          <w:szCs w:val="24"/>
          <w:highlight w:val="none"/>
          <w14:textFill>
            <w14:solidFill>
              <w14:schemeClr w14:val="tx1"/>
            </w14:solidFill>
          </w14:textFill>
        </w:rPr>
        <w:t>并在</w:t>
      </w:r>
      <w:r>
        <w:rPr>
          <w:rFonts w:hint="eastAsia" w:cs="Times New Roman"/>
          <w:bCs/>
          <w:color w:val="000000" w:themeColor="text1"/>
          <w:szCs w:val="24"/>
          <w:highlight w:val="none"/>
          <w14:textFill>
            <w14:solidFill>
              <w14:schemeClr w14:val="tx1"/>
            </w14:solidFill>
          </w14:textFill>
        </w:rPr>
        <w:t>储罐</w:t>
      </w:r>
      <w:r>
        <w:rPr>
          <w:rFonts w:cs="Times New Roman"/>
          <w:bCs/>
          <w:color w:val="000000" w:themeColor="text1"/>
          <w:szCs w:val="24"/>
          <w:highlight w:val="none"/>
          <w14:textFill>
            <w14:solidFill>
              <w14:schemeClr w14:val="tx1"/>
            </w14:solidFill>
          </w14:textFill>
        </w:rPr>
        <w:t>周围设置0.</w:t>
      </w:r>
      <w:r>
        <w:rPr>
          <w:rFonts w:hint="eastAsia" w:cs="Times New Roman"/>
          <w:bCs/>
          <w:color w:val="000000" w:themeColor="text1"/>
          <w:szCs w:val="24"/>
          <w:highlight w:val="none"/>
          <w14:textFill>
            <w14:solidFill>
              <w14:schemeClr w14:val="tx1"/>
            </w14:solidFill>
          </w14:textFill>
        </w:rPr>
        <w:t>3</w:t>
      </w:r>
      <w:r>
        <w:rPr>
          <w:rFonts w:cs="Times New Roman"/>
          <w:bCs/>
          <w:color w:val="000000" w:themeColor="text1"/>
          <w:szCs w:val="24"/>
          <w:highlight w:val="none"/>
          <w14:textFill>
            <w14:solidFill>
              <w14:schemeClr w14:val="tx1"/>
            </w14:solidFill>
          </w14:textFill>
        </w:rPr>
        <w:t>m高围堰，防止废水外溢</w:t>
      </w:r>
      <w:r>
        <w:rPr>
          <w:rFonts w:hint="eastAsia" w:cs="Times New Roman"/>
          <w:bCs/>
          <w:color w:val="000000" w:themeColor="text1"/>
          <w:szCs w:val="24"/>
          <w:highlight w:val="none"/>
          <w14:textFill>
            <w14:solidFill>
              <w14:schemeClr w14:val="tx1"/>
            </w14:solidFill>
          </w14:textFill>
        </w:rPr>
        <w:t>。从总平面布局看，井场重点防渗区域面积大于1000m</w:t>
      </w:r>
      <w:r>
        <w:rPr>
          <w:rFonts w:hint="eastAsia" w:cs="Times New Roman"/>
          <w:bCs/>
          <w:color w:val="000000" w:themeColor="text1"/>
          <w:szCs w:val="24"/>
          <w:highlight w:val="none"/>
          <w:vertAlign w:val="superscript"/>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，单座压裂液储罐占地约6-8m</w:t>
      </w:r>
      <w:r>
        <w:rPr>
          <w:rFonts w:hint="eastAsia" w:cs="Times New Roman"/>
          <w:bCs/>
          <w:color w:val="000000" w:themeColor="text1"/>
          <w:szCs w:val="24"/>
          <w:highlight w:val="none"/>
          <w:vertAlign w:val="superscript"/>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，共计所需重点防渗区面积约240~320m</w:t>
      </w:r>
      <w:r>
        <w:rPr>
          <w:rFonts w:hint="eastAsia" w:cs="Times New Roman"/>
          <w:bCs/>
          <w:color w:val="000000" w:themeColor="text1"/>
          <w:szCs w:val="24"/>
          <w:highlight w:val="none"/>
          <w:vertAlign w:val="superscript"/>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，井场有足够的重点防渗区域放置压裂液储罐。同时压裂液储罐主要布置于后场区域，与井口相邻，避免了废水长距离输送而导致的泄漏风险，因此从环保角度而言布置合理。</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综上所述，本工程钻井期井场布置合理。</w:t>
      </w:r>
    </w:p>
    <w:p>
      <w:pPr>
        <w:tabs>
          <w:tab w:val="left" w:pos="0"/>
        </w:tabs>
        <w:ind w:firstLine="480"/>
        <w:rPr>
          <w:rFonts w:eastAsia="黑体" w:cs="Times New Roman"/>
          <w:bCs/>
          <w:color w:val="000000" w:themeColor="text1"/>
          <w:szCs w:val="24"/>
          <w:highlight w:val="none"/>
          <w14:textFill>
            <w14:solidFill>
              <w14:schemeClr w14:val="tx1"/>
            </w14:solidFill>
          </w14:textFill>
        </w:rPr>
      </w:pPr>
      <w:bookmarkStart w:id="118" w:name="_Toc8802"/>
      <w:r>
        <w:rPr>
          <w:rFonts w:eastAsia="黑体" w:cs="Times New Roman"/>
          <w:bCs/>
          <w:color w:val="000000" w:themeColor="text1"/>
          <w:szCs w:val="24"/>
          <w:highlight w:val="none"/>
          <w14:textFill>
            <w14:solidFill>
              <w14:schemeClr w14:val="tx1"/>
            </w14:solidFill>
          </w14:textFill>
        </w:rPr>
        <w:t>2、试采工程平面布局合理性分析</w:t>
      </w:r>
      <w:bookmarkEnd w:id="118"/>
    </w:p>
    <w:p>
      <w:pPr>
        <w:tabs>
          <w:tab w:val="left" w:pos="0"/>
        </w:tabs>
        <w:ind w:firstLine="480"/>
        <w:rPr>
          <w:bCs/>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本次试采期</w:t>
      </w:r>
      <w:r>
        <w:rPr>
          <w:bCs/>
          <w:color w:val="000000" w:themeColor="text1"/>
          <w:szCs w:val="24"/>
          <w:highlight w:val="none"/>
          <w14:textFill>
            <w14:solidFill>
              <w14:schemeClr w14:val="tx1"/>
            </w14:solidFill>
          </w14:textFill>
        </w:rPr>
        <w:t>集输设备布置在站场的</w:t>
      </w:r>
      <w:r>
        <w:rPr>
          <w:rFonts w:hint="eastAsia"/>
          <w:bCs/>
          <w:color w:val="000000" w:themeColor="text1"/>
          <w:szCs w:val="24"/>
          <w:highlight w:val="none"/>
          <w14:textFill>
            <w14:solidFill>
              <w14:schemeClr w14:val="tx1"/>
            </w14:solidFill>
          </w14:textFill>
        </w:rPr>
        <w:t>西</w:t>
      </w:r>
      <w:r>
        <w:rPr>
          <w:bCs/>
          <w:color w:val="000000" w:themeColor="text1"/>
          <w:szCs w:val="24"/>
          <w:highlight w:val="none"/>
          <w14:textFill>
            <w14:solidFill>
              <w14:schemeClr w14:val="tx1"/>
            </w14:solidFill>
          </w14:textFill>
        </w:rPr>
        <w:t>侧</w:t>
      </w:r>
      <w:r>
        <w:rPr>
          <w:rFonts w:hint="eastAsia"/>
          <w:bCs/>
          <w:color w:val="000000" w:themeColor="text1"/>
          <w:szCs w:val="24"/>
          <w:highlight w:val="none"/>
          <w14:textFill>
            <w14:solidFill>
              <w14:schemeClr w14:val="tx1"/>
            </w14:solidFill>
          </w14:textFill>
        </w:rPr>
        <w:t>的大湾</w:t>
      </w:r>
      <w:r>
        <w:rPr>
          <w:rFonts w:hint="eastAsia"/>
          <w:bCs/>
          <w:color w:val="000000" w:themeColor="text1"/>
          <w:szCs w:val="24"/>
          <w:highlight w:val="none"/>
          <w:lang w:eastAsia="zh-CN"/>
          <w14:textFill>
            <w14:solidFill>
              <w14:schemeClr w14:val="tx1"/>
            </w14:solidFill>
          </w14:textFill>
        </w:rPr>
        <w:t>408试采站</w:t>
      </w:r>
      <w:r>
        <w:rPr>
          <w:rFonts w:hint="eastAsia"/>
          <w:bCs/>
          <w:color w:val="000000" w:themeColor="text1"/>
          <w:szCs w:val="24"/>
          <w:highlight w:val="none"/>
          <w14:textFill>
            <w14:solidFill>
              <w14:schemeClr w14:val="tx1"/>
            </w14:solidFill>
          </w14:textFill>
        </w:rPr>
        <w:t>内</w:t>
      </w:r>
      <w:r>
        <w:rPr>
          <w:bCs/>
          <w:color w:val="000000" w:themeColor="text1"/>
          <w:szCs w:val="24"/>
          <w:highlight w:val="none"/>
          <w14:textFill>
            <w14:solidFill>
              <w14:schemeClr w14:val="tx1"/>
            </w14:solidFill>
          </w14:textFill>
        </w:rPr>
        <w:t>，辅助生产用房布置在站场的</w:t>
      </w:r>
      <w:r>
        <w:rPr>
          <w:rFonts w:hint="eastAsia"/>
          <w:bCs/>
          <w:color w:val="000000" w:themeColor="text1"/>
          <w:szCs w:val="24"/>
          <w:highlight w:val="none"/>
          <w14:textFill>
            <w14:solidFill>
              <w14:schemeClr w14:val="tx1"/>
            </w14:solidFill>
          </w14:textFill>
        </w:rPr>
        <w:t>东</w:t>
      </w:r>
      <w:r>
        <w:rPr>
          <w:bCs/>
          <w:color w:val="000000" w:themeColor="text1"/>
          <w:szCs w:val="24"/>
          <w:highlight w:val="none"/>
          <w14:textFill>
            <w14:solidFill>
              <w14:schemeClr w14:val="tx1"/>
            </w14:solidFill>
          </w14:textFill>
        </w:rPr>
        <w:t>侧</w:t>
      </w:r>
      <w:r>
        <w:rPr>
          <w:rFonts w:hint="eastAsia"/>
          <w:bCs/>
          <w:color w:val="000000" w:themeColor="text1"/>
          <w:szCs w:val="24"/>
          <w:highlight w:val="none"/>
          <w14:textFill>
            <w14:solidFill>
              <w14:schemeClr w14:val="tx1"/>
            </w14:solidFill>
          </w14:textFill>
        </w:rPr>
        <w:t>区域</w:t>
      </w:r>
      <w:r>
        <w:rPr>
          <w:bCs/>
          <w:color w:val="000000" w:themeColor="text1"/>
          <w:szCs w:val="24"/>
          <w:highlight w:val="none"/>
          <w14:textFill>
            <w14:solidFill>
              <w14:schemeClr w14:val="tx1"/>
            </w14:solidFill>
          </w14:textFill>
        </w:rPr>
        <w:t>。本项目站场为五级天然气井站，</w:t>
      </w:r>
      <w:r>
        <w:rPr>
          <w:rFonts w:hint="eastAsia"/>
          <w:bCs/>
          <w:color w:val="000000" w:themeColor="text1"/>
          <w:szCs w:val="24"/>
          <w:highlight w:val="none"/>
          <w14:textFill>
            <w14:solidFill>
              <w14:schemeClr w14:val="tx1"/>
            </w14:solidFill>
          </w14:textFill>
        </w:rPr>
        <w:t>主要设施均依托既有大湾</w:t>
      </w:r>
      <w:r>
        <w:rPr>
          <w:rFonts w:hint="eastAsia"/>
          <w:bCs/>
          <w:color w:val="000000" w:themeColor="text1"/>
          <w:szCs w:val="24"/>
          <w:highlight w:val="none"/>
          <w:lang w:eastAsia="zh-CN"/>
          <w14:textFill>
            <w14:solidFill>
              <w14:schemeClr w14:val="tx1"/>
            </w14:solidFill>
          </w14:textFill>
        </w:rPr>
        <w:t>408试采站</w:t>
      </w:r>
      <w:r>
        <w:rPr>
          <w:rFonts w:hint="eastAsia"/>
          <w:bCs/>
          <w:color w:val="000000" w:themeColor="text1"/>
          <w:szCs w:val="24"/>
          <w:highlight w:val="none"/>
          <w14:textFill>
            <w14:solidFill>
              <w14:schemeClr w14:val="tx1"/>
            </w14:solidFill>
          </w14:textFill>
        </w:rPr>
        <w:t>，</w:t>
      </w:r>
      <w:r>
        <w:rPr>
          <w:bCs/>
          <w:color w:val="000000" w:themeColor="text1"/>
          <w:szCs w:val="24"/>
          <w:highlight w:val="none"/>
          <w14:textFill>
            <w14:solidFill>
              <w14:schemeClr w14:val="tx1"/>
            </w14:solidFill>
          </w14:textFill>
        </w:rPr>
        <w:t>站内设施较少，主要涉及油气井</w:t>
      </w:r>
      <w:r>
        <w:rPr>
          <w:rFonts w:hint="eastAsia"/>
          <w:bCs/>
          <w:color w:val="000000" w:themeColor="text1"/>
          <w:szCs w:val="24"/>
          <w:highlight w:val="none"/>
          <w14:textFill>
            <w14:solidFill>
              <w14:schemeClr w14:val="tx1"/>
            </w14:solidFill>
          </w14:textFill>
        </w:rPr>
        <w:t>口</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其布置</w:t>
      </w:r>
      <w:r>
        <w:rPr>
          <w:bCs/>
          <w:color w:val="000000" w:themeColor="text1"/>
          <w:szCs w:val="24"/>
          <w:highlight w:val="none"/>
          <w14:textFill>
            <w14:solidFill>
              <w14:schemeClr w14:val="tx1"/>
            </w14:solidFill>
          </w14:textFill>
        </w:rPr>
        <w:t>满足《石油天然气工程设计防火规范》（GB50183-2004）的第5.2.3条规定。放空区位于试采站东南侧，扩散条件良好，满足《石油天然气工程设计防火规范》（GB50183-2004）第4.0.8条规定。项目试采站运</w:t>
      </w:r>
      <w:r>
        <w:rPr>
          <w:rFonts w:hint="eastAsia"/>
          <w:bCs/>
          <w:color w:val="000000" w:themeColor="text1"/>
          <w:szCs w:val="24"/>
          <w:highlight w:val="none"/>
          <w14:textFill>
            <w14:solidFill>
              <w14:schemeClr w14:val="tx1"/>
            </w14:solidFill>
          </w14:textFill>
        </w:rPr>
        <w:t>营</w:t>
      </w:r>
      <w:r>
        <w:rPr>
          <w:bCs/>
          <w:color w:val="000000" w:themeColor="text1"/>
          <w:szCs w:val="24"/>
          <w:highlight w:val="none"/>
          <w14:textFill>
            <w14:solidFill>
              <w14:schemeClr w14:val="tx1"/>
            </w14:solidFill>
          </w14:textFill>
        </w:rPr>
        <w:t>期噪声为气流摩擦噪声，由于采气规模小，噪声源声级值低，站界噪声和敏感点噪声均能满足相应标准要求。因此，试采期井站工程布局是合理的。</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总的来看，利用大湾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进行集输工程布局</w:t>
      </w:r>
      <w:r>
        <w:rPr>
          <w:bCs/>
          <w:color w:val="000000" w:themeColor="text1"/>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设备较少，</w:t>
      </w:r>
      <w:r>
        <w:rPr>
          <w:bCs/>
          <w:color w:val="000000" w:themeColor="text1"/>
          <w:highlight w:val="none"/>
          <w14:textFill>
            <w14:solidFill>
              <w14:schemeClr w14:val="tx1"/>
            </w14:solidFill>
          </w14:textFill>
        </w:rPr>
        <w:t>满足《石油天然气工程设计防火规范》（GB50183-2004）的第5.2.3条规定</w:t>
      </w:r>
      <w:r>
        <w:rPr>
          <w:rFonts w:hint="eastAsia"/>
          <w:bCs/>
          <w:color w:val="000000" w:themeColor="text1"/>
          <w:highlight w:val="none"/>
          <w14:textFill>
            <w14:solidFill>
              <w14:schemeClr w14:val="tx1"/>
            </w14:solidFill>
          </w14:textFill>
        </w:rPr>
        <w:t>，因此</w:t>
      </w:r>
      <w:r>
        <w:rPr>
          <w:bCs/>
          <w:color w:val="000000" w:themeColor="text1"/>
          <w:highlight w:val="none"/>
          <w14:textFill>
            <w14:solidFill>
              <w14:schemeClr w14:val="tx1"/>
            </w14:solidFill>
          </w14:textFill>
        </w:rPr>
        <w:t>试采期井站工程布局是合理的。</w:t>
      </w:r>
      <w:bookmarkEnd w:id="115"/>
    </w:p>
    <w:p>
      <w:pPr>
        <w:ind w:firstLine="480"/>
        <w:rPr>
          <w:rFonts w:cs="Times New Roman"/>
          <w:color w:val="000000" w:themeColor="text1"/>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2"/>
        <w:rPr>
          <w:b/>
          <w:color w:val="000000" w:themeColor="text1"/>
          <w:highlight w:val="none"/>
          <w:lang w:eastAsia="zh-CN"/>
          <w14:textFill>
            <w14:solidFill>
              <w14:schemeClr w14:val="tx1"/>
            </w14:solidFill>
          </w14:textFill>
        </w:rPr>
      </w:pPr>
      <w:bookmarkStart w:id="119" w:name="_Toc929"/>
      <w:r>
        <w:rPr>
          <w:color w:val="000000" w:themeColor="text1"/>
          <w:highlight w:val="none"/>
          <w:lang w:eastAsia="zh-CN"/>
          <w14:textFill>
            <w14:solidFill>
              <w14:schemeClr w14:val="tx1"/>
            </w14:solidFill>
          </w14:textFill>
        </w:rPr>
        <w:t>工程分析</w:t>
      </w:r>
      <w:bookmarkEnd w:id="119"/>
    </w:p>
    <w:p>
      <w:pPr>
        <w:pStyle w:val="3"/>
        <w:spacing w:before="0" w:beforeLines="0"/>
        <w:rPr>
          <w:color w:val="000000" w:themeColor="text1"/>
          <w:szCs w:val="24"/>
          <w:highlight w:val="none"/>
          <w:lang w:eastAsia="zh-CN"/>
          <w14:textFill>
            <w14:solidFill>
              <w14:schemeClr w14:val="tx1"/>
            </w14:solidFill>
          </w14:textFill>
        </w:rPr>
      </w:pPr>
      <w:bookmarkStart w:id="120" w:name="_Toc30466"/>
      <w:r>
        <w:rPr>
          <w:rFonts w:hint="eastAsia"/>
          <w:color w:val="000000" w:themeColor="text1"/>
          <w:szCs w:val="24"/>
          <w:highlight w:val="none"/>
          <w:lang w:eastAsia="zh-CN"/>
          <w14:textFill>
            <w14:solidFill>
              <w14:schemeClr w14:val="tx1"/>
            </w14:solidFill>
          </w14:textFill>
        </w:rPr>
        <w:t>依托</w:t>
      </w:r>
      <w:r>
        <w:rPr>
          <w:color w:val="000000" w:themeColor="text1"/>
          <w:szCs w:val="24"/>
          <w:highlight w:val="none"/>
          <w:lang w:eastAsia="zh-CN"/>
          <w14:textFill>
            <w14:solidFill>
              <w14:schemeClr w14:val="tx1"/>
            </w14:solidFill>
          </w14:textFill>
        </w:rPr>
        <w:t>工程建设情况</w:t>
      </w:r>
      <w:bookmarkEnd w:id="120"/>
    </w:p>
    <w:p>
      <w:pPr>
        <w:pStyle w:val="4"/>
        <w:spacing w:before="0" w:beforeLines="0"/>
        <w:ind w:firstLine="480"/>
        <w:rPr>
          <w:color w:val="000000" w:themeColor="text1"/>
          <w:highlight w:val="none"/>
          <w14:textFill>
            <w14:solidFill>
              <w14:schemeClr w14:val="tx1"/>
            </w14:solidFill>
          </w14:textFill>
        </w:rPr>
      </w:pPr>
      <w:r>
        <w:rPr>
          <w:rFonts w:hint="eastAsia"/>
          <w:color w:val="000000" w:themeColor="text1"/>
          <w:szCs w:val="24"/>
          <w:highlight w:val="none"/>
          <w:lang w:eastAsia="zh-CN"/>
          <w14:textFill>
            <w14:solidFill>
              <w14:schemeClr w14:val="tx1"/>
            </w14:solidFill>
          </w14:textFill>
        </w:rPr>
        <w:t>大湾408试采站</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本次</w:t>
      </w:r>
      <w:r>
        <w:rPr>
          <w:rFonts w:hint="eastAsia" w:cs="Times New Roman"/>
          <w:color w:val="000000" w:themeColor="text1"/>
          <w:highlight w:val="none"/>
          <w14:textFill>
            <w14:solidFill>
              <w14:schemeClr w14:val="tx1"/>
            </w14:solidFill>
          </w14:textFill>
        </w:rPr>
        <w:t>开采的天然气和采出水</w:t>
      </w:r>
      <w:r>
        <w:rPr>
          <w:rFonts w:cs="Times New Roman"/>
          <w:color w:val="000000" w:themeColor="text1"/>
          <w:highlight w:val="none"/>
          <w14:textFill>
            <w14:solidFill>
              <w14:schemeClr w14:val="tx1"/>
            </w14:solidFill>
          </w14:textFill>
        </w:rPr>
        <w:t>通过新建的</w:t>
      </w:r>
      <w:r>
        <w:rPr>
          <w:rFonts w:hint="eastAsia" w:cs="Times New Roman"/>
          <w:color w:val="000000" w:themeColor="text1"/>
          <w:highlight w:val="none"/>
          <w14:textFill>
            <w14:solidFill>
              <w14:schemeClr w14:val="tx1"/>
            </w14:solidFill>
          </w14:textFill>
        </w:rPr>
        <w:t>大湾408-3井场试采站～大湾</w:t>
      </w:r>
      <w:r>
        <w:rPr>
          <w:rFonts w:hint="eastAsia" w:cs="Times New Roman"/>
          <w:color w:val="000000" w:themeColor="text1"/>
          <w:highlight w:val="none"/>
          <w:lang w:eastAsia="zh-CN"/>
          <w14:textFill>
            <w14:solidFill>
              <w14:schemeClr w14:val="tx1"/>
            </w14:solidFill>
          </w14:textFill>
        </w:rPr>
        <w:t>408试采站</w:t>
      </w:r>
      <w:r>
        <w:rPr>
          <w:rFonts w:cs="Times New Roman"/>
          <w:color w:val="000000" w:themeColor="text1"/>
          <w:highlight w:val="none"/>
          <w14:textFill>
            <w14:solidFill>
              <w14:schemeClr w14:val="tx1"/>
            </w14:solidFill>
          </w14:textFill>
        </w:rPr>
        <w:t>之间的</w:t>
      </w:r>
      <w:r>
        <w:rPr>
          <w:rFonts w:hint="eastAsia" w:cs="Times New Roman"/>
          <w:color w:val="000000" w:themeColor="text1"/>
          <w:highlight w:val="none"/>
          <w14:textFill>
            <w14:solidFill>
              <w14:schemeClr w14:val="tx1"/>
            </w14:solidFill>
          </w14:textFill>
        </w:rPr>
        <w:t>管线</w:t>
      </w:r>
      <w:r>
        <w:rPr>
          <w:rFonts w:cs="Times New Roman"/>
          <w:color w:val="000000" w:themeColor="text1"/>
          <w:highlight w:val="none"/>
          <w14:textFill>
            <w14:solidFill>
              <w14:schemeClr w14:val="tx1"/>
            </w14:solidFill>
          </w14:textFill>
        </w:rPr>
        <w:t>接入已建的</w:t>
      </w:r>
      <w:r>
        <w:rPr>
          <w:rFonts w:hint="eastAsia" w:cs="Times New Roman"/>
          <w:color w:val="000000" w:themeColor="text1"/>
          <w:highlight w:val="none"/>
          <w14:textFill>
            <w14:solidFill>
              <w14:schemeClr w14:val="tx1"/>
            </w14:solidFill>
          </w14:textFill>
        </w:rPr>
        <w:t>大湾</w:t>
      </w:r>
      <w:r>
        <w:rPr>
          <w:rFonts w:hint="eastAsia" w:cs="Times New Roman"/>
          <w:color w:val="000000" w:themeColor="text1"/>
          <w:highlight w:val="none"/>
          <w:lang w:eastAsia="zh-CN"/>
          <w14:textFill>
            <w14:solidFill>
              <w14:schemeClr w14:val="tx1"/>
            </w14:solidFill>
          </w14:textFill>
        </w:rPr>
        <w:t>408试采站</w:t>
      </w:r>
      <w:r>
        <w:rPr>
          <w:rFonts w:cs="Times New Roman"/>
          <w:color w:val="000000" w:themeColor="text1"/>
          <w:highlight w:val="none"/>
          <w14:textFill>
            <w14:solidFill>
              <w14:schemeClr w14:val="tx1"/>
            </w14:solidFill>
          </w14:textFill>
        </w:rPr>
        <w:t>，</w:t>
      </w:r>
      <w:bookmarkStart w:id="121" w:name="_Hlk153138558"/>
      <w:r>
        <w:rPr>
          <w:rFonts w:hint="eastAsia" w:cs="Times New Roman"/>
          <w:color w:val="000000" w:themeColor="text1"/>
          <w:highlight w:val="none"/>
          <w14:textFill>
            <w14:solidFill>
              <w14:schemeClr w14:val="tx1"/>
            </w14:solidFill>
          </w14:textFill>
        </w:rPr>
        <w:t>天然气</w:t>
      </w:r>
      <w:r>
        <w:rPr>
          <w:rFonts w:cs="Times New Roman"/>
          <w:color w:val="000000" w:themeColor="text1"/>
          <w:highlight w:val="none"/>
          <w14:textFill>
            <w14:solidFill>
              <w14:schemeClr w14:val="tx1"/>
            </w14:solidFill>
          </w14:textFill>
        </w:rPr>
        <w:t>依托</w:t>
      </w:r>
      <w:r>
        <w:rPr>
          <w:rFonts w:hint="eastAsia" w:cs="Times New Roman"/>
          <w:color w:val="000000" w:themeColor="text1"/>
          <w:highlight w:val="none"/>
          <w14:textFill>
            <w14:solidFill>
              <w14:schemeClr w14:val="tx1"/>
            </w14:solidFill>
          </w14:textFill>
        </w:rPr>
        <w:t>大湾</w:t>
      </w:r>
      <w:r>
        <w:rPr>
          <w:rFonts w:hint="eastAsia" w:cs="Times New Roman"/>
          <w:color w:val="000000" w:themeColor="text1"/>
          <w:highlight w:val="none"/>
          <w:lang w:eastAsia="zh-CN"/>
          <w14:textFill>
            <w14:solidFill>
              <w14:schemeClr w14:val="tx1"/>
            </w14:solidFill>
          </w14:textFill>
        </w:rPr>
        <w:t>408试采站</w:t>
      </w:r>
      <w:r>
        <w:rPr>
          <w:rFonts w:cs="Times New Roman"/>
          <w:color w:val="000000" w:themeColor="text1"/>
          <w:highlight w:val="none"/>
          <w14:textFill>
            <w14:solidFill>
              <w14:schemeClr w14:val="tx1"/>
            </w14:solidFill>
          </w14:textFill>
        </w:rPr>
        <w:t>内已建的</w:t>
      </w:r>
      <w:r>
        <w:rPr>
          <w:rFonts w:hint="eastAsia" w:cs="Times New Roman"/>
          <w:color w:val="000000" w:themeColor="text1"/>
          <w:highlight w:val="none"/>
          <w14:textFill>
            <w14:solidFill>
              <w14:schemeClr w14:val="tx1"/>
            </w14:solidFill>
          </w14:textFill>
        </w:rPr>
        <w:t>天然气外输管线外输</w:t>
      </w:r>
      <w:bookmarkEnd w:id="121"/>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本项目大部分地面集输流程均依托原大湾</w:t>
      </w:r>
      <w:r>
        <w:rPr>
          <w:rFonts w:hint="eastAsia" w:cs="Times New Roman"/>
          <w:color w:val="000000" w:themeColor="text1"/>
          <w:highlight w:val="none"/>
          <w:lang w:eastAsia="zh-CN"/>
          <w14:textFill>
            <w14:solidFill>
              <w14:schemeClr w14:val="tx1"/>
            </w14:solidFill>
          </w14:textFill>
        </w:rPr>
        <w:t>408试采站</w:t>
      </w:r>
      <w:r>
        <w:rPr>
          <w:rFonts w:hint="eastAsia" w:cs="Times New Roman"/>
          <w:color w:val="000000" w:themeColor="text1"/>
          <w:highlight w:val="none"/>
          <w14:textFill>
            <w14:solidFill>
              <w14:schemeClr w14:val="tx1"/>
            </w14:solidFill>
          </w14:textFill>
        </w:rPr>
        <w:t>内既有采气流程。既有大湾</w:t>
      </w:r>
      <w:r>
        <w:rPr>
          <w:rFonts w:hint="eastAsia" w:cs="Times New Roman"/>
          <w:color w:val="000000" w:themeColor="text1"/>
          <w:highlight w:val="none"/>
          <w:lang w:eastAsia="zh-CN"/>
          <w14:textFill>
            <w14:solidFill>
              <w14:schemeClr w14:val="tx1"/>
            </w14:solidFill>
          </w14:textFill>
        </w:rPr>
        <w:t>408试采站</w:t>
      </w:r>
      <w:r>
        <w:rPr>
          <w:rFonts w:hint="eastAsia" w:cs="Times New Roman"/>
          <w:color w:val="000000" w:themeColor="text1"/>
          <w:szCs w:val="24"/>
          <w:highlight w:val="none"/>
          <w14:textFill>
            <w14:solidFill>
              <w14:schemeClr w14:val="tx1"/>
            </w14:solidFill>
          </w14:textFill>
        </w:rPr>
        <w:t>具体</w:t>
      </w:r>
      <w:r>
        <w:rPr>
          <w:rFonts w:cs="Times New Roman"/>
          <w:color w:val="000000" w:themeColor="text1"/>
          <w:szCs w:val="24"/>
          <w:highlight w:val="none"/>
          <w14:textFill>
            <w14:solidFill>
              <w14:schemeClr w14:val="tx1"/>
            </w14:solidFill>
          </w14:textFill>
        </w:rPr>
        <w:t>情况如下：</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环保手续履行情况</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大湾</w:t>
      </w:r>
      <w:r>
        <w:rPr>
          <w:rFonts w:hint="eastAsia" w:cs="Times New Roman"/>
          <w:color w:val="000000" w:themeColor="text1"/>
          <w:szCs w:val="24"/>
          <w:highlight w:val="none"/>
          <w:lang w:eastAsia="zh-CN"/>
          <w14:textFill>
            <w14:solidFill>
              <w14:schemeClr w14:val="tx1"/>
            </w14:solidFill>
          </w14:textFill>
        </w:rPr>
        <w:t>408试采站</w:t>
      </w:r>
      <w:r>
        <w:rPr>
          <w:rFonts w:hint="eastAsia" w:cs="Times New Roman"/>
          <w:color w:val="000000" w:themeColor="text1"/>
          <w:szCs w:val="24"/>
          <w:highlight w:val="none"/>
          <w14:textFill>
            <w14:solidFill>
              <w14:schemeClr w14:val="tx1"/>
            </w14:solidFill>
          </w14:textFill>
        </w:rPr>
        <w:t>于2023年12月12日取得了达州市宣汉生态环境局</w:t>
      </w:r>
      <w:r>
        <w:rPr>
          <w:rFonts w:cs="Times New Roman"/>
          <w:color w:val="000000" w:themeColor="text1"/>
          <w:szCs w:val="24"/>
          <w:highlight w:val="none"/>
          <w14:textFill>
            <w14:solidFill>
              <w14:schemeClr w14:val="tx1"/>
            </w14:solidFill>
          </w14:textFill>
        </w:rPr>
        <w:t>《关于</w:t>
      </w:r>
      <w:r>
        <w:rPr>
          <w:rFonts w:hint="eastAsia" w:cs="Times New Roman"/>
          <w:color w:val="000000" w:themeColor="text1"/>
          <w:szCs w:val="24"/>
          <w:highlight w:val="none"/>
          <w14:textFill>
            <w14:solidFill>
              <w14:schemeClr w14:val="tx1"/>
            </w14:solidFill>
          </w14:textFill>
        </w:rPr>
        <w:t>大湾408井台钻井及试采工程</w:t>
      </w:r>
      <w:r>
        <w:rPr>
          <w:rFonts w:cs="Times New Roman"/>
          <w:color w:val="000000" w:themeColor="text1"/>
          <w:szCs w:val="24"/>
          <w:highlight w:val="none"/>
          <w14:textFill>
            <w14:solidFill>
              <w14:schemeClr w14:val="tx1"/>
            </w14:solidFill>
          </w14:textFill>
        </w:rPr>
        <w:t>环境影响报告书的批复》（</w:t>
      </w:r>
      <w:r>
        <w:rPr>
          <w:rFonts w:hint="eastAsia" w:cs="Times New Roman"/>
          <w:color w:val="000000" w:themeColor="text1"/>
          <w:szCs w:val="24"/>
          <w:highlight w:val="none"/>
          <w14:textFill>
            <w14:solidFill>
              <w14:schemeClr w14:val="tx1"/>
            </w14:solidFill>
          </w14:textFill>
        </w:rPr>
        <w:t>宣环审〔2023〕49号</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于2024年1月开工建设，目前已建成，正在试生产和开展竣工环保验收工作</w:t>
      </w:r>
      <w:r>
        <w:rPr>
          <w:rFonts w:cs="Times New Roman"/>
          <w:color w:val="000000" w:themeColor="text1"/>
          <w:szCs w:val="24"/>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现状</w:t>
      </w:r>
    </w:p>
    <w:p>
      <w:pPr>
        <w:ind w:firstLine="480"/>
        <w:rPr>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大湾</w:t>
      </w:r>
      <w:r>
        <w:rPr>
          <w:rFonts w:hint="eastAsia" w:cs="Times New Roman"/>
          <w:color w:val="000000" w:themeColor="text1"/>
          <w:highlight w:val="none"/>
          <w:lang w:eastAsia="zh-CN"/>
          <w14:textFill>
            <w14:solidFill>
              <w14:schemeClr w14:val="tx1"/>
            </w14:solidFill>
          </w14:textFill>
        </w:rPr>
        <w:t>408试采站</w:t>
      </w:r>
      <w:r>
        <w:rPr>
          <w:rFonts w:hint="eastAsia" w:cs="Times New Roman"/>
          <w:color w:val="000000" w:themeColor="text1"/>
          <w:highlight w:val="none"/>
          <w14:textFill>
            <w14:solidFill>
              <w14:schemeClr w14:val="tx1"/>
            </w14:solidFill>
          </w14:textFill>
        </w:rPr>
        <w:t>现状为已建，其实际配产规模为180万立方米</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天，主要服务于既有大湾408-1井、大湾408-2井的采气生产需求，</w:t>
      </w:r>
      <w:r>
        <w:rPr>
          <w:color w:val="000000" w:themeColor="text1"/>
          <w:highlight w:val="none"/>
          <w14:textFill>
            <w14:solidFill>
              <w14:schemeClr w14:val="tx1"/>
            </w14:solidFill>
          </w14:textFill>
        </w:rPr>
        <w:t>站内实现集气、加热节流、计量分离，采出气经分离计量后通过</w:t>
      </w:r>
      <w:r>
        <w:rPr>
          <w:rFonts w:hint="eastAsia"/>
          <w:color w:val="000000" w:themeColor="text1"/>
          <w:highlight w:val="none"/>
          <w14:textFill>
            <w14:solidFill>
              <w14:schemeClr w14:val="tx1"/>
            </w14:solidFill>
          </w14:textFill>
        </w:rPr>
        <w:t>新建</w:t>
      </w:r>
      <w:r>
        <w:rPr>
          <w:color w:val="000000" w:themeColor="text1"/>
          <w:highlight w:val="none"/>
          <w14:textFill>
            <w14:solidFill>
              <w14:schemeClr w14:val="tx1"/>
            </w14:solidFill>
          </w14:textFill>
        </w:rPr>
        <w:t>2.6</w:t>
      </w:r>
      <w:r>
        <w:rPr>
          <w:rFonts w:hint="eastAsia"/>
          <w:color w:val="000000" w:themeColor="text1"/>
          <w:highlight w:val="none"/>
          <w14:textFill>
            <w14:solidFill>
              <w14:schemeClr w14:val="tx1"/>
            </w14:solidFill>
          </w14:textFill>
        </w:rPr>
        <w:t>km</w:t>
      </w:r>
      <w:r>
        <w:rPr>
          <w:color w:val="000000" w:themeColor="text1"/>
          <w:highlight w:val="none"/>
          <w14:textFill>
            <w14:solidFill>
              <w14:schemeClr w14:val="tx1"/>
            </w14:solidFill>
          </w14:textFill>
        </w:rPr>
        <w:t>酸气管道输送至下游</w:t>
      </w:r>
      <w:r>
        <w:rPr>
          <w:rFonts w:hint="eastAsia"/>
          <w:color w:val="000000" w:themeColor="text1"/>
          <w:highlight w:val="none"/>
          <w14:textFill>
            <w14:solidFill>
              <w14:schemeClr w14:val="tx1"/>
            </w14:solidFill>
          </w14:textFill>
        </w:rPr>
        <w:t>已建D403集气</w:t>
      </w:r>
      <w:r>
        <w:rPr>
          <w:color w:val="000000" w:themeColor="text1"/>
          <w:highlight w:val="none"/>
          <w14:textFill>
            <w14:solidFill>
              <w14:schemeClr w14:val="tx1"/>
            </w14:solidFill>
          </w14:textFill>
        </w:rPr>
        <w:t>站，再通过</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#线输至净化厂处理</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分离器出气田水</w:t>
      </w:r>
      <w:r>
        <w:rPr>
          <w:rFonts w:hint="eastAsia"/>
          <w:color w:val="000000" w:themeColor="text1"/>
          <w:highlight w:val="none"/>
          <w14:textFill>
            <w14:solidFill>
              <w14:schemeClr w14:val="tx1"/>
            </w14:solidFill>
          </w14:textFill>
        </w:rPr>
        <w:t>经</w:t>
      </w:r>
      <w:r>
        <w:rPr>
          <w:color w:val="000000" w:themeColor="text1"/>
          <w:highlight w:val="none"/>
          <w14:textFill>
            <w14:solidFill>
              <w14:schemeClr w14:val="tx1"/>
            </w14:solidFill>
          </w14:textFill>
        </w:rPr>
        <w:t>站内</w:t>
      </w:r>
      <w:r>
        <w:rPr>
          <w:rFonts w:hint="eastAsia"/>
          <w:color w:val="000000" w:themeColor="text1"/>
          <w:highlight w:val="none"/>
          <w14:textFill>
            <w14:solidFill>
              <w14:schemeClr w14:val="tx1"/>
            </w14:solidFill>
          </w14:textFill>
        </w:rPr>
        <w:t>新建</w:t>
      </w:r>
      <w:r>
        <w:rPr>
          <w:color w:val="000000" w:themeColor="text1"/>
          <w:highlight w:val="none"/>
          <w14:textFill>
            <w14:solidFill>
              <w14:schemeClr w14:val="tx1"/>
            </w14:solidFill>
          </w14:textFill>
        </w:rPr>
        <w:t>火炬分液罐</w:t>
      </w:r>
      <w:r>
        <w:rPr>
          <w:rFonts w:hint="eastAsia"/>
          <w:color w:val="000000" w:themeColor="text1"/>
          <w:highlight w:val="none"/>
          <w14:textFill>
            <w14:solidFill>
              <w14:schemeClr w14:val="tx1"/>
            </w14:solidFill>
          </w14:textFill>
        </w:rPr>
        <w:t>暂存</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定期由密闭罐车</w:t>
      </w:r>
      <w:r>
        <w:rPr>
          <w:color w:val="000000" w:themeColor="text1"/>
          <w:highlight w:val="none"/>
          <w14:textFill>
            <w14:solidFill>
              <w14:schemeClr w14:val="tx1"/>
            </w14:solidFill>
          </w14:textFill>
        </w:rPr>
        <w:t>统一拉运至赵家坝污水处理站</w:t>
      </w:r>
      <w:r>
        <w:rPr>
          <w:rFonts w:hint="eastAsia"/>
          <w:color w:val="000000" w:themeColor="text1"/>
          <w:highlight w:val="none"/>
          <w14:textFill>
            <w14:solidFill>
              <w14:schemeClr w14:val="tx1"/>
            </w14:solidFill>
          </w14:textFill>
        </w:rPr>
        <w:t>。</w:t>
      </w:r>
    </w:p>
    <w:p>
      <w:pPr>
        <w:pBdr>
          <w:bottom w:val="dotted" w:color="auto" w:sz="24" w:space="0"/>
        </w:pBdr>
        <w:ind w:firstLine="0" w:firstLineChars="0"/>
        <w:rPr>
          <w:rFonts w:cs="Times New Roman"/>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站内分四个区布置，主要由井场区、站场装置区、辅助生产区和放空火炬区组成，大湾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布局及本项目与大湾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位置关系和照片见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REF _Ref144153493 \h</w:instrText>
      </w:r>
      <w:r>
        <w:rPr>
          <w:color w:val="000000" w:themeColor="text1"/>
          <w:highlight w:val="none"/>
          <w14:textFill>
            <w14:solidFill>
              <w14:schemeClr w14:val="tx1"/>
            </w14:solidFill>
          </w14:textFill>
        </w:rPr>
        <w:instrText xml:space="preserve">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165"/>
        <w:rPr>
          <w:color w:val="000000" w:themeColor="text1"/>
          <w:highlight w:val="none"/>
          <w14:textFill>
            <w14:solidFill>
              <w14:schemeClr w14:val="tx1"/>
            </w14:solidFill>
          </w14:textFill>
        </w:rPr>
      </w:pPr>
      <w:bookmarkStart w:id="122" w:name="_Ref144153493"/>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12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本项目与大湾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位置关系图</w:t>
      </w:r>
    </w:p>
    <w:p>
      <w:pPr>
        <w:pStyle w:val="5"/>
        <w:ind w:firstLine="480"/>
        <w:rPr>
          <w:color w:val="000000" w:themeColor="text1"/>
          <w:highlight w:val="none"/>
          <w14:textFill>
            <w14:solidFill>
              <w14:schemeClr w14:val="tx1"/>
            </w14:solidFill>
          </w14:textFill>
        </w:rPr>
      </w:pPr>
      <w:bookmarkStart w:id="123" w:name="_Toc120173096"/>
      <w:r>
        <w:rPr>
          <w:color w:val="000000" w:themeColor="text1"/>
          <w:highlight w:val="none"/>
          <w14:textFill>
            <w14:solidFill>
              <w14:schemeClr w14:val="tx1"/>
            </w14:solidFill>
          </w14:textFill>
        </w:rPr>
        <w:t>项目存在的主要环境问题及整改措施</w:t>
      </w:r>
      <w:bookmarkEnd w:id="123"/>
      <w:r>
        <w:rPr>
          <w:rFonts w:hint="eastAsia"/>
          <w:color w:val="000000" w:themeColor="text1"/>
          <w:highlight w:val="none"/>
          <w14:textFill>
            <w14:solidFill>
              <w14:schemeClr w14:val="tx1"/>
            </w14:solidFill>
          </w14:textFill>
        </w:rPr>
        <w:t>及以新带老措施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经走访调查及咨询，</w:t>
      </w:r>
      <w:r>
        <w:rPr>
          <w:rFonts w:hint="eastAsia" w:cs="Times New Roman"/>
          <w:color w:val="000000" w:themeColor="text1"/>
          <w:szCs w:val="24"/>
          <w:highlight w:val="none"/>
          <w14:textFill>
            <w14:solidFill>
              <w14:schemeClr w14:val="tx1"/>
            </w14:solidFill>
          </w14:textFill>
        </w:rPr>
        <w:t>大湾</w:t>
      </w:r>
      <w:r>
        <w:rPr>
          <w:rFonts w:hint="eastAsia" w:cs="Times New Roman"/>
          <w:color w:val="000000" w:themeColor="text1"/>
          <w:szCs w:val="24"/>
          <w:highlight w:val="none"/>
          <w:lang w:eastAsia="zh-CN"/>
          <w14:textFill>
            <w14:solidFill>
              <w14:schemeClr w14:val="tx1"/>
            </w14:solidFill>
          </w14:textFill>
        </w:rPr>
        <w:t>408试采站</w:t>
      </w:r>
      <w:r>
        <w:rPr>
          <w:rFonts w:hint="eastAsia" w:cs="Times New Roman"/>
          <w:color w:val="000000" w:themeColor="text1"/>
          <w:szCs w:val="24"/>
          <w:highlight w:val="none"/>
          <w14:textFill>
            <w14:solidFill>
              <w14:schemeClr w14:val="tx1"/>
            </w14:solidFill>
          </w14:textFill>
        </w:rPr>
        <w:t>（含外输管线）已建成，正在开展试生产和竣工环保验收工作。经调查和查询其竣工环保验收报告，其施工阶段产生的污染物均按照原环评报告中的要求落实，施工阶段采取了设置围栏或部分围栏、洒水抑尘等措施，采取了合理布设施工场地，合理安排作业时间等降噪措施，同时加强了施工废水处置，施工现场无施工废水外排的现状。同时施工期间各类固体废物经分类收集，并做好了固体废物的暂存管理，使固体废物均得以妥善处置。调查期间未发生污染事故及投诉事件，项目无遗留环境问题</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施工阶段采取的环保措施可行，无需新增“以新带老”措施；后续试采阶段，应继续按照该项目的环评文件中的有关要求，落实运营试采阶段的各项环保措施。</w:t>
      </w:r>
    </w:p>
    <w:p>
      <w:pPr>
        <w:pStyle w:val="5"/>
        <w:ind w:firstLine="480"/>
        <w:rPr>
          <w:color w:val="000000" w:themeColor="text1"/>
          <w:highlight w:val="none"/>
          <w14:textFill>
            <w14:solidFill>
              <w14:schemeClr w14:val="tx1"/>
            </w14:solidFill>
          </w14:textFill>
        </w:rPr>
      </w:pPr>
      <w:bookmarkStart w:id="124" w:name="_Toc120173097"/>
      <w:r>
        <w:rPr>
          <w:rFonts w:hint="eastAsia"/>
          <w:color w:val="000000" w:themeColor="text1"/>
          <w:highlight w:val="none"/>
          <w14:textFill>
            <w14:solidFill>
              <w14:schemeClr w14:val="tx1"/>
            </w14:solidFill>
          </w14:textFill>
        </w:rPr>
        <w:t>工程</w:t>
      </w:r>
      <w:r>
        <w:rPr>
          <w:color w:val="000000" w:themeColor="text1"/>
          <w:highlight w:val="none"/>
          <w14:textFill>
            <w14:solidFill>
              <w14:schemeClr w14:val="tx1"/>
            </w14:solidFill>
          </w14:textFill>
        </w:rPr>
        <w:t>设施依托可行性</w:t>
      </w:r>
      <w:bookmarkEnd w:id="124"/>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配产规模依托可行性分析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配产规模</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占地面积约</w:t>
      </w:r>
      <w:r>
        <w:rPr>
          <w:rFonts w:hint="eastAsia"/>
          <w:color w:val="000000" w:themeColor="text1"/>
          <w:highlight w:val="none"/>
          <w14:textFill>
            <w14:solidFill>
              <w14:schemeClr w14:val="tx1"/>
            </w14:solidFill>
          </w14:textFill>
        </w:rPr>
        <w:t>8696</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。站内建设节流加热装置、分离计量装置、发球装置、放空设施及相关配套工程。根据建设单位提供的资料，</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原设计产能为</w:t>
      </w:r>
      <w:r>
        <w:rPr>
          <w:rFonts w:hint="eastAsia"/>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t>0×10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实际配产规模</w:t>
      </w:r>
      <w:r>
        <w:rPr>
          <w:color w:val="000000" w:themeColor="text1"/>
          <w:highlight w:val="none"/>
          <w14:textFill>
            <w14:solidFill>
              <w14:schemeClr w14:val="tx1"/>
            </w14:solidFill>
          </w14:textFill>
        </w:rPr>
        <w:t>为</w:t>
      </w:r>
      <w:r>
        <w:rPr>
          <w:rFonts w:hint="eastAsia"/>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t>0×10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，目前两口井实际生产规模为约120</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/d，本项目1口井完工后，合计</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生产规模将增至</w:t>
      </w:r>
      <w:r>
        <w:rPr>
          <w:rFonts w:hint="eastAsia"/>
          <w:color w:val="000000" w:themeColor="text1"/>
          <w:highlight w:val="none"/>
          <w14:textFill>
            <w14:solidFill>
              <w14:schemeClr w14:val="tx1"/>
            </w14:solidFill>
          </w14:textFill>
        </w:rPr>
        <w:t>135</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小于大湾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原设计产能</w:t>
      </w:r>
      <w:r>
        <w:rPr>
          <w:rFonts w:hint="eastAsia"/>
          <w:color w:val="000000" w:themeColor="text1"/>
          <w:highlight w:val="none"/>
          <w14:textFill>
            <w14:solidFill>
              <w14:schemeClr w14:val="tx1"/>
            </w14:solidFill>
          </w14:textFill>
        </w:rPr>
        <w:t>规模</w:t>
      </w:r>
      <w:r>
        <w:rPr>
          <w:color w:val="000000" w:themeColor="text1"/>
          <w:highlight w:val="none"/>
          <w14:textFill>
            <w14:solidFill>
              <w14:schemeClr w14:val="tx1"/>
            </w14:solidFill>
          </w14:textFill>
        </w:rPr>
        <w:t>，仍有约</w:t>
      </w:r>
      <w:r>
        <w:rPr>
          <w:rFonts w:hint="eastAsia"/>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/d的富余量</w:t>
      </w:r>
      <w:r>
        <w:rPr>
          <w:rFonts w:hint="eastAsia"/>
          <w:color w:val="000000" w:themeColor="text1"/>
          <w:highlight w:val="none"/>
          <w14:textFill>
            <w14:solidFill>
              <w14:schemeClr w14:val="tx1"/>
            </w14:solidFill>
          </w14:textFill>
        </w:rPr>
        <w:t>。配产规模依托可行。</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b、水套加热炉</w:t>
      </w:r>
    </w:p>
    <w:p>
      <w:pPr>
        <w:keepNext w:val="0"/>
        <w:keepLines w:val="0"/>
        <w:widowControl/>
        <w:suppressLineNumbers w:val="0"/>
        <w:jc w:val="left"/>
        <w:rPr>
          <w:rFonts w:hint="eastAsia"/>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本项目依托大湾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水套加热炉（H-0901），功率为1000kW，经计算，</w:t>
      </w:r>
      <w:r>
        <w:rPr>
          <w:rFonts w:hint="eastAsia"/>
          <w:color w:val="000000" w:themeColor="text1"/>
          <w:highlight w:val="none"/>
          <w:lang w:val="en-US" w:eastAsia="zh-CN"/>
          <w14:textFill>
            <w14:solidFill>
              <w14:schemeClr w14:val="tx1"/>
            </w14:solidFill>
          </w14:textFill>
        </w:rPr>
        <w:t>两级盘管的设计</w:t>
      </w:r>
      <w:r>
        <w:rPr>
          <w:rFonts w:hint="default"/>
          <w:color w:val="000000" w:themeColor="text1"/>
          <w:highlight w:val="none"/>
          <w:lang w:val="en-US" w:eastAsia="zh-CN"/>
          <w14:textFill>
            <w14:solidFill>
              <w14:schemeClr w14:val="tx1"/>
            </w14:solidFill>
          </w14:textFill>
        </w:rPr>
        <w:t>压力和温度分别为（一级：20MPa，100℃；二级：14.4MPa，100℃），完全可以满足大湾 408-3 井的使用要求</w:t>
      </w:r>
      <w:r>
        <w:rPr>
          <w:rFonts w:hint="eastAsia"/>
          <w:color w:val="000000" w:themeColor="text1"/>
          <w:highlight w:val="none"/>
          <w14:textFill>
            <w14:solidFill>
              <w14:schemeClr w14:val="tx1"/>
            </w14:solidFill>
          </w14:textFill>
        </w:rPr>
        <w:t>。</w:t>
      </w:r>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根据开发数据和实际生产情况，</w:t>
      </w:r>
      <w:r>
        <w:rPr>
          <w:rFonts w:hint="eastAsia"/>
          <w:bCs/>
          <w:color w:val="000000" w:themeColor="text1"/>
          <w:highlight w:val="none"/>
          <w14:textFill>
            <w14:solidFill>
              <w14:schemeClr w14:val="tx1"/>
            </w14:solidFill>
          </w14:textFill>
        </w:rPr>
        <w:t>目前大湾</w:t>
      </w:r>
      <w:r>
        <w:rPr>
          <w:rFonts w:hint="eastAsia"/>
          <w:bCs/>
          <w:color w:val="000000" w:themeColor="text1"/>
          <w:highlight w:val="none"/>
          <w:lang w:eastAsia="zh-CN"/>
          <w14:textFill>
            <w14:solidFill>
              <w14:schemeClr w14:val="tx1"/>
            </w14:solidFill>
          </w14:textFill>
        </w:rPr>
        <w:t>408试采站</w:t>
      </w:r>
      <w:r>
        <w:rPr>
          <w:rFonts w:hint="eastAsia"/>
          <w:bCs/>
          <w:color w:val="000000" w:themeColor="text1"/>
          <w:highlight w:val="none"/>
          <w14:textFill>
            <w14:solidFill>
              <w14:schemeClr w14:val="tx1"/>
            </w14:solidFill>
          </w14:textFill>
        </w:rPr>
        <w:t>内建设有两座水套加热炉，功率均为</w:t>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00kW</w:t>
      </w:r>
      <w:r>
        <w:rPr>
          <w:rFonts w:hint="eastAsia"/>
          <w:color w:val="000000" w:themeColor="text1"/>
          <w:highlight w:val="none"/>
          <w14:textFill>
            <w14:solidFill>
              <w14:schemeClr w14:val="tx1"/>
            </w14:solidFill>
          </w14:textFill>
        </w:rPr>
        <w:t>，其功率是按照实际配产规模17</w:t>
      </w:r>
      <w:r>
        <w:rPr>
          <w:color w:val="000000" w:themeColor="text1"/>
          <w:highlight w:val="none"/>
          <w14:textFill>
            <w14:solidFill>
              <w14:schemeClr w14:val="tx1"/>
            </w14:solidFill>
          </w14:textFill>
        </w:rPr>
        <w:t>0×10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建设，本项目两口井实际生产规模为约120</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/d，本项目1口井完工后，合计</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生产规模将增至</w:t>
      </w:r>
      <w:r>
        <w:rPr>
          <w:rFonts w:hint="eastAsia"/>
          <w:color w:val="000000" w:themeColor="text1"/>
          <w:highlight w:val="none"/>
          <w14:textFill>
            <w14:solidFill>
              <w14:schemeClr w14:val="tx1"/>
            </w14:solidFill>
          </w14:textFill>
        </w:rPr>
        <w:t>135</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，小于大湾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原设计产能</w:t>
      </w:r>
      <w:r>
        <w:rPr>
          <w:rFonts w:hint="eastAsia"/>
          <w:color w:val="000000" w:themeColor="text1"/>
          <w:highlight w:val="none"/>
          <w14:textFill>
            <w14:solidFill>
              <w14:schemeClr w14:val="tx1"/>
            </w14:solidFill>
          </w14:textFill>
        </w:rPr>
        <w:t>规模，因此水套加热炉仍有富余空间，可依托。</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c、燃料气系统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普光主体区块建设有专门的燃料气返输管网，为各集气站提供燃料气，以满足环保要求。</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生产所需</w:t>
      </w:r>
      <w:r>
        <w:rPr>
          <w:rFonts w:hint="eastAsia"/>
          <w:color w:val="000000" w:themeColor="text1"/>
          <w:highlight w:val="none"/>
          <w14:textFill>
            <w14:solidFill>
              <w14:schemeClr w14:val="tx1"/>
            </w14:solidFill>
          </w14:textFill>
        </w:rPr>
        <w:t>燃料气</w:t>
      </w:r>
      <w:r>
        <w:rPr>
          <w:color w:val="000000" w:themeColor="text1"/>
          <w:highlight w:val="none"/>
          <w14:textFill>
            <w14:solidFill>
              <w14:schemeClr w14:val="tx1"/>
            </w14:solidFill>
          </w14:textFill>
        </w:rPr>
        <w:t>采用</w:t>
      </w:r>
      <w:r>
        <w:rPr>
          <w:rFonts w:hint="eastAsia"/>
          <w:color w:val="000000" w:themeColor="text1"/>
          <w:highlight w:val="none"/>
          <w14:textFill>
            <w14:solidFill>
              <w14:schemeClr w14:val="tx1"/>
            </w14:solidFill>
          </w14:textFill>
        </w:rPr>
        <w:t>D403集气站</w:t>
      </w:r>
      <w:r>
        <w:rPr>
          <w:color w:val="000000" w:themeColor="text1"/>
          <w:highlight w:val="none"/>
          <w14:textFill>
            <w14:solidFill>
              <w14:schemeClr w14:val="tx1"/>
            </w14:solidFill>
          </w14:textFill>
        </w:rPr>
        <w:t>反输的净化气，燃料气管道与酸气管道同沟敷设。</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本项目主要生产设施均依托大湾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，几乎不新增用气，大湾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原料气能够满足本次新增原料气需求，</w:t>
      </w:r>
      <w:r>
        <w:rPr>
          <w:color w:val="000000" w:themeColor="text1"/>
          <w:highlight w:val="none"/>
          <w14:textFill>
            <w14:solidFill>
              <w14:schemeClr w14:val="tx1"/>
            </w14:solidFill>
          </w14:textFill>
        </w:rPr>
        <w:t>依托可行。</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d、放空火炬</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现有</w:t>
      </w:r>
      <w:r>
        <w:rPr>
          <w:color w:val="000000" w:themeColor="text1"/>
          <w:highlight w:val="none"/>
          <w14:textFill>
            <w14:solidFill>
              <w14:schemeClr w14:val="tx1"/>
            </w14:solidFill>
          </w14:textFill>
        </w:rPr>
        <w:t>高压放空火炬1座，55m，火炬设长明灯，满足站内酸性气体排放燃烧要求，站内放空气经火炬分液罐分离后至放空火炬燃烧，本工程依托</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拟建的放空系统，站场的放空天然气直接进入</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的火炬分液罐分离后输送至放空火炬进行燃烧。因此放空火炬依托可行。</w:t>
      </w:r>
    </w:p>
    <w:p>
      <w:pPr>
        <w:keepNext w:val="0"/>
        <w:keepLines w:val="0"/>
        <w:widowControl/>
        <w:suppressLineNumbers w:val="0"/>
        <w:jc w:val="left"/>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e、乙二醇加注撬依托可行性分析</w:t>
      </w:r>
    </w:p>
    <w:p>
      <w:pPr>
        <w:keepNext w:val="0"/>
        <w:keepLines w:val="0"/>
        <w:widowControl/>
        <w:suppressLineNumbers w:val="0"/>
        <w:jc w:val="left"/>
        <w:rPr>
          <w:color w:val="000000" w:themeColor="text1"/>
          <w14:textFill>
            <w14:solidFill>
              <w14:schemeClr w14:val="tx1"/>
            </w14:solidFill>
          </w14:textFill>
        </w:rPr>
      </w:pPr>
      <w:r>
        <w:rPr>
          <w:rFonts w:ascii="TTB7o01" w:hAnsi="TTB7o01" w:eastAsia="TTB7o01" w:cs="TTB7o01"/>
          <w:color w:val="000000" w:themeColor="text1"/>
          <w:kern w:val="0"/>
          <w:sz w:val="24"/>
          <w:szCs w:val="24"/>
          <w:lang w:val="en-US" w:eastAsia="zh-CN" w:bidi="ar"/>
          <w14:textFill>
            <w14:solidFill>
              <w14:schemeClr w14:val="tx1"/>
            </w14:solidFill>
          </w14:textFill>
        </w:rPr>
        <w:t>由</w:t>
      </w:r>
      <w:r>
        <w:rPr>
          <w:rFonts w:ascii="TTB7o00" w:hAnsi="TTB7o00" w:eastAsia="TTB7o00" w:cs="TTB7o00"/>
          <w:color w:val="000000" w:themeColor="text1"/>
          <w:kern w:val="0"/>
          <w:sz w:val="24"/>
          <w:szCs w:val="24"/>
          <w:lang w:val="en-US" w:eastAsia="zh-CN" w:bidi="ar"/>
          <w14:textFill>
            <w14:solidFill>
              <w14:schemeClr w14:val="tx1"/>
            </w14:solidFill>
          </w14:textFill>
        </w:rPr>
        <w:t>于</w:t>
      </w:r>
      <w:r>
        <w:rPr>
          <w:rFonts w:hint="default" w:ascii="TTB7o01" w:hAnsi="TTB7o01" w:eastAsia="TTB7o01" w:cs="TTB7o01"/>
          <w:color w:val="000000" w:themeColor="text1"/>
          <w:kern w:val="0"/>
          <w:sz w:val="24"/>
          <w:szCs w:val="24"/>
          <w:lang w:val="en-US" w:eastAsia="zh-CN" w:bidi="ar"/>
          <w14:textFill>
            <w14:solidFill>
              <w14:schemeClr w14:val="tx1"/>
            </w14:solidFill>
          </w14:textFill>
        </w:rPr>
        <w:t>乙二醇不需</w:t>
      </w:r>
      <w:r>
        <w:rPr>
          <w:rFonts w:hint="default" w:ascii="TTB7o00" w:hAnsi="TTB7o00" w:eastAsia="TTB7o00" w:cs="TTB7o00"/>
          <w:color w:val="000000" w:themeColor="text1"/>
          <w:kern w:val="0"/>
          <w:sz w:val="24"/>
          <w:szCs w:val="24"/>
          <w:lang w:val="en-US" w:eastAsia="zh-CN" w:bidi="ar"/>
          <w14:textFill>
            <w14:solidFill>
              <w14:schemeClr w14:val="tx1"/>
            </w14:solidFill>
          </w14:textFill>
        </w:rPr>
        <w:t>要</w:t>
      </w:r>
      <w:r>
        <w:rPr>
          <w:rFonts w:hint="default" w:ascii="TTB7o01" w:hAnsi="TTB7o01" w:eastAsia="TTB7o01" w:cs="TTB7o01"/>
          <w:color w:val="000000" w:themeColor="text1"/>
          <w:kern w:val="0"/>
          <w:sz w:val="24"/>
          <w:szCs w:val="24"/>
          <w:lang w:val="en-US" w:eastAsia="zh-CN" w:bidi="ar"/>
          <w14:textFill>
            <w14:solidFill>
              <w14:schemeClr w14:val="tx1"/>
            </w14:solidFill>
          </w14:textFill>
        </w:rPr>
        <w:t>连续</w:t>
      </w:r>
      <w:r>
        <w:rPr>
          <w:rFonts w:hint="default" w:ascii="TTB7o00" w:hAnsi="TTB7o00" w:eastAsia="TTB7o00" w:cs="TTB7o00"/>
          <w:color w:val="000000" w:themeColor="text1"/>
          <w:kern w:val="0"/>
          <w:sz w:val="24"/>
          <w:szCs w:val="24"/>
          <w:lang w:val="en-US" w:eastAsia="zh-CN" w:bidi="ar"/>
          <w14:textFill>
            <w14:solidFill>
              <w14:schemeClr w14:val="tx1"/>
            </w14:solidFill>
          </w14:textFill>
        </w:rPr>
        <w:t>加注，</w:t>
      </w:r>
      <w:r>
        <w:rPr>
          <w:rFonts w:ascii="TTB7o02" w:hAnsi="TTB7o02" w:eastAsia="TTB7o02" w:cs="TTB7o02"/>
          <w:color w:val="000000" w:themeColor="text1"/>
          <w:kern w:val="0"/>
          <w:sz w:val="24"/>
          <w:szCs w:val="24"/>
          <w:lang w:val="en-US" w:eastAsia="zh-CN" w:bidi="ar"/>
          <w14:textFill>
            <w14:solidFill>
              <w14:schemeClr w14:val="tx1"/>
            </w14:solidFill>
          </w14:textFill>
        </w:rPr>
        <w:t>仅</w:t>
      </w:r>
      <w:r>
        <w:rPr>
          <w:rFonts w:hint="default" w:ascii="TTB7o01" w:hAnsi="TTB7o01" w:eastAsia="TTB7o01" w:cs="TTB7o01"/>
          <w:color w:val="000000" w:themeColor="text1"/>
          <w:kern w:val="0"/>
          <w:sz w:val="24"/>
          <w:szCs w:val="24"/>
          <w:lang w:val="en-US" w:eastAsia="zh-CN" w:bidi="ar"/>
          <w14:textFill>
            <w14:solidFill>
              <w14:schemeClr w14:val="tx1"/>
            </w14:solidFill>
          </w14:textFill>
        </w:rPr>
        <w:t>在</w:t>
      </w:r>
      <w:r>
        <w:rPr>
          <w:rFonts w:hint="default" w:ascii="TTB7o00" w:hAnsi="TTB7o00" w:eastAsia="TTB7o00" w:cs="TTB7o00"/>
          <w:color w:val="000000" w:themeColor="text1"/>
          <w:kern w:val="0"/>
          <w:sz w:val="24"/>
          <w:szCs w:val="24"/>
          <w:lang w:val="en-US" w:eastAsia="zh-CN" w:bidi="ar"/>
          <w14:textFill>
            <w14:solidFill>
              <w14:schemeClr w14:val="tx1"/>
            </w14:solidFill>
          </w14:textFill>
        </w:rPr>
        <w:t>开井</w:t>
      </w:r>
      <w:r>
        <w:rPr>
          <w:rFonts w:ascii="TTB7o03" w:hAnsi="TTB7o03" w:eastAsia="TTB7o03" w:cs="TTB7o03"/>
          <w:color w:val="000000" w:themeColor="text1"/>
          <w:kern w:val="0"/>
          <w:sz w:val="24"/>
          <w:szCs w:val="24"/>
          <w:lang w:val="en-US" w:eastAsia="zh-CN" w:bidi="ar"/>
          <w14:textFill>
            <w14:solidFill>
              <w14:schemeClr w14:val="tx1"/>
            </w14:solidFill>
          </w14:textFill>
        </w:rPr>
        <w:t>初</w:t>
      </w:r>
      <w:r>
        <w:rPr>
          <w:rFonts w:hint="default" w:ascii="TTB7o01" w:hAnsi="TTB7o01" w:eastAsia="TTB7o01" w:cs="TTB7o01"/>
          <w:color w:val="000000" w:themeColor="text1"/>
          <w:kern w:val="0"/>
          <w:sz w:val="24"/>
          <w:szCs w:val="24"/>
          <w:lang w:val="en-US" w:eastAsia="zh-CN" w:bidi="ar"/>
          <w14:textFill>
            <w14:solidFill>
              <w14:schemeClr w14:val="tx1"/>
            </w14:solidFill>
          </w14:textFill>
        </w:rPr>
        <w:t>期</w:t>
      </w:r>
      <w:r>
        <w:rPr>
          <w:rFonts w:hint="default" w:ascii="TTB7o00" w:hAnsi="TTB7o00" w:eastAsia="TTB7o00" w:cs="TTB7o00"/>
          <w:color w:val="000000" w:themeColor="text1"/>
          <w:kern w:val="0"/>
          <w:sz w:val="24"/>
          <w:szCs w:val="24"/>
          <w:lang w:val="en-US" w:eastAsia="zh-CN" w:bidi="ar"/>
          <w14:textFill>
            <w14:solidFill>
              <w14:schemeClr w14:val="tx1"/>
            </w14:solidFill>
          </w14:textFill>
        </w:rPr>
        <w:t>温</w:t>
      </w:r>
      <w:r>
        <w:rPr>
          <w:rFonts w:hint="default" w:ascii="TTB7o01" w:hAnsi="TTB7o01" w:eastAsia="TTB7o01" w:cs="TTB7o01"/>
          <w:color w:val="000000" w:themeColor="text1"/>
          <w:kern w:val="0"/>
          <w:sz w:val="24"/>
          <w:szCs w:val="24"/>
          <w:lang w:val="en-US" w:eastAsia="zh-CN" w:bidi="ar"/>
          <w14:textFill>
            <w14:solidFill>
              <w14:schemeClr w14:val="tx1"/>
            </w14:solidFill>
          </w14:textFill>
        </w:rPr>
        <w:t>度</w:t>
      </w:r>
      <w:r>
        <w:rPr>
          <w:rFonts w:hint="default" w:ascii="TTB7o02" w:hAnsi="TTB7o02" w:eastAsia="TTB7o02" w:cs="TTB7o02"/>
          <w:color w:val="000000" w:themeColor="text1"/>
          <w:kern w:val="0"/>
          <w:sz w:val="24"/>
          <w:szCs w:val="24"/>
          <w:lang w:val="en-US" w:eastAsia="zh-CN" w:bidi="ar"/>
          <w14:textFill>
            <w14:solidFill>
              <w14:schemeClr w14:val="tx1"/>
            </w14:solidFill>
          </w14:textFill>
        </w:rPr>
        <w:t>较</w:t>
      </w:r>
      <w:r>
        <w:rPr>
          <w:rFonts w:hint="default" w:ascii="TTB7o00" w:hAnsi="TTB7o00" w:eastAsia="TTB7o00" w:cs="TTB7o00"/>
          <w:color w:val="000000" w:themeColor="text1"/>
          <w:kern w:val="0"/>
          <w:sz w:val="24"/>
          <w:szCs w:val="24"/>
          <w:lang w:val="en-US" w:eastAsia="zh-CN" w:bidi="ar"/>
          <w14:textFill>
            <w14:solidFill>
              <w14:schemeClr w14:val="tx1"/>
            </w14:solidFill>
          </w14:textFill>
        </w:rPr>
        <w:t>低</w:t>
      </w:r>
      <w:r>
        <w:rPr>
          <w:rFonts w:hint="default" w:ascii="TTB7o02" w:hAnsi="TTB7o02" w:eastAsia="TTB7o02" w:cs="TTB7o02"/>
          <w:color w:val="000000" w:themeColor="text1"/>
          <w:kern w:val="0"/>
          <w:sz w:val="24"/>
          <w:szCs w:val="24"/>
          <w:lang w:val="en-US" w:eastAsia="zh-CN" w:bidi="ar"/>
          <w14:textFill>
            <w14:solidFill>
              <w14:schemeClr w14:val="tx1"/>
            </w14:solidFill>
          </w14:textFill>
        </w:rPr>
        <w:t>时</w:t>
      </w:r>
      <w:r>
        <w:rPr>
          <w:rFonts w:hint="default" w:ascii="TTB7o00" w:hAnsi="TTB7o00" w:eastAsia="TTB7o00" w:cs="TTB7o00"/>
          <w:color w:val="000000" w:themeColor="text1"/>
          <w:kern w:val="0"/>
          <w:sz w:val="24"/>
          <w:szCs w:val="24"/>
          <w:lang w:val="en-US" w:eastAsia="zh-CN" w:bidi="ar"/>
          <w14:textFill>
            <w14:solidFill>
              <w14:schemeClr w14:val="tx1"/>
            </w14:solidFill>
          </w14:textFill>
        </w:rPr>
        <w:t>使用，</w:t>
      </w:r>
      <w:r>
        <w:rPr>
          <w:rFonts w:hint="default" w:ascii="TTB7o03" w:hAnsi="TTB7o03" w:eastAsia="TTB7o03" w:cs="TTB7o03"/>
          <w:color w:val="000000" w:themeColor="text1"/>
          <w:kern w:val="0"/>
          <w:sz w:val="24"/>
          <w:szCs w:val="24"/>
          <w:lang w:val="en-US" w:eastAsia="zh-CN" w:bidi="ar"/>
          <w14:textFill>
            <w14:solidFill>
              <w14:schemeClr w14:val="tx1"/>
            </w14:solidFill>
          </w14:textFill>
        </w:rPr>
        <w:t>且</w:t>
      </w:r>
      <w:r>
        <w:rPr>
          <w:rFonts w:hint="default" w:ascii="TTB7o00" w:hAnsi="TTB7o00" w:eastAsia="TTB7o00" w:cs="TTB7o00"/>
          <w:color w:val="000000" w:themeColor="text1"/>
          <w:kern w:val="0"/>
          <w:sz w:val="24"/>
          <w:szCs w:val="24"/>
          <w:lang w:val="en-US" w:eastAsia="zh-CN" w:bidi="ar"/>
          <w14:textFill>
            <w14:solidFill>
              <w14:schemeClr w14:val="tx1"/>
            </w14:solidFill>
          </w14:textFill>
        </w:rPr>
        <w:t>大湾</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408 </w:t>
      </w:r>
      <w:r>
        <w:rPr>
          <w:rFonts w:hint="default" w:ascii="TTB7o00" w:hAnsi="TTB7o00" w:eastAsia="TTB7o00" w:cs="TTB7o00"/>
          <w:color w:val="000000" w:themeColor="text1"/>
          <w:kern w:val="0"/>
          <w:sz w:val="24"/>
          <w:szCs w:val="24"/>
          <w:lang w:val="en-US" w:eastAsia="zh-CN" w:bidi="ar"/>
          <w14:textFill>
            <w14:solidFill>
              <w14:schemeClr w14:val="tx1"/>
            </w14:solidFill>
          </w14:textFill>
        </w:rPr>
        <w:t>集气站建有</w:t>
      </w:r>
      <w:r>
        <w:rPr>
          <w:rFonts w:hint="default" w:ascii="TTB7o01" w:hAnsi="TTB7o01" w:eastAsia="TTB7o01" w:cs="TTB7o01"/>
          <w:color w:val="000000" w:themeColor="text1"/>
          <w:kern w:val="0"/>
          <w:sz w:val="24"/>
          <w:szCs w:val="24"/>
          <w:lang w:val="en-US" w:eastAsia="zh-CN" w:bidi="ar"/>
          <w14:textFill>
            <w14:solidFill>
              <w14:schemeClr w14:val="tx1"/>
            </w14:solidFill>
          </w14:textFill>
        </w:rPr>
        <w:t>乙二醇</w:t>
      </w:r>
      <w:r>
        <w:rPr>
          <w:rFonts w:hint="default" w:ascii="TTB7o00" w:hAnsi="TTB7o00" w:eastAsia="TTB7o00" w:cs="TTB7o00"/>
          <w:color w:val="000000" w:themeColor="text1"/>
          <w:kern w:val="0"/>
          <w:sz w:val="24"/>
          <w:szCs w:val="24"/>
          <w:lang w:val="en-US" w:eastAsia="zh-CN" w:bidi="ar"/>
          <w14:textFill>
            <w14:solidFill>
              <w14:schemeClr w14:val="tx1"/>
            </w14:solidFill>
          </w14:textFill>
        </w:rPr>
        <w:t>加注</w:t>
      </w:r>
      <w:r>
        <w:rPr>
          <w:rFonts w:hint="default" w:ascii="TTB7o01" w:hAnsi="TTB7o01" w:eastAsia="TTB7o01" w:cs="TTB7o01"/>
          <w:color w:val="000000" w:themeColor="text1"/>
          <w:kern w:val="0"/>
          <w:sz w:val="24"/>
          <w:szCs w:val="24"/>
          <w:lang w:val="en-US" w:eastAsia="zh-CN" w:bidi="ar"/>
          <w14:textFill>
            <w14:solidFill>
              <w14:schemeClr w14:val="tx1"/>
            </w14:solidFill>
          </w14:textFill>
        </w:rPr>
        <w:t>橇装</w:t>
      </w:r>
      <w:r>
        <w:rPr>
          <w:rFonts w:hint="default" w:ascii="TTB7o00" w:hAnsi="TTB7o00" w:eastAsia="TTB7o00" w:cs="TTB7o00"/>
          <w:color w:val="000000" w:themeColor="text1"/>
          <w:kern w:val="0"/>
          <w:sz w:val="24"/>
          <w:szCs w:val="24"/>
          <w:lang w:val="en-US" w:eastAsia="zh-CN" w:bidi="ar"/>
          <w14:textFill>
            <w14:solidFill>
              <w14:schemeClr w14:val="tx1"/>
            </w14:solidFill>
          </w14:textFill>
        </w:rPr>
        <w:t>置（加注</w:t>
      </w:r>
      <w:r>
        <w:rPr>
          <w:rFonts w:hint="default" w:ascii="TTB7o03" w:hAnsi="TTB7o03" w:eastAsia="TTB7o03" w:cs="TTB7o03"/>
          <w:color w:val="000000" w:themeColor="text1"/>
          <w:kern w:val="0"/>
          <w:sz w:val="24"/>
          <w:szCs w:val="24"/>
          <w:lang w:val="en-US" w:eastAsia="zh-CN" w:bidi="ar"/>
          <w14:textFill>
            <w14:solidFill>
              <w14:schemeClr w14:val="tx1"/>
            </w14:solidFill>
          </w14:textFill>
        </w:rPr>
        <w:t>泵</w:t>
      </w:r>
      <w:r>
        <w:rPr>
          <w:rFonts w:hint="default" w:ascii="TTB7o01" w:hAnsi="TTB7o01" w:eastAsia="TTB7o01" w:cs="TTB7o01"/>
          <w:color w:val="000000" w:themeColor="text1"/>
          <w:kern w:val="0"/>
          <w:sz w:val="24"/>
          <w:szCs w:val="24"/>
          <w:lang w:val="en-US" w:eastAsia="zh-CN" w:bidi="ar"/>
          <w14:textFill>
            <w14:solidFill>
              <w14:schemeClr w14:val="tx1"/>
            </w14:solidFill>
          </w14:textFill>
        </w:rPr>
        <w:t>排量</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Q=0.38</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/h</w:t>
      </w:r>
      <w:r>
        <w:rPr>
          <w:rFonts w:hint="default" w:ascii="TTB7o00" w:hAnsi="TTB7o00" w:eastAsia="TTB7o00" w:cs="TTB7o00"/>
          <w:color w:val="000000" w:themeColor="text1"/>
          <w:kern w:val="0"/>
          <w:sz w:val="24"/>
          <w:szCs w:val="24"/>
          <w:lang w:val="en-US" w:eastAsia="zh-CN" w:bidi="ar"/>
          <w14:textFill>
            <w14:solidFill>
              <w14:schemeClr w14:val="tx1"/>
            </w14:solidFill>
          </w14:textFill>
        </w:rPr>
        <w:t>，加注</w:t>
      </w:r>
      <w:r>
        <w:rPr>
          <w:rFonts w:hint="default" w:ascii="TTB7o03" w:hAnsi="TTB7o03" w:eastAsia="TTB7o03" w:cs="TTB7o03"/>
          <w:color w:val="000000" w:themeColor="text1"/>
          <w:kern w:val="0"/>
          <w:sz w:val="24"/>
          <w:szCs w:val="24"/>
          <w:lang w:val="en-US" w:eastAsia="zh-CN" w:bidi="ar"/>
          <w14:textFill>
            <w14:solidFill>
              <w14:schemeClr w14:val="tx1"/>
            </w14:solidFill>
          </w14:textFill>
        </w:rPr>
        <w:t>泵</w:t>
      </w:r>
      <w:r>
        <w:rPr>
          <w:rFonts w:hint="default" w:ascii="TTB7o01" w:hAnsi="TTB7o01" w:eastAsia="TTB7o01" w:cs="TTB7o01"/>
          <w:color w:val="000000" w:themeColor="text1"/>
          <w:kern w:val="0"/>
          <w:sz w:val="24"/>
          <w:szCs w:val="24"/>
          <w:lang w:val="en-US" w:eastAsia="zh-CN" w:bidi="ar"/>
          <w14:textFill>
            <w14:solidFill>
              <w14:schemeClr w14:val="tx1"/>
            </w14:solidFill>
          </w14:textFill>
        </w:rPr>
        <w:t>出</w:t>
      </w:r>
      <w:r>
        <w:rPr>
          <w:rFonts w:hint="default" w:ascii="TTB7o00" w:hAnsi="TTB7o00" w:eastAsia="TTB7o00" w:cs="TTB7o00"/>
          <w:color w:val="000000" w:themeColor="text1"/>
          <w:kern w:val="0"/>
          <w:sz w:val="24"/>
          <w:szCs w:val="24"/>
          <w:lang w:val="en-US" w:eastAsia="zh-CN" w:bidi="ar"/>
          <w14:textFill>
            <w14:solidFill>
              <w14:schemeClr w14:val="tx1"/>
            </w14:solidFill>
          </w14:textFill>
        </w:rPr>
        <w:t>口设计</w:t>
      </w:r>
      <w:r>
        <w:rPr>
          <w:rFonts w:hint="default" w:ascii="TTB7o01" w:hAnsi="TTB7o01" w:eastAsia="TTB7o01" w:cs="TTB7o01"/>
          <w:color w:val="000000" w:themeColor="text1"/>
          <w:kern w:val="0"/>
          <w:sz w:val="24"/>
          <w:szCs w:val="24"/>
          <w:lang w:val="en-US" w:eastAsia="zh-CN" w:bidi="ar"/>
          <w14:textFill>
            <w14:solidFill>
              <w14:schemeClr w14:val="tx1"/>
            </w14:solidFill>
          </w14:textFill>
        </w:rPr>
        <w:t xml:space="preserve">压力 </w:t>
      </w:r>
    </w:p>
    <w:p>
      <w:pPr>
        <w:keepNext w:val="0"/>
        <w:keepLines w:val="0"/>
        <w:widowControl/>
        <w:suppressLineNumbers w:val="0"/>
        <w:ind w:left="0" w:leftChars="0" w:firstLine="0" w:firstLineChars="0"/>
        <w:jc w:val="left"/>
        <w:rPr>
          <w:rFonts w:hint="default"/>
          <w:color w:val="000000" w:themeColor="text1"/>
          <w:lang w:val="en-US"/>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20MPa</w:t>
      </w:r>
      <w:r>
        <w:rPr>
          <w:rFonts w:hint="default" w:ascii="TTB7o00" w:hAnsi="TTB7o00" w:eastAsia="TTB7o00" w:cs="TTB7o00"/>
          <w:color w:val="000000" w:themeColor="text1"/>
          <w:kern w:val="0"/>
          <w:sz w:val="24"/>
          <w:szCs w:val="24"/>
          <w:lang w:val="en-US" w:eastAsia="zh-CN" w:bidi="ar"/>
          <w14:textFill>
            <w14:solidFill>
              <w14:schemeClr w14:val="tx1"/>
            </w14:solidFill>
          </w14:textFill>
        </w:rPr>
        <w:t>），通过</w:t>
      </w:r>
      <w:r>
        <w:rPr>
          <w:rFonts w:hint="default" w:ascii="TTB7o01" w:hAnsi="TTB7o01" w:eastAsia="TTB7o01" w:cs="TTB7o01"/>
          <w:color w:val="000000" w:themeColor="text1"/>
          <w:kern w:val="0"/>
          <w:sz w:val="24"/>
          <w:szCs w:val="24"/>
          <w:lang w:val="en-US" w:eastAsia="zh-CN" w:bidi="ar"/>
          <w14:textFill>
            <w14:solidFill>
              <w14:schemeClr w14:val="tx1"/>
            </w14:solidFill>
          </w14:textFill>
        </w:rPr>
        <w:t>新</w:t>
      </w:r>
      <w:r>
        <w:rPr>
          <w:rFonts w:hint="default" w:ascii="TTB7o00" w:hAnsi="TTB7o00" w:eastAsia="TTB7o00" w:cs="TTB7o00"/>
          <w:color w:val="000000" w:themeColor="text1"/>
          <w:kern w:val="0"/>
          <w:sz w:val="24"/>
          <w:szCs w:val="24"/>
          <w:lang w:val="en-US" w:eastAsia="zh-CN" w:bidi="ar"/>
          <w14:textFill>
            <w14:solidFill>
              <w14:schemeClr w14:val="tx1"/>
            </w14:solidFill>
          </w14:textFill>
        </w:rPr>
        <w:t>建管网流程，可</w:t>
      </w:r>
      <w:r>
        <w:rPr>
          <w:rFonts w:hint="default" w:ascii="TTB7o01" w:hAnsi="TTB7o01" w:eastAsia="TTB7o01" w:cs="TTB7o01"/>
          <w:color w:val="000000" w:themeColor="text1"/>
          <w:kern w:val="0"/>
          <w:sz w:val="24"/>
          <w:szCs w:val="24"/>
          <w:lang w:val="en-US" w:eastAsia="zh-CN" w:bidi="ar"/>
          <w14:textFill>
            <w14:solidFill>
              <w14:schemeClr w14:val="tx1"/>
            </w14:solidFill>
          </w14:textFill>
        </w:rPr>
        <w:t>供</w:t>
      </w:r>
      <w:r>
        <w:rPr>
          <w:rFonts w:hint="default" w:ascii="TTB7o00" w:hAnsi="TTB7o00" w:eastAsia="TTB7o00" w:cs="TTB7o00"/>
          <w:color w:val="000000" w:themeColor="text1"/>
          <w:kern w:val="0"/>
          <w:sz w:val="24"/>
          <w:szCs w:val="24"/>
          <w:lang w:val="en-US" w:eastAsia="zh-CN" w:bidi="ar"/>
          <w14:textFill>
            <w14:solidFill>
              <w14:schemeClr w14:val="tx1"/>
            </w14:solidFill>
          </w14:textFill>
        </w:rPr>
        <w:t>大湾</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408-3</w:t>
      </w:r>
      <w:r>
        <w:rPr>
          <w:rFonts w:hint="default" w:ascii="TTB7o00" w:hAnsi="TTB7o00" w:eastAsia="TTB7o00" w:cs="TTB7o00"/>
          <w:color w:val="000000" w:themeColor="text1"/>
          <w:kern w:val="0"/>
          <w:sz w:val="24"/>
          <w:szCs w:val="24"/>
          <w:lang w:val="en-US" w:eastAsia="zh-CN" w:bidi="ar"/>
          <w14:textFill>
            <w14:solidFill>
              <w14:schemeClr w14:val="tx1"/>
            </w14:solidFill>
          </w14:textFill>
        </w:rPr>
        <w:t>井井口加注使用。</w:t>
      </w:r>
      <w:r>
        <w:rPr>
          <w:rFonts w:hint="eastAsia" w:ascii="TTB7o00" w:hAnsi="TTB7o00" w:eastAsia="TTB7o00" w:cs="TTB7o00"/>
          <w:color w:val="000000" w:themeColor="text1"/>
          <w:kern w:val="0"/>
          <w:sz w:val="24"/>
          <w:szCs w:val="24"/>
          <w:lang w:val="en-US" w:eastAsia="zh-CN" w:bidi="ar"/>
          <w14:textFill>
            <w14:solidFill>
              <w14:schemeClr w14:val="tx1"/>
            </w14:solidFill>
          </w14:textFill>
        </w:rPr>
        <w:t>因此，依托可行。</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 2 \* GB3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外输管线</w:t>
      </w:r>
    </w:p>
    <w:p>
      <w:pPr>
        <w:widowControl/>
        <w:adjustRightInd/>
        <w:snapToGrid/>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大湾</w:t>
      </w:r>
      <w:r>
        <w:rPr>
          <w:rFonts w:hint="eastAsia" w:cs="Times New Roman"/>
          <w:color w:val="000000" w:themeColor="text1"/>
          <w:kern w:val="0"/>
          <w:szCs w:val="24"/>
          <w:highlight w:val="none"/>
          <w:lang w:eastAsia="zh-CN"/>
          <w14:textFill>
            <w14:solidFill>
              <w14:schemeClr w14:val="tx1"/>
            </w14:solidFill>
          </w14:textFill>
        </w:rPr>
        <w:t>408试采站</w:t>
      </w:r>
      <w:r>
        <w:rPr>
          <w:rFonts w:cs="Times New Roman"/>
          <w:color w:val="000000" w:themeColor="text1"/>
          <w:kern w:val="0"/>
          <w:szCs w:val="24"/>
          <w:highlight w:val="none"/>
          <w14:textFill>
            <w14:solidFill>
              <w14:schemeClr w14:val="tx1"/>
            </w14:solidFill>
          </w14:textFill>
        </w:rPr>
        <w:t>位于</w:t>
      </w:r>
      <w:r>
        <w:rPr>
          <w:rFonts w:hint="eastAsia" w:cs="Times New Roman"/>
          <w:color w:val="000000" w:themeColor="text1"/>
          <w:kern w:val="0"/>
          <w:szCs w:val="24"/>
          <w:highlight w:val="none"/>
          <w14:textFill>
            <w14:solidFill>
              <w14:schemeClr w14:val="tx1"/>
            </w14:solidFill>
          </w14:textFill>
        </w:rPr>
        <w:t>M503与D405集气站中间，</w:t>
      </w:r>
      <w:r>
        <w:rPr>
          <w:rFonts w:cs="Times New Roman"/>
          <w:color w:val="000000" w:themeColor="text1"/>
          <w:kern w:val="0"/>
          <w:szCs w:val="24"/>
          <w:highlight w:val="none"/>
          <w14:textFill>
            <w14:solidFill>
              <w14:schemeClr w14:val="tx1"/>
            </w14:solidFill>
          </w14:textFill>
        </w:rPr>
        <w:t>距离</w:t>
      </w:r>
      <w:r>
        <w:rPr>
          <w:rFonts w:hint="eastAsia" w:cs="Times New Roman"/>
          <w:color w:val="000000" w:themeColor="text1"/>
          <w:kern w:val="0"/>
          <w:szCs w:val="24"/>
          <w:highlight w:val="none"/>
          <w14:textFill>
            <w14:solidFill>
              <w14:schemeClr w14:val="tx1"/>
            </w14:solidFill>
          </w14:textFill>
        </w:rPr>
        <w:t>M503集气站直线距离为1.7km，</w:t>
      </w:r>
      <w:r>
        <w:rPr>
          <w:rFonts w:cs="Times New Roman"/>
          <w:color w:val="000000" w:themeColor="text1"/>
          <w:kern w:val="0"/>
          <w:szCs w:val="24"/>
          <w:highlight w:val="none"/>
          <w14:textFill>
            <w14:solidFill>
              <w14:schemeClr w14:val="tx1"/>
            </w14:solidFill>
          </w14:textFill>
        </w:rPr>
        <w:t>距离</w:t>
      </w:r>
      <w:r>
        <w:rPr>
          <w:rFonts w:hint="eastAsia" w:cs="Times New Roman"/>
          <w:color w:val="000000" w:themeColor="text1"/>
          <w:kern w:val="0"/>
          <w:szCs w:val="24"/>
          <w:highlight w:val="none"/>
          <w14:textFill>
            <w14:solidFill>
              <w14:schemeClr w14:val="tx1"/>
            </w14:solidFill>
          </w14:textFill>
        </w:rPr>
        <w:t>D405集气站</w:t>
      </w:r>
      <w:r>
        <w:rPr>
          <w:rFonts w:cs="Times New Roman"/>
          <w:color w:val="000000" w:themeColor="text1"/>
          <w:kern w:val="0"/>
          <w:szCs w:val="24"/>
          <w:highlight w:val="none"/>
          <w14:textFill>
            <w14:solidFill>
              <w14:schemeClr w14:val="tx1"/>
            </w14:solidFill>
          </w14:textFill>
        </w:rPr>
        <w:t>直线距离约</w:t>
      </w:r>
      <w:r>
        <w:rPr>
          <w:rFonts w:hint="eastAsia" w:cs="Times New Roman"/>
          <w:color w:val="000000" w:themeColor="text1"/>
          <w:kern w:val="0"/>
          <w:szCs w:val="24"/>
          <w:highlight w:val="none"/>
          <w14:textFill>
            <w14:solidFill>
              <w14:schemeClr w14:val="tx1"/>
            </w14:solidFill>
          </w14:textFill>
        </w:rPr>
        <w:t>1.2</w:t>
      </w:r>
      <w:r>
        <w:rPr>
          <w:rFonts w:cs="Times New Roman"/>
          <w:color w:val="000000" w:themeColor="text1"/>
          <w:kern w:val="0"/>
          <w:szCs w:val="24"/>
          <w:highlight w:val="none"/>
          <w14:textFill>
            <w14:solidFill>
              <w14:schemeClr w14:val="tx1"/>
            </w14:solidFill>
          </w14:textFill>
        </w:rPr>
        <w:t>km，距离</w:t>
      </w:r>
      <w:r>
        <w:rPr>
          <w:rFonts w:hint="eastAsia" w:cs="Times New Roman"/>
          <w:color w:val="000000" w:themeColor="text1"/>
          <w:kern w:val="0"/>
          <w:szCs w:val="24"/>
          <w:highlight w:val="none"/>
          <w14:textFill>
            <w14:solidFill>
              <w14:schemeClr w14:val="tx1"/>
            </w14:solidFill>
          </w14:textFill>
        </w:rPr>
        <w:t>D403集气站直线距离为2.3km</w:t>
      </w:r>
      <w:r>
        <w:rPr>
          <w:rFonts w:cs="Times New Roman"/>
          <w:color w:val="000000" w:themeColor="text1"/>
          <w:kern w:val="0"/>
          <w:szCs w:val="24"/>
          <w:highlight w:val="none"/>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大湾</w:t>
      </w:r>
      <w:r>
        <w:rPr>
          <w:rFonts w:hint="eastAsia" w:cs="Times New Roman"/>
          <w:color w:val="000000" w:themeColor="text1"/>
          <w:szCs w:val="32"/>
          <w:highlight w:val="none"/>
          <w:lang w:eastAsia="zh-CN"/>
          <w14:textFill>
            <w14:solidFill>
              <w14:schemeClr w14:val="tx1"/>
            </w14:solidFill>
          </w14:textFill>
        </w:rPr>
        <w:t>408试采站</w:t>
      </w:r>
      <w:r>
        <w:rPr>
          <w:rFonts w:hint="eastAsia" w:cs="Times New Roman"/>
          <w:color w:val="000000" w:themeColor="text1"/>
          <w:szCs w:val="32"/>
          <w:highlight w:val="none"/>
          <w14:textFill>
            <w14:solidFill>
              <w14:schemeClr w14:val="tx1"/>
            </w14:solidFill>
          </w14:textFill>
        </w:rPr>
        <w:t>原料气接入D403集气站后外输。</w:t>
      </w:r>
      <w:r>
        <w:rPr>
          <w:rFonts w:cs="Times New Roman"/>
          <w:color w:val="000000" w:themeColor="text1"/>
          <w:kern w:val="0"/>
          <w:szCs w:val="24"/>
          <w:highlight w:val="none"/>
          <w14:textFill>
            <w14:solidFill>
              <w14:schemeClr w14:val="tx1"/>
            </w14:solidFill>
          </w14:textFill>
        </w:rPr>
        <w:t>具体相对关系如</w:t>
      </w:r>
      <w:r>
        <w:rPr>
          <w:rFonts w:cs="Times New Roman"/>
          <w:color w:val="000000" w:themeColor="text1"/>
          <w:kern w:val="0"/>
          <w:szCs w:val="24"/>
          <w:highlight w:val="none"/>
          <w14:textFill>
            <w14:solidFill>
              <w14:schemeClr w14:val="tx1"/>
            </w14:solidFill>
          </w14:textFill>
        </w:rPr>
        <w:fldChar w:fldCharType="begin"/>
      </w:r>
      <w:r>
        <w:rPr>
          <w:rFonts w:cs="Times New Roman"/>
          <w:color w:val="000000" w:themeColor="text1"/>
          <w:kern w:val="0"/>
          <w:szCs w:val="24"/>
          <w:highlight w:val="none"/>
          <w14:textFill>
            <w14:solidFill>
              <w14:schemeClr w14:val="tx1"/>
            </w14:solidFill>
          </w14:textFill>
        </w:rPr>
        <w:instrText xml:space="preserve"> REF _Ref142903895 \h  \* MERGEFORMAT </w:instrText>
      </w:r>
      <w:r>
        <w:rPr>
          <w:rFonts w:cs="Times New Roman"/>
          <w:color w:val="000000" w:themeColor="text1"/>
          <w:kern w:val="0"/>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2.10</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kern w:val="0"/>
          <w:szCs w:val="24"/>
          <w:highlight w:val="none"/>
          <w14:textFill>
            <w14:solidFill>
              <w14:schemeClr w14:val="tx1"/>
            </w14:solidFill>
          </w14:textFill>
        </w:rPr>
        <w:fldChar w:fldCharType="end"/>
      </w:r>
      <w:r>
        <w:rPr>
          <w:rFonts w:cs="Times New Roman"/>
          <w:color w:val="000000" w:themeColor="text1"/>
          <w:kern w:val="0"/>
          <w:szCs w:val="24"/>
          <w:highlight w:val="none"/>
          <w14:textFill>
            <w14:solidFill>
              <w14:schemeClr w14:val="tx1"/>
            </w14:solidFill>
          </w14:textFill>
        </w:rPr>
        <w:t>所示。</w:t>
      </w:r>
    </w:p>
    <w:p>
      <w:pPr>
        <w:widowControl/>
        <w:adjustRightInd/>
        <w:snapToGrid/>
        <w:ind w:firstLine="480"/>
        <w:jc w:val="center"/>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w:t>
      </w:r>
    </w:p>
    <w:p>
      <w:pPr>
        <w:ind w:firstLine="480"/>
        <w:rPr>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本项目依托大湾408已建输气管线实现外输，大湾408～大湾403输气管线</w:t>
      </w:r>
      <w:r>
        <w:rPr>
          <w:color w:val="000000" w:themeColor="text1"/>
          <w:highlight w:val="none"/>
          <w14:textFill>
            <w14:solidFill>
              <w14:schemeClr w14:val="tx1"/>
            </w14:solidFill>
          </w14:textFill>
        </w:rPr>
        <w:t>原设计产能为</w:t>
      </w:r>
      <w:r>
        <w:rPr>
          <w:rFonts w:hint="eastAsia"/>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t>0×10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目前两口井实际生产规模为约120</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/d，本项目1口井完工后，合计</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生产规模将增至</w:t>
      </w:r>
      <w:r>
        <w:rPr>
          <w:rFonts w:hint="eastAsia"/>
          <w:color w:val="000000" w:themeColor="text1"/>
          <w:highlight w:val="none"/>
          <w14:textFill>
            <w14:solidFill>
              <w14:schemeClr w14:val="tx1"/>
            </w14:solidFill>
          </w14:textFill>
        </w:rPr>
        <w:t>135</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小于大湾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原设计产能</w:t>
      </w:r>
      <w:r>
        <w:rPr>
          <w:rFonts w:hint="eastAsia"/>
          <w:color w:val="000000" w:themeColor="text1"/>
          <w:highlight w:val="none"/>
          <w14:textFill>
            <w14:solidFill>
              <w14:schemeClr w14:val="tx1"/>
            </w14:solidFill>
          </w14:textFill>
        </w:rPr>
        <w:t>规模</w:t>
      </w:r>
      <w:r>
        <w:rPr>
          <w:color w:val="000000" w:themeColor="text1"/>
          <w:highlight w:val="none"/>
          <w14:textFill>
            <w14:solidFill>
              <w14:schemeClr w14:val="tx1"/>
            </w14:solidFill>
          </w14:textFill>
        </w:rPr>
        <w:t>，仍有约</w:t>
      </w:r>
      <w:r>
        <w:rPr>
          <w:rFonts w:hint="eastAsia"/>
          <w:color w:val="000000" w:themeColor="text1"/>
          <w:highlight w:val="none"/>
          <w14:textFill>
            <w14:solidFill>
              <w14:schemeClr w14:val="tx1"/>
            </w14:solidFill>
          </w14:textFill>
        </w:rPr>
        <w:t>35</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/d的富余量</w:t>
      </w:r>
      <w:r>
        <w:rPr>
          <w:rFonts w:hint="eastAsia"/>
          <w:color w:val="000000" w:themeColor="text1"/>
          <w:highlight w:val="none"/>
          <w14:textFill>
            <w14:solidFill>
              <w14:schemeClr w14:val="tx1"/>
            </w14:solidFill>
          </w14:textFill>
        </w:rPr>
        <w:t>，因此，管线依托可行。</w:t>
      </w:r>
    </w:p>
    <w:p>
      <w:pPr>
        <w:pStyle w:val="4"/>
        <w:spacing w:before="0" w:beforeLines="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现有环保工程依托可行性</w:t>
      </w:r>
    </w:p>
    <w:p>
      <w:pPr>
        <w:pStyle w:val="125"/>
        <w:ind w:firstLine="482"/>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（1）依托工程简介</w:t>
      </w:r>
    </w:p>
    <w:p>
      <w:pPr>
        <w:pStyle w:val="125"/>
        <w:rPr>
          <w:color w:val="000000" w:themeColor="text1"/>
          <w:szCs w:val="22"/>
          <w:highlight w:val="none"/>
          <w14:textFill>
            <w14:solidFill>
              <w14:schemeClr w14:val="tx1"/>
            </w14:solidFill>
          </w14:textFill>
        </w:rPr>
      </w:pPr>
      <w:bookmarkStart w:id="125" w:name="OLE_LINK75"/>
      <w:bookmarkStart w:id="126" w:name="OLE_LINK87"/>
      <w:r>
        <w:rPr>
          <w:color w:val="000000" w:themeColor="text1"/>
          <w:szCs w:val="22"/>
          <w:highlight w:val="none"/>
          <w14:textFill>
            <w14:solidFill>
              <w14:schemeClr w14:val="tx1"/>
            </w14:solidFill>
          </w14:textFill>
        </w:rPr>
        <w:t>本项目施工期钻井工程废水</w:t>
      </w:r>
      <w:bookmarkEnd w:id="125"/>
      <w:bookmarkEnd w:id="126"/>
      <w:r>
        <w:rPr>
          <w:color w:val="000000" w:themeColor="text1"/>
          <w:szCs w:val="22"/>
          <w:highlight w:val="none"/>
          <w14:textFill>
            <w14:solidFill>
              <w14:schemeClr w14:val="tx1"/>
            </w14:solidFill>
          </w14:textFill>
        </w:rPr>
        <w:t>依托</w:t>
      </w:r>
      <w:r>
        <w:rPr>
          <w:rFonts w:hint="eastAsia"/>
          <w:color w:val="000000" w:themeColor="text1"/>
          <w:highlight w:val="none"/>
          <w14:textFill>
            <w14:solidFill>
              <w14:schemeClr w14:val="tx1"/>
            </w14:solidFill>
          </w14:textFill>
        </w:rPr>
        <w:t>赵家坝污水处理站</w:t>
      </w:r>
      <w:r>
        <w:rPr>
          <w:color w:val="000000" w:themeColor="text1"/>
          <w:szCs w:val="22"/>
          <w:highlight w:val="none"/>
          <w14:textFill>
            <w14:solidFill>
              <w14:schemeClr w14:val="tx1"/>
            </w14:solidFill>
          </w14:textFill>
        </w:rPr>
        <w:t>和</w:t>
      </w:r>
      <w:r>
        <w:rPr>
          <w:rFonts w:hint="eastAsia"/>
          <w:color w:val="000000" w:themeColor="text1"/>
          <w:highlight w:val="none"/>
          <w14:textFill>
            <w14:solidFill>
              <w14:schemeClr w14:val="tx1"/>
            </w14:solidFill>
          </w14:textFill>
        </w:rPr>
        <w:t>普光3井回注站</w:t>
      </w:r>
      <w:r>
        <w:rPr>
          <w:color w:val="000000" w:themeColor="text1"/>
          <w:szCs w:val="22"/>
          <w:highlight w:val="none"/>
          <w14:textFill>
            <w14:solidFill>
              <w14:schemeClr w14:val="tx1"/>
            </w14:solidFill>
          </w14:textFill>
        </w:rPr>
        <w:t>处理和回注；本项目试采期在</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内</w:t>
      </w:r>
      <w:r>
        <w:rPr>
          <w:color w:val="000000" w:themeColor="text1"/>
          <w:highlight w:val="none"/>
          <w14:textFill>
            <w14:solidFill>
              <w14:schemeClr w14:val="tx1"/>
            </w14:solidFill>
          </w14:textFill>
        </w:rPr>
        <w:t>经</w:t>
      </w:r>
      <w:r>
        <w:rPr>
          <w:rFonts w:hint="eastAsia"/>
          <w:color w:val="000000" w:themeColor="text1"/>
          <w:highlight w:val="none"/>
          <w14:textFill>
            <w14:solidFill>
              <w14:schemeClr w14:val="tx1"/>
            </w14:solidFill>
          </w14:textFill>
        </w:rPr>
        <w:t>脱水分离</w:t>
      </w:r>
      <w:r>
        <w:rPr>
          <w:color w:val="000000" w:themeColor="text1"/>
          <w:szCs w:val="22"/>
          <w:highlight w:val="none"/>
          <w14:textFill>
            <w14:solidFill>
              <w14:schemeClr w14:val="tx1"/>
            </w14:solidFill>
          </w14:textFill>
        </w:rPr>
        <w:t>产生的</w:t>
      </w:r>
      <w:r>
        <w:rPr>
          <w:rFonts w:hint="eastAsia"/>
          <w:color w:val="000000" w:themeColor="text1"/>
          <w:szCs w:val="22"/>
          <w:highlight w:val="none"/>
          <w14:textFill>
            <w14:solidFill>
              <w14:schemeClr w14:val="tx1"/>
            </w14:solidFill>
          </w14:textFill>
        </w:rPr>
        <w:t>采出水</w:t>
      </w:r>
      <w:r>
        <w:rPr>
          <w:color w:val="000000" w:themeColor="text1"/>
          <w:szCs w:val="22"/>
          <w:highlight w:val="none"/>
          <w14:textFill>
            <w14:solidFill>
              <w14:schemeClr w14:val="tx1"/>
            </w14:solidFill>
          </w14:textFill>
        </w:rPr>
        <w:t>由</w:t>
      </w:r>
      <w:r>
        <w:rPr>
          <w:rFonts w:hint="eastAsia"/>
          <w:color w:val="000000" w:themeColor="text1"/>
          <w:highlight w:val="none"/>
          <w14:textFill>
            <w14:solidFill>
              <w14:schemeClr w14:val="tx1"/>
            </w14:solidFill>
          </w14:textFill>
        </w:rPr>
        <w:t>赵家坝污水处理站</w:t>
      </w:r>
      <w:r>
        <w:rPr>
          <w:color w:val="000000" w:themeColor="text1"/>
          <w:szCs w:val="22"/>
          <w:highlight w:val="none"/>
          <w14:textFill>
            <w14:solidFill>
              <w14:schemeClr w14:val="tx1"/>
            </w14:solidFill>
          </w14:textFill>
        </w:rPr>
        <w:t>处理达到《</w:t>
      </w:r>
      <w:r>
        <w:rPr>
          <w:rFonts w:hint="eastAsia"/>
          <w:color w:val="000000" w:themeColor="text1"/>
          <w:szCs w:val="22"/>
          <w:highlight w:val="none"/>
          <w14:textFill>
            <w14:solidFill>
              <w14:schemeClr w14:val="tx1"/>
            </w14:solidFill>
          </w14:textFill>
        </w:rPr>
        <w:t>采出水</w:t>
      </w:r>
      <w:r>
        <w:rPr>
          <w:color w:val="000000" w:themeColor="text1"/>
          <w:szCs w:val="22"/>
          <w:highlight w:val="none"/>
          <w14:textFill>
            <w14:solidFill>
              <w14:schemeClr w14:val="tx1"/>
            </w14:solidFill>
          </w14:textFill>
        </w:rPr>
        <w:t>回注方法》（SY/T 6596-2016）中注入水基本要求后管输至</w:t>
      </w:r>
      <w:r>
        <w:rPr>
          <w:rFonts w:hint="eastAsia"/>
          <w:color w:val="000000" w:themeColor="text1"/>
          <w:highlight w:val="none"/>
          <w14:textFill>
            <w14:solidFill>
              <w14:schemeClr w14:val="tx1"/>
            </w14:solidFill>
          </w14:textFill>
        </w:rPr>
        <w:t>普光3井回注站</w:t>
      </w:r>
      <w:r>
        <w:rPr>
          <w:color w:val="000000" w:themeColor="text1"/>
          <w:szCs w:val="22"/>
          <w:highlight w:val="none"/>
          <w14:textFill>
            <w14:solidFill>
              <w14:schemeClr w14:val="tx1"/>
            </w14:solidFill>
          </w14:textFill>
        </w:rPr>
        <w:t>回注处理，不外排。</w:t>
      </w:r>
    </w:p>
    <w:p>
      <w:pPr>
        <w:pStyle w:val="125"/>
        <w:ind w:firstLine="482"/>
        <w:rPr>
          <w:b/>
          <w:bCs/>
          <w:color w:val="000000" w:themeColor="text1"/>
          <w:szCs w:val="22"/>
          <w:highlight w:val="none"/>
          <w14:textFill>
            <w14:solidFill>
              <w14:schemeClr w14:val="tx1"/>
            </w14:solidFill>
          </w14:textFill>
        </w:rPr>
      </w:pPr>
      <w:r>
        <w:rPr>
          <w:b/>
          <w:bCs/>
          <w:color w:val="000000" w:themeColor="text1"/>
          <w:szCs w:val="22"/>
          <w:highlight w:val="none"/>
          <w14:textFill>
            <w14:solidFill>
              <w14:schemeClr w14:val="tx1"/>
            </w14:solidFill>
          </w14:textFill>
        </w:rPr>
        <w:t>（2）依托工程</w:t>
      </w:r>
      <w:r>
        <w:rPr>
          <w:rFonts w:hint="eastAsia" w:ascii="宋体" w:hAnsi="宋体" w:cs="宋体"/>
          <w:b/>
          <w:bCs/>
          <w:color w:val="000000" w:themeColor="text1"/>
          <w:szCs w:val="22"/>
          <w:highlight w:val="none"/>
          <w14:textFill>
            <w14:solidFill>
              <w14:schemeClr w14:val="tx1"/>
            </w14:solidFill>
          </w14:textFill>
        </w:rPr>
        <w:t>“三同时”</w:t>
      </w:r>
      <w:r>
        <w:rPr>
          <w:b/>
          <w:bCs/>
          <w:color w:val="000000" w:themeColor="text1"/>
          <w:szCs w:val="22"/>
          <w:highlight w:val="none"/>
          <w14:textFill>
            <w14:solidFill>
              <w14:schemeClr w14:val="tx1"/>
            </w14:solidFill>
          </w14:textFill>
        </w:rPr>
        <w:t>情况</w:t>
      </w:r>
    </w:p>
    <w:p>
      <w:pPr>
        <w:pStyle w:val="125"/>
        <w:rPr>
          <w:color w:val="000000" w:themeColor="text1"/>
          <w:szCs w:val="22"/>
          <w:highlight w:val="none"/>
          <w14:textFill>
            <w14:solidFill>
              <w14:schemeClr w14:val="tx1"/>
            </w14:solidFill>
          </w14:textFill>
        </w:rPr>
      </w:pPr>
      <w:r>
        <w:rPr>
          <w:color w:val="000000" w:themeColor="text1"/>
          <w:szCs w:val="22"/>
          <w:highlight w:val="none"/>
          <w14:textFill>
            <w14:solidFill>
              <w14:schemeClr w14:val="tx1"/>
            </w14:solidFill>
          </w14:textFill>
        </w:rPr>
        <w:t>依托工程</w:t>
      </w:r>
      <w:r>
        <w:rPr>
          <w:rFonts w:hint="eastAsia" w:ascii="宋体" w:hAnsi="宋体" w:cs="宋体"/>
          <w:color w:val="000000" w:themeColor="text1"/>
          <w:szCs w:val="22"/>
          <w:highlight w:val="none"/>
          <w14:textFill>
            <w14:solidFill>
              <w14:schemeClr w14:val="tx1"/>
            </w14:solidFill>
          </w14:textFill>
        </w:rPr>
        <w:t>“三同时”</w:t>
      </w:r>
      <w:r>
        <w:rPr>
          <w:color w:val="000000" w:themeColor="text1"/>
          <w:szCs w:val="22"/>
          <w:highlight w:val="none"/>
          <w14:textFill>
            <w14:solidFill>
              <w14:schemeClr w14:val="tx1"/>
            </w14:solidFill>
          </w14:textFill>
        </w:rPr>
        <w:t>情况详见</w:t>
      </w:r>
      <w:r>
        <w:rPr>
          <w:color w:val="000000" w:themeColor="text1"/>
          <w:szCs w:val="22"/>
          <w:highlight w:val="none"/>
          <w14:textFill>
            <w14:solidFill>
              <w14:schemeClr w14:val="tx1"/>
            </w14:solidFill>
          </w14:textFill>
        </w:rPr>
        <w:fldChar w:fldCharType="begin"/>
      </w:r>
      <w:r>
        <w:rPr>
          <w:color w:val="000000" w:themeColor="text1"/>
          <w:szCs w:val="22"/>
          <w:highlight w:val="none"/>
          <w14:textFill>
            <w14:solidFill>
              <w14:schemeClr w14:val="tx1"/>
            </w14:solidFill>
          </w14:textFill>
        </w:rPr>
        <w:instrText xml:space="preserve"> REF _Ref29172 \h </w:instrText>
      </w:r>
      <w:r>
        <w:rPr>
          <w:color w:val="000000" w:themeColor="text1"/>
          <w:szCs w:val="22"/>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3.1</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2</w:t>
      </w:r>
      <w:r>
        <w:rPr>
          <w:color w:val="000000" w:themeColor="text1"/>
          <w:szCs w:val="22"/>
          <w:highlight w:val="none"/>
          <w14:textFill>
            <w14:solidFill>
              <w14:schemeClr w14:val="tx1"/>
            </w14:solidFill>
          </w14:textFill>
        </w:rPr>
        <w:fldChar w:fldCharType="end"/>
      </w:r>
      <w:r>
        <w:rPr>
          <w:color w:val="000000" w:themeColor="text1"/>
          <w:szCs w:val="22"/>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27" w:name="_Ref29172"/>
      <w:r>
        <w:rPr>
          <w:rFonts w:hint="eastAsia"/>
          <w:color w:val="000000" w:themeColor="text1"/>
          <w:highlight w:val="none"/>
          <w14:textFill>
            <w14:solidFill>
              <w14:schemeClr w14:val="tx1"/>
            </w14:solidFill>
          </w14:textFill>
        </w:rPr>
        <w:t>表</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3.1</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SEQ 表 \* ARABIC \s 2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fldChar w:fldCharType="end"/>
      </w:r>
      <w:bookmarkEnd w:id="127"/>
      <w:r>
        <w:rPr>
          <w:rFonts w:hint="eastAsia"/>
          <w:color w:val="000000" w:themeColor="text1"/>
          <w:highlight w:val="none"/>
          <w14:textFill>
            <w14:solidFill>
              <w14:schemeClr w14:val="tx1"/>
            </w14:solidFill>
          </w14:textFill>
        </w:rPr>
        <w:t xml:space="preserve"> 依托工程“三同时”情况一览表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07"/>
        <w:gridCol w:w="953"/>
        <w:gridCol w:w="2428"/>
        <w:gridCol w:w="2184"/>
        <w:gridCol w:w="2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74" w:hRule="atLeast"/>
          <w:tblHeader/>
          <w:jc w:val="center"/>
        </w:trPr>
        <w:tc>
          <w:tcPr>
            <w:tcW w:w="507" w:type="dxa"/>
            <w:vAlign w:val="center"/>
          </w:tcPr>
          <w:p>
            <w:pPr>
              <w:pStyle w:val="267"/>
              <w:rPr>
                <w:rFonts w:ascii="Times New Roman"/>
                <w:b/>
                <w:bCs/>
                <w:color w:val="000000" w:themeColor="text1"/>
                <w:highlight w:val="none"/>
                <w14:textFill>
                  <w14:solidFill>
                    <w14:schemeClr w14:val="tx1"/>
                  </w14:solidFill>
                </w14:textFill>
              </w:rPr>
            </w:pPr>
            <w:r>
              <w:rPr>
                <w:rFonts w:ascii="Times New Roman"/>
                <w:b/>
                <w:bCs/>
                <w:color w:val="000000" w:themeColor="text1"/>
                <w:highlight w:val="none"/>
                <w14:textFill>
                  <w14:solidFill>
                    <w14:schemeClr w14:val="tx1"/>
                  </w14:solidFill>
                </w14:textFill>
              </w:rPr>
              <w:t>序号</w:t>
            </w:r>
          </w:p>
        </w:tc>
        <w:tc>
          <w:tcPr>
            <w:tcW w:w="953" w:type="dxa"/>
            <w:vAlign w:val="center"/>
          </w:tcPr>
          <w:p>
            <w:pPr>
              <w:pStyle w:val="267"/>
              <w:rPr>
                <w:rFonts w:ascii="Times New Roman"/>
                <w:b/>
                <w:bCs/>
                <w:color w:val="000000" w:themeColor="text1"/>
                <w:highlight w:val="none"/>
                <w14:textFill>
                  <w14:solidFill>
                    <w14:schemeClr w14:val="tx1"/>
                  </w14:solidFill>
                </w14:textFill>
              </w:rPr>
            </w:pPr>
            <w:r>
              <w:rPr>
                <w:rFonts w:ascii="Times New Roman"/>
                <w:b/>
                <w:bCs/>
                <w:color w:val="000000" w:themeColor="text1"/>
                <w:highlight w:val="none"/>
                <w14:textFill>
                  <w14:solidFill>
                    <w14:schemeClr w14:val="tx1"/>
                  </w14:solidFill>
                </w14:textFill>
              </w:rPr>
              <w:t>项目名称</w:t>
            </w:r>
          </w:p>
        </w:tc>
        <w:tc>
          <w:tcPr>
            <w:tcW w:w="2428" w:type="dxa"/>
            <w:vAlign w:val="center"/>
          </w:tcPr>
          <w:p>
            <w:pPr>
              <w:pStyle w:val="267"/>
              <w:rPr>
                <w:rFonts w:ascii="Times New Roman"/>
                <w:b/>
                <w:bCs/>
                <w:color w:val="000000" w:themeColor="text1"/>
                <w:highlight w:val="none"/>
                <w14:textFill>
                  <w14:solidFill>
                    <w14:schemeClr w14:val="tx1"/>
                  </w14:solidFill>
                </w14:textFill>
              </w:rPr>
            </w:pPr>
            <w:r>
              <w:rPr>
                <w:rFonts w:ascii="Times New Roman"/>
                <w:b/>
                <w:bCs/>
                <w:color w:val="000000" w:themeColor="text1"/>
                <w:highlight w:val="none"/>
                <w14:textFill>
                  <w14:solidFill>
                    <w14:schemeClr w14:val="tx1"/>
                  </w14:solidFill>
                </w14:textFill>
              </w:rPr>
              <w:t>工程内容</w:t>
            </w:r>
          </w:p>
        </w:tc>
        <w:tc>
          <w:tcPr>
            <w:tcW w:w="2184" w:type="dxa"/>
            <w:vAlign w:val="center"/>
          </w:tcPr>
          <w:p>
            <w:pPr>
              <w:pStyle w:val="267"/>
              <w:rPr>
                <w:rFonts w:ascii="Times New Roman"/>
                <w:b/>
                <w:bCs/>
                <w:color w:val="000000" w:themeColor="text1"/>
                <w:highlight w:val="none"/>
                <w14:textFill>
                  <w14:solidFill>
                    <w14:schemeClr w14:val="tx1"/>
                  </w14:solidFill>
                </w14:textFill>
              </w:rPr>
            </w:pPr>
            <w:r>
              <w:rPr>
                <w:rFonts w:ascii="Times New Roman"/>
                <w:b/>
                <w:bCs/>
                <w:color w:val="000000" w:themeColor="text1"/>
                <w:highlight w:val="none"/>
                <w14:textFill>
                  <w14:solidFill>
                    <w14:schemeClr w14:val="tx1"/>
                  </w14:solidFill>
                </w14:textFill>
              </w:rPr>
              <w:t>环评批复时间、文号及批复部门</w:t>
            </w:r>
          </w:p>
        </w:tc>
        <w:tc>
          <w:tcPr>
            <w:tcW w:w="2148" w:type="dxa"/>
            <w:vAlign w:val="center"/>
          </w:tcPr>
          <w:p>
            <w:pPr>
              <w:pStyle w:val="267"/>
              <w:rPr>
                <w:rFonts w:ascii="Times New Roman"/>
                <w:b/>
                <w:bCs/>
                <w:color w:val="000000" w:themeColor="text1"/>
                <w:highlight w:val="none"/>
                <w14:textFill>
                  <w14:solidFill>
                    <w14:schemeClr w14:val="tx1"/>
                  </w14:solidFill>
                </w14:textFill>
              </w:rPr>
            </w:pPr>
            <w:r>
              <w:rPr>
                <w:rFonts w:ascii="Times New Roman"/>
                <w:b/>
                <w:bCs/>
                <w:color w:val="000000" w:themeColor="text1"/>
                <w:highlight w:val="none"/>
                <w14:textFill>
                  <w14:solidFill>
                    <w14:schemeClr w14:val="tx1"/>
                  </w14:solidFill>
                </w14:textFill>
              </w:rPr>
              <w:t>竣工环保验收时间、文号及验收部门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07" w:type="dxa"/>
            <w:vAlign w:val="center"/>
          </w:tcPr>
          <w:p>
            <w:pPr>
              <w:pStyle w:val="267"/>
              <w:rPr>
                <w:rFonts w:ascii="Times New Roman"/>
                <w:color w:val="000000" w:themeColor="text1"/>
                <w:highlight w:val="none"/>
                <w14:textFill>
                  <w14:solidFill>
                    <w14:schemeClr w14:val="tx1"/>
                  </w14:solidFill>
                </w14:textFill>
              </w:rPr>
            </w:pPr>
            <w:r>
              <w:rPr>
                <w:rFonts w:hint="eastAsia" w:ascii="Times New Roman"/>
                <w:color w:val="000000" w:themeColor="text1"/>
                <w:highlight w:val="none"/>
                <w14:textFill>
                  <w14:solidFill>
                    <w14:schemeClr w14:val="tx1"/>
                  </w14:solidFill>
                </w14:textFill>
              </w:rPr>
              <w:t>1</w:t>
            </w:r>
          </w:p>
        </w:tc>
        <w:tc>
          <w:tcPr>
            <w:tcW w:w="953" w:type="dxa"/>
            <w:vAlign w:val="center"/>
          </w:tcPr>
          <w:p>
            <w:pPr>
              <w:widowControl/>
              <w:spacing w:line="240" w:lineRule="auto"/>
              <w:ind w:firstLine="0" w:firstLineChars="0"/>
              <w:jc w:val="center"/>
              <w:textAlignment w:val="baseline"/>
              <w:rPr>
                <w:color w:val="000000" w:themeColor="text1"/>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赵家坝污水处理站</w:t>
            </w:r>
          </w:p>
        </w:tc>
        <w:tc>
          <w:tcPr>
            <w:tcW w:w="2428" w:type="dxa"/>
            <w:vAlign w:val="center"/>
          </w:tcPr>
          <w:p>
            <w:pPr>
              <w:widowControl/>
              <w:spacing w:line="240" w:lineRule="auto"/>
              <w:ind w:firstLine="0" w:firstLineChars="0"/>
              <w:jc w:val="center"/>
              <w:textAlignment w:val="baseline"/>
              <w:rPr>
                <w:color w:val="000000" w:themeColor="text1"/>
                <w:sz w:val="21"/>
                <w:szCs w:val="21"/>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赵家坝污水处理站（1号采出水处理站）</w:t>
            </w:r>
          </w:p>
        </w:tc>
        <w:tc>
          <w:tcPr>
            <w:tcW w:w="2184" w:type="dxa"/>
            <w:vAlign w:val="center"/>
          </w:tcPr>
          <w:p>
            <w:pPr>
              <w:widowControl/>
              <w:spacing w:line="240" w:lineRule="auto"/>
              <w:ind w:firstLine="0" w:firstLineChars="0"/>
              <w:jc w:val="center"/>
              <w:textAlignment w:val="baseline"/>
              <w:rPr>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201</w:t>
            </w:r>
            <w:r>
              <w:rPr>
                <w:rFonts w:hint="eastAsia" w:cs="Times New Roman"/>
                <w:color w:val="000000" w:themeColor="text1"/>
                <w:sz w:val="21"/>
                <w:szCs w:val="20"/>
                <w:highlight w:val="none"/>
                <w14:textFill>
                  <w14:solidFill>
                    <w14:schemeClr w14:val="tx1"/>
                  </w14:solidFill>
                </w14:textFill>
              </w:rPr>
              <w:t>5</w:t>
            </w:r>
            <w:r>
              <w:rPr>
                <w:rFonts w:cs="Times New Roman"/>
                <w:color w:val="000000" w:themeColor="text1"/>
                <w:sz w:val="21"/>
                <w:szCs w:val="20"/>
                <w:highlight w:val="none"/>
                <w14:textFill>
                  <w14:solidFill>
                    <w14:schemeClr w14:val="tx1"/>
                  </w14:solidFill>
                </w14:textFill>
              </w:rPr>
              <w:t>年</w:t>
            </w:r>
            <w:r>
              <w:rPr>
                <w:rFonts w:hint="eastAsia" w:cs="Times New Roman"/>
                <w:color w:val="000000" w:themeColor="text1"/>
                <w:sz w:val="21"/>
                <w:szCs w:val="20"/>
                <w:highlight w:val="none"/>
                <w14:textFill>
                  <w14:solidFill>
                    <w14:schemeClr w14:val="tx1"/>
                  </w14:solidFill>
                </w14:textFill>
              </w:rPr>
              <w:t>4</w:t>
            </w:r>
            <w:r>
              <w:rPr>
                <w:rFonts w:cs="Times New Roman"/>
                <w:color w:val="000000" w:themeColor="text1"/>
                <w:sz w:val="21"/>
                <w:szCs w:val="20"/>
                <w:highlight w:val="none"/>
                <w14:textFill>
                  <w14:solidFill>
                    <w14:schemeClr w14:val="tx1"/>
                  </w14:solidFill>
                </w14:textFill>
              </w:rPr>
              <w:t>月</w:t>
            </w:r>
            <w:r>
              <w:rPr>
                <w:rFonts w:hint="eastAsia" w:cs="Times New Roman"/>
                <w:color w:val="000000" w:themeColor="text1"/>
                <w:sz w:val="21"/>
                <w:szCs w:val="20"/>
                <w:highlight w:val="none"/>
                <w14:textFill>
                  <w14:solidFill>
                    <w14:schemeClr w14:val="tx1"/>
                  </w14:solidFill>
                </w14:textFill>
              </w:rPr>
              <w:t>20</w:t>
            </w:r>
            <w:r>
              <w:rPr>
                <w:rFonts w:cs="Times New Roman"/>
                <w:color w:val="000000" w:themeColor="text1"/>
                <w:sz w:val="21"/>
                <w:szCs w:val="20"/>
                <w:highlight w:val="none"/>
                <w14:textFill>
                  <w14:solidFill>
                    <w14:schemeClr w14:val="tx1"/>
                  </w14:solidFill>
                </w14:textFill>
              </w:rPr>
              <w:t>日，</w:t>
            </w:r>
            <w:r>
              <w:rPr>
                <w:rFonts w:hint="eastAsia" w:cs="Times New Roman"/>
                <w:color w:val="000000" w:themeColor="text1"/>
                <w:sz w:val="21"/>
                <w:szCs w:val="20"/>
                <w:highlight w:val="none"/>
                <w14:textFill>
                  <w14:solidFill>
                    <w14:schemeClr w14:val="tx1"/>
                  </w14:solidFill>
                </w14:textFill>
              </w:rPr>
              <w:t>宣汉县环境保护局，宣环审〔</w:t>
            </w:r>
            <w:r>
              <w:rPr>
                <w:rFonts w:cs="Times New Roman"/>
                <w:color w:val="000000" w:themeColor="text1"/>
                <w:sz w:val="21"/>
                <w:szCs w:val="20"/>
                <w:highlight w:val="none"/>
                <w14:textFill>
                  <w14:solidFill>
                    <w14:schemeClr w14:val="tx1"/>
                  </w14:solidFill>
                </w14:textFill>
              </w:rPr>
              <w:t>20</w:t>
            </w:r>
            <w:r>
              <w:rPr>
                <w:rFonts w:hint="eastAsia" w:cs="Times New Roman"/>
                <w:color w:val="000000" w:themeColor="text1"/>
                <w:sz w:val="21"/>
                <w:szCs w:val="20"/>
                <w:highlight w:val="none"/>
                <w14:textFill>
                  <w14:solidFill>
                    <w14:schemeClr w14:val="tx1"/>
                  </w14:solidFill>
                </w14:textFill>
              </w:rPr>
              <w:t>15</w:t>
            </w:r>
            <w:r>
              <w:rPr>
                <w:rFonts w:cs="Times New Roman"/>
                <w:color w:val="000000" w:themeColor="text1"/>
                <w:sz w:val="21"/>
                <w:szCs w:val="20"/>
                <w:highlight w:val="none"/>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33号；</w:t>
            </w:r>
          </w:p>
        </w:tc>
        <w:tc>
          <w:tcPr>
            <w:tcW w:w="2148" w:type="dxa"/>
            <w:vAlign w:val="center"/>
          </w:tcPr>
          <w:p>
            <w:pPr>
              <w:widowControl/>
              <w:spacing w:line="240" w:lineRule="auto"/>
              <w:ind w:firstLine="0" w:firstLineChars="0"/>
              <w:jc w:val="center"/>
              <w:textAlignment w:val="baseline"/>
              <w:rPr>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201</w:t>
            </w:r>
            <w:r>
              <w:rPr>
                <w:rFonts w:hint="eastAsia" w:cs="Times New Roman"/>
                <w:color w:val="000000" w:themeColor="text1"/>
                <w:sz w:val="21"/>
                <w:szCs w:val="20"/>
                <w:highlight w:val="none"/>
                <w14:textFill>
                  <w14:solidFill>
                    <w14:schemeClr w14:val="tx1"/>
                  </w14:solidFill>
                </w14:textFill>
              </w:rPr>
              <w:t>6</w:t>
            </w:r>
            <w:r>
              <w:rPr>
                <w:rFonts w:cs="Times New Roman"/>
                <w:color w:val="000000" w:themeColor="text1"/>
                <w:sz w:val="21"/>
                <w:szCs w:val="20"/>
                <w:highlight w:val="none"/>
                <w14:textFill>
                  <w14:solidFill>
                    <w14:schemeClr w14:val="tx1"/>
                  </w14:solidFill>
                </w14:textFill>
              </w:rPr>
              <w:t>年</w:t>
            </w:r>
            <w:r>
              <w:rPr>
                <w:rFonts w:hint="eastAsia" w:cs="Times New Roman"/>
                <w:color w:val="000000" w:themeColor="text1"/>
                <w:sz w:val="21"/>
                <w:szCs w:val="20"/>
                <w:highlight w:val="none"/>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月</w:t>
            </w:r>
            <w:r>
              <w:rPr>
                <w:rFonts w:hint="eastAsia" w:cs="Times New Roman"/>
                <w:color w:val="000000" w:themeColor="text1"/>
                <w:sz w:val="21"/>
                <w:szCs w:val="20"/>
                <w:highlight w:val="none"/>
                <w14:textFill>
                  <w14:solidFill>
                    <w14:schemeClr w14:val="tx1"/>
                  </w14:solidFill>
                </w14:textFill>
              </w:rPr>
              <w:t>4</w:t>
            </w:r>
            <w:r>
              <w:rPr>
                <w:rFonts w:cs="Times New Roman"/>
                <w:color w:val="000000" w:themeColor="text1"/>
                <w:sz w:val="21"/>
                <w:szCs w:val="20"/>
                <w:highlight w:val="none"/>
                <w14:textFill>
                  <w14:solidFill>
                    <w14:schemeClr w14:val="tx1"/>
                  </w14:solidFill>
                </w14:textFill>
              </w:rPr>
              <w:t>日，</w:t>
            </w:r>
            <w:r>
              <w:rPr>
                <w:rFonts w:hint="eastAsia" w:cs="Times New Roman"/>
                <w:color w:val="000000" w:themeColor="text1"/>
                <w:sz w:val="21"/>
                <w:szCs w:val="20"/>
                <w:highlight w:val="none"/>
                <w14:textFill>
                  <w14:solidFill>
                    <w14:schemeClr w14:val="tx1"/>
                  </w14:solidFill>
                </w14:textFill>
              </w:rPr>
              <w:t>宣汉县环境保护局，宣环验〔</w:t>
            </w:r>
            <w:r>
              <w:rPr>
                <w:rFonts w:cs="Times New Roman"/>
                <w:color w:val="000000" w:themeColor="text1"/>
                <w:sz w:val="21"/>
                <w:szCs w:val="20"/>
                <w:highlight w:val="none"/>
                <w14:textFill>
                  <w14:solidFill>
                    <w14:schemeClr w14:val="tx1"/>
                  </w14:solidFill>
                </w14:textFill>
              </w:rPr>
              <w:t>20</w:t>
            </w:r>
            <w:r>
              <w:rPr>
                <w:rFonts w:hint="eastAsia" w:cs="Times New Roman"/>
                <w:color w:val="000000" w:themeColor="text1"/>
                <w:sz w:val="21"/>
                <w:szCs w:val="20"/>
                <w:highlight w:val="none"/>
                <w14:textFill>
                  <w14:solidFill>
                    <w14:schemeClr w14:val="tx1"/>
                  </w14:solidFill>
                </w14:textFill>
              </w:rPr>
              <w:t>16</w:t>
            </w:r>
            <w:r>
              <w:rPr>
                <w:rFonts w:cs="Times New Roman"/>
                <w:color w:val="000000" w:themeColor="text1"/>
                <w:sz w:val="21"/>
                <w:szCs w:val="20"/>
                <w:highlight w:val="none"/>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507" w:type="dxa"/>
            <w:vAlign w:val="center"/>
          </w:tcPr>
          <w:p>
            <w:pPr>
              <w:pStyle w:val="267"/>
              <w:rPr>
                <w:rFonts w:ascii="Times New Roman"/>
                <w:color w:val="000000" w:themeColor="text1"/>
                <w:highlight w:val="none"/>
                <w14:textFill>
                  <w14:solidFill>
                    <w14:schemeClr w14:val="tx1"/>
                  </w14:solidFill>
                </w14:textFill>
              </w:rPr>
            </w:pPr>
            <w:r>
              <w:rPr>
                <w:rFonts w:hint="eastAsia" w:ascii="Times New Roman"/>
                <w:color w:val="000000" w:themeColor="text1"/>
                <w:highlight w:val="none"/>
                <w14:textFill>
                  <w14:solidFill>
                    <w14:schemeClr w14:val="tx1"/>
                  </w14:solidFill>
                </w14:textFill>
              </w:rPr>
              <w:t>2</w:t>
            </w:r>
          </w:p>
        </w:tc>
        <w:tc>
          <w:tcPr>
            <w:tcW w:w="953" w:type="dxa"/>
            <w:vAlign w:val="center"/>
          </w:tcPr>
          <w:p>
            <w:pPr>
              <w:widowControl/>
              <w:spacing w:line="240" w:lineRule="auto"/>
              <w:ind w:firstLine="0" w:firstLineChars="0"/>
              <w:jc w:val="center"/>
              <w:textAlignment w:val="baseline"/>
              <w:rPr>
                <w:bCs/>
                <w:color w:val="000000" w:themeColor="text1"/>
                <w:szCs w:val="24"/>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普光3井回注站</w:t>
            </w:r>
          </w:p>
        </w:tc>
        <w:tc>
          <w:tcPr>
            <w:tcW w:w="2428" w:type="dxa"/>
            <w:vAlign w:val="center"/>
          </w:tcPr>
          <w:p>
            <w:pPr>
              <w:widowControl/>
              <w:spacing w:line="240" w:lineRule="auto"/>
              <w:ind w:firstLine="0" w:firstLineChars="0"/>
              <w:jc w:val="center"/>
              <w:textAlignment w:val="baseline"/>
              <w:rPr>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普光3井回注站</w:t>
            </w:r>
            <w:r>
              <w:rPr>
                <w:rFonts w:hint="eastAsia" w:cs="Times New Roman"/>
                <w:color w:val="000000" w:themeColor="text1"/>
                <w:sz w:val="21"/>
                <w:szCs w:val="20"/>
                <w:highlight w:val="none"/>
                <w14:textFill>
                  <w14:solidFill>
                    <w14:schemeClr w14:val="tx1"/>
                  </w14:solidFill>
                </w14:textFill>
              </w:rPr>
              <w:t>及管线</w:t>
            </w:r>
          </w:p>
        </w:tc>
        <w:tc>
          <w:tcPr>
            <w:tcW w:w="2184" w:type="dxa"/>
            <w:vAlign w:val="center"/>
          </w:tcPr>
          <w:p>
            <w:pPr>
              <w:widowControl/>
              <w:spacing w:line="240" w:lineRule="auto"/>
              <w:ind w:firstLine="0" w:firstLineChars="0"/>
              <w:jc w:val="center"/>
              <w:textAlignment w:val="baseline"/>
              <w:rPr>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2013年10月24日，</w:t>
            </w:r>
            <w:r>
              <w:rPr>
                <w:rFonts w:hint="eastAsia" w:cs="Times New Roman"/>
                <w:color w:val="000000" w:themeColor="text1"/>
                <w:sz w:val="21"/>
                <w:szCs w:val="20"/>
                <w:highlight w:val="none"/>
                <w14:textFill>
                  <w14:solidFill>
                    <w14:schemeClr w14:val="tx1"/>
                  </w14:solidFill>
                </w14:textFill>
              </w:rPr>
              <w:t>四川省环境保护厅，川环审批〔</w:t>
            </w:r>
            <w:r>
              <w:rPr>
                <w:rFonts w:cs="Times New Roman"/>
                <w:color w:val="000000" w:themeColor="text1"/>
                <w:sz w:val="21"/>
                <w:szCs w:val="20"/>
                <w:highlight w:val="none"/>
                <w14:textFill>
                  <w14:solidFill>
                    <w14:schemeClr w14:val="tx1"/>
                  </w14:solidFill>
                </w14:textFill>
              </w:rPr>
              <w:t>2013〕634</w:t>
            </w:r>
            <w:r>
              <w:rPr>
                <w:rFonts w:hint="eastAsia" w:cs="Times New Roman"/>
                <w:color w:val="000000" w:themeColor="text1"/>
                <w:sz w:val="21"/>
                <w:szCs w:val="20"/>
                <w:highlight w:val="none"/>
                <w14:textFill>
                  <w14:solidFill>
                    <w14:schemeClr w14:val="tx1"/>
                  </w14:solidFill>
                </w14:textFill>
              </w:rPr>
              <w:t>号</w:t>
            </w:r>
          </w:p>
        </w:tc>
        <w:tc>
          <w:tcPr>
            <w:tcW w:w="2148" w:type="dxa"/>
            <w:vAlign w:val="center"/>
          </w:tcPr>
          <w:p>
            <w:pPr>
              <w:widowControl/>
              <w:spacing w:line="240" w:lineRule="auto"/>
              <w:ind w:firstLine="0" w:firstLineChars="0"/>
              <w:jc w:val="center"/>
              <w:textAlignment w:val="baseline"/>
              <w:rPr>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2015年9月</w:t>
            </w:r>
            <w:r>
              <w:rPr>
                <w:rFonts w:hint="eastAsia" w:cs="Times New Roman"/>
                <w:color w:val="000000" w:themeColor="text1"/>
                <w:sz w:val="21"/>
                <w:szCs w:val="20"/>
                <w:highlight w:val="none"/>
                <w14:textFill>
                  <w14:solidFill>
                    <w14:schemeClr w14:val="tx1"/>
                  </w14:solidFill>
                </w14:textFill>
              </w:rPr>
              <w:t>1</w:t>
            </w:r>
            <w:r>
              <w:rPr>
                <w:rFonts w:cs="Times New Roman"/>
                <w:color w:val="000000" w:themeColor="text1"/>
                <w:sz w:val="21"/>
                <w:szCs w:val="20"/>
                <w:highlight w:val="none"/>
                <w14:textFill>
                  <w14:solidFill>
                    <w14:schemeClr w14:val="tx1"/>
                  </w14:solidFill>
                </w14:textFill>
              </w:rPr>
              <w:t>5日，</w:t>
            </w:r>
            <w:r>
              <w:rPr>
                <w:rFonts w:hint="eastAsia" w:cs="Times New Roman"/>
                <w:color w:val="000000" w:themeColor="text1"/>
                <w:sz w:val="21"/>
                <w:szCs w:val="20"/>
                <w:highlight w:val="none"/>
                <w14:textFill>
                  <w14:solidFill>
                    <w14:schemeClr w14:val="tx1"/>
                  </w14:solidFill>
                </w14:textFill>
              </w:rPr>
              <w:t>四川省环境保护厅，川环验〔</w:t>
            </w:r>
            <w:r>
              <w:rPr>
                <w:rFonts w:cs="Times New Roman"/>
                <w:color w:val="000000" w:themeColor="text1"/>
                <w:sz w:val="21"/>
                <w:szCs w:val="20"/>
                <w:highlight w:val="none"/>
                <w14:textFill>
                  <w14:solidFill>
                    <w14:schemeClr w14:val="tx1"/>
                  </w14:solidFill>
                </w14:textFill>
              </w:rPr>
              <w:t>2015〕195</w:t>
            </w:r>
            <w:r>
              <w:rPr>
                <w:rFonts w:hint="eastAsia" w:cs="Times New Roman"/>
                <w:color w:val="000000" w:themeColor="text1"/>
                <w:sz w:val="21"/>
                <w:szCs w:val="20"/>
                <w:highlight w:val="none"/>
                <w14:textFill>
                  <w14:solidFill>
                    <w14:schemeClr w14:val="tx1"/>
                  </w14:solidFill>
                </w14:textFill>
              </w:rPr>
              <w:t>号</w:t>
            </w:r>
          </w:p>
        </w:tc>
      </w:tr>
    </w:tbl>
    <w:p>
      <w:pPr>
        <w:pStyle w:val="252"/>
        <w:adjustRightInd w:val="0"/>
        <w:snapToGrid w:val="0"/>
        <w:spacing w:before="120" w:beforeLines="50"/>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w:t>
      </w:r>
      <w:r>
        <w:rPr>
          <w:rFonts w:hint="eastAsia"/>
          <w:b/>
          <w:color w:val="000000" w:themeColor="text1"/>
          <w:szCs w:val="24"/>
          <w:highlight w:val="none"/>
          <w14:textFill>
            <w14:solidFill>
              <w14:schemeClr w14:val="tx1"/>
            </w14:solidFill>
          </w14:textFill>
        </w:rPr>
        <w:t>赵家坝污水处理站依托可行性分析</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赵家坝污水处理站位于天然气净化厂内，属于普光主体工程，本项目与赵家坝污水处理站直线距离约15km，赵家坝污水处理站设计处理能力800m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/d，目前实际处理污水量为350m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/d，处理后的污水进入普光</w:t>
      </w:r>
      <w:r>
        <w:rPr>
          <w:rFonts w:cs="Times New Roman"/>
          <w:bCs/>
          <w:color w:val="000000" w:themeColor="text1"/>
          <w:szCs w:val="24"/>
          <w:highlight w:val="none"/>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井回注，污水处理系统采用“气浮+絮凝沉降+压力接收（沉降）+双滤料过滤”工艺，出水水质能够满足《采出水回注方法》（SY/T6596-2004）表1中标准。</w:t>
      </w:r>
    </w:p>
    <w:p>
      <w:pPr>
        <w:ind w:firstLine="480"/>
        <w:rPr>
          <w:color w:val="000000" w:themeColor="text1"/>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赵家坝污水处理站目前剩余处理能力为450m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w:t>
      </w: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施工期</w:t>
      </w:r>
      <w:r>
        <w:rPr>
          <w:rFonts w:cs="Times New Roman"/>
          <w:bCs/>
          <w:color w:val="000000" w:themeColor="text1"/>
          <w:szCs w:val="24"/>
          <w:highlight w:val="none"/>
          <w14:textFill>
            <w14:solidFill>
              <w14:schemeClr w14:val="tx1"/>
            </w14:solidFill>
          </w14:textFill>
        </w:rPr>
        <w:t>未能回用的作业废水</w:t>
      </w:r>
      <w:r>
        <w:rPr>
          <w:rFonts w:hint="eastAsia" w:cs="Times New Roman"/>
          <w:bCs/>
          <w:color w:val="000000" w:themeColor="text1"/>
          <w:szCs w:val="24"/>
          <w:highlight w:val="none"/>
          <w14:textFill>
            <w14:solidFill>
              <w14:schemeClr w14:val="tx1"/>
            </w14:solidFill>
          </w14:textFill>
        </w:rPr>
        <w:t>施工</w:t>
      </w:r>
      <w:r>
        <w:rPr>
          <w:rFonts w:cs="Times New Roman"/>
          <w:bCs/>
          <w:color w:val="000000" w:themeColor="text1"/>
          <w:szCs w:val="24"/>
          <w:highlight w:val="none"/>
          <w14:textFill>
            <w14:solidFill>
              <w14:schemeClr w14:val="tx1"/>
            </w14:solidFill>
          </w14:textFill>
        </w:rPr>
        <w:t>期日运输量不超过50m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/d，试采期</w:t>
      </w:r>
      <w:r>
        <w:rPr>
          <w:rFonts w:hint="eastAsia" w:cs="Times New Roman"/>
          <w:bCs/>
          <w:color w:val="000000" w:themeColor="text1"/>
          <w:szCs w:val="24"/>
          <w:highlight w:val="none"/>
          <w14:textFill>
            <w14:solidFill>
              <w14:schemeClr w14:val="tx1"/>
            </w14:solidFill>
          </w14:textFill>
        </w:rPr>
        <w:t>一口井共计</w:t>
      </w:r>
      <w:r>
        <w:rPr>
          <w:rFonts w:cs="Times New Roman"/>
          <w:bCs/>
          <w:color w:val="000000" w:themeColor="text1"/>
          <w:szCs w:val="24"/>
          <w:highlight w:val="none"/>
          <w14:textFill>
            <w14:solidFill>
              <w14:schemeClr w14:val="tx1"/>
            </w14:solidFill>
          </w14:textFill>
        </w:rPr>
        <w:t>日产水量约为</w:t>
      </w:r>
      <w:r>
        <w:rPr>
          <w:rFonts w:hint="eastAsia" w:cs="Times New Roman"/>
          <w:bCs/>
          <w:color w:val="000000" w:themeColor="text1"/>
          <w:szCs w:val="24"/>
          <w:highlight w:val="none"/>
          <w14:textFill>
            <w14:solidFill>
              <w14:schemeClr w14:val="tx1"/>
            </w14:solidFill>
          </w14:textFill>
        </w:rPr>
        <w:t>50</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初期最多约200</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/d，将随着开采逐渐减少）</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在</w:t>
      </w:r>
      <w:r>
        <w:rPr>
          <w:rFonts w:hint="eastAsia" w:cs="Times New Roman"/>
          <w:bCs/>
          <w:color w:val="000000" w:themeColor="text1"/>
          <w:szCs w:val="24"/>
          <w:highlight w:val="none"/>
          <w14:textFill>
            <w14:solidFill>
              <w14:schemeClr w14:val="tx1"/>
            </w14:solidFill>
          </w14:textFill>
        </w:rPr>
        <w:t>赵家坝污水处理站处理本项目废水期间，中石化普光气田和赵家坝污水处理站加强沟通，同时运输过来的废水</w:t>
      </w:r>
      <w:r>
        <w:rPr>
          <w:rFonts w:cs="Times New Roman"/>
          <w:bCs/>
          <w:color w:val="000000" w:themeColor="text1"/>
          <w:szCs w:val="24"/>
          <w:highlight w:val="none"/>
          <w14:textFill>
            <w14:solidFill>
              <w14:schemeClr w14:val="tx1"/>
            </w14:solidFill>
          </w14:textFill>
        </w:rPr>
        <w:t>处理量</w:t>
      </w:r>
      <w:r>
        <w:rPr>
          <w:rFonts w:hint="eastAsia" w:cs="Times New Roman"/>
          <w:bCs/>
          <w:color w:val="000000" w:themeColor="text1"/>
          <w:szCs w:val="24"/>
          <w:highlight w:val="none"/>
          <w14:textFill>
            <w14:solidFill>
              <w14:schemeClr w14:val="tx1"/>
            </w14:solidFill>
          </w14:textFill>
        </w:rPr>
        <w:t>根据赵家坝污水处理站实际剩余处理能力整体调配，预计控制在4</w:t>
      </w:r>
      <w:r>
        <w:rPr>
          <w:rFonts w:cs="Times New Roman"/>
          <w:bCs/>
          <w:color w:val="000000" w:themeColor="text1"/>
          <w:szCs w:val="24"/>
          <w:highlight w:val="none"/>
          <w14:textFill>
            <w14:solidFill>
              <w14:schemeClr w14:val="tx1"/>
            </w14:solidFill>
          </w14:textFill>
        </w:rPr>
        <w:t>00m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左右</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能确保本项目施工期和试采期废水得到有效收集处置，故赵家坝污水处理站完全有能力处理本项目产生的废水</w:t>
      </w:r>
      <w:r>
        <w:rPr>
          <w:color w:val="000000" w:themeColor="text1"/>
          <w:highlight w:val="none"/>
          <w14:textFill>
            <w14:solidFill>
              <w14:schemeClr w14:val="tx1"/>
            </w14:solidFill>
          </w14:textFill>
        </w:rPr>
        <w:t>。</w:t>
      </w:r>
    </w:p>
    <w:p>
      <w:pPr>
        <w:pStyle w:val="252"/>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（4）</w:t>
      </w:r>
      <w:r>
        <w:rPr>
          <w:rFonts w:hint="eastAsia"/>
          <w:b/>
          <w:bCs/>
          <w:color w:val="000000" w:themeColor="text1"/>
          <w:szCs w:val="21"/>
          <w:highlight w:val="none"/>
          <w14:textFill>
            <w14:solidFill>
              <w14:schemeClr w14:val="tx1"/>
            </w14:solidFill>
          </w14:textFill>
        </w:rPr>
        <w:t>普光3井回注站</w:t>
      </w:r>
      <w:r>
        <w:rPr>
          <w:rFonts w:hint="eastAsia"/>
          <w:b/>
          <w:color w:val="000000" w:themeColor="text1"/>
          <w:szCs w:val="24"/>
          <w:highlight w:val="none"/>
          <w14:textFill>
            <w14:solidFill>
              <w14:schemeClr w14:val="tx1"/>
            </w14:solidFill>
          </w14:textFill>
        </w:rPr>
        <w:t>依托可行性分析</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经赵家坝污水处理站处理后的作业废水经处理达标后均通过普光3井回注地层。普光3井回注站位于达州市宣汉县黄金镇斑竹村3组，该井站回注层位为飞仙关组飞一段～飞二段、飞二段～飞三段，注水深度为5</w:t>
      </w:r>
      <w:r>
        <w:rPr>
          <w:rFonts w:cs="Times New Roman"/>
          <w:bCs/>
          <w:color w:val="000000" w:themeColor="text1"/>
          <w:szCs w:val="24"/>
          <w:highlight w:val="none"/>
          <w14:textFill>
            <w14:solidFill>
              <w14:schemeClr w14:val="tx1"/>
            </w14:solidFill>
          </w14:textFill>
        </w:rPr>
        <w:t>423.6</w:t>
      </w:r>
      <w:r>
        <w:rPr>
          <w:rFonts w:hint="eastAsia"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14:textFill>
            <w14:solidFill>
              <w14:schemeClr w14:val="tx1"/>
            </w14:solidFill>
          </w14:textFill>
        </w:rPr>
        <w:t>5476.0</w:t>
      </w:r>
      <w:r>
        <w:rPr>
          <w:rFonts w:hint="eastAsia" w:cs="Times New Roman"/>
          <w:bCs/>
          <w:color w:val="000000" w:themeColor="text1"/>
          <w:szCs w:val="24"/>
          <w:highlight w:val="none"/>
          <w14:textFill>
            <w14:solidFill>
              <w14:schemeClr w14:val="tx1"/>
            </w14:solidFill>
          </w14:textFill>
        </w:rPr>
        <w:t>m，回注储集空间1</w:t>
      </w:r>
      <w:r>
        <w:rPr>
          <w:rFonts w:cs="Times New Roman"/>
          <w:bCs/>
          <w:color w:val="000000" w:themeColor="text1"/>
          <w:szCs w:val="24"/>
          <w:highlight w:val="none"/>
          <w14:textFill>
            <w14:solidFill>
              <w14:schemeClr w14:val="tx1"/>
            </w14:solidFill>
          </w14:textFill>
        </w:rPr>
        <w:t>91</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10</w:t>
      </w:r>
      <w:r>
        <w:rPr>
          <w:rFonts w:cs="Times New Roman"/>
          <w:bCs/>
          <w:color w:val="000000" w:themeColor="text1"/>
          <w:szCs w:val="24"/>
          <w:highlight w:val="none"/>
          <w:vertAlign w:val="superscript"/>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，注水压力约为</w:t>
      </w:r>
      <w:r>
        <w:rPr>
          <w:rFonts w:cs="Times New Roman"/>
          <w:bCs/>
          <w:color w:val="000000" w:themeColor="text1"/>
          <w:szCs w:val="24"/>
          <w:highlight w:val="none"/>
          <w14:textFill>
            <w14:solidFill>
              <w14:schemeClr w14:val="tx1"/>
            </w14:solidFill>
          </w14:textFill>
        </w:rPr>
        <w:t>35</w:t>
      </w:r>
      <w:r>
        <w:rPr>
          <w:rFonts w:hint="eastAsia" w:cs="Times New Roman"/>
          <w:bCs/>
          <w:color w:val="000000" w:themeColor="text1"/>
          <w:szCs w:val="24"/>
          <w:highlight w:val="none"/>
          <w14:textFill>
            <w14:solidFill>
              <w14:schemeClr w14:val="tx1"/>
            </w14:solidFill>
          </w14:textFill>
        </w:rPr>
        <w:t>MPa，污水回注设计规模为</w:t>
      </w:r>
      <w:r>
        <w:rPr>
          <w:rFonts w:cs="Times New Roman"/>
          <w:bCs/>
          <w:color w:val="000000" w:themeColor="text1"/>
          <w:szCs w:val="24"/>
          <w:highlight w:val="none"/>
          <w14:textFill>
            <w14:solidFill>
              <w14:schemeClr w14:val="tx1"/>
            </w14:solidFill>
          </w14:textFill>
        </w:rPr>
        <w:t>30</w:t>
      </w:r>
      <w:r>
        <w:rPr>
          <w:rFonts w:hint="eastAsia" w:cs="Times New Roman"/>
          <w:bCs/>
          <w:color w:val="000000" w:themeColor="text1"/>
          <w:szCs w:val="24"/>
          <w:highlight w:val="none"/>
          <w14:textFill>
            <w14:solidFill>
              <w14:schemeClr w14:val="tx1"/>
            </w14:solidFill>
          </w14:textFill>
        </w:rPr>
        <w:t>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/d，目前回注量为</w:t>
      </w:r>
      <w:r>
        <w:rPr>
          <w:rFonts w:cs="Times New Roman"/>
          <w:bCs/>
          <w:color w:val="000000" w:themeColor="text1"/>
          <w:szCs w:val="24"/>
          <w:highlight w:val="none"/>
          <w14:textFill>
            <w14:solidFill>
              <w14:schemeClr w14:val="tx1"/>
            </w14:solidFill>
          </w14:textFill>
        </w:rPr>
        <w:t>9</w:t>
      </w:r>
      <w:r>
        <w:rPr>
          <w:rFonts w:hint="eastAsia" w:cs="Times New Roman"/>
          <w:bCs/>
          <w:color w:val="000000" w:themeColor="text1"/>
          <w:szCs w:val="24"/>
          <w:highlight w:val="none"/>
          <w14:textFill>
            <w14:solidFill>
              <w14:schemeClr w14:val="tx1"/>
            </w14:solidFill>
          </w14:textFill>
        </w:rPr>
        <w:t>0~</w:t>
      </w:r>
      <w:r>
        <w:rPr>
          <w:rFonts w:cs="Times New Roman"/>
          <w:bCs/>
          <w:color w:val="000000" w:themeColor="text1"/>
          <w:szCs w:val="24"/>
          <w:highlight w:val="none"/>
          <w14:textFill>
            <w14:solidFill>
              <w14:schemeClr w14:val="tx1"/>
            </w14:solidFill>
          </w14:textFill>
        </w:rPr>
        <w:t>13</w:t>
      </w:r>
      <w:r>
        <w:rPr>
          <w:rFonts w:hint="eastAsia" w:cs="Times New Roman"/>
          <w:bCs/>
          <w:color w:val="000000" w:themeColor="text1"/>
          <w:szCs w:val="24"/>
          <w:highlight w:val="none"/>
          <w14:textFill>
            <w14:solidFill>
              <w14:schemeClr w14:val="tx1"/>
            </w14:solidFill>
          </w14:textFill>
        </w:rPr>
        <w:t>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/d，剩余回注能力170~210m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/d，已回注总量为</w:t>
      </w:r>
      <w:r>
        <w:rPr>
          <w:rFonts w:cs="Times New Roman"/>
          <w:bCs/>
          <w:color w:val="000000" w:themeColor="text1"/>
          <w:szCs w:val="24"/>
          <w:highlight w:val="none"/>
          <w14:textFill>
            <w14:solidFill>
              <w14:schemeClr w14:val="tx1"/>
            </w14:solidFill>
          </w14:textFill>
        </w:rPr>
        <w:t>90.33</w:t>
      </w:r>
      <w:r>
        <w:rPr>
          <w:rFonts w:hint="eastAsia" w:cs="Times New Roman"/>
          <w:bCs/>
          <w:color w:val="000000" w:themeColor="text1"/>
          <w:szCs w:val="24"/>
          <w:highlight w:val="none"/>
          <w14:textFill>
            <w14:solidFill>
              <w14:schemeClr w14:val="tx1"/>
            </w14:solidFill>
          </w14:textFill>
        </w:rPr>
        <w:t>×10</w:t>
      </w:r>
      <w:r>
        <w:rPr>
          <w:rFonts w:hint="eastAsia" w:cs="Times New Roman"/>
          <w:bCs/>
          <w:color w:val="000000" w:themeColor="text1"/>
          <w:szCs w:val="24"/>
          <w:highlight w:val="none"/>
          <w:vertAlign w:val="superscript"/>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，剩余</w:t>
      </w:r>
      <w:r>
        <w:rPr>
          <w:rFonts w:cs="Times New Roman"/>
          <w:bCs/>
          <w:color w:val="000000" w:themeColor="text1"/>
          <w:szCs w:val="24"/>
          <w:highlight w:val="none"/>
          <w14:textFill>
            <w14:solidFill>
              <w14:schemeClr w14:val="tx1"/>
            </w14:solidFill>
          </w14:textFill>
        </w:rPr>
        <w:t>100.6</w:t>
      </w:r>
      <w:r>
        <w:rPr>
          <w:rFonts w:hint="eastAsia" w:cs="Times New Roman"/>
          <w:bCs/>
          <w:color w:val="000000" w:themeColor="text1"/>
          <w:szCs w:val="24"/>
          <w:highlight w:val="none"/>
          <w14:textFill>
            <w14:solidFill>
              <w14:schemeClr w14:val="tx1"/>
            </w14:solidFill>
          </w14:textFill>
        </w:rPr>
        <w:t>7×10</w:t>
      </w:r>
      <w:r>
        <w:rPr>
          <w:rFonts w:hint="eastAsia" w:cs="Times New Roman"/>
          <w:bCs/>
          <w:color w:val="000000" w:themeColor="text1"/>
          <w:szCs w:val="24"/>
          <w:highlight w:val="none"/>
          <w:vertAlign w:val="superscript"/>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施工期</w:t>
      </w:r>
      <w:r>
        <w:rPr>
          <w:rFonts w:cs="Times New Roman"/>
          <w:bCs/>
          <w:color w:val="000000" w:themeColor="text1"/>
          <w:szCs w:val="24"/>
          <w:highlight w:val="none"/>
          <w14:textFill>
            <w14:solidFill>
              <w14:schemeClr w14:val="tx1"/>
            </w14:solidFill>
          </w14:textFill>
        </w:rPr>
        <w:t>未能回用的作业废水</w:t>
      </w:r>
      <w:r>
        <w:rPr>
          <w:rFonts w:hint="eastAsia" w:cs="Times New Roman"/>
          <w:bCs/>
          <w:color w:val="000000" w:themeColor="text1"/>
          <w:szCs w:val="24"/>
          <w:highlight w:val="none"/>
          <w14:textFill>
            <w14:solidFill>
              <w14:schemeClr w14:val="tx1"/>
            </w14:solidFill>
          </w14:textFill>
        </w:rPr>
        <w:t>施工</w:t>
      </w:r>
      <w:r>
        <w:rPr>
          <w:rFonts w:cs="Times New Roman"/>
          <w:bCs/>
          <w:color w:val="000000" w:themeColor="text1"/>
          <w:szCs w:val="24"/>
          <w:highlight w:val="none"/>
          <w14:textFill>
            <w14:solidFill>
              <w14:schemeClr w14:val="tx1"/>
            </w14:solidFill>
          </w14:textFill>
        </w:rPr>
        <w:t>期日运输量不超过50m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/d，试采期日产水量约为</w:t>
      </w:r>
      <w:r>
        <w:rPr>
          <w:rFonts w:hint="eastAsia" w:cs="Times New Roman"/>
          <w:bCs/>
          <w:color w:val="000000" w:themeColor="text1"/>
          <w:szCs w:val="24"/>
          <w:highlight w:val="none"/>
          <w14:textFill>
            <w14:solidFill>
              <w14:schemeClr w14:val="tx1"/>
            </w14:solidFill>
          </w14:textFill>
        </w:rPr>
        <w:t>25</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初期50</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/d，将随着开采逐渐减少）</w:t>
      </w:r>
      <w:r>
        <w:rPr>
          <w:rFonts w:hint="eastAsia" w:cs="Times New Roman"/>
          <w:bCs/>
          <w:color w:val="000000" w:themeColor="text1"/>
          <w:szCs w:val="24"/>
          <w:highlight w:val="none"/>
          <w14:textFill>
            <w14:solidFill>
              <w14:schemeClr w14:val="tx1"/>
            </w14:solidFill>
          </w14:textFill>
        </w:rPr>
        <w:t>。本项目废水和其他项目废水在赵家坝污水处理站后，根据普光3井回注站实际剩余回注能力进行整体调配，其他项目废水进入普光3井回注站回注的废水预计控制在12</w:t>
      </w:r>
      <w:r>
        <w:rPr>
          <w:rFonts w:cs="Times New Roman"/>
          <w:bCs/>
          <w:color w:val="000000" w:themeColor="text1"/>
          <w:szCs w:val="24"/>
          <w:highlight w:val="none"/>
          <w14:textFill>
            <w14:solidFill>
              <w14:schemeClr w14:val="tx1"/>
            </w14:solidFill>
          </w14:textFill>
        </w:rPr>
        <w:t>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左右</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因此本项目废水能进入普光3井回注站回注，不外排，确保本项目废水最终得到有效处置。普光3井已稳定运行多年，地下空间结构稳定，运行期间未检测到地下空间发生结构变化，剩余总回注量远大于本项目试采废水产生量，剩余储集空间较大，满足回注要求</w:t>
      </w:r>
      <w:r>
        <w:rPr>
          <w:rFonts w:cs="Times New Roman"/>
          <w:bCs/>
          <w:color w:val="000000" w:themeColor="text1"/>
          <w:szCs w:val="24"/>
          <w:highlight w:val="none"/>
          <w14:textFill>
            <w14:solidFill>
              <w14:schemeClr w14:val="tx1"/>
            </w14:solidFill>
          </w14:textFill>
        </w:rPr>
        <w:t>。</w:t>
      </w:r>
    </w:p>
    <w:p>
      <w:pPr>
        <w:pStyle w:val="252"/>
        <w:ind w:firstLine="480"/>
        <w:rPr>
          <w:color w:val="000000" w:themeColor="text1"/>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本项目大湾408-3井场</w:t>
      </w:r>
      <w:r>
        <w:rPr>
          <w:rFonts w:hint="eastAsia"/>
          <w:color w:val="000000" w:themeColor="text1"/>
          <w:highlight w:val="none"/>
          <w14:textFill>
            <w14:solidFill>
              <w14:schemeClr w14:val="tx1"/>
            </w14:solidFill>
          </w14:textFill>
        </w:rPr>
        <w:t>试采站</w:t>
      </w:r>
      <w:r>
        <w:rPr>
          <w:bCs/>
          <w:color w:val="000000" w:themeColor="text1"/>
          <w:szCs w:val="24"/>
          <w:highlight w:val="none"/>
          <w14:textFill>
            <w14:solidFill>
              <w14:schemeClr w14:val="tx1"/>
            </w14:solidFill>
          </w14:textFill>
        </w:rPr>
        <w:t>内</w:t>
      </w:r>
      <w:r>
        <w:rPr>
          <w:rFonts w:hint="eastAsia"/>
          <w:bCs/>
          <w:color w:val="000000" w:themeColor="text1"/>
          <w:szCs w:val="24"/>
          <w:highlight w:val="none"/>
          <w14:textFill>
            <w14:solidFill>
              <w14:schemeClr w14:val="tx1"/>
            </w14:solidFill>
          </w14:textFill>
        </w:rPr>
        <w:t>1口</w:t>
      </w:r>
      <w:r>
        <w:rPr>
          <w:bCs/>
          <w:color w:val="000000" w:themeColor="text1"/>
          <w:szCs w:val="24"/>
          <w:highlight w:val="none"/>
          <w14:textFill>
            <w14:solidFill>
              <w14:schemeClr w14:val="tx1"/>
            </w14:solidFill>
          </w14:textFill>
        </w:rPr>
        <w:t>井建成后所采天然气脱水分离产生的</w:t>
      </w:r>
      <w:r>
        <w:rPr>
          <w:rFonts w:hint="eastAsia"/>
          <w:bCs/>
          <w:color w:val="000000" w:themeColor="text1"/>
          <w:szCs w:val="24"/>
          <w:highlight w:val="none"/>
          <w14:textFill>
            <w14:solidFill>
              <w14:schemeClr w14:val="tx1"/>
            </w14:solidFill>
          </w14:textFill>
        </w:rPr>
        <w:t>采出水外输</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内缓冲罐暂存</w:t>
      </w:r>
      <w:r>
        <w:rPr>
          <w:bCs/>
          <w:color w:val="000000" w:themeColor="text1"/>
          <w:szCs w:val="24"/>
          <w:highlight w:val="none"/>
          <w14:textFill>
            <w14:solidFill>
              <w14:schemeClr w14:val="tx1"/>
            </w14:solidFill>
          </w14:textFill>
        </w:rPr>
        <w:t>，然后通过密闭罐车拉运至</w:t>
      </w:r>
      <w:r>
        <w:rPr>
          <w:rFonts w:hint="eastAsia"/>
          <w:bCs/>
          <w:color w:val="000000" w:themeColor="text1"/>
          <w:szCs w:val="24"/>
          <w:highlight w:val="none"/>
          <w14:textFill>
            <w14:solidFill>
              <w14:schemeClr w14:val="tx1"/>
            </w14:solidFill>
          </w14:textFill>
        </w:rPr>
        <w:t>赵家坝污水处理站</w:t>
      </w:r>
      <w:r>
        <w:rPr>
          <w:bCs/>
          <w:color w:val="000000" w:themeColor="text1"/>
          <w:szCs w:val="24"/>
          <w:highlight w:val="none"/>
          <w14:textFill>
            <w14:solidFill>
              <w14:schemeClr w14:val="tx1"/>
            </w14:solidFill>
          </w14:textFill>
        </w:rPr>
        <w:t>达到《</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6596-2016）中注入水基本要求后管输至</w:t>
      </w:r>
      <w:r>
        <w:rPr>
          <w:rFonts w:hint="eastAsia"/>
          <w:bCs/>
          <w:color w:val="000000" w:themeColor="text1"/>
          <w:szCs w:val="24"/>
          <w:highlight w:val="none"/>
          <w14:textFill>
            <w14:solidFill>
              <w14:schemeClr w14:val="tx1"/>
            </w14:solidFill>
          </w14:textFill>
        </w:rPr>
        <w:t>普光3井回注站</w:t>
      </w:r>
      <w:r>
        <w:rPr>
          <w:bCs/>
          <w:color w:val="000000" w:themeColor="text1"/>
          <w:szCs w:val="24"/>
          <w:highlight w:val="none"/>
          <w14:textFill>
            <w14:solidFill>
              <w14:schemeClr w14:val="tx1"/>
            </w14:solidFill>
          </w14:textFill>
        </w:rPr>
        <w:t>回注处理，不外排，能得到妥善处置，因此本</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处置模式有效可行</w:t>
      </w:r>
      <w:r>
        <w:rPr>
          <w:color w:val="000000" w:themeColor="text1"/>
          <w:highlight w:val="none"/>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128" w:name="_Toc25455"/>
      <w:r>
        <w:rPr>
          <w:color w:val="000000" w:themeColor="text1"/>
          <w:highlight w:val="none"/>
          <w:lang w:eastAsia="zh-CN"/>
          <w14:textFill>
            <w14:solidFill>
              <w14:schemeClr w14:val="tx1"/>
            </w14:solidFill>
          </w14:textFill>
        </w:rPr>
        <w:t>项目概况</w:t>
      </w:r>
      <w:bookmarkEnd w:id="128"/>
    </w:p>
    <w:p>
      <w:pPr>
        <w:pStyle w:val="4"/>
        <w:spacing w:before="0" w:beforeLines="0"/>
        <w:ind w:firstLine="480"/>
        <w:rPr>
          <w:b/>
          <w:color w:val="000000" w:themeColor="text1"/>
          <w:highlight w:val="none"/>
          <w:lang w:eastAsia="zh-CN"/>
          <w14:textFill>
            <w14:solidFill>
              <w14:schemeClr w14:val="tx1"/>
            </w14:solidFill>
          </w14:textFill>
        </w:rPr>
      </w:pPr>
      <w:bookmarkStart w:id="129" w:name="_Toc120173099"/>
      <w:r>
        <w:rPr>
          <w:color w:val="000000" w:themeColor="text1"/>
          <w:highlight w:val="none"/>
          <w:lang w:eastAsia="zh-CN"/>
          <w14:textFill>
            <w14:solidFill>
              <w14:schemeClr w14:val="tx1"/>
            </w14:solidFill>
          </w14:textFill>
        </w:rPr>
        <w:t>建设项目基本情况</w:t>
      </w:r>
      <w:bookmarkEnd w:id="129"/>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项目名称：</w:t>
      </w:r>
      <w:r>
        <w:rPr>
          <w:rFonts w:hint="eastAsia" w:cs="Times New Roman"/>
          <w:bCs/>
          <w:color w:val="000000" w:themeColor="text1"/>
          <w:szCs w:val="24"/>
          <w:highlight w:val="none"/>
          <w14:textFill>
            <w14:solidFill>
              <w14:schemeClr w14:val="tx1"/>
            </w14:solidFill>
          </w14:textFill>
        </w:rPr>
        <w:t>大湾408-3井钻井及试采工程</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建设单位：中国石油化工股份有限公司中原油田普光分公司；</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建设性质：</w:t>
      </w:r>
      <w:r>
        <w:rPr>
          <w:rFonts w:hint="eastAsia" w:cs="Times New Roman"/>
          <w:bCs/>
          <w:color w:val="000000" w:themeColor="text1"/>
          <w:szCs w:val="24"/>
          <w:highlight w:val="none"/>
          <w14:textFill>
            <w14:solidFill>
              <w14:schemeClr w14:val="tx1"/>
            </w14:solidFill>
          </w14:textFill>
        </w:rPr>
        <w:t>新</w:t>
      </w:r>
      <w:r>
        <w:rPr>
          <w:rFonts w:cs="Times New Roman"/>
          <w:bCs/>
          <w:color w:val="000000" w:themeColor="text1"/>
          <w:szCs w:val="24"/>
          <w:highlight w:val="none"/>
          <w14:textFill>
            <w14:solidFill>
              <w14:schemeClr w14:val="tx1"/>
            </w14:solidFill>
          </w14:textFill>
        </w:rPr>
        <w:t>建；</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建设地点：</w:t>
      </w:r>
      <w:r>
        <w:rPr>
          <w:rFonts w:hint="eastAsia" w:cs="Times New Roman"/>
          <w:bCs/>
          <w:color w:val="000000" w:themeColor="text1"/>
          <w:szCs w:val="24"/>
          <w:highlight w:val="none"/>
          <w14:textFill>
            <w14:solidFill>
              <w14:schemeClr w14:val="tx1"/>
            </w14:solidFill>
          </w14:textFill>
        </w:rPr>
        <w:t>宣汉县</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建设规模：项目投产后</w:t>
      </w:r>
      <w:r>
        <w:rPr>
          <w:rFonts w:hint="eastAsia"/>
          <w:color w:val="000000" w:themeColor="text1"/>
          <w:szCs w:val="24"/>
          <w:highlight w:val="none"/>
          <w14:textFill>
            <w14:solidFill>
              <w14:schemeClr w14:val="tx1"/>
            </w14:solidFill>
          </w14:textFill>
        </w:rPr>
        <w:t>大湾408-3井场</w:t>
      </w:r>
      <w:r>
        <w:rPr>
          <w:rFonts w:ascii="宋体" w:hAnsi="宋体"/>
          <w:color w:val="000000" w:themeColor="text1"/>
          <w:szCs w:val="24"/>
          <w:highlight w:val="none"/>
          <w14:textFill>
            <w14:solidFill>
              <w14:schemeClr w14:val="tx1"/>
            </w14:solidFill>
          </w14:textFill>
        </w:rPr>
        <w:t>配产</w:t>
      </w:r>
      <w:r>
        <w:rPr>
          <w:rFonts w:hint="eastAsia"/>
          <w:color w:val="000000" w:themeColor="text1"/>
          <w:szCs w:val="24"/>
          <w:highlight w:val="none"/>
          <w14:textFill>
            <w14:solidFill>
              <w14:schemeClr w14:val="tx1"/>
            </w14:solidFill>
          </w14:textFill>
        </w:rPr>
        <w:t>15</w:t>
      </w:r>
      <w:r>
        <w:rPr>
          <w:rFonts w:ascii="宋体" w:hAnsi="宋体"/>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10</w:t>
      </w:r>
      <w:r>
        <w:rPr>
          <w:color w:val="000000" w:themeColor="text1"/>
          <w:szCs w:val="24"/>
          <w:highlight w:val="none"/>
          <w:vertAlign w:val="superscript"/>
          <w14:textFill>
            <w14:solidFill>
              <w14:schemeClr w14:val="tx1"/>
            </w14:solidFill>
          </w14:textFill>
        </w:rPr>
        <w:t>4</w:t>
      </w:r>
      <w:r>
        <w:rPr>
          <w:color w:val="000000" w:themeColor="text1"/>
          <w:szCs w:val="24"/>
          <w:highlight w:val="none"/>
          <w14:textFill>
            <w14:solidFill>
              <w14:schemeClr w14:val="tx1"/>
            </w14:solidFill>
          </w14:textFill>
        </w:rPr>
        <w:t>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/d</w:t>
      </w:r>
      <w:r>
        <w:rPr>
          <w:rFonts w:cs="Times New Roman"/>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项目投资：</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万元</w:t>
      </w:r>
      <w:r>
        <w:rPr>
          <w:rFonts w:cs="Times New Roman"/>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构造位置：</w:t>
      </w:r>
      <w:r>
        <w:rPr>
          <w:rFonts w:hint="eastAsia" w:cs="Times New Roman"/>
          <w:color w:val="000000" w:themeColor="text1"/>
          <w:szCs w:val="24"/>
          <w:highlight w:val="none"/>
          <w14:textFill>
            <w14:solidFill>
              <w14:schemeClr w14:val="tx1"/>
            </w14:solidFill>
          </w14:textFill>
        </w:rPr>
        <w:t>四川盆地川东断褶带东北部毛坝场－双庙场构造带的东北部</w:t>
      </w:r>
      <w:r>
        <w:rPr>
          <w:rFonts w:cs="Times New Roman"/>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井型：</w:t>
      </w:r>
      <w:r>
        <w:rPr>
          <w:rFonts w:hint="eastAsia" w:cs="Times New Roman"/>
          <w:color w:val="000000" w:themeColor="text1"/>
          <w:szCs w:val="24"/>
          <w:highlight w:val="none"/>
          <w14:textFill>
            <w14:solidFill>
              <w14:schemeClr w14:val="tx1"/>
            </w14:solidFill>
          </w14:textFill>
        </w:rPr>
        <w:t>定向井</w:t>
      </w:r>
      <w:r>
        <w:rPr>
          <w:rFonts w:cs="Times New Roman"/>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目的层位：</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bookmarkStart w:id="130" w:name="_Hlk97284111"/>
      <w:r>
        <w:rPr>
          <w:rFonts w:cs="Times New Roman"/>
          <w:color w:val="000000" w:themeColor="text1"/>
          <w:szCs w:val="24"/>
          <w:highlight w:val="none"/>
          <w14:textFill>
            <w14:solidFill>
              <w14:schemeClr w14:val="tx1"/>
            </w14:solidFill>
          </w14:textFill>
        </w:rPr>
        <w:t>完钻层</w:t>
      </w:r>
      <w:bookmarkEnd w:id="130"/>
      <w:r>
        <w:rPr>
          <w:rFonts w:cs="Times New Roman"/>
          <w:color w:val="000000" w:themeColor="text1"/>
          <w:szCs w:val="24"/>
          <w:highlight w:val="none"/>
          <w14:textFill>
            <w14:solidFill>
              <w14:schemeClr w14:val="tx1"/>
            </w14:solidFill>
          </w14:textFill>
        </w:rPr>
        <w:t>位：</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w:t>
      </w:r>
    </w:p>
    <w:p>
      <w:pPr>
        <w:tabs>
          <w:tab w:val="left" w:pos="0"/>
        </w:tabs>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完井方式：套管完井；</w:t>
      </w:r>
    </w:p>
    <w:p>
      <w:pPr>
        <w:ind w:firstLine="480"/>
        <w:rPr>
          <w:rFonts w:cs="Times New Roman"/>
          <w:b/>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项目基本情况：建设内容包括施工期钻前工程、钻井工程及</w:t>
      </w:r>
      <w:r>
        <w:rPr>
          <w:rFonts w:hint="eastAsia" w:cs="Times New Roman"/>
          <w:color w:val="000000" w:themeColor="text1"/>
          <w:szCs w:val="24"/>
          <w:highlight w:val="none"/>
          <w14:textFill>
            <w14:solidFill>
              <w14:schemeClr w14:val="tx1"/>
            </w14:solidFill>
          </w14:textFill>
        </w:rPr>
        <w:t>储层改造</w:t>
      </w:r>
      <w:r>
        <w:rPr>
          <w:rFonts w:cs="Times New Roman"/>
          <w:color w:val="000000" w:themeColor="text1"/>
          <w:szCs w:val="24"/>
          <w:highlight w:val="none"/>
          <w14:textFill>
            <w14:solidFill>
              <w14:schemeClr w14:val="tx1"/>
            </w14:solidFill>
          </w14:textFill>
        </w:rPr>
        <w:t>工程和试采期试采工程。具体建设内容为：</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（1）钻前工程</w:t>
      </w:r>
    </w:p>
    <w:p>
      <w:pPr>
        <w:pStyle w:val="12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新建井场1座，配套建设方井、放喷池各1座，利旧清水池、放喷池各1座，并新建井架、泥浆泵、发电机房、循环罐、储备罐等设备基础各1套，同时建设井场配套设施、边坡支护工程等</w:t>
      </w:r>
      <w:r>
        <w:rPr>
          <w:color w:val="000000" w:themeColor="text1"/>
          <w:highlight w:val="none"/>
          <w14:textFill>
            <w14:solidFill>
              <w14:schemeClr w14:val="tx1"/>
            </w14:solidFill>
          </w14:textFill>
        </w:rPr>
        <w:t>。</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（2）钻井工程</w:t>
      </w:r>
    </w:p>
    <w:p>
      <w:pPr>
        <w:widowControl/>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新钻井1口（大湾408-3井），设计井型为定向井，井深</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米，水平位移</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米，造斜点</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米，进尺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 xml:space="preserve"> 米。采用导管+三开井身结构：导管</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毫米下深50米；一开钻至井深</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米，下</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毫米套管；二开钻至井深3267米，下入</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毫米套管至</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以下50米中完，</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盐膏层及其上下50米采用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毫米外加厚套管；三开采用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毫米钻头钻至</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米，换</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毫米钻头钻至设计完钻井深，下入</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毫米套管至</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米，</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盐膏层及其上下50米采用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 xml:space="preserve">毫米外加厚套管。 </w:t>
      </w:r>
    </w:p>
    <w:p>
      <w:pPr>
        <w:pStyle w:val="12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泥浆体系：导管采用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，一开采用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钻井液体系，二开采用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，三开采用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钻井液（若三开钻遇特地层，则采用油基钻井液）。测录井除常规项目外，进入飞四段地层增加元素录井，完井增加电成像测井。</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（3）</w:t>
      </w:r>
      <w:r>
        <w:rPr>
          <w:rFonts w:hint="eastAsia" w:cs="Times New Roman"/>
          <w:color w:val="000000" w:themeColor="text1"/>
          <w:szCs w:val="24"/>
          <w:highlight w:val="none"/>
          <w14:textFill>
            <w14:solidFill>
              <w14:schemeClr w14:val="tx1"/>
            </w14:solidFill>
          </w14:textFill>
        </w:rPr>
        <w:t>储层改造</w:t>
      </w:r>
      <w:r>
        <w:rPr>
          <w:rFonts w:cs="Times New Roman"/>
          <w:color w:val="000000" w:themeColor="text1"/>
          <w:szCs w:val="24"/>
          <w:highlight w:val="none"/>
          <w14:textFill>
            <w14:solidFill>
              <w14:schemeClr w14:val="tx1"/>
            </w14:solidFill>
          </w14:textFill>
        </w:rPr>
        <w:t>工程</w:t>
      </w:r>
    </w:p>
    <w:p>
      <w:pPr>
        <w:pStyle w:val="125"/>
        <w:rPr>
          <w:color w:val="000000" w:themeColor="text1"/>
          <w:kern w:val="0"/>
          <w:szCs w:val="22"/>
          <w:highlight w:val="none"/>
          <w14:textFill>
            <w14:solidFill>
              <w14:schemeClr w14:val="tx1"/>
            </w14:solidFill>
          </w14:textFill>
        </w:rPr>
      </w:pPr>
      <w:r>
        <w:rPr>
          <w:rFonts w:hint="eastAsia"/>
          <w:color w:val="000000" w:themeColor="text1"/>
          <w:highlight w:val="none"/>
          <w14:textFill>
            <w14:solidFill>
              <w14:schemeClr w14:val="tx1"/>
            </w14:solidFill>
          </w14:textFill>
        </w:rPr>
        <w:t>采用“钻采一体化”投产模式，分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一体化完井管柱两趟下入。施工排量为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/分钟，预测井口最高压力为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帕，分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，总液量为1250方。全井采用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毫米油管，悬挂封隔器以上采用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油管，</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质完井工具；悬挂封隔器及以下采用110SS材质油管和完井工具。采用HH级</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帕采气井口，配套</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帕地面控制系统</w:t>
      </w:r>
      <w:r>
        <w:rPr>
          <w:color w:val="000000" w:themeColor="text1"/>
          <w:kern w:val="0"/>
          <w:szCs w:val="22"/>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（4）</w:t>
      </w:r>
      <w:r>
        <w:rPr>
          <w:rFonts w:hint="eastAsia" w:cs="Times New Roman"/>
          <w:color w:val="000000" w:themeColor="text1"/>
          <w:highlight w:val="none"/>
          <w14:textFill>
            <w14:solidFill>
              <w14:schemeClr w14:val="tx1"/>
            </w14:solidFill>
          </w14:textFill>
        </w:rPr>
        <w:t>油气集输工程</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w:t>
      </w:r>
      <w:r>
        <w:rPr>
          <w:rFonts w:cs="Times New Roman"/>
          <w:color w:val="000000" w:themeColor="text1"/>
          <w:szCs w:val="24"/>
          <w:highlight w:val="none"/>
          <w14:textFill>
            <w14:solidFill>
              <w14:schemeClr w14:val="tx1"/>
            </w14:solidFill>
          </w14:textFill>
        </w:rPr>
        <w:t>完毕后，通过测试并获得天然气产量后，</w:t>
      </w:r>
      <w:r>
        <w:rPr>
          <w:rFonts w:hint="eastAsia" w:cs="Times New Roman"/>
          <w:color w:val="000000" w:themeColor="text1"/>
          <w:szCs w:val="24"/>
          <w:highlight w:val="none"/>
          <w14:textFill>
            <w14:solidFill>
              <w14:schemeClr w14:val="tx1"/>
            </w14:solidFill>
          </w14:textFill>
        </w:rPr>
        <w:t>进行油气集输工程建设，本次</w:t>
      </w:r>
      <w:r>
        <w:rPr>
          <w:rFonts w:hint="eastAsia"/>
          <w:color w:val="000000" w:themeColor="text1"/>
          <w:highlight w:val="none"/>
          <w14:textFill>
            <w14:solidFill>
              <w14:schemeClr w14:val="tx1"/>
            </w14:solidFill>
          </w14:textFill>
        </w:rPr>
        <w:t>新建大湾408-3采气井场，采用湿气混输工艺，井口来气经采气树一级节流后就近接入大湾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，依托大湾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内加热节流、计量分离后，依托其建设的</w:t>
      </w:r>
      <w:r>
        <w:rPr>
          <w:color w:val="000000" w:themeColor="text1"/>
          <w:highlight w:val="none"/>
          <w14:textFill>
            <w14:solidFill>
              <w14:schemeClr w14:val="tx1"/>
            </w14:solidFill>
          </w14:textFill>
        </w:rPr>
        <w:t>酸气管道</w:t>
      </w:r>
      <w:r>
        <w:rPr>
          <w:rFonts w:hint="eastAsia"/>
          <w:color w:val="000000" w:themeColor="text1"/>
          <w:highlight w:val="none"/>
          <w14:textFill>
            <w14:solidFill>
              <w14:schemeClr w14:val="tx1"/>
            </w14:solidFill>
          </w14:textFill>
        </w:rPr>
        <w:t>实现外输，最终</w:t>
      </w:r>
      <w:r>
        <w:rPr>
          <w:color w:val="000000" w:themeColor="text1"/>
          <w:highlight w:val="none"/>
          <w14:textFill>
            <w14:solidFill>
              <w14:schemeClr w14:val="tx1"/>
            </w14:solidFill>
          </w14:textFill>
        </w:rPr>
        <w:t>通过</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#线输至净化厂处理</w:t>
      </w:r>
      <w:r>
        <w:rPr>
          <w:rFonts w:cs="Times New Roman"/>
          <w:color w:val="000000" w:themeColor="text1"/>
          <w:kern w:val="0"/>
          <w:highlight w:val="none"/>
          <w14:textFill>
            <w14:solidFill>
              <w14:schemeClr w14:val="tx1"/>
            </w14:solidFill>
          </w14:textFill>
        </w:rPr>
        <w:t>。</w:t>
      </w:r>
      <w:r>
        <w:rPr>
          <w:color w:val="000000" w:themeColor="text1"/>
          <w:highlight w:val="none"/>
          <w14:textFill>
            <w14:solidFill>
              <w14:schemeClr w14:val="tx1"/>
            </w14:solidFill>
          </w14:textFill>
        </w:rPr>
        <w:t>分离器</w:t>
      </w:r>
      <w:r>
        <w:rPr>
          <w:rFonts w:hint="eastAsia"/>
          <w:color w:val="000000" w:themeColor="text1"/>
          <w:highlight w:val="none"/>
          <w14:textFill>
            <w14:solidFill>
              <w14:schemeClr w14:val="tx1"/>
            </w14:solidFill>
          </w14:textFill>
        </w:rPr>
        <w:t>产出的</w:t>
      </w:r>
      <w:r>
        <w:rPr>
          <w:color w:val="000000" w:themeColor="text1"/>
          <w:highlight w:val="none"/>
          <w14:textFill>
            <w14:solidFill>
              <w14:schemeClr w14:val="tx1"/>
            </w14:solidFill>
          </w14:textFill>
        </w:rPr>
        <w:t>气田水</w:t>
      </w:r>
      <w:r>
        <w:rPr>
          <w:rFonts w:hint="eastAsia"/>
          <w:color w:val="000000" w:themeColor="text1"/>
          <w:highlight w:val="none"/>
          <w14:textFill>
            <w14:solidFill>
              <w14:schemeClr w14:val="tx1"/>
            </w14:solidFill>
          </w14:textFill>
        </w:rPr>
        <w:t>依托大湾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内</w:t>
      </w:r>
      <w:r>
        <w:rPr>
          <w:rFonts w:hint="eastAsia"/>
          <w:color w:val="000000" w:themeColor="text1"/>
          <w:highlight w:val="none"/>
          <w14:textFill>
            <w14:solidFill>
              <w14:schemeClr w14:val="tx1"/>
            </w14:solidFill>
          </w14:textFill>
        </w:rPr>
        <w:t>已建的</w:t>
      </w:r>
      <w:r>
        <w:rPr>
          <w:color w:val="000000" w:themeColor="text1"/>
          <w:highlight w:val="none"/>
          <w14:textFill>
            <w14:solidFill>
              <w14:schemeClr w14:val="tx1"/>
            </w14:solidFill>
          </w14:textFill>
        </w:rPr>
        <w:t>火炬分液罐</w:t>
      </w:r>
      <w:r>
        <w:rPr>
          <w:rFonts w:hint="eastAsia"/>
          <w:color w:val="000000" w:themeColor="text1"/>
          <w:highlight w:val="none"/>
          <w14:textFill>
            <w14:solidFill>
              <w14:schemeClr w14:val="tx1"/>
            </w14:solidFill>
          </w14:textFill>
        </w:rPr>
        <w:t>暂存</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定期由密闭罐车</w:t>
      </w:r>
      <w:r>
        <w:rPr>
          <w:color w:val="000000" w:themeColor="text1"/>
          <w:highlight w:val="none"/>
          <w14:textFill>
            <w14:solidFill>
              <w14:schemeClr w14:val="tx1"/>
            </w14:solidFill>
          </w14:textFill>
        </w:rPr>
        <w:t>统一拉运至赵家坝污水处理站。</w:t>
      </w:r>
      <w:r>
        <w:rPr>
          <w:rFonts w:hint="eastAsia" w:cs="Times New Roman"/>
          <w:color w:val="000000" w:themeColor="text1"/>
          <w:kern w:val="0"/>
          <w:highlight w:val="none"/>
          <w14:textFill>
            <w14:solidFill>
              <w14:schemeClr w14:val="tx1"/>
            </w14:solidFill>
          </w14:textFill>
        </w:rPr>
        <w:t>本次</w:t>
      </w:r>
      <w:r>
        <w:rPr>
          <w:rFonts w:hint="eastAsia"/>
          <w:color w:val="000000" w:themeColor="text1"/>
          <w:highlight w:val="none"/>
          <w14:textFill>
            <w14:solidFill>
              <w14:schemeClr w14:val="tx1"/>
            </w14:solidFill>
          </w14:textFill>
        </w:rPr>
        <w:t>新建采气管道200米，并配套电力、通信、自控等设施。</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项目投产后，总配产15万立方米</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天，试采期为2年。</w:t>
      </w:r>
    </w:p>
    <w:p>
      <w:pPr>
        <w:pStyle w:val="4"/>
        <w:spacing w:before="120"/>
        <w:ind w:firstLine="480"/>
        <w:rPr>
          <w:b/>
          <w:color w:val="000000" w:themeColor="text1"/>
          <w:highlight w:val="none"/>
          <w:lang w:eastAsia="zh-CN"/>
          <w14:textFill>
            <w14:solidFill>
              <w14:schemeClr w14:val="tx1"/>
            </w14:solidFill>
          </w14:textFill>
        </w:rPr>
      </w:pPr>
      <w:bookmarkStart w:id="131" w:name="_Toc120173100"/>
      <w:r>
        <w:rPr>
          <w:color w:val="000000" w:themeColor="text1"/>
          <w:highlight w:val="none"/>
          <w:lang w:eastAsia="zh-CN"/>
          <w14:textFill>
            <w14:solidFill>
              <w14:schemeClr w14:val="tx1"/>
            </w14:solidFill>
          </w14:textFill>
        </w:rPr>
        <w:t>气藏地质特征</w:t>
      </w:r>
      <w:bookmarkEnd w:id="131"/>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气藏地质概况</w:t>
      </w:r>
    </w:p>
    <w:p>
      <w:pPr>
        <w:spacing w:line="440" w:lineRule="exact"/>
        <w:ind w:firstLine="480"/>
        <w:rPr>
          <w:rFonts w:cs="Times New Roman"/>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地层特征</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w:t>
      </w: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p>
    <w:p>
      <w:pPr>
        <w:spacing w:line="240" w:lineRule="auto"/>
        <w:ind w:firstLine="420"/>
        <w:jc w:val="center"/>
        <w:rPr>
          <w:rFonts w:eastAsia="黑体" w:cs="Times New Roman"/>
          <w:color w:val="000000" w:themeColor="text1"/>
          <w:sz w:val="21"/>
          <w:szCs w:val="24"/>
          <w:highlight w:val="none"/>
          <w14:textFill>
            <w14:solidFill>
              <w14:schemeClr w14:val="tx1"/>
            </w14:solidFill>
          </w14:textFill>
        </w:rPr>
      </w:pPr>
      <w:r>
        <w:rPr>
          <w:rFonts w:eastAsia="黑体" w:cs="Times New Roman"/>
          <w:color w:val="000000" w:themeColor="text1"/>
          <w:sz w:val="21"/>
          <w:szCs w:val="24"/>
          <w:highlight w:val="none"/>
          <w14:textFill>
            <w14:solidFill>
              <w14:schemeClr w14:val="tx1"/>
            </w14:solidFill>
          </w14:textFill>
        </w:rPr>
        <w:t>表</w:t>
      </w:r>
      <w:r>
        <w:rPr>
          <w:rFonts w:hint="eastAsia" w:eastAsia="黑体" w:cs="Times New Roman"/>
          <w:color w:val="000000" w:themeColor="text1"/>
          <w:sz w:val="21"/>
          <w:szCs w:val="24"/>
          <w:highlight w:val="none"/>
          <w14:textFill>
            <w14:solidFill>
              <w14:schemeClr w14:val="tx1"/>
            </w14:solidFill>
          </w14:textFill>
        </w:rPr>
        <w:t>3</w:t>
      </w:r>
      <w:r>
        <w:rPr>
          <w:rFonts w:eastAsia="黑体" w:cs="Times New Roman"/>
          <w:color w:val="000000" w:themeColor="text1"/>
          <w:sz w:val="21"/>
          <w:szCs w:val="24"/>
          <w:highlight w:val="none"/>
          <w14:textFill>
            <w14:solidFill>
              <w14:schemeClr w14:val="tx1"/>
            </w14:solidFill>
          </w14:textFill>
        </w:rPr>
        <w:t>-</w:t>
      </w:r>
      <w:r>
        <w:rPr>
          <w:rFonts w:hint="eastAsia" w:eastAsia="黑体" w:cs="Times New Roman"/>
          <w:color w:val="000000" w:themeColor="text1"/>
          <w:sz w:val="21"/>
          <w:szCs w:val="24"/>
          <w:highlight w:val="none"/>
          <w14:textFill>
            <w14:solidFill>
              <w14:schemeClr w14:val="tx1"/>
            </w14:solidFill>
          </w14:textFill>
        </w:rPr>
        <w:t>2</w:t>
      </w:r>
      <w:r>
        <w:rPr>
          <w:rFonts w:eastAsia="黑体" w:cs="Times New Roman"/>
          <w:color w:val="000000" w:themeColor="text1"/>
          <w:sz w:val="21"/>
          <w:szCs w:val="24"/>
          <w:highlight w:val="none"/>
          <w14:textFill>
            <w14:solidFill>
              <w14:schemeClr w14:val="tx1"/>
            </w14:solidFill>
          </w14:textFill>
        </w:rPr>
        <w:t xml:space="preserve">-1 </w:t>
      </w:r>
      <w:r>
        <w:rPr>
          <w:rFonts w:hint="eastAsia" w:eastAsia="黑体" w:cs="Times New Roman"/>
          <w:color w:val="000000" w:themeColor="text1"/>
          <w:sz w:val="21"/>
          <w:szCs w:val="24"/>
          <w:highlight w:val="none"/>
          <w14:textFill>
            <w14:solidFill>
              <w14:schemeClr w14:val="tx1"/>
            </w14:solidFill>
          </w14:textFill>
        </w:rPr>
        <w:t>川东北普光地区区域地层简表</w:t>
      </w:r>
    </w:p>
    <w:p>
      <w:pPr>
        <w:tabs>
          <w:tab w:val="left" w:pos="0"/>
        </w:tabs>
        <w:ind w:firstLine="0" w:firstLineChars="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气藏构造特征</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井身结构</w:t>
      </w:r>
    </w:p>
    <w:p>
      <w:pPr>
        <w:tabs>
          <w:tab w:val="left" w:pos="0"/>
        </w:tabs>
        <w:ind w:firstLine="480"/>
        <w:rPr>
          <w:rFonts w:eastAsia="黑体" w:cs="Times New Roman"/>
          <w:color w:val="000000" w:themeColor="text1"/>
          <w:szCs w:val="24"/>
          <w:highlight w:val="none"/>
          <w14:textFill>
            <w14:solidFill>
              <w14:schemeClr w14:val="tx1"/>
            </w14:solidFill>
          </w14:textFill>
        </w:rPr>
      </w:pPr>
      <w:r>
        <w:rPr>
          <w:rFonts w:eastAsia="黑体" w:cs="Times New Roman"/>
          <w:color w:val="000000" w:themeColor="text1"/>
          <w:szCs w:val="24"/>
          <w:highlight w:val="none"/>
          <w14:textFill>
            <w14:solidFill>
              <w14:schemeClr w14:val="tx1"/>
            </w14:solidFill>
          </w14:textFill>
        </w:rPr>
        <w:t>1、井身结构设计</w:t>
      </w:r>
    </w:p>
    <w:p>
      <w:pPr>
        <w:pStyle w:val="98"/>
        <w:numPr>
          <w:ilvl w:val="0"/>
          <w:numId w:val="9"/>
        </w:numPr>
        <w:jc w:val="both"/>
        <w:rPr>
          <w:rFonts w:ascii="Times New Roman" w:hAnsi="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w:t>
      </w:r>
      <w:r>
        <w:rPr>
          <w:rFonts w:ascii="Times New Roman" w:hAnsi="Times New Roman"/>
          <w:color w:val="000000" w:themeColor="text1"/>
          <w:sz w:val="24"/>
          <w:szCs w:val="24"/>
          <w:highlight w:val="none"/>
          <w:lang w:eastAsia="zh-CN"/>
          <w14:textFill>
            <w14:solidFill>
              <w14:schemeClr w14:val="tx1"/>
            </w14:solidFill>
          </w14:textFill>
        </w:rPr>
        <w:t>。</w:t>
      </w:r>
    </w:p>
    <w:p>
      <w:pPr>
        <w:tabs>
          <w:tab w:val="left" w:pos="0"/>
        </w:tabs>
        <w:ind w:firstLine="480"/>
        <w:rPr>
          <w:rFonts w:eastAsia="黑体" w:cs="Times New Roman"/>
          <w:color w:val="000000" w:themeColor="text1"/>
          <w:szCs w:val="24"/>
          <w:highlight w:val="none"/>
          <w14:textFill>
            <w14:solidFill>
              <w14:schemeClr w14:val="tx1"/>
            </w14:solidFill>
          </w14:textFill>
        </w:rPr>
      </w:pPr>
      <w:r>
        <w:rPr>
          <w:rFonts w:eastAsia="黑体" w:cs="Times New Roman"/>
          <w:color w:val="000000" w:themeColor="text1"/>
          <w:szCs w:val="24"/>
          <w:highlight w:val="none"/>
          <w14:textFill>
            <w14:solidFill>
              <w14:schemeClr w14:val="tx1"/>
            </w14:solidFill>
          </w14:textFill>
        </w:rPr>
        <w:t>2、井身结构</w:t>
      </w:r>
    </w:p>
    <w:p>
      <w:pPr>
        <w:pStyle w:val="21"/>
        <w:ind w:firstLine="480"/>
        <w:rPr>
          <w:rFonts w:hint="eastAsia"/>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p>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地层产量预测</w:t>
      </w:r>
    </w:p>
    <w:p>
      <w:pPr>
        <w:ind w:firstLine="480"/>
        <w:rPr>
          <w:rFonts w:cs="Times New Roman"/>
          <w:color w:val="000000" w:themeColor="text1"/>
          <w:szCs w:val="24"/>
          <w:highlight w:val="none"/>
          <w14:textFill>
            <w14:solidFill>
              <w14:schemeClr w14:val="tx1"/>
            </w14:solidFill>
          </w14:textFill>
        </w:rPr>
      </w:pPr>
      <w:bookmarkStart w:id="132" w:name="_Hlk142465119"/>
      <w:r>
        <w:rPr>
          <w:rFonts w:ascii="宋体" w:hAnsi="宋体"/>
          <w:color w:val="000000" w:themeColor="text1"/>
          <w:szCs w:val="24"/>
          <w:highlight w:val="none"/>
          <w14:textFill>
            <w14:solidFill>
              <w14:schemeClr w14:val="tx1"/>
            </w14:solidFill>
          </w14:textFill>
        </w:rPr>
        <w:t>根据地质方案，</w:t>
      </w:r>
      <w:r>
        <w:rPr>
          <w:rFonts w:hint="eastAsia"/>
          <w:color w:val="000000" w:themeColor="text1"/>
          <w:szCs w:val="24"/>
          <w:highlight w:val="none"/>
          <w14:textFill>
            <w14:solidFill>
              <w14:schemeClr w14:val="tx1"/>
            </w14:solidFill>
          </w14:textFill>
        </w:rPr>
        <w:t>大湾408-3井场</w:t>
      </w:r>
      <w:r>
        <w:rPr>
          <w:rFonts w:ascii="宋体" w:hAnsi="宋体"/>
          <w:color w:val="000000" w:themeColor="text1"/>
          <w:szCs w:val="24"/>
          <w:highlight w:val="none"/>
          <w14:textFill>
            <w14:solidFill>
              <w14:schemeClr w14:val="tx1"/>
            </w14:solidFill>
          </w14:textFill>
        </w:rPr>
        <w:t>配产日产</w:t>
      </w:r>
      <w:r>
        <w:rPr>
          <w:rFonts w:hint="eastAsia" w:ascii="宋体" w:hAnsi="宋体"/>
          <w:color w:val="000000" w:themeColor="text1"/>
          <w:szCs w:val="24"/>
          <w:highlight w:val="none"/>
          <w14:textFill>
            <w14:solidFill>
              <w14:schemeClr w14:val="tx1"/>
            </w14:solidFill>
          </w14:textFill>
        </w:rPr>
        <w:t>含硫天然气</w:t>
      </w:r>
      <w:r>
        <w:rPr>
          <w:rFonts w:hint="eastAsia"/>
          <w:color w:val="000000" w:themeColor="text1"/>
          <w:szCs w:val="24"/>
          <w:highlight w:val="none"/>
          <w14:textFill>
            <w14:solidFill>
              <w14:schemeClr w14:val="tx1"/>
            </w14:solidFill>
          </w14:textFill>
        </w:rPr>
        <w:t>15</w:t>
      </w:r>
      <w:r>
        <w:rPr>
          <w:rFonts w:ascii="宋体" w:hAnsi="宋体"/>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10</w:t>
      </w:r>
      <w:r>
        <w:rPr>
          <w:color w:val="000000" w:themeColor="text1"/>
          <w:szCs w:val="24"/>
          <w:highlight w:val="none"/>
          <w:vertAlign w:val="superscript"/>
          <w14:textFill>
            <w14:solidFill>
              <w14:schemeClr w14:val="tx1"/>
            </w14:solidFill>
          </w14:textFill>
        </w:rPr>
        <w:t>4</w:t>
      </w:r>
      <w:r>
        <w:rPr>
          <w:color w:val="000000" w:themeColor="text1"/>
          <w:szCs w:val="24"/>
          <w:highlight w:val="none"/>
          <w14:textFill>
            <w14:solidFill>
              <w14:schemeClr w14:val="tx1"/>
            </w14:solidFill>
          </w14:textFill>
        </w:rPr>
        <w:t>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/d</w:t>
      </w:r>
      <w:bookmarkEnd w:id="132"/>
      <w:r>
        <w:rPr>
          <w:rFonts w:cs="Times New Roman"/>
          <w:color w:val="000000" w:themeColor="text1"/>
          <w:szCs w:val="24"/>
          <w:highlight w:val="none"/>
          <w14:textFill>
            <w14:solidFill>
              <w14:schemeClr w14:val="tx1"/>
            </w14:solidFill>
          </w14:textFill>
        </w:rPr>
        <w:t>。</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（1）井口主要参数（预测）</w:t>
      </w:r>
    </w:p>
    <w:p>
      <w:pPr>
        <w:tabs>
          <w:tab w:val="left" w:pos="0"/>
        </w:tabs>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w:t>
      </w:r>
    </w:p>
    <w:p>
      <w:pPr>
        <w:tabs>
          <w:tab w:val="left" w:pos="0"/>
        </w:tabs>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w:t>
      </w:r>
      <w:r>
        <w:rPr>
          <w:rFonts w:hint="eastAsia" w:cs="Times New Roman"/>
          <w:b/>
          <w:bCs/>
          <w:color w:val="000000" w:themeColor="text1"/>
          <w:szCs w:val="24"/>
          <w:highlight w:val="none"/>
          <w14:textFill>
            <w14:solidFill>
              <w14:schemeClr w14:val="tx1"/>
            </w14:solidFill>
          </w14:textFill>
        </w:rPr>
        <w:t>天然气</w:t>
      </w:r>
      <w:r>
        <w:rPr>
          <w:rFonts w:cs="Times New Roman"/>
          <w:b/>
          <w:bCs/>
          <w:color w:val="000000" w:themeColor="text1"/>
          <w:szCs w:val="24"/>
          <w:highlight w:val="none"/>
          <w14:textFill>
            <w14:solidFill>
              <w14:schemeClr w14:val="tx1"/>
            </w14:solidFill>
          </w14:textFill>
        </w:rPr>
        <w:t>组成及物性</w:t>
      </w:r>
    </w:p>
    <w:p>
      <w:pPr>
        <w:tabs>
          <w:tab w:val="left" w:pos="0"/>
        </w:tabs>
        <w:ind w:firstLine="480"/>
        <w:rPr>
          <w:rFonts w:cs="Times New Roman"/>
          <w:color w:val="000000" w:themeColor="text1"/>
          <w:szCs w:val="24"/>
          <w:highlight w:val="none"/>
          <w14:textFill>
            <w14:solidFill>
              <w14:schemeClr w14:val="tx1"/>
            </w14:solidFill>
          </w14:textFill>
        </w:rPr>
      </w:pPr>
      <w:bookmarkStart w:id="133" w:name="_Toc154167754"/>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34" w:name="_Ref142593258"/>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134"/>
      <w:r>
        <w:rPr>
          <w:rFonts w:hint="eastAsia"/>
          <w:color w:val="000000" w:themeColor="text1"/>
          <w:highlight w:val="none"/>
          <w14:textFill>
            <w14:solidFill>
              <w14:schemeClr w14:val="tx1"/>
            </w14:solidFill>
          </w14:textFill>
        </w:rPr>
        <w:t xml:space="preserve">3 </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本项目酸性天然气组分预测</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13"/>
        <w:gridCol w:w="1078"/>
        <w:gridCol w:w="1293"/>
        <w:gridCol w:w="1293"/>
        <w:gridCol w:w="1293"/>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组分</w:t>
            </w:r>
          </w:p>
        </w:tc>
        <w:tc>
          <w:tcPr>
            <w:tcW w:w="642"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CO</w:t>
            </w:r>
            <w:r>
              <w:rPr>
                <w:b/>
                <w:bCs/>
                <w:color w:val="000000" w:themeColor="text1"/>
                <w:highlight w:val="none"/>
                <w:vertAlign w:val="subscript"/>
                <w14:textFill>
                  <w14:solidFill>
                    <w14:schemeClr w14:val="tx1"/>
                  </w14:solidFill>
                </w14:textFill>
              </w:rPr>
              <w:t>2</w:t>
            </w:r>
          </w:p>
        </w:tc>
        <w:tc>
          <w:tcPr>
            <w:tcW w:w="76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H</w:t>
            </w:r>
            <w:r>
              <w:rPr>
                <w:b/>
                <w:bCs/>
                <w:color w:val="000000" w:themeColor="text1"/>
                <w:highlight w:val="none"/>
                <w:vertAlign w:val="subscript"/>
                <w14:textFill>
                  <w14:solidFill>
                    <w14:schemeClr w14:val="tx1"/>
                  </w14:solidFill>
                </w14:textFill>
              </w:rPr>
              <w:t>2</w:t>
            </w:r>
            <w:r>
              <w:rPr>
                <w:b/>
                <w:bCs/>
                <w:color w:val="000000" w:themeColor="text1"/>
                <w:highlight w:val="none"/>
                <w14:textFill>
                  <w14:solidFill>
                    <w14:schemeClr w14:val="tx1"/>
                  </w14:solidFill>
                </w14:textFill>
              </w:rPr>
              <w:t>S</w:t>
            </w:r>
          </w:p>
        </w:tc>
        <w:tc>
          <w:tcPr>
            <w:tcW w:w="76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CH</w:t>
            </w:r>
            <w:r>
              <w:rPr>
                <w:b/>
                <w:bCs/>
                <w:color w:val="000000" w:themeColor="text1"/>
                <w:highlight w:val="none"/>
                <w:vertAlign w:val="subscript"/>
                <w14:textFill>
                  <w14:solidFill>
                    <w14:schemeClr w14:val="tx1"/>
                  </w14:solidFill>
                </w14:textFill>
              </w:rPr>
              <w:t>4</w:t>
            </w:r>
          </w:p>
        </w:tc>
        <w:tc>
          <w:tcPr>
            <w:tcW w:w="76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w:t>
            </w:r>
            <w:r>
              <w:rPr>
                <w:b/>
                <w:bCs/>
                <w:color w:val="000000" w:themeColor="text1"/>
                <w:highlight w:val="none"/>
                <w:vertAlign w:val="subscript"/>
                <w14:textFill>
                  <w14:solidFill>
                    <w14:schemeClr w14:val="tx1"/>
                  </w14:solidFill>
                </w14:textFill>
              </w:rPr>
              <w:t>2</w:t>
            </w:r>
            <w:r>
              <w:rPr>
                <w:b/>
                <w:bCs/>
                <w:color w:val="000000" w:themeColor="text1"/>
                <w:highlight w:val="none"/>
                <w14:textFill>
                  <w14:solidFill>
                    <w14:schemeClr w14:val="tx1"/>
                  </w14:solidFill>
                </w14:textFill>
              </w:rPr>
              <w:t>H</w:t>
            </w:r>
            <w:r>
              <w:rPr>
                <w:b/>
                <w:bCs/>
                <w:color w:val="000000" w:themeColor="text1"/>
                <w:highlight w:val="none"/>
                <w:vertAlign w:val="subscript"/>
                <w14:textFill>
                  <w14:solidFill>
                    <w14:schemeClr w14:val="tx1"/>
                  </w14:solidFill>
                </w14:textFill>
              </w:rPr>
              <w:t>6</w:t>
            </w:r>
          </w:p>
        </w:tc>
        <w:tc>
          <w:tcPr>
            <w:tcW w:w="569" w:type="pct"/>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N</w:t>
            </w:r>
            <w:r>
              <w:rPr>
                <w:b/>
                <w:bCs/>
                <w:color w:val="000000" w:themeColor="text1"/>
                <w:highlight w:val="none"/>
                <w:vertAlign w:val="sub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含量（mol%）</w:t>
            </w:r>
          </w:p>
        </w:tc>
        <w:tc>
          <w:tcPr>
            <w:tcW w:w="642"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7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7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7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569" w:type="pct"/>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组分</w:t>
            </w:r>
          </w:p>
        </w:tc>
        <w:tc>
          <w:tcPr>
            <w:tcW w:w="642" w:type="pct"/>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H</w:t>
            </w:r>
            <w:r>
              <w:rPr>
                <w:rFonts w:hint="eastAsia"/>
                <w:b/>
                <w:bCs/>
                <w:color w:val="000000" w:themeColor="text1"/>
                <w:highlight w:val="none"/>
                <w:vertAlign w:val="subscript"/>
                <w14:textFill>
                  <w14:solidFill>
                    <w14:schemeClr w14:val="tx1"/>
                  </w14:solidFill>
                </w14:textFill>
              </w:rPr>
              <w:t>2</w:t>
            </w:r>
          </w:p>
        </w:tc>
        <w:tc>
          <w:tcPr>
            <w:tcW w:w="768" w:type="pct"/>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He</w:t>
            </w:r>
          </w:p>
        </w:tc>
        <w:tc>
          <w:tcPr>
            <w:tcW w:w="768" w:type="pct"/>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p>
        </w:tc>
        <w:tc>
          <w:tcPr>
            <w:tcW w:w="569" w:type="pct"/>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含量（mol%）</w:t>
            </w:r>
          </w:p>
        </w:tc>
        <w:tc>
          <w:tcPr>
            <w:tcW w:w="642"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768" w:type="pct"/>
            <w:vAlign w:val="center"/>
          </w:tcPr>
          <w:p>
            <w:pPr>
              <w:ind w:firstLine="480" w:firstLineChars="200"/>
              <w:rPr>
                <w:color w:val="000000" w:themeColor="text1"/>
                <w:highlight w:val="none"/>
                <w14:textFill>
                  <w14:solidFill>
                    <w14:schemeClr w14:val="tx1"/>
                  </w14:solidFill>
                </w14:textFill>
              </w:rPr>
            </w:pPr>
            <w:r>
              <w:rPr>
                <w:rFonts w:hint="eastAsia"/>
              </w:rPr>
              <w:t>***</w:t>
            </w:r>
          </w:p>
        </w:tc>
        <w:tc>
          <w:tcPr>
            <w:tcW w:w="768" w:type="pct"/>
            <w:vAlign w:val="center"/>
          </w:tcPr>
          <w:p>
            <w:pPr>
              <w:pStyle w:val="297"/>
              <w:rPr>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p>
        </w:tc>
        <w:tc>
          <w:tcPr>
            <w:tcW w:w="569" w:type="pct"/>
            <w:vAlign w:val="center"/>
          </w:tcPr>
          <w:p>
            <w:pPr>
              <w:pStyle w:val="297"/>
              <w:rPr>
                <w:color w:val="000000" w:themeColor="text1"/>
                <w:highlight w:val="none"/>
                <w14:textFill>
                  <w14:solidFill>
                    <w14:schemeClr w14:val="tx1"/>
                  </w14:solidFill>
                </w14:textFill>
              </w:rPr>
            </w:pPr>
          </w:p>
        </w:tc>
      </w:tr>
      <w:bookmarkEnd w:id="133"/>
    </w:tbl>
    <w:p>
      <w:pPr>
        <w:numPr>
          <w:ilvl w:val="0"/>
          <w:numId w:val="9"/>
        </w:numPr>
        <w:tabs>
          <w:tab w:val="left" w:pos="0"/>
        </w:tabs>
        <w:spacing w:before="120" w:beforeLines="50"/>
        <w:ind w:left="0" w:leftChars="0" w:firstLine="482" w:firstLineChars="200"/>
        <w:rPr>
          <w:rFonts w:hint="eastAsia"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燃料气组成及物性</w:t>
      </w:r>
    </w:p>
    <w:p>
      <w:pPr>
        <w:numPr>
          <w:ilvl w:val="0"/>
          <w:numId w:val="0"/>
        </w:numPr>
        <w:tabs>
          <w:tab w:val="left" w:pos="0"/>
        </w:tabs>
        <w:spacing w:before="120" w:beforeLines="50"/>
        <w:ind w:leftChars="200"/>
        <w:rPr>
          <w:rFonts w:hint="eastAsia"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w:t>
      </w:r>
    </w:p>
    <w:p>
      <w:pPr>
        <w:pStyle w:val="4"/>
        <w:spacing w:before="120"/>
        <w:ind w:firstLine="480"/>
        <w:rPr>
          <w:b/>
          <w:color w:val="000000" w:themeColor="text1"/>
          <w:highlight w:val="none"/>
          <w:lang w:eastAsia="zh-CN"/>
          <w14:textFill>
            <w14:solidFill>
              <w14:schemeClr w14:val="tx1"/>
            </w14:solidFill>
          </w14:textFill>
        </w:rPr>
      </w:pPr>
      <w:bookmarkStart w:id="135" w:name="_Toc120173101"/>
      <w:r>
        <w:rPr>
          <w:color w:val="000000" w:themeColor="text1"/>
          <w:highlight w:val="none"/>
          <w:lang w:eastAsia="zh-CN"/>
          <w14:textFill>
            <w14:solidFill>
              <w14:schemeClr w14:val="tx1"/>
            </w14:solidFill>
          </w14:textFill>
        </w:rPr>
        <w:t>项目组成及建设内容</w:t>
      </w:r>
      <w:bookmarkEnd w:id="135"/>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本</w:t>
      </w:r>
      <w:r>
        <w:rPr>
          <w:rFonts w:cs="Times New Roman"/>
          <w:color w:val="000000" w:themeColor="text1"/>
          <w:highlight w:val="none"/>
          <w14:textFill>
            <w14:solidFill>
              <w14:schemeClr w14:val="tx1"/>
            </w14:solidFill>
          </w14:textFill>
        </w:rPr>
        <w:t>项目组成包括施工期钻前工程、钻井工程</w:t>
      </w:r>
      <w:r>
        <w:rPr>
          <w:rFonts w:hint="eastAsia" w:cs="Times New Roman"/>
          <w:color w:val="000000" w:themeColor="text1"/>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储层改造</w:t>
      </w:r>
      <w:r>
        <w:rPr>
          <w:rFonts w:cs="Times New Roman"/>
          <w:color w:val="000000" w:themeColor="text1"/>
          <w:szCs w:val="24"/>
          <w:highlight w:val="none"/>
          <w14:textFill>
            <w14:solidFill>
              <w14:schemeClr w14:val="tx1"/>
            </w14:solidFill>
          </w14:textFill>
        </w:rPr>
        <w:t>工程</w:t>
      </w:r>
      <w:r>
        <w:rPr>
          <w:rFonts w:cs="Times New Roman"/>
          <w:color w:val="000000" w:themeColor="text1"/>
          <w:highlight w:val="none"/>
          <w14:textFill>
            <w14:solidFill>
              <w14:schemeClr w14:val="tx1"/>
            </w14:solidFill>
          </w14:textFill>
        </w:rPr>
        <w:t>和试采期</w:t>
      </w:r>
      <w:r>
        <w:rPr>
          <w:rFonts w:hint="eastAsia" w:cs="Times New Roman"/>
          <w:color w:val="000000" w:themeColor="text1"/>
          <w:highlight w:val="none"/>
          <w14:textFill>
            <w14:solidFill>
              <w14:schemeClr w14:val="tx1"/>
            </w14:solidFill>
          </w14:textFill>
        </w:rPr>
        <w:t>的</w:t>
      </w:r>
      <w:r>
        <w:rPr>
          <w:rFonts w:hint="eastAsia"/>
          <w:color w:val="000000" w:themeColor="text1"/>
          <w:highlight w:val="none"/>
          <w14:textFill>
            <w14:solidFill>
              <w14:schemeClr w14:val="tx1"/>
            </w14:solidFill>
          </w14:textFill>
        </w:rPr>
        <w:t>油气</w:t>
      </w:r>
      <w:r>
        <w:rPr>
          <w:color w:val="000000" w:themeColor="text1"/>
          <w:highlight w:val="none"/>
          <w14:textFill>
            <w14:solidFill>
              <w14:schemeClr w14:val="tx1"/>
            </w14:solidFill>
          </w14:textFill>
        </w:rPr>
        <w:t>集输工程</w:t>
      </w:r>
      <w:r>
        <w:rPr>
          <w:rFonts w:cs="Times New Roman"/>
          <w:color w:val="000000" w:themeColor="text1"/>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本项目组成见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_Ref13558 \h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5</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ind w:firstLine="480"/>
        <w:rPr>
          <w:color w:val="000000" w:themeColor="text1"/>
          <w:highlight w:val="none"/>
          <w14:textFill>
            <w14:solidFill>
              <w14:schemeClr w14:val="tx1"/>
            </w14:solidFill>
          </w14:textFill>
        </w:rPr>
      </w:pPr>
      <w:bookmarkStart w:id="136" w:name="_Ref13558"/>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136"/>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本项目组成及主要环境影响一览表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81"/>
        <w:gridCol w:w="832"/>
        <w:gridCol w:w="992"/>
        <w:gridCol w:w="3414"/>
        <w:gridCol w:w="1831"/>
        <w:gridCol w:w="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blHeader/>
          <w:jc w:val="center"/>
        </w:trPr>
        <w:tc>
          <w:tcPr>
            <w:tcW w:w="581" w:type="dxa"/>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工程分类</w:t>
            </w:r>
          </w:p>
        </w:tc>
        <w:tc>
          <w:tcPr>
            <w:tcW w:w="1824" w:type="dxa"/>
            <w:gridSpan w:val="2"/>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项目名称</w:t>
            </w:r>
          </w:p>
        </w:tc>
        <w:tc>
          <w:tcPr>
            <w:tcW w:w="3414" w:type="dxa"/>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主要建设内容</w:t>
            </w:r>
          </w:p>
        </w:tc>
        <w:tc>
          <w:tcPr>
            <w:tcW w:w="1831" w:type="dxa"/>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可能存在的环境问题</w:t>
            </w:r>
          </w:p>
        </w:tc>
        <w:tc>
          <w:tcPr>
            <w:tcW w:w="572" w:type="dxa"/>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主体工程</w:t>
            </w:r>
          </w:p>
        </w:tc>
        <w:tc>
          <w:tcPr>
            <w:tcW w:w="83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钻前工程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场地平整</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r>
              <w:rPr>
                <w:rFonts w:hint="eastAsia"/>
                <w:color w:val="000000" w:themeColor="text1"/>
                <w:sz w:val="21"/>
                <w:szCs w:val="21"/>
                <w:highlight w:val="none"/>
                <w14:textFill>
                  <w14:solidFill>
                    <w14:schemeClr w14:val="tx1"/>
                  </w14:solidFill>
                </w14:textFill>
              </w:rPr>
              <w:t>5700</w:t>
            </w:r>
            <w:r>
              <w:rPr>
                <w:color w:val="000000" w:themeColor="text1"/>
                <w:sz w:val="21"/>
                <w:szCs w:val="21"/>
                <w:highlight w:val="none"/>
                <w14:textFill>
                  <w14:solidFill>
                    <w14:schemeClr w14:val="tx1"/>
                  </w14:solidFill>
                </w14:textFill>
              </w:rPr>
              <w:t>m</w:t>
            </w:r>
            <w:r>
              <w:rPr>
                <w:color w:val="000000" w:themeColor="text1"/>
                <w:sz w:val="21"/>
                <w:szCs w:val="21"/>
                <w:highlight w:val="none"/>
                <w:vertAlign w:val="superscript"/>
                <w14:textFill>
                  <w14:solidFill>
                    <w14:schemeClr w14:val="tx1"/>
                  </w14:solidFill>
                </w14:textFill>
              </w:rPr>
              <w:t>2</w:t>
            </w:r>
            <w:r>
              <w:rPr>
                <w:color w:val="000000" w:themeColor="text1"/>
                <w:sz w:val="21"/>
                <w:szCs w:val="21"/>
                <w:highlight w:val="none"/>
                <w14:textFill>
                  <w14:solidFill>
                    <w14:schemeClr w14:val="tx1"/>
                  </w14:solidFill>
                </w14:textFill>
              </w:rPr>
              <w:t>（长×宽=</w:t>
            </w:r>
            <w:r>
              <w:rPr>
                <w:rFonts w:hint="eastAsia"/>
                <w:color w:val="000000" w:themeColor="text1"/>
                <w:sz w:val="21"/>
                <w:szCs w:val="21"/>
                <w:highlight w:val="none"/>
                <w14:textFill>
                  <w14:solidFill>
                    <w14:schemeClr w14:val="tx1"/>
                  </w14:solidFill>
                </w14:textFill>
              </w:rPr>
              <w:t>114m×50m</w:t>
            </w:r>
            <w:r>
              <w:rPr>
                <w:color w:val="000000" w:themeColor="text1"/>
                <w:sz w:val="21"/>
                <w:szCs w:val="21"/>
                <w:highlight w:val="none"/>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井场1座，井场内建设</w:t>
            </w:r>
            <w:r>
              <w:rPr>
                <w:rFonts w:cs="Times New Roman"/>
                <w:color w:val="000000" w:themeColor="text1"/>
                <w:sz w:val="21"/>
                <w:szCs w:val="20"/>
                <w:highlight w:val="none"/>
                <w14:textFill>
                  <w14:solidFill>
                    <w14:schemeClr w14:val="tx1"/>
                  </w14:solidFill>
                </w14:textFill>
              </w:rPr>
              <w:t>井架基础、泥浆罐基础、泥浆不落地基础、循环罐基础、储备罐基础、油罐基础、发电机房基础等</w:t>
            </w:r>
            <w:r>
              <w:rPr>
                <w:rFonts w:hint="eastAsia" w:cs="Times New Roman"/>
                <w:color w:val="000000" w:themeColor="text1"/>
                <w:sz w:val="21"/>
                <w:szCs w:val="20"/>
                <w:highlight w:val="none"/>
                <w14:textFill>
                  <w14:solidFill>
                    <w14:schemeClr w14:val="tx1"/>
                  </w14:solidFill>
                </w14:textFill>
              </w:rPr>
              <w:t>。</w:t>
            </w:r>
          </w:p>
        </w:tc>
        <w:tc>
          <w:tcPr>
            <w:tcW w:w="183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水土流失</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施工扬尘、废水和施工人员生活污水、生活垃圾</w:t>
            </w:r>
            <w:r>
              <w:rPr>
                <w:rFonts w:hint="eastAsia" w:cs="Times New Roman"/>
                <w:color w:val="000000" w:themeColor="text1"/>
                <w:sz w:val="21"/>
                <w:szCs w:val="20"/>
                <w:highlight w:val="none"/>
                <w14:textFill>
                  <w14:solidFill>
                    <w14:schemeClr w14:val="tx1"/>
                  </w14:solidFill>
                </w14:textFill>
              </w:rPr>
              <w:t>、噪声</w:t>
            </w:r>
            <w:r>
              <w:rPr>
                <w:rFonts w:cs="Times New Roman"/>
                <w:color w:val="000000" w:themeColor="text1"/>
                <w:sz w:val="21"/>
                <w:szCs w:val="20"/>
                <w:highlight w:val="none"/>
                <w14:textFill>
                  <w14:solidFill>
                    <w14:schemeClr w14:val="tx1"/>
                  </w14:solidFill>
                </w14:textFill>
              </w:rPr>
              <w:t>等</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井口方井</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新建1口方井，为大湾408-3井</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设备、设施基础</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采用ZJ70钻机设备，计1套，井架基础以粘土层为持力层，以C25钢筋混凝土基础，</w:t>
            </w:r>
            <w:r>
              <w:rPr>
                <w:rFonts w:hint="eastAsia" w:cs="Times New Roman"/>
                <w:color w:val="000000" w:themeColor="text1"/>
                <w:sz w:val="21"/>
                <w:szCs w:val="20"/>
                <w:highlight w:val="none"/>
                <w14:textFill>
                  <w14:solidFill>
                    <w14:schemeClr w14:val="tx1"/>
                  </w14:solidFill>
                </w14:textFill>
              </w:rPr>
              <w:t>一般</w:t>
            </w:r>
            <w:r>
              <w:rPr>
                <w:rFonts w:cs="Times New Roman"/>
                <w:color w:val="000000" w:themeColor="text1"/>
                <w:sz w:val="21"/>
                <w:szCs w:val="20"/>
                <w:highlight w:val="none"/>
                <w14:textFill>
                  <w14:solidFill>
                    <w14:schemeClr w14:val="tx1"/>
                  </w14:solidFill>
                </w14:textFill>
              </w:rPr>
              <w:t>防渗处理</w:t>
            </w:r>
            <w:r>
              <w:rPr>
                <w:rFonts w:hint="eastAsia" w:cs="Times New Roman"/>
                <w:color w:val="000000" w:themeColor="text1"/>
                <w:sz w:val="21"/>
                <w:szCs w:val="20"/>
                <w:highlight w:val="none"/>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放喷池</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新建放喷池1座，利旧放喷池1座</w:t>
            </w:r>
            <w:r>
              <w:rPr>
                <w:rFonts w:cs="Times New Roman"/>
                <w:color w:val="000000" w:themeColor="text1"/>
                <w:sz w:val="21"/>
                <w:szCs w:val="20"/>
                <w:highlight w:val="none"/>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单座</w:t>
            </w:r>
            <w:r>
              <w:rPr>
                <w:rFonts w:cs="Times New Roman"/>
                <w:color w:val="000000" w:themeColor="text1"/>
                <w:sz w:val="21"/>
                <w:szCs w:val="20"/>
                <w:highlight w:val="none"/>
                <w14:textFill>
                  <w14:solidFill>
                    <w14:schemeClr w14:val="tx1"/>
                  </w14:solidFill>
                </w14:textFill>
              </w:rPr>
              <w:t>尺寸为1</w:t>
            </w:r>
            <w:r>
              <w:rPr>
                <w:rFonts w:hint="eastAsia" w:cs="Times New Roman"/>
                <w:color w:val="000000" w:themeColor="text1"/>
                <w:sz w:val="21"/>
                <w:szCs w:val="20"/>
                <w:highlight w:val="none"/>
                <w14:textFill>
                  <w14:solidFill>
                    <w14:schemeClr w14:val="tx1"/>
                  </w14:solidFill>
                </w14:textFill>
              </w:rPr>
              <w:t>0</w:t>
            </w:r>
            <w:r>
              <w:rPr>
                <w:rFonts w:cs="Times New Roman"/>
                <w:color w:val="000000" w:themeColor="text1"/>
                <w:sz w:val="21"/>
                <w:szCs w:val="20"/>
                <w:highlight w:val="none"/>
                <w14:textFill>
                  <w14:solidFill>
                    <w14:schemeClr w14:val="tx1"/>
                  </w14:solidFill>
                </w14:textFill>
              </w:rPr>
              <w:t>m×20m×</w:t>
            </w:r>
            <w:r>
              <w:rPr>
                <w:rFonts w:hint="eastAsia" w:cs="Times New Roman"/>
                <w:color w:val="000000" w:themeColor="text1"/>
                <w:sz w:val="21"/>
                <w:szCs w:val="20"/>
                <w:highlight w:val="none"/>
                <w14:textFill>
                  <w14:solidFill>
                    <w14:schemeClr w14:val="tx1"/>
                  </w14:solidFill>
                </w14:textFill>
              </w:rPr>
              <w:t>1.5</w:t>
            </w:r>
            <w:r>
              <w:rPr>
                <w:rFonts w:cs="Times New Roman"/>
                <w:color w:val="000000" w:themeColor="text1"/>
                <w:sz w:val="21"/>
                <w:szCs w:val="20"/>
                <w:highlight w:val="none"/>
                <w14:textFill>
                  <w14:solidFill>
                    <w14:schemeClr w14:val="tx1"/>
                  </w14:solidFill>
                </w14:textFill>
              </w:rPr>
              <w:t>m，容积为</w:t>
            </w:r>
            <w:r>
              <w:rPr>
                <w:rFonts w:hint="eastAsia" w:cs="Times New Roman"/>
                <w:color w:val="000000" w:themeColor="text1"/>
                <w:sz w:val="21"/>
                <w:szCs w:val="20"/>
                <w:highlight w:val="none"/>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00m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，用于测试放喷，池内重点防渗。</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r>
              <w:rPr>
                <w:rFonts w:hint="eastAsia" w:cs="Times New Roman"/>
                <w:color w:val="000000" w:themeColor="text1"/>
                <w:sz w:val="21"/>
                <w:szCs w:val="20"/>
                <w:highlight w:val="none"/>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清水池</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利旧清水池1座，</w:t>
            </w:r>
            <w:r>
              <w:rPr>
                <w:rFonts w:cs="Times New Roman"/>
                <w:color w:val="000000" w:themeColor="text1"/>
                <w:sz w:val="21"/>
                <w:szCs w:val="20"/>
                <w:highlight w:val="none"/>
                <w14:textFill>
                  <w14:solidFill>
                    <w14:schemeClr w14:val="tx1"/>
                  </w14:solidFill>
                </w14:textFill>
              </w:rPr>
              <w:t>尺寸为1</w:t>
            </w:r>
            <w:r>
              <w:rPr>
                <w:rFonts w:hint="eastAsia" w:cs="Times New Roman"/>
                <w:color w:val="000000" w:themeColor="text1"/>
                <w:sz w:val="21"/>
                <w:szCs w:val="20"/>
                <w:highlight w:val="none"/>
                <w14:textFill>
                  <w14:solidFill>
                    <w14:schemeClr w14:val="tx1"/>
                  </w14:solidFill>
                </w14:textFill>
              </w:rPr>
              <w:t>5</w:t>
            </w:r>
            <w:r>
              <w:rPr>
                <w:rFonts w:cs="Times New Roman"/>
                <w:color w:val="000000" w:themeColor="text1"/>
                <w:sz w:val="21"/>
                <w:szCs w:val="20"/>
                <w:highlight w:val="none"/>
                <w14:textFill>
                  <w14:solidFill>
                    <w14:schemeClr w14:val="tx1"/>
                  </w14:solidFill>
                </w14:textFill>
              </w:rPr>
              <w:t>m×20m×</w:t>
            </w:r>
            <w:r>
              <w:rPr>
                <w:rFonts w:hint="eastAsia" w:cs="Times New Roman"/>
                <w:color w:val="000000" w:themeColor="text1"/>
                <w:sz w:val="21"/>
                <w:szCs w:val="20"/>
                <w:highlight w:val="none"/>
                <w14:textFill>
                  <w14:solidFill>
                    <w14:schemeClr w14:val="tx1"/>
                  </w14:solidFill>
                </w14:textFill>
              </w:rPr>
              <w:t>2.0</w:t>
            </w:r>
            <w:r>
              <w:rPr>
                <w:rFonts w:cs="Times New Roman"/>
                <w:color w:val="000000" w:themeColor="text1"/>
                <w:sz w:val="21"/>
                <w:szCs w:val="20"/>
                <w:highlight w:val="none"/>
                <w14:textFill>
                  <w14:solidFill>
                    <w14:schemeClr w14:val="tx1"/>
                  </w14:solidFill>
                </w14:textFill>
              </w:rPr>
              <w:t>m，</w:t>
            </w:r>
            <w:r>
              <w:rPr>
                <w:rFonts w:hint="eastAsia" w:cs="Times New Roman"/>
                <w:color w:val="000000" w:themeColor="text1"/>
                <w:sz w:val="21"/>
                <w:szCs w:val="20"/>
                <w:highlight w:val="none"/>
                <w14:textFill>
                  <w14:solidFill>
                    <w14:schemeClr w14:val="tx1"/>
                  </w14:solidFill>
                </w14:textFill>
              </w:rPr>
              <w:t>容积为6</w:t>
            </w:r>
            <w:r>
              <w:rPr>
                <w:rFonts w:cs="Times New Roman"/>
                <w:color w:val="000000" w:themeColor="text1"/>
                <w:sz w:val="21"/>
                <w:szCs w:val="20"/>
                <w:highlight w:val="none"/>
                <w14:textFill>
                  <w14:solidFill>
                    <w14:schemeClr w14:val="tx1"/>
                  </w14:solidFill>
                </w14:textFill>
              </w:rPr>
              <w:t>00</w:t>
            </w:r>
            <w:r>
              <w:rPr>
                <w:rFonts w:hint="eastAsia" w:cs="Times New Roman"/>
                <w:color w:val="000000" w:themeColor="text1"/>
                <w:sz w:val="21"/>
                <w:szCs w:val="20"/>
                <w:highlight w:val="none"/>
                <w14:textFill>
                  <w14:solidFill>
                    <w14:schemeClr w14:val="tx1"/>
                  </w14:solidFill>
                </w14:textFill>
              </w:rPr>
              <w:t>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池内一般防渗。</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533" w:hRule="atLeast"/>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钻井工程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钻井作业</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钻井工程采用ZJ70型钻机，导管采用</w:t>
            </w:r>
            <w:r>
              <w:rPr>
                <w:rFonts w:hint="eastAsia" w:cs="Times New Roman"/>
                <w:color w:val="000000" w:themeColor="text1"/>
                <w:sz w:val="21"/>
                <w:szCs w:val="20"/>
                <w:highlight w:val="none"/>
                <w:lang w:eastAsia="zh-CN"/>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，一开采用</w:t>
            </w:r>
            <w:r>
              <w:rPr>
                <w:rFonts w:hint="eastAsia" w:cs="Times New Roman"/>
                <w:color w:val="000000" w:themeColor="text1"/>
                <w:sz w:val="21"/>
                <w:szCs w:val="20"/>
                <w:highlight w:val="none"/>
                <w:lang w:eastAsia="zh-CN"/>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钻井液体系，二开采用</w:t>
            </w:r>
            <w:r>
              <w:rPr>
                <w:rFonts w:hint="eastAsia" w:cs="Times New Roman"/>
                <w:color w:val="000000" w:themeColor="text1"/>
                <w:sz w:val="21"/>
                <w:szCs w:val="20"/>
                <w:highlight w:val="none"/>
                <w:lang w:eastAsia="zh-CN"/>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，三开采用</w:t>
            </w:r>
            <w:r>
              <w:rPr>
                <w:rFonts w:hint="eastAsia" w:cs="Times New Roman"/>
                <w:color w:val="000000" w:themeColor="text1"/>
                <w:sz w:val="21"/>
                <w:szCs w:val="20"/>
                <w:highlight w:val="none"/>
                <w:lang w:eastAsia="zh-CN"/>
                <w14:textFill>
                  <w14:solidFill>
                    <w14:schemeClr w14:val="tx1"/>
                  </w14:solidFill>
                </w14:textFill>
              </w:rPr>
              <w:t>***</w:t>
            </w:r>
            <w:r>
              <w:rPr>
                <w:rFonts w:hint="eastAsia" w:cs="Times New Roman"/>
                <w:color w:val="000000" w:themeColor="text1"/>
                <w:sz w:val="21"/>
                <w:szCs w:val="20"/>
                <w:highlight w:val="none"/>
                <w14:textFill>
                  <w14:solidFill>
                    <w14:schemeClr w14:val="tx1"/>
                  </w14:solidFill>
                </w14:textFill>
              </w:rPr>
              <w:t>钻井液（若三开钻遇特地层，则采用油基钻井液）。</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钻井废水及</w:t>
            </w:r>
            <w:r>
              <w:rPr>
                <w:rFonts w:cs="Times New Roman"/>
                <w:color w:val="000000" w:themeColor="text1"/>
                <w:sz w:val="21"/>
                <w:szCs w:val="20"/>
                <w:highlight w:val="none"/>
                <w14:textFill>
                  <w14:solidFill>
                    <w14:schemeClr w14:val="tx1"/>
                  </w14:solidFill>
                </w14:textFill>
              </w:rPr>
              <w:t>员工生活污水；岩屑及废泥浆、员工生活垃圾；钻井设备噪声</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储层改造工程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洗井、压裂</w:t>
            </w:r>
            <w:r>
              <w:rPr>
                <w:rFonts w:cs="Times New Roman"/>
                <w:color w:val="000000" w:themeColor="text1"/>
                <w:sz w:val="21"/>
                <w:szCs w:val="20"/>
                <w:highlight w:val="none"/>
                <w14:textFill>
                  <w14:solidFill>
                    <w14:schemeClr w14:val="tx1"/>
                  </w14:solidFill>
                </w14:textFill>
              </w:rPr>
              <w:t>测试作业</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洗井作业、压裂酸化作业、放喷测试</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测试产生废气、放喷气流噪声，洗井废水、酸化废水</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油气集输工程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试采站</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钻井完毕后，通过测试并获得天然气产量后，进行油气集输工程建设，本次新建大湾408-3采气井场，采用湿气混输工艺，井口来气经采气树一级节流后就近接入大湾</w:t>
            </w:r>
            <w:r>
              <w:rPr>
                <w:rFonts w:hint="eastAsia" w:cs="Times New Roman"/>
                <w:color w:val="000000" w:themeColor="text1"/>
                <w:sz w:val="21"/>
                <w:szCs w:val="20"/>
                <w:highlight w:val="none"/>
                <w:lang w:eastAsia="zh-CN"/>
                <w14:textFill>
                  <w14:solidFill>
                    <w14:schemeClr w14:val="tx1"/>
                  </w14:solidFill>
                </w14:textFill>
              </w:rPr>
              <w:t>408试采站</w:t>
            </w:r>
            <w:r>
              <w:rPr>
                <w:rFonts w:hint="eastAsia" w:cs="Times New Roman"/>
                <w:color w:val="000000" w:themeColor="text1"/>
                <w:sz w:val="21"/>
                <w:szCs w:val="20"/>
                <w:highlight w:val="none"/>
                <w14:textFill>
                  <w14:solidFill>
                    <w14:schemeClr w14:val="tx1"/>
                  </w14:solidFill>
                </w14:textFill>
              </w:rPr>
              <w:t>，依托大湾</w:t>
            </w:r>
            <w:r>
              <w:rPr>
                <w:rFonts w:hint="eastAsia" w:cs="Times New Roman"/>
                <w:color w:val="000000" w:themeColor="text1"/>
                <w:sz w:val="21"/>
                <w:szCs w:val="20"/>
                <w:highlight w:val="none"/>
                <w:lang w:eastAsia="zh-CN"/>
                <w14:textFill>
                  <w14:solidFill>
                    <w14:schemeClr w14:val="tx1"/>
                  </w14:solidFill>
                </w14:textFill>
              </w:rPr>
              <w:t>408试采站</w:t>
            </w:r>
            <w:r>
              <w:rPr>
                <w:rFonts w:hint="eastAsia" w:cs="Times New Roman"/>
                <w:color w:val="000000" w:themeColor="text1"/>
                <w:sz w:val="21"/>
                <w:szCs w:val="20"/>
                <w:highlight w:val="none"/>
                <w14:textFill>
                  <w14:solidFill>
                    <w14:schemeClr w14:val="tx1"/>
                  </w14:solidFill>
                </w14:textFill>
              </w:rPr>
              <w:t>内加热节流、计量分离后，依托其建设的酸气管道实现外输，最终通过4#线输至净化厂处理。分离器产出的气田水依托大湾</w:t>
            </w:r>
            <w:r>
              <w:rPr>
                <w:rFonts w:hint="eastAsia" w:cs="Times New Roman"/>
                <w:color w:val="000000" w:themeColor="text1"/>
                <w:sz w:val="21"/>
                <w:szCs w:val="20"/>
                <w:highlight w:val="none"/>
                <w:lang w:eastAsia="zh-CN"/>
                <w14:textFill>
                  <w14:solidFill>
                    <w14:schemeClr w14:val="tx1"/>
                  </w14:solidFill>
                </w14:textFill>
              </w:rPr>
              <w:t>408试采站</w:t>
            </w:r>
            <w:r>
              <w:rPr>
                <w:rFonts w:hint="eastAsia" w:cs="Times New Roman"/>
                <w:color w:val="000000" w:themeColor="text1"/>
                <w:sz w:val="21"/>
                <w:szCs w:val="20"/>
                <w:highlight w:val="none"/>
                <w14:textFill>
                  <w14:solidFill>
                    <w14:schemeClr w14:val="tx1"/>
                  </w14:solidFill>
                </w14:textFill>
              </w:rPr>
              <w:t>内已建的火炬分液罐暂存，定期由密闭罐车统一拉运至赵家坝污水处理站。本次新建采气管道200米，并配套电力、通信、自控等设施。</w:t>
            </w:r>
          </w:p>
        </w:tc>
        <w:tc>
          <w:tcPr>
            <w:tcW w:w="1831" w:type="dxa"/>
            <w:vAlign w:val="center"/>
          </w:tcPr>
          <w:p>
            <w:pPr>
              <w:widowControl/>
              <w:spacing w:line="240" w:lineRule="auto"/>
              <w:ind w:firstLine="0" w:firstLineChars="0"/>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施工期：</w:t>
            </w:r>
            <w:r>
              <w:rPr>
                <w:rFonts w:cs="Times New Roman"/>
                <w:color w:val="000000" w:themeColor="text1"/>
                <w:sz w:val="21"/>
                <w:szCs w:val="20"/>
                <w:highlight w:val="none"/>
                <w14:textFill>
                  <w14:solidFill>
                    <w14:schemeClr w14:val="tx1"/>
                  </w14:solidFill>
                </w14:textFill>
              </w:rPr>
              <w:t>新增水土流失</w:t>
            </w:r>
            <w:r>
              <w:rPr>
                <w:rFonts w:hint="eastAsia" w:cs="Times New Roman"/>
                <w:color w:val="000000" w:themeColor="text1"/>
                <w:sz w:val="21"/>
                <w:szCs w:val="20"/>
                <w:highlight w:val="none"/>
                <w14:textFill>
                  <w14:solidFill>
                    <w14:schemeClr w14:val="tx1"/>
                  </w14:solidFill>
                </w14:textFill>
              </w:rPr>
              <w:t>、植被破坏、扬尘、废水、噪声、固废</w:t>
            </w:r>
            <w:r>
              <w:rPr>
                <w:rFonts w:cs="Times New Roman"/>
                <w:color w:val="000000" w:themeColor="text1"/>
                <w:sz w:val="21"/>
                <w:szCs w:val="20"/>
                <w:highlight w:val="none"/>
                <w14:textFill>
                  <w14:solidFill>
                    <w14:schemeClr w14:val="tx1"/>
                  </w14:solidFill>
                </w14:textFill>
              </w:rPr>
              <w:t>、环境风险</w:t>
            </w:r>
            <w:r>
              <w:rPr>
                <w:rFonts w:hint="eastAsia" w:cs="Times New Roman"/>
                <w:color w:val="000000" w:themeColor="text1"/>
                <w:sz w:val="21"/>
                <w:szCs w:val="20"/>
                <w:highlight w:val="none"/>
                <w14:textFill>
                  <w14:solidFill>
                    <w14:schemeClr w14:val="tx1"/>
                  </w14:solidFill>
                </w14:textFill>
              </w:rPr>
              <w:t>等；</w:t>
            </w:r>
          </w:p>
          <w:p>
            <w:pPr>
              <w:spacing w:line="240" w:lineRule="auto"/>
              <w:ind w:firstLine="0" w:firstLineChars="0"/>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试采期：</w:t>
            </w:r>
            <w:r>
              <w:rPr>
                <w:rFonts w:cs="Times New Roman"/>
                <w:color w:val="000000" w:themeColor="text1"/>
                <w:sz w:val="21"/>
                <w:szCs w:val="20"/>
                <w:highlight w:val="none"/>
                <w14:textFill>
                  <w14:solidFill>
                    <w14:schemeClr w14:val="tx1"/>
                  </w14:solidFill>
                </w14:textFill>
              </w:rPr>
              <w:t>废气、废水、噪声、环境风险</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65" w:hRule="atLeast"/>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集输管线</w:t>
            </w:r>
          </w:p>
        </w:tc>
        <w:tc>
          <w:tcPr>
            <w:tcW w:w="3414" w:type="dxa"/>
            <w:vAlign w:val="center"/>
          </w:tcPr>
          <w:p>
            <w:pPr>
              <w:widowControl/>
              <w:spacing w:line="240" w:lineRule="auto"/>
              <w:ind w:firstLine="0" w:firstLineChars="0"/>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本工程新建大湾408-3井场试采站～大湾</w:t>
            </w:r>
            <w:r>
              <w:rPr>
                <w:rFonts w:hint="eastAsia" w:cs="Times New Roman"/>
                <w:color w:val="000000" w:themeColor="text1"/>
                <w:sz w:val="21"/>
                <w:szCs w:val="20"/>
                <w:highlight w:val="none"/>
                <w:lang w:eastAsia="zh-CN"/>
                <w14:textFill>
                  <w14:solidFill>
                    <w14:schemeClr w14:val="tx1"/>
                  </w14:solidFill>
                </w14:textFill>
              </w:rPr>
              <w:t>408试采站</w:t>
            </w:r>
            <w:r>
              <w:rPr>
                <w:rFonts w:hint="eastAsia" w:cs="Times New Roman"/>
                <w:color w:val="000000" w:themeColor="text1"/>
                <w:sz w:val="21"/>
                <w:szCs w:val="20"/>
                <w:highlight w:val="none"/>
                <w14:textFill>
                  <w14:solidFill>
                    <w14:schemeClr w14:val="tx1"/>
                  </w14:solidFill>
                </w14:textFill>
              </w:rPr>
              <w:t>之间的天然气管道1条，管道长度200m，管线规格DN65，材质为L360QS（GB/T9711），设计压力12.5MPa，埋深1.2m。</w:t>
            </w:r>
          </w:p>
        </w:tc>
        <w:tc>
          <w:tcPr>
            <w:tcW w:w="1831" w:type="dxa"/>
            <w:vAlign w:val="center"/>
          </w:tcPr>
          <w:p>
            <w:pPr>
              <w:widowControl/>
              <w:spacing w:line="240" w:lineRule="auto"/>
              <w:ind w:firstLine="0" w:firstLineChars="0"/>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施工期：</w:t>
            </w:r>
            <w:r>
              <w:rPr>
                <w:rFonts w:cs="Times New Roman"/>
                <w:color w:val="000000" w:themeColor="text1"/>
                <w:sz w:val="21"/>
                <w:szCs w:val="20"/>
                <w:highlight w:val="none"/>
                <w14:textFill>
                  <w14:solidFill>
                    <w14:schemeClr w14:val="tx1"/>
                  </w14:solidFill>
                </w14:textFill>
              </w:rPr>
              <w:t>新增水土流失</w:t>
            </w:r>
            <w:r>
              <w:rPr>
                <w:rFonts w:hint="eastAsia" w:cs="Times New Roman"/>
                <w:color w:val="000000" w:themeColor="text1"/>
                <w:sz w:val="21"/>
                <w:szCs w:val="20"/>
                <w:highlight w:val="none"/>
                <w14:textFill>
                  <w14:solidFill>
                    <w14:schemeClr w14:val="tx1"/>
                  </w14:solidFill>
                </w14:textFill>
              </w:rPr>
              <w:t>、植被破坏、扬尘、废水、噪声、固废</w:t>
            </w:r>
            <w:r>
              <w:rPr>
                <w:rFonts w:cs="Times New Roman"/>
                <w:color w:val="000000" w:themeColor="text1"/>
                <w:sz w:val="21"/>
                <w:szCs w:val="20"/>
                <w:highlight w:val="none"/>
                <w14:textFill>
                  <w14:solidFill>
                    <w14:schemeClr w14:val="tx1"/>
                  </w14:solidFill>
                </w14:textFill>
              </w:rPr>
              <w:t>、环境风险</w:t>
            </w:r>
            <w:r>
              <w:rPr>
                <w:rFonts w:hint="eastAsia" w:cs="Times New Roman"/>
                <w:color w:val="000000" w:themeColor="text1"/>
                <w:sz w:val="21"/>
                <w:szCs w:val="20"/>
                <w:highlight w:val="none"/>
                <w14:textFill>
                  <w14:solidFill>
                    <w14:schemeClr w14:val="tx1"/>
                  </w14:solidFill>
                </w14:textFill>
              </w:rPr>
              <w:t>等；</w:t>
            </w:r>
          </w:p>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试采期：</w:t>
            </w:r>
            <w:r>
              <w:rPr>
                <w:rFonts w:cs="Times New Roman"/>
                <w:color w:val="000000" w:themeColor="text1"/>
                <w:sz w:val="21"/>
                <w:szCs w:val="20"/>
                <w:highlight w:val="none"/>
                <w14:textFill>
                  <w14:solidFill>
                    <w14:schemeClr w14:val="tx1"/>
                  </w14:solidFill>
                </w14:textFill>
              </w:rPr>
              <w:t>环境风险</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辅助工程</w:t>
            </w:r>
          </w:p>
        </w:tc>
        <w:tc>
          <w:tcPr>
            <w:tcW w:w="83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钻前工程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生活区</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w:t>
            </w:r>
            <w:r>
              <w:rPr>
                <w:rFonts w:hint="eastAsia" w:cs="Times New Roman"/>
                <w:color w:val="000000" w:themeColor="text1"/>
                <w:sz w:val="21"/>
                <w:szCs w:val="21"/>
                <w:highlight w:val="none"/>
                <w14:textFill>
                  <w14:solidFill>
                    <w14:schemeClr w14:val="tx1"/>
                  </w14:solidFill>
                </w14:textFill>
              </w:rPr>
              <w:t>钻前工程</w:t>
            </w:r>
            <w:r>
              <w:rPr>
                <w:rFonts w:cs="Times New Roman"/>
                <w:color w:val="000000" w:themeColor="text1"/>
                <w:sz w:val="21"/>
                <w:szCs w:val="21"/>
                <w:highlight w:val="none"/>
                <w14:textFill>
                  <w14:solidFill>
                    <w14:schemeClr w14:val="tx1"/>
                  </w14:solidFill>
                </w14:textFill>
              </w:rPr>
              <w:t>不设置生活区，施工人员租住附近居民房屋</w:t>
            </w:r>
            <w:r>
              <w:rPr>
                <w:rFonts w:hint="eastAsia" w:cs="Times New Roman"/>
                <w:color w:val="000000" w:themeColor="text1"/>
                <w:sz w:val="21"/>
                <w:szCs w:val="21"/>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水土流失</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施工扬尘、废水和施工人员生活污水、生活垃圾</w:t>
            </w:r>
            <w:r>
              <w:rPr>
                <w:rFonts w:hint="eastAsia" w:cs="Times New Roman"/>
                <w:color w:val="000000" w:themeColor="text1"/>
                <w:sz w:val="21"/>
                <w:szCs w:val="20"/>
                <w:highlight w:val="none"/>
                <w14:textFill>
                  <w14:solidFill>
                    <w14:schemeClr w14:val="tx1"/>
                  </w14:solidFill>
                </w14:textFill>
              </w:rPr>
              <w:t>、噪声</w:t>
            </w:r>
            <w:r>
              <w:rPr>
                <w:rFonts w:cs="Times New Roman"/>
                <w:color w:val="000000" w:themeColor="text1"/>
                <w:sz w:val="21"/>
                <w:szCs w:val="20"/>
                <w:highlight w:val="none"/>
                <w14:textFill>
                  <w14:solidFill>
                    <w14:schemeClr w14:val="tx1"/>
                  </w14:solidFill>
                </w14:textFill>
              </w:rPr>
              <w:t>等</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eastAsia"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eastAsia" w:eastAsia="宋体" w:cs="Times New Roman"/>
                <w:bCs/>
                <w:color w:val="000000" w:themeColor="text1"/>
                <w:sz w:val="21"/>
                <w:szCs w:val="21"/>
                <w:highlight w:val="none"/>
                <w:lang w:eastAsia="zh-CN"/>
                <w14:textFill>
                  <w14:solidFill>
                    <w14:schemeClr w14:val="tx1"/>
                  </w14:solidFill>
                </w14:textFill>
              </w:rPr>
            </w:pPr>
            <w:r>
              <w:rPr>
                <w:rFonts w:cs="Times New Roman"/>
                <w:color w:val="000000" w:themeColor="text1"/>
                <w:sz w:val="21"/>
                <w:szCs w:val="20"/>
                <w:highlight w:val="none"/>
                <w14:textFill>
                  <w14:solidFill>
                    <w14:schemeClr w14:val="tx1"/>
                  </w14:solidFill>
                </w14:textFill>
              </w:rPr>
              <w:t>表土临时堆场</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设置表土堆放区1处，位于井场</w:t>
            </w:r>
            <w:r>
              <w:rPr>
                <w:rFonts w:hint="eastAsia" w:cs="Times New Roman"/>
                <w:color w:val="000000" w:themeColor="text1"/>
                <w:sz w:val="21"/>
                <w:szCs w:val="20"/>
                <w:highlight w:val="none"/>
                <w14:textFill>
                  <w14:solidFill>
                    <w14:schemeClr w14:val="tx1"/>
                  </w14:solidFill>
                </w14:textFill>
              </w:rPr>
              <w:t>南</w:t>
            </w:r>
            <w:r>
              <w:rPr>
                <w:rFonts w:cs="Times New Roman"/>
                <w:color w:val="000000" w:themeColor="text1"/>
                <w:sz w:val="21"/>
                <w:szCs w:val="20"/>
                <w:highlight w:val="none"/>
                <w14:textFill>
                  <w14:solidFill>
                    <w14:schemeClr w14:val="tx1"/>
                  </w14:solidFill>
                </w14:textFill>
              </w:rPr>
              <w:t>侧</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占地</w:t>
            </w:r>
            <w:r>
              <w:rPr>
                <w:rFonts w:hint="eastAsia" w:cs="Times New Roman"/>
                <w:color w:val="000000" w:themeColor="text1"/>
                <w:sz w:val="21"/>
                <w:szCs w:val="20"/>
                <w:highlight w:val="none"/>
                <w14:textFill>
                  <w14:solidFill>
                    <w14:schemeClr w14:val="tx1"/>
                  </w14:solidFill>
                </w14:textFill>
              </w:rPr>
              <w:t>1579</w:t>
            </w:r>
            <w:r>
              <w:rPr>
                <w:rFonts w:cs="Times New Roman"/>
                <w:color w:val="000000" w:themeColor="text1"/>
                <w:sz w:val="21"/>
                <w:szCs w:val="20"/>
                <w:highlight w:val="none"/>
                <w14:textFill>
                  <w14:solidFill>
                    <w14:schemeClr w14:val="tx1"/>
                  </w14:solidFill>
                </w14:textFill>
              </w:rPr>
              <w:t>m</w:t>
            </w:r>
            <w:r>
              <w:rPr>
                <w:rFonts w:cs="Times New Roman"/>
                <w:color w:val="000000" w:themeColor="text1"/>
                <w:sz w:val="21"/>
                <w:szCs w:val="20"/>
                <w:highlight w:val="none"/>
                <w:vertAlign w:val="superscript"/>
                <w14:textFill>
                  <w14:solidFill>
                    <w14:schemeClr w14:val="tx1"/>
                  </w14:solidFill>
                </w14:textFill>
              </w:rPr>
              <w:t>2</w:t>
            </w:r>
            <w:r>
              <w:rPr>
                <w:rFonts w:hint="eastAsia" w:cs="Times New Roman"/>
                <w:color w:val="000000" w:themeColor="text1"/>
                <w:sz w:val="21"/>
                <w:szCs w:val="20"/>
                <w:highlight w:val="none"/>
                <w14:textFill>
                  <w14:solidFill>
                    <w14:schemeClr w14:val="tx1"/>
                  </w14:solidFill>
                </w14:textFill>
              </w:rPr>
              <w:t>。</w:t>
            </w:r>
          </w:p>
        </w:tc>
        <w:tc>
          <w:tcPr>
            <w:tcW w:w="183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新增水土流失</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施工扬尘、废水和施工人员生活污水、生活垃圾等</w:t>
            </w:r>
          </w:p>
        </w:tc>
        <w:tc>
          <w:tcPr>
            <w:tcW w:w="572" w:type="dxa"/>
            <w:vAlign w:val="center"/>
          </w:tcPr>
          <w:p>
            <w:pPr>
              <w:widowControl/>
              <w:spacing w:line="240" w:lineRule="auto"/>
              <w:ind w:firstLine="0" w:firstLineChars="0"/>
              <w:jc w:val="center"/>
              <w:textAlignment w:val="baseline"/>
              <w:rPr>
                <w:rFonts w:hint="eastAsia"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hint="eastAsia"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hint="default" w:cs="Times New Roman"/>
                <w:bCs/>
                <w:color w:val="000000" w:themeColor="text1"/>
                <w:sz w:val="21"/>
                <w:szCs w:val="21"/>
                <w:highlight w:val="none"/>
                <w:lang w:val="en-US"/>
                <w14:textFill>
                  <w14:solidFill>
                    <w14:schemeClr w14:val="tx1"/>
                  </w14:solidFill>
                </w14:textFill>
              </w:rPr>
            </w:pPr>
            <w:r>
              <w:rPr>
                <w:rFonts w:cs="Times New Roman"/>
                <w:color w:val="000000" w:themeColor="text1"/>
                <w:sz w:val="21"/>
                <w:szCs w:val="20"/>
                <w:highlight w:val="none"/>
                <w14:textFill>
                  <w14:solidFill>
                    <w14:schemeClr w14:val="tx1"/>
                  </w14:solidFill>
                </w14:textFill>
              </w:rPr>
              <w:t>进场道路</w:t>
            </w:r>
          </w:p>
        </w:tc>
        <w:tc>
          <w:tcPr>
            <w:tcW w:w="3414" w:type="dxa"/>
            <w:vAlign w:val="center"/>
          </w:tcPr>
          <w:p>
            <w:pPr>
              <w:widowControl/>
              <w:spacing w:line="240" w:lineRule="auto"/>
              <w:ind w:firstLine="0" w:firstLineChars="0"/>
              <w:jc w:val="left"/>
              <w:textAlignment w:val="baseline"/>
              <w:rPr>
                <w:rFonts w:hint="default" w:cs="Times New Roman"/>
                <w:color w:val="000000" w:themeColor="text1"/>
                <w:sz w:val="21"/>
                <w:szCs w:val="21"/>
                <w:highlight w:val="none"/>
                <w:lang w:val="en-US"/>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进场道路依托大湾</w:t>
            </w:r>
            <w:r>
              <w:rPr>
                <w:rFonts w:hint="eastAsia" w:cs="Times New Roman"/>
                <w:color w:val="000000" w:themeColor="text1"/>
                <w:sz w:val="21"/>
                <w:szCs w:val="20"/>
                <w:highlight w:val="none"/>
                <w:lang w:eastAsia="zh-CN"/>
                <w14:textFill>
                  <w14:solidFill>
                    <w14:schemeClr w14:val="tx1"/>
                  </w14:solidFill>
                </w14:textFill>
              </w:rPr>
              <w:t>408试采站</w:t>
            </w:r>
            <w:r>
              <w:rPr>
                <w:rFonts w:hint="eastAsia" w:cs="Times New Roman"/>
                <w:color w:val="000000" w:themeColor="text1"/>
                <w:sz w:val="21"/>
                <w:szCs w:val="20"/>
                <w:highlight w:val="none"/>
                <w14:textFill>
                  <w14:solidFill>
                    <w14:schemeClr w14:val="tx1"/>
                  </w14:solidFill>
                </w14:textFill>
              </w:rPr>
              <w:t>已建设进场道路</w:t>
            </w:r>
            <w:r>
              <w:rPr>
                <w:rFonts w:cs="Times New Roman"/>
                <w:color w:val="000000" w:themeColor="text1"/>
                <w:sz w:val="21"/>
                <w:szCs w:val="20"/>
                <w:highlight w:val="none"/>
                <w14:textFill>
                  <w14:solidFill>
                    <w14:schemeClr w14:val="tx1"/>
                  </w14:solidFill>
                </w14:textFill>
              </w:rPr>
              <w:t>，道路路基宽度4.5m，路面宽度4.0m，</w:t>
            </w:r>
            <w:r>
              <w:rPr>
                <w:rFonts w:hint="eastAsia" w:cs="Times New Roman"/>
                <w:color w:val="000000" w:themeColor="text1"/>
                <w:sz w:val="21"/>
                <w:szCs w:val="20"/>
                <w:highlight w:val="none"/>
                <w14:textFill>
                  <w14:solidFill>
                    <w14:schemeClr w14:val="tx1"/>
                  </w14:solidFill>
                </w14:textFill>
              </w:rPr>
              <w:t>长度约50m</w:t>
            </w:r>
            <w:r>
              <w:rPr>
                <w:rFonts w:cs="Times New Roman"/>
                <w:color w:val="000000" w:themeColor="text1"/>
                <w:sz w:val="21"/>
                <w:szCs w:val="20"/>
                <w:highlight w:val="none"/>
                <w14:textFill>
                  <w14:solidFill>
                    <w14:schemeClr w14:val="tx1"/>
                  </w14:solidFill>
                </w14:textFill>
              </w:rPr>
              <w:t>，采用20cm厚6%水泥稳定碎石，新建0.4m宽道路排水沟，采用浆砌石修筑。</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hint="eastAsia"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钻井工程、储层改造工程</w:t>
            </w:r>
          </w:p>
        </w:tc>
        <w:tc>
          <w:tcPr>
            <w:tcW w:w="992"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泥浆循环系统</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含振动筛、除砂器、离心机、液气分离器、除泥砂除泥一体机、除气器等装置，及5个40m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/个循环罐组成</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设备噪声、岩屑、废泥浆、废水</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网电钻机系统</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2</w:t>
            </w:r>
            <w:r>
              <w:rPr>
                <w:rFonts w:cs="Times New Roman"/>
                <w:color w:val="000000" w:themeColor="text1"/>
                <w:sz w:val="21"/>
                <w:szCs w:val="20"/>
                <w:highlight w:val="none"/>
                <w14:textFill>
                  <w14:solidFill>
                    <w14:schemeClr w14:val="tx1"/>
                  </w14:solidFill>
                </w14:textFill>
              </w:rPr>
              <w:t>台</w:t>
            </w:r>
            <w:r>
              <w:rPr>
                <w:rFonts w:hint="eastAsia" w:cs="Times New Roman"/>
                <w:color w:val="000000" w:themeColor="text1"/>
                <w:sz w:val="21"/>
                <w:szCs w:val="20"/>
                <w:highlight w:val="none"/>
                <w14:textFill>
                  <w14:solidFill>
                    <w14:schemeClr w14:val="tx1"/>
                  </w14:solidFill>
                </w14:textFill>
              </w:rPr>
              <w:t>1320</w:t>
            </w:r>
            <w:r>
              <w:rPr>
                <w:rFonts w:cs="Times New Roman"/>
                <w:color w:val="000000" w:themeColor="text1"/>
                <w:sz w:val="21"/>
                <w:szCs w:val="20"/>
                <w:highlight w:val="none"/>
                <w14:textFill>
                  <w14:solidFill>
                    <w14:schemeClr w14:val="tx1"/>
                  </w14:solidFill>
                </w14:textFill>
              </w:rPr>
              <w:t>kW电动化机组</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噪声</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备用发电机</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400kW功率柴油机</w:t>
            </w:r>
            <w:r>
              <w:rPr>
                <w:rFonts w:hint="eastAsia" w:cs="Times New Roman"/>
                <w:color w:val="000000" w:themeColor="text1"/>
                <w:sz w:val="21"/>
                <w:szCs w:val="20"/>
                <w:highlight w:val="none"/>
                <w14:textFill>
                  <w14:solidFill>
                    <w14:schemeClr w14:val="tx1"/>
                  </w14:solidFill>
                </w14:textFill>
              </w:rPr>
              <w:t>2</w:t>
            </w:r>
            <w:r>
              <w:rPr>
                <w:rFonts w:cs="Times New Roman"/>
                <w:color w:val="000000" w:themeColor="text1"/>
                <w:sz w:val="21"/>
                <w:szCs w:val="20"/>
                <w:highlight w:val="none"/>
                <w14:textFill>
                  <w14:solidFill>
                    <w14:schemeClr w14:val="tx1"/>
                  </w14:solidFill>
                </w14:textFill>
              </w:rPr>
              <w:t>台</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废气、噪声</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清洁生产操作平台</w:t>
            </w:r>
            <w:r>
              <w:rPr>
                <w:rFonts w:hint="eastAsia" w:cs="Times New Roman"/>
                <w:color w:val="000000" w:themeColor="text1"/>
                <w:sz w:val="21"/>
                <w:szCs w:val="20"/>
                <w:highlight w:val="none"/>
                <w14:textFill>
                  <w14:solidFill>
                    <w14:schemeClr w14:val="tx1"/>
                  </w14:solidFill>
                </w14:textFill>
              </w:rPr>
              <w:t>1座</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40m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废水罐4个（位于清洁化操作平台废水处理区，分为1个隔油罐、2个沉淀罐、1个回用罐）</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20m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岩屑固化罐4个（位于清洁化操作平台储备罐区）</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3m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岩屑收集罐8个（位于清洁化操作平台储备罐区）</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化学品存放区</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固化材料堆放棚（位于材料区），主要摆放固化材料、水处理药剂等</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用于暂存钻井泥浆、洗井作业、酸化作业废水，若处置不当或者发生泄漏现象，导致土壤、植被破坏以及地下水、地表水等污染</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柴油罐区</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占地25m</w:t>
            </w:r>
            <w:r>
              <w:rPr>
                <w:rFonts w:cs="Times New Roman"/>
                <w:color w:val="000000" w:themeColor="text1"/>
                <w:sz w:val="21"/>
                <w:szCs w:val="20"/>
                <w:highlight w:val="none"/>
                <w:vertAlign w:val="superscript"/>
                <w14:textFill>
                  <w14:solidFill>
                    <w14:schemeClr w14:val="tx1"/>
                  </w14:solidFill>
                </w14:textFill>
              </w:rPr>
              <w:t>2</w:t>
            </w:r>
            <w:r>
              <w:rPr>
                <w:rFonts w:cs="Times New Roman"/>
                <w:color w:val="000000" w:themeColor="text1"/>
                <w:sz w:val="21"/>
                <w:szCs w:val="20"/>
                <w:highlight w:val="none"/>
                <w14:textFill>
                  <w14:solidFill>
                    <w14:schemeClr w14:val="tx1"/>
                  </w14:solidFill>
                </w14:textFill>
              </w:rPr>
              <w:t>，2个柴油罐，每个容积20m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。地面硬化，铺设防渗膜并设围堰</w:t>
            </w:r>
            <w:r>
              <w:rPr>
                <w:rFonts w:hint="eastAsia" w:cs="Times New Roman"/>
                <w:color w:val="000000" w:themeColor="text1"/>
                <w:sz w:val="21"/>
                <w:szCs w:val="20"/>
                <w:highlight w:val="none"/>
                <w14:textFill>
                  <w14:solidFill>
                    <w14:schemeClr w14:val="tx1"/>
                  </w14:solidFill>
                </w14:textFill>
              </w:rPr>
              <w:t>。</w:t>
            </w:r>
          </w:p>
        </w:tc>
        <w:tc>
          <w:tcPr>
            <w:tcW w:w="183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泄漏污染、火灾爆炸环境风险影响</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泥浆罐</w:t>
            </w:r>
          </w:p>
        </w:tc>
        <w:tc>
          <w:tcPr>
            <w:tcW w:w="3414" w:type="dxa"/>
            <w:vAlign w:val="center"/>
          </w:tcPr>
          <w:p>
            <w:pPr>
              <w:widowControl/>
              <w:spacing w:line="240" w:lineRule="auto"/>
              <w:ind w:firstLine="0" w:firstLineChars="0"/>
              <w:jc w:val="left"/>
              <w:textAlignment w:val="baseline"/>
              <w:rPr>
                <w:rFonts w:hint="eastAsia" w:eastAsia="宋体" w:cs="Times New Roman"/>
                <w:color w:val="000000" w:themeColor="text1"/>
                <w:sz w:val="21"/>
                <w:szCs w:val="20"/>
                <w:highlight w:val="none"/>
                <w:lang w:eastAsia="zh-CN"/>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泥浆循环</w:t>
            </w:r>
            <w:r>
              <w:rPr>
                <w:rFonts w:cs="Times New Roman"/>
                <w:color w:val="000000" w:themeColor="text1"/>
                <w:sz w:val="21"/>
                <w:szCs w:val="20"/>
                <w:highlight w:val="none"/>
                <w14:textFill>
                  <w14:solidFill>
                    <w14:schemeClr w14:val="tx1"/>
                  </w14:solidFill>
                </w14:textFill>
              </w:rPr>
              <w:t>罐</w:t>
            </w:r>
            <w:r>
              <w:rPr>
                <w:rFonts w:hint="eastAsia" w:cs="Times New Roman"/>
                <w:color w:val="000000" w:themeColor="text1"/>
                <w:sz w:val="21"/>
                <w:szCs w:val="20"/>
                <w:highlight w:val="none"/>
                <w14:textFill>
                  <w14:solidFill>
                    <w14:schemeClr w14:val="tx1"/>
                  </w14:solidFill>
                </w14:textFill>
              </w:rPr>
              <w:t>5</w:t>
            </w:r>
            <w:r>
              <w:rPr>
                <w:rFonts w:cs="Times New Roman"/>
                <w:color w:val="000000" w:themeColor="text1"/>
                <w:sz w:val="21"/>
                <w:szCs w:val="20"/>
                <w:highlight w:val="none"/>
                <w14:textFill>
                  <w14:solidFill>
                    <w14:schemeClr w14:val="tx1"/>
                  </w14:solidFill>
                </w14:textFill>
              </w:rPr>
              <w:t>个，每个容积</w:t>
            </w:r>
            <w:r>
              <w:rPr>
                <w:rFonts w:hint="eastAsia" w:cs="Times New Roman"/>
                <w:color w:val="000000" w:themeColor="text1"/>
                <w:sz w:val="21"/>
                <w:szCs w:val="20"/>
                <w:highlight w:val="none"/>
                <w14:textFill>
                  <w14:solidFill>
                    <w14:schemeClr w14:val="tx1"/>
                  </w14:solidFill>
                </w14:textFill>
              </w:rPr>
              <w:t>8</w:t>
            </w:r>
            <w:r>
              <w:rPr>
                <w:rFonts w:cs="Times New Roman"/>
                <w:color w:val="000000" w:themeColor="text1"/>
                <w:sz w:val="21"/>
                <w:szCs w:val="20"/>
                <w:highlight w:val="none"/>
                <w14:textFill>
                  <w14:solidFill>
                    <w14:schemeClr w14:val="tx1"/>
                  </w14:solidFill>
                </w14:textFill>
              </w:rPr>
              <w:t>0m</w:t>
            </w:r>
            <w:r>
              <w:rPr>
                <w:rFonts w:cs="Times New Roman"/>
                <w:color w:val="000000" w:themeColor="text1"/>
                <w:sz w:val="21"/>
                <w:szCs w:val="20"/>
                <w:highlight w:val="none"/>
                <w:vertAlign w:val="superscript"/>
                <w14:textFill>
                  <w14:solidFill>
                    <w14:schemeClr w14:val="tx1"/>
                  </w14:solidFill>
                </w14:textFill>
              </w:rPr>
              <w:t>3</w:t>
            </w:r>
            <w:r>
              <w:rPr>
                <w:rFonts w:hint="eastAsia" w:cs="Times New Roman"/>
                <w:color w:val="000000" w:themeColor="text1"/>
                <w:sz w:val="21"/>
                <w:szCs w:val="20"/>
                <w:highlight w:val="none"/>
                <w14:textFill>
                  <w14:solidFill>
                    <w14:schemeClr w14:val="tx1"/>
                  </w14:solidFill>
                </w14:textFill>
              </w:rPr>
              <w:t>，泥浆储备</w:t>
            </w:r>
            <w:r>
              <w:rPr>
                <w:rFonts w:cs="Times New Roman"/>
                <w:color w:val="000000" w:themeColor="text1"/>
                <w:sz w:val="21"/>
                <w:szCs w:val="20"/>
                <w:highlight w:val="none"/>
                <w14:textFill>
                  <w14:solidFill>
                    <w14:schemeClr w14:val="tx1"/>
                  </w14:solidFill>
                </w14:textFill>
              </w:rPr>
              <w:t>罐</w:t>
            </w:r>
            <w:r>
              <w:rPr>
                <w:rFonts w:hint="eastAsia" w:cs="Times New Roman"/>
                <w:color w:val="000000" w:themeColor="text1"/>
                <w:sz w:val="21"/>
                <w:szCs w:val="20"/>
                <w:highlight w:val="none"/>
                <w14:textFill>
                  <w14:solidFill>
                    <w14:schemeClr w14:val="tx1"/>
                  </w14:solidFill>
                </w14:textFill>
              </w:rPr>
              <w:t>2</w:t>
            </w:r>
            <w:r>
              <w:rPr>
                <w:rFonts w:cs="Times New Roman"/>
                <w:color w:val="000000" w:themeColor="text1"/>
                <w:sz w:val="21"/>
                <w:szCs w:val="20"/>
                <w:highlight w:val="none"/>
                <w14:textFill>
                  <w14:solidFill>
                    <w14:schemeClr w14:val="tx1"/>
                  </w14:solidFill>
                </w14:textFill>
              </w:rPr>
              <w:t>个，每个容积</w:t>
            </w:r>
            <w:r>
              <w:rPr>
                <w:rFonts w:hint="eastAsia" w:cs="Times New Roman"/>
                <w:color w:val="000000" w:themeColor="text1"/>
                <w:sz w:val="21"/>
                <w:szCs w:val="20"/>
                <w:highlight w:val="none"/>
                <w14:textFill>
                  <w14:solidFill>
                    <w14:schemeClr w14:val="tx1"/>
                  </w14:solidFill>
                </w14:textFill>
              </w:rPr>
              <w:t>6</w:t>
            </w:r>
            <w:r>
              <w:rPr>
                <w:rFonts w:cs="Times New Roman"/>
                <w:color w:val="000000" w:themeColor="text1"/>
                <w:sz w:val="21"/>
                <w:szCs w:val="20"/>
                <w:highlight w:val="none"/>
                <w14:textFill>
                  <w14:solidFill>
                    <w14:schemeClr w14:val="tx1"/>
                  </w14:solidFill>
                </w14:textFill>
              </w:rPr>
              <w:t>0m</w:t>
            </w:r>
            <w:r>
              <w:rPr>
                <w:rFonts w:cs="Times New Roman"/>
                <w:color w:val="000000" w:themeColor="text1"/>
                <w:sz w:val="21"/>
                <w:szCs w:val="20"/>
                <w:highlight w:val="none"/>
                <w:vertAlign w:val="superscript"/>
                <w14:textFill>
                  <w14:solidFill>
                    <w14:schemeClr w14:val="tx1"/>
                  </w14:solidFill>
                </w14:textFill>
              </w:rPr>
              <w:t>3</w:t>
            </w:r>
            <w:r>
              <w:rPr>
                <w:rFonts w:hint="eastAsia" w:cs="Times New Roman"/>
                <w:color w:val="000000" w:themeColor="text1"/>
                <w:sz w:val="21"/>
                <w:szCs w:val="20"/>
                <w:highlight w:val="none"/>
                <w:vertAlign w:val="baseline"/>
                <w:lang w:eastAsia="zh-CN"/>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shd w:val="clear" w:color="auto" w:fill="auto"/>
            <w:vAlign w:val="center"/>
          </w:tcPr>
          <w:p>
            <w:pPr>
              <w:widowControl/>
              <w:spacing w:line="240" w:lineRule="auto"/>
              <w:ind w:firstLine="0" w:firstLineChars="0"/>
              <w:jc w:val="center"/>
              <w:textAlignment w:val="baseline"/>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cs="Times New Roman"/>
                <w:color w:val="000000" w:themeColor="text1"/>
                <w:sz w:val="21"/>
                <w:szCs w:val="20"/>
                <w:highlight w:val="none"/>
                <w14:textFill>
                  <w14:solidFill>
                    <w14:schemeClr w14:val="tx1"/>
                  </w14:solidFill>
                </w14:textFill>
              </w:rPr>
              <w:t>压裂液储藏罐</w:t>
            </w:r>
          </w:p>
        </w:tc>
        <w:tc>
          <w:tcPr>
            <w:tcW w:w="3414" w:type="dxa"/>
            <w:shd w:val="clear" w:color="auto" w:fill="auto"/>
            <w:vAlign w:val="center"/>
          </w:tcPr>
          <w:p>
            <w:pPr>
              <w:widowControl/>
              <w:spacing w:line="240" w:lineRule="auto"/>
              <w:ind w:firstLine="0" w:firstLineChars="0"/>
              <w:textAlignment w:val="baseline"/>
              <w:rPr>
                <w:rFonts w:ascii="Times New Roman" w:hAnsi="Times New Roman" w:eastAsia="宋体" w:cs="Times New Roman"/>
                <w:color w:val="000000" w:themeColor="text1"/>
                <w:kern w:val="2"/>
                <w:sz w:val="21"/>
                <w:szCs w:val="20"/>
                <w:highlight w:val="none"/>
                <w:lang w:val="en-US" w:eastAsia="zh-CN" w:bidi="ar-SA"/>
                <w14:textFill>
                  <w14:solidFill>
                    <w14:schemeClr w14:val="tx1"/>
                  </w14:solidFill>
                </w14:textFill>
              </w:rPr>
            </w:pPr>
            <w:r>
              <w:rPr>
                <w:rFonts w:cs="Times New Roman"/>
                <w:color w:val="000000" w:themeColor="text1"/>
                <w:sz w:val="21"/>
                <w:szCs w:val="20"/>
                <w:highlight w:val="none"/>
                <w14:textFill>
                  <w14:solidFill>
                    <w14:schemeClr w14:val="tx1"/>
                  </w14:solidFill>
                </w14:textFill>
              </w:rPr>
              <w:t>40个40m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压裂液储罐</w:t>
            </w:r>
            <w:r>
              <w:rPr>
                <w:rFonts w:hint="eastAsia" w:cs="Times New Roman"/>
                <w:color w:val="000000" w:themeColor="text1"/>
                <w:sz w:val="21"/>
                <w:szCs w:val="20"/>
                <w:highlight w:val="none"/>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放喷池及放喷管线</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r>
              <w:rPr>
                <w:rFonts w:cs="Times New Roman"/>
                <w:color w:val="000000" w:themeColor="text1"/>
                <w:sz w:val="21"/>
                <w:szCs w:val="20"/>
                <w:highlight w:val="none"/>
                <w14:textFill>
                  <w14:solidFill>
                    <w14:schemeClr w14:val="tx1"/>
                  </w14:solidFill>
                </w14:textFill>
              </w:rPr>
              <w:t>300m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放喷池</w:t>
            </w:r>
            <w:r>
              <w:rPr>
                <w:rFonts w:hint="eastAsia" w:cs="Times New Roman"/>
                <w:color w:val="000000" w:themeColor="text1"/>
                <w:sz w:val="21"/>
                <w:szCs w:val="20"/>
                <w:highlight w:val="none"/>
                <w14:textFill>
                  <w14:solidFill>
                    <w14:schemeClr w14:val="tx1"/>
                  </w14:solidFill>
                </w14:textFill>
              </w:rPr>
              <w:t>1</w:t>
            </w:r>
            <w:r>
              <w:rPr>
                <w:rFonts w:cs="Times New Roman"/>
                <w:color w:val="000000" w:themeColor="text1"/>
                <w:sz w:val="21"/>
                <w:szCs w:val="20"/>
                <w:highlight w:val="none"/>
                <w14:textFill>
                  <w14:solidFill>
                    <w14:schemeClr w14:val="tx1"/>
                  </w14:solidFill>
                </w14:textFill>
              </w:rPr>
              <w:t>座</w:t>
            </w:r>
            <w:r>
              <w:rPr>
                <w:rFonts w:hint="eastAsia" w:cs="Times New Roman"/>
                <w:color w:val="000000" w:themeColor="text1"/>
                <w:sz w:val="21"/>
                <w:szCs w:val="20"/>
                <w:highlight w:val="none"/>
                <w14:textFill>
                  <w14:solidFill>
                    <w14:schemeClr w14:val="tx1"/>
                  </w14:solidFill>
                </w14:textFill>
              </w:rPr>
              <w:t>，利旧放喷池1座</w:t>
            </w:r>
            <w:r>
              <w:rPr>
                <w:rFonts w:cs="Times New Roman"/>
                <w:color w:val="000000" w:themeColor="text1"/>
                <w:sz w:val="21"/>
                <w:szCs w:val="20"/>
                <w:highlight w:val="none"/>
                <w14:textFill>
                  <w14:solidFill>
                    <w14:schemeClr w14:val="tx1"/>
                  </w14:solidFill>
                </w14:textFill>
              </w:rPr>
              <w:t>，放喷管使用双四通、二条放喷管线。</w:t>
            </w:r>
          </w:p>
        </w:tc>
        <w:tc>
          <w:tcPr>
            <w:tcW w:w="183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放喷废气、燃烧热辐射</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放喷点火系统</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自动、手动点火装置各1套</w:t>
            </w:r>
            <w:r>
              <w:rPr>
                <w:rFonts w:hint="eastAsia" w:cs="Times New Roman"/>
                <w:color w:val="000000" w:themeColor="text1"/>
                <w:sz w:val="21"/>
                <w:szCs w:val="20"/>
                <w:highlight w:val="none"/>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生活垃圾箱</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井场区域设1个</w:t>
            </w:r>
            <w:r>
              <w:rPr>
                <w:rFonts w:hint="eastAsia" w:cs="Times New Roman"/>
                <w:color w:val="000000" w:themeColor="text1"/>
                <w:sz w:val="21"/>
                <w:szCs w:val="20"/>
                <w:highlight w:val="none"/>
                <w:lang w:bidi="ar"/>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油罐区隔油池</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混凝土结构，2个</w:t>
            </w:r>
            <w:r>
              <w:rPr>
                <w:rFonts w:hint="eastAsia" w:cs="Times New Roman"/>
                <w:color w:val="000000" w:themeColor="text1"/>
                <w:sz w:val="21"/>
                <w:szCs w:val="20"/>
                <w:highlight w:val="none"/>
                <w:lang w:bidi="ar"/>
                <w14:textFill>
                  <w14:solidFill>
                    <w14:schemeClr w14:val="tx1"/>
                  </w14:solidFill>
                </w14:textFill>
              </w:rPr>
              <w:t>，单个容积</w:t>
            </w:r>
            <w:r>
              <w:rPr>
                <w:rFonts w:cs="Times New Roman"/>
                <w:color w:val="000000" w:themeColor="text1"/>
                <w:sz w:val="21"/>
                <w:szCs w:val="20"/>
                <w:highlight w:val="none"/>
                <w:lang w:bidi="ar"/>
                <w14:textFill>
                  <w14:solidFill>
                    <w14:schemeClr w14:val="tx1"/>
                  </w14:solidFill>
                </w14:textFill>
              </w:rPr>
              <w:t>1m</w:t>
            </w:r>
            <w:r>
              <w:rPr>
                <w:rFonts w:cs="Times New Roman"/>
                <w:color w:val="000000" w:themeColor="text1"/>
                <w:sz w:val="21"/>
                <w:szCs w:val="20"/>
                <w:highlight w:val="none"/>
                <w:vertAlign w:val="superscript"/>
                <w:lang w:bidi="ar"/>
                <w14:textFill>
                  <w14:solidFill>
                    <w14:schemeClr w14:val="tx1"/>
                  </w14:solidFill>
                </w14:textFill>
              </w:rPr>
              <w:t>3</w:t>
            </w:r>
            <w:r>
              <w:rPr>
                <w:rFonts w:hint="eastAsia" w:cs="Times New Roman"/>
                <w:color w:val="000000" w:themeColor="text1"/>
                <w:sz w:val="21"/>
                <w:szCs w:val="20"/>
                <w:highlight w:val="none"/>
                <w:lang w:bidi="ar"/>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34" w:hRule="atLeast"/>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油气集输工程</w:t>
            </w:r>
          </w:p>
        </w:tc>
        <w:tc>
          <w:tcPr>
            <w:tcW w:w="992"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通讯工程</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含光缆线路、光传输系统、工业以太网、站场广播对讲系统（PA/GA）、工业电视监控系统、周界报警系统、办公网及语音系统、气象系统、紧急疏散广播系统扩容、通信基站</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自动控制</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设置RTU系统，安装可燃气体探测器、硫化氢监测装置、摄像头和入侵检测报警装置</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消防系统</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场站内配置4具MF/ABC8手提式干粉灭火器和1台MFT/ABC20推车式干粉灭火器</w:t>
            </w:r>
            <w:r>
              <w:rPr>
                <w:rFonts w:hint="eastAsia" w:cs="Times New Roman"/>
                <w:color w:val="000000" w:themeColor="text1"/>
                <w:sz w:val="21"/>
                <w:szCs w:val="20"/>
                <w:highlight w:val="none"/>
                <w14:textFill>
                  <w14:solidFill>
                    <w14:schemeClr w14:val="tx1"/>
                  </w14:solidFill>
                </w14:textFill>
              </w:rPr>
              <w:t>、2具</w:t>
            </w:r>
            <w:r>
              <w:rPr>
                <w:rFonts w:cs="Times New Roman"/>
                <w:color w:val="000000" w:themeColor="text1"/>
                <w:sz w:val="21"/>
                <w:szCs w:val="20"/>
                <w:highlight w:val="none"/>
                <w14:textFill>
                  <w14:solidFill>
                    <w14:schemeClr w14:val="tx1"/>
                  </w14:solidFill>
                </w14:textFill>
              </w:rPr>
              <w:t>灭火器箱</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XMDDD-42</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restar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公用工程</w:t>
            </w:r>
          </w:p>
        </w:tc>
        <w:tc>
          <w:tcPr>
            <w:tcW w:w="83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钻前工程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w:t>
            </w:r>
          </w:p>
        </w:tc>
        <w:tc>
          <w:tcPr>
            <w:tcW w:w="3414"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钻井工程、储层改造工程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给水</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ascii="宋体" w:hAnsi="宋体" w:cs="宋体"/>
                <w:color w:val="000000" w:themeColor="text1"/>
                <w:sz w:val="21"/>
                <w:szCs w:val="20"/>
                <w:highlight w:val="none"/>
                <w14:textFill>
                  <w14:solidFill>
                    <w14:schemeClr w14:val="tx1"/>
                  </w14:solidFill>
                </w14:textFill>
              </w:rPr>
              <w:t>①</w:t>
            </w:r>
            <w:r>
              <w:rPr>
                <w:rFonts w:cs="Times New Roman"/>
                <w:color w:val="000000" w:themeColor="text1"/>
                <w:sz w:val="21"/>
                <w:szCs w:val="20"/>
                <w:highlight w:val="none"/>
                <w14:textFill>
                  <w14:solidFill>
                    <w14:schemeClr w14:val="tx1"/>
                  </w14:solidFill>
                </w14:textFill>
              </w:rPr>
              <w:t>生产用水：采用清洁化生产处理水作为生产用水，不足部分由水罐供给，采用运水车从</w:t>
            </w:r>
            <w:r>
              <w:rPr>
                <w:rFonts w:hint="eastAsia" w:cs="Times New Roman"/>
                <w:color w:val="000000" w:themeColor="text1"/>
                <w:sz w:val="21"/>
                <w:szCs w:val="20"/>
                <w:highlight w:val="none"/>
                <w14:textFill>
                  <w14:solidFill>
                    <w14:schemeClr w14:val="tx1"/>
                  </w14:solidFill>
                </w14:textFill>
              </w:rPr>
              <w:t>周边的后河取水</w:t>
            </w:r>
            <w:r>
              <w:rPr>
                <w:rFonts w:cs="Times New Roman"/>
                <w:color w:val="000000" w:themeColor="text1"/>
                <w:sz w:val="21"/>
                <w:szCs w:val="20"/>
                <w:highlight w:val="none"/>
                <w14:textFill>
                  <w14:solidFill>
                    <w14:schemeClr w14:val="tx1"/>
                  </w14:solidFill>
                </w14:textFill>
              </w:rPr>
              <w:t>，存放于生产水罐中</w:t>
            </w:r>
            <w:r>
              <w:rPr>
                <w:rFonts w:hint="eastAsia" w:cs="Times New Roman"/>
                <w:color w:val="000000" w:themeColor="text1"/>
                <w:sz w:val="21"/>
                <w:szCs w:val="20"/>
                <w:highlight w:val="none"/>
                <w14:textFill>
                  <w14:solidFill>
                    <w14:schemeClr w14:val="tx1"/>
                  </w14:solidFill>
                </w14:textFill>
              </w:rPr>
              <w:t>，取水需严格按照相关主管部门要求办理取水许可，且取水口需避开后河特有鱼类国家级水产种质资源保护区</w:t>
            </w:r>
            <w:r>
              <w:rPr>
                <w:rFonts w:cs="Times New Roman"/>
                <w:color w:val="000000" w:themeColor="text1"/>
                <w:sz w:val="21"/>
                <w:szCs w:val="20"/>
                <w:highlight w:val="none"/>
                <w14:textFill>
                  <w14:solidFill>
                    <w14:schemeClr w14:val="tx1"/>
                  </w14:solidFill>
                </w14:textFill>
              </w:rPr>
              <w:t>；</w:t>
            </w:r>
          </w:p>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ascii="宋体" w:hAnsi="宋体" w:cs="宋体"/>
                <w:color w:val="000000" w:themeColor="text1"/>
                <w:sz w:val="21"/>
                <w:szCs w:val="20"/>
                <w:highlight w:val="none"/>
                <w14:textFill>
                  <w14:solidFill>
                    <w14:schemeClr w14:val="tx1"/>
                  </w14:solidFill>
                </w14:textFill>
              </w:rPr>
              <w:t>②</w:t>
            </w:r>
            <w:r>
              <w:rPr>
                <w:rFonts w:cs="Times New Roman"/>
                <w:color w:val="000000" w:themeColor="text1"/>
                <w:sz w:val="21"/>
                <w:szCs w:val="20"/>
                <w:highlight w:val="none"/>
                <w14:textFill>
                  <w14:solidFill>
                    <w14:schemeClr w14:val="tx1"/>
                  </w14:solidFill>
                </w14:textFill>
              </w:rPr>
              <w:t>生活用水：车辆拉运桶装水至场地</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场外排水</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边坡坡顶设置截水沟，截水沟与自然水系连通</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场内排水</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修建场内排水沟及隔油池，实现井场范围内清水与污水分流（钻前工程修建）</w:t>
            </w:r>
            <w:r>
              <w:rPr>
                <w:rFonts w:hint="eastAsia" w:cs="Times New Roman"/>
                <w:color w:val="000000" w:themeColor="text1"/>
                <w:sz w:val="21"/>
                <w:szCs w:val="20"/>
                <w:highlight w:val="none"/>
                <w:lang w:bidi="ar"/>
                <w14:textFill>
                  <w14:solidFill>
                    <w14:schemeClr w14:val="tx1"/>
                  </w14:solidFill>
                </w14:textFill>
              </w:rPr>
              <w:t>。</w:t>
            </w:r>
          </w:p>
        </w:tc>
        <w:tc>
          <w:tcPr>
            <w:tcW w:w="183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渗漏污染土壤、地下水环境</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3" w:hRule="atLeast"/>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产污区的</w:t>
            </w:r>
            <w:r>
              <w:rPr>
                <w:rFonts w:hint="eastAsia" w:cs="Times New Roman"/>
                <w:color w:val="000000" w:themeColor="text1"/>
                <w:sz w:val="21"/>
                <w:szCs w:val="20"/>
                <w:highlight w:val="none"/>
                <w:lang w:bidi="ar"/>
                <w14:textFill>
                  <w14:solidFill>
                    <w14:schemeClr w14:val="tx1"/>
                  </w14:solidFill>
                </w14:textFill>
              </w:rPr>
              <w:t>雨水</w:t>
            </w:r>
            <w:r>
              <w:rPr>
                <w:rFonts w:cs="Times New Roman"/>
                <w:color w:val="000000" w:themeColor="text1"/>
                <w:sz w:val="21"/>
                <w:szCs w:val="20"/>
                <w:highlight w:val="none"/>
                <w:lang w:bidi="ar"/>
                <w14:textFill>
                  <w14:solidFill>
                    <w14:schemeClr w14:val="tx1"/>
                  </w14:solidFill>
                </w14:textFill>
              </w:rPr>
              <w:t>经集水坑和井口方井集水坑通过泵入</w:t>
            </w:r>
            <w:r>
              <w:rPr>
                <w:rFonts w:cs="Times New Roman"/>
                <w:color w:val="000000" w:themeColor="text1"/>
                <w:sz w:val="21"/>
                <w:szCs w:val="20"/>
                <w:highlight w:val="none"/>
                <w14:textFill>
                  <w14:solidFill>
                    <w14:schemeClr w14:val="tx1"/>
                  </w14:solidFill>
                </w14:textFill>
              </w:rPr>
              <w:t>清洁生产操作平台废水罐</w:t>
            </w:r>
            <w:r>
              <w:rPr>
                <w:rFonts w:hint="eastAsia" w:cs="Times New Roman"/>
                <w:color w:val="000000" w:themeColor="text1"/>
                <w:sz w:val="21"/>
                <w:szCs w:val="20"/>
                <w:highlight w:val="none"/>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井场清洁区雨水通过排水沟和隔油池处理后排入自然水系。排放口出口设置环境监测池</w:t>
            </w:r>
            <w:r>
              <w:rPr>
                <w:rFonts w:hint="eastAsia" w:cs="Times New Roman"/>
                <w:color w:val="000000" w:themeColor="text1"/>
                <w:sz w:val="21"/>
                <w:szCs w:val="20"/>
                <w:highlight w:val="none"/>
                <w:lang w:bidi="ar"/>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lang w:bidi="ar"/>
                <w14:textFill>
                  <w14:solidFill>
                    <w14:schemeClr w14:val="tx1"/>
                  </w14:solidFill>
                </w14:textFill>
              </w:rPr>
              <w:t>水罐区雨水排入自然水系。油罐区设置隔油池</w:t>
            </w:r>
            <w:r>
              <w:rPr>
                <w:rFonts w:hint="eastAsia" w:cs="Times New Roman"/>
                <w:color w:val="000000" w:themeColor="text1"/>
                <w:sz w:val="21"/>
                <w:szCs w:val="20"/>
                <w:highlight w:val="none"/>
                <w:lang w:bidi="ar"/>
                <w14:textFill>
                  <w14:solidFill>
                    <w14:schemeClr w14:val="tx1"/>
                  </w14:solidFill>
                </w14:textFill>
              </w:rPr>
              <w:t>2</w:t>
            </w:r>
            <w:r>
              <w:rPr>
                <w:rFonts w:cs="Times New Roman"/>
                <w:color w:val="000000" w:themeColor="text1"/>
                <w:sz w:val="21"/>
                <w:szCs w:val="20"/>
                <w:highlight w:val="none"/>
                <w:lang w:bidi="ar"/>
                <w14:textFill>
                  <w14:solidFill>
                    <w14:schemeClr w14:val="tx1"/>
                  </w14:solidFill>
                </w14:textFill>
              </w:rPr>
              <w:t>座处理</w:t>
            </w:r>
            <w:r>
              <w:rPr>
                <w:rFonts w:hint="eastAsia" w:cs="Times New Roman"/>
                <w:color w:val="000000" w:themeColor="text1"/>
                <w:sz w:val="21"/>
                <w:szCs w:val="20"/>
                <w:highlight w:val="none"/>
                <w:lang w:bidi="ar"/>
                <w14:textFill>
                  <w14:solidFill>
                    <w14:schemeClr w14:val="tx1"/>
                  </w14:solidFill>
                </w14:textFill>
              </w:rPr>
              <w:t>进入废水收集罐处理</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生活污水经生态厕所收集后定期由密闭罐车拉运至周边生活污水处理厂处理</w:t>
            </w:r>
            <w:r>
              <w:rPr>
                <w:rFonts w:hint="eastAsia" w:cs="Times New Roman"/>
                <w:color w:val="000000" w:themeColor="text1"/>
                <w:sz w:val="21"/>
                <w:szCs w:val="20"/>
                <w:highlight w:val="none"/>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供电</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从周边</w:t>
            </w:r>
            <w:r>
              <w:rPr>
                <w:rFonts w:cs="Times New Roman"/>
                <w:color w:val="000000" w:themeColor="text1"/>
                <w:sz w:val="21"/>
                <w:szCs w:val="20"/>
                <w:highlight w:val="none"/>
                <w14:textFill>
                  <w14:solidFill>
                    <w14:schemeClr w14:val="tx1"/>
                  </w14:solidFill>
                </w14:textFill>
              </w:rPr>
              <w:t>电网</w:t>
            </w:r>
            <w:r>
              <w:rPr>
                <w:rFonts w:hint="eastAsia" w:cs="Times New Roman"/>
                <w:color w:val="000000" w:themeColor="text1"/>
                <w:sz w:val="21"/>
                <w:szCs w:val="20"/>
                <w:highlight w:val="none"/>
                <w14:textFill>
                  <w14:solidFill>
                    <w14:schemeClr w14:val="tx1"/>
                  </w14:solidFill>
                </w14:textFill>
              </w:rPr>
              <w:t>引入</w:t>
            </w:r>
            <w:r>
              <w:rPr>
                <w:rFonts w:cs="Times New Roman"/>
                <w:color w:val="000000" w:themeColor="text1"/>
                <w:sz w:val="21"/>
                <w:szCs w:val="20"/>
                <w:highlight w:val="none"/>
                <w14:textFill>
                  <w14:solidFill>
                    <w14:schemeClr w14:val="tx1"/>
                  </w14:solidFill>
                </w14:textFill>
              </w:rPr>
              <w:t>供电</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油气集输工程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供配电</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周边</w:t>
            </w:r>
            <w:r>
              <w:rPr>
                <w:rFonts w:cs="Times New Roman"/>
                <w:color w:val="000000" w:themeColor="text1"/>
                <w:sz w:val="21"/>
                <w:szCs w:val="21"/>
                <w:highlight w:val="none"/>
                <w14:textFill>
                  <w14:solidFill>
                    <w14:schemeClr w14:val="tx1"/>
                  </w14:solidFill>
                </w14:textFill>
              </w:rPr>
              <w:t>10kV已建电网</w:t>
            </w:r>
            <w:r>
              <w:rPr>
                <w:rFonts w:hint="eastAsia" w:cs="Times New Roman"/>
                <w:color w:val="000000" w:themeColor="text1"/>
                <w:sz w:val="21"/>
                <w:szCs w:val="21"/>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环保工程</w:t>
            </w:r>
          </w:p>
        </w:tc>
        <w:tc>
          <w:tcPr>
            <w:tcW w:w="83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钻前工程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生活污水收集</w:t>
            </w:r>
            <w:r>
              <w:rPr>
                <w:rFonts w:hint="eastAsia" w:cs="Times New Roman"/>
                <w:color w:val="000000" w:themeColor="text1"/>
                <w:sz w:val="21"/>
                <w:szCs w:val="20"/>
                <w:highlight w:val="none"/>
                <w14:textFill>
                  <w14:solidFill>
                    <w14:schemeClr w14:val="tx1"/>
                  </w14:solidFill>
                </w14:textFill>
              </w:rPr>
              <w:t>处理</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依托周边农户厕所</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生活污水</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噪声治理</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选用低噪声设备、加强维护保养</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噪声</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排污沟</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井场采用雨污分流设计，</w:t>
            </w:r>
            <w:r>
              <w:rPr>
                <w:rFonts w:hint="eastAsia" w:cs="Times New Roman"/>
                <w:color w:val="000000" w:themeColor="text1"/>
                <w:sz w:val="21"/>
                <w:szCs w:val="20"/>
                <w:highlight w:val="none"/>
                <w14:textFill>
                  <w14:solidFill>
                    <w14:schemeClr w14:val="tx1"/>
                  </w14:solidFill>
                </w14:textFill>
              </w:rPr>
              <w:t>新建</w:t>
            </w:r>
            <w:r>
              <w:rPr>
                <w:rFonts w:cs="Times New Roman"/>
                <w:color w:val="000000" w:themeColor="text1"/>
                <w:sz w:val="21"/>
                <w:szCs w:val="20"/>
                <w:highlight w:val="none"/>
                <w14:textFill>
                  <w14:solidFill>
                    <w14:schemeClr w14:val="tx1"/>
                  </w14:solidFill>
                </w14:textFill>
              </w:rPr>
              <w:t>排水沟。沿设备基础新建0.35m宽环状排污沟</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放坡坡度i=0.5%。污水沟放坡开始位置可根据现场做适当调整，但必须满足正常放坡和无倒流</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场地雨水</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土石方工程</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剥离的表土与弃土集中堆放至表土堆放区（表土与弃土分开堆存养护），表土用于后期生态恢复，综合利用；管道</w:t>
            </w:r>
            <w:r>
              <w:rPr>
                <w:rFonts w:hint="eastAsia" w:cs="Times New Roman"/>
                <w:color w:val="000000" w:themeColor="text1"/>
                <w:sz w:val="21"/>
                <w:szCs w:val="20"/>
                <w:highlight w:val="none"/>
                <w14:textFill>
                  <w14:solidFill>
                    <w14:schemeClr w14:val="tx1"/>
                  </w14:solidFill>
                </w14:textFill>
              </w:rPr>
              <w:t>地面敷设，土石方量小</w:t>
            </w:r>
            <w:r>
              <w:rPr>
                <w:rFonts w:cs="Times New Roman"/>
                <w:color w:val="000000" w:themeColor="text1"/>
                <w:sz w:val="21"/>
                <w:szCs w:val="20"/>
                <w:highlight w:val="none"/>
                <w14:textFill>
                  <w14:solidFill>
                    <w14:schemeClr w14:val="tx1"/>
                  </w14:solidFill>
                </w14:textFill>
              </w:rPr>
              <w:t>，能够做到挖填方平衡</w:t>
            </w:r>
            <w:r>
              <w:rPr>
                <w:rFonts w:hint="eastAsia" w:cs="Times New Roman"/>
                <w:color w:val="000000" w:themeColor="text1"/>
                <w:sz w:val="21"/>
                <w:szCs w:val="20"/>
                <w:highlight w:val="none"/>
                <w14:textFill>
                  <w14:solidFill>
                    <w14:schemeClr w14:val="tx1"/>
                  </w14:solidFill>
                </w14:textFill>
              </w:rPr>
              <w:t>，</w:t>
            </w:r>
            <w:r>
              <w:rPr>
                <w:rFonts w:cs="Times New Roman"/>
                <w:color w:val="000000" w:themeColor="text1"/>
                <w:sz w:val="21"/>
                <w:szCs w:val="20"/>
                <w:highlight w:val="none"/>
                <w14:textFill>
                  <w14:solidFill>
                    <w14:schemeClr w14:val="tx1"/>
                  </w14:solidFill>
                </w14:textFill>
              </w:rPr>
              <w:t>表土</w:t>
            </w:r>
            <w:r>
              <w:rPr>
                <w:rFonts w:hint="eastAsia" w:cs="Times New Roman"/>
                <w:color w:val="000000" w:themeColor="text1"/>
                <w:sz w:val="21"/>
                <w:szCs w:val="20"/>
                <w:highlight w:val="none"/>
                <w14:textFill>
                  <w14:solidFill>
                    <w14:schemeClr w14:val="tx1"/>
                  </w14:solidFill>
                </w14:textFill>
              </w:rPr>
              <w:t>/弃土</w:t>
            </w:r>
            <w:r>
              <w:rPr>
                <w:rFonts w:cs="Times New Roman"/>
                <w:color w:val="000000" w:themeColor="text1"/>
                <w:sz w:val="21"/>
                <w:szCs w:val="20"/>
                <w:highlight w:val="none"/>
                <w14:textFill>
                  <w14:solidFill>
                    <w14:schemeClr w14:val="tx1"/>
                  </w14:solidFill>
                </w14:textFill>
              </w:rPr>
              <w:t>堆放区</w:t>
            </w:r>
            <w:r>
              <w:rPr>
                <w:rFonts w:hint="eastAsia" w:cs="Times New Roman"/>
                <w:color w:val="000000" w:themeColor="text1"/>
                <w:sz w:val="21"/>
                <w:szCs w:val="20"/>
                <w:highlight w:val="none"/>
                <w14:textFill>
                  <w14:solidFill>
                    <w14:schemeClr w14:val="tx1"/>
                  </w14:solidFill>
                </w14:textFill>
              </w:rPr>
              <w:t>占地面积约6300m</w:t>
            </w:r>
            <w:r>
              <w:rPr>
                <w:rFonts w:cs="Times New Roman"/>
                <w:color w:val="000000" w:themeColor="text1"/>
                <w:sz w:val="21"/>
                <w:szCs w:val="20"/>
                <w:highlight w:val="none"/>
                <w:vertAlign w:val="superscript"/>
                <w14:textFill>
                  <w14:solidFill>
                    <w14:schemeClr w14:val="tx1"/>
                  </w14:solidFill>
                </w14:textFill>
              </w:rPr>
              <w:t>2</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水土流失等</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建筑垃圾</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由施工队伍统一收集清运至政府指定处置场所处置。</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建筑垃圾</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生活垃圾收集</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生活垃圾设置垃圾桶集中收集，交由当地环卫部门处置</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生活垃圾</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钻井工程、储层改造工程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钻井废水</w:t>
            </w:r>
            <w:r>
              <w:rPr>
                <w:rFonts w:hint="eastAsia" w:cs="Times New Roman"/>
                <w:color w:val="000000" w:themeColor="text1"/>
                <w:sz w:val="21"/>
                <w:szCs w:val="20"/>
                <w:highlight w:val="none"/>
                <w14:textFill>
                  <w14:solidFill>
                    <w14:schemeClr w14:val="tx1"/>
                  </w14:solidFill>
                </w14:textFill>
              </w:rPr>
              <w:t>治理</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钻井废水</w:t>
            </w:r>
            <w:r>
              <w:rPr>
                <w:rFonts w:hint="eastAsia" w:cs="Times New Roman"/>
                <w:color w:val="000000" w:themeColor="text1"/>
                <w:sz w:val="21"/>
                <w:szCs w:val="21"/>
                <w:highlight w:val="none"/>
                <w14:textFill>
                  <w14:solidFill>
                    <w14:schemeClr w14:val="tx1"/>
                  </w14:solidFill>
                </w14:textFill>
              </w:rPr>
              <w:t>首先</w:t>
            </w:r>
            <w:r>
              <w:rPr>
                <w:rFonts w:cs="Times New Roman"/>
                <w:color w:val="000000" w:themeColor="text1"/>
                <w:sz w:val="21"/>
                <w:szCs w:val="21"/>
                <w:highlight w:val="none"/>
                <w14:textFill>
                  <w14:solidFill>
                    <w14:schemeClr w14:val="tx1"/>
                  </w14:solidFill>
                </w14:textFill>
              </w:rPr>
              <w:t>回用于钻井补充泥浆的配置，剩余不能回用部分</w:t>
            </w:r>
            <w:r>
              <w:rPr>
                <w:rFonts w:hint="eastAsia" w:cs="Times New Roman"/>
                <w:color w:val="000000" w:themeColor="text1"/>
                <w:sz w:val="21"/>
                <w:szCs w:val="21"/>
                <w:highlight w:val="none"/>
                <w14:textFill>
                  <w14:solidFill>
                    <w14:schemeClr w14:val="tx1"/>
                  </w14:solidFill>
                </w14:textFill>
              </w:rPr>
              <w:t>一起</w:t>
            </w:r>
            <w:r>
              <w:rPr>
                <w:rFonts w:cs="Times New Roman"/>
                <w:color w:val="000000" w:themeColor="text1"/>
                <w:sz w:val="21"/>
                <w:szCs w:val="21"/>
                <w:highlight w:val="none"/>
                <w14:textFill>
                  <w14:solidFill>
                    <w14:schemeClr w14:val="tx1"/>
                  </w14:solidFill>
                </w14:textFill>
              </w:rPr>
              <w:t>暂存在清洁生产操作平台的废水罐内，定期装车拉运至</w:t>
            </w:r>
            <w:r>
              <w:rPr>
                <w:rFonts w:hint="eastAsia" w:cs="Times New Roman"/>
                <w:color w:val="000000" w:themeColor="text1"/>
                <w:sz w:val="21"/>
                <w:szCs w:val="21"/>
                <w:highlight w:val="none"/>
                <w14:textFill>
                  <w14:solidFill>
                    <w14:schemeClr w14:val="tx1"/>
                  </w14:solidFill>
                </w14:textFill>
              </w:rPr>
              <w:t>赵家坝污水处理站</w:t>
            </w:r>
            <w:r>
              <w:rPr>
                <w:rFonts w:cs="Times New Roman"/>
                <w:color w:val="000000" w:themeColor="text1"/>
                <w:sz w:val="21"/>
                <w:szCs w:val="21"/>
                <w:highlight w:val="none"/>
                <w14:textFill>
                  <w14:solidFill>
                    <w14:schemeClr w14:val="tx1"/>
                  </w14:solidFill>
                </w14:textFill>
              </w:rPr>
              <w:t>达标后管输至</w:t>
            </w:r>
            <w:r>
              <w:rPr>
                <w:rFonts w:hint="eastAsia" w:cs="Times New Roman"/>
                <w:color w:val="000000" w:themeColor="text1"/>
                <w:sz w:val="21"/>
                <w:szCs w:val="21"/>
                <w:highlight w:val="none"/>
                <w14:textFill>
                  <w14:solidFill>
                    <w14:schemeClr w14:val="tx1"/>
                  </w14:solidFill>
                </w14:textFill>
              </w:rPr>
              <w:t>普光3井回注站</w:t>
            </w:r>
            <w:r>
              <w:rPr>
                <w:rFonts w:cs="Times New Roman"/>
                <w:color w:val="000000" w:themeColor="text1"/>
                <w:sz w:val="21"/>
                <w:szCs w:val="21"/>
                <w:highlight w:val="none"/>
                <w14:textFill>
                  <w14:solidFill>
                    <w14:schemeClr w14:val="tx1"/>
                  </w14:solidFill>
                </w14:textFill>
              </w:rPr>
              <w:t>回注</w:t>
            </w:r>
            <w:r>
              <w:rPr>
                <w:rFonts w:hint="eastAsia" w:cs="Times New Roman"/>
                <w:color w:val="000000" w:themeColor="text1"/>
                <w:sz w:val="21"/>
                <w:szCs w:val="21"/>
                <w:highlight w:val="none"/>
                <w14:textFill>
                  <w14:solidFill>
                    <w14:schemeClr w14:val="tx1"/>
                  </w14:solidFill>
                </w14:textFill>
              </w:rPr>
              <w:t>，不外排。</w:t>
            </w:r>
          </w:p>
        </w:tc>
        <w:tc>
          <w:tcPr>
            <w:tcW w:w="183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渗漏污染土壤、地下水、地表水环境</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r>
              <w:rPr>
                <w:rFonts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洗井废水治理</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洗井废水由</w:t>
            </w:r>
            <w:r>
              <w:rPr>
                <w:color w:val="000000" w:themeColor="text1"/>
                <w:sz w:val="21"/>
                <w:szCs w:val="21"/>
                <w:highlight w:val="none"/>
                <w14:textFill>
                  <w14:solidFill>
                    <w14:schemeClr w14:val="tx1"/>
                  </w14:solidFill>
                </w14:textFill>
              </w:rPr>
              <w:t>放喷池或</w:t>
            </w:r>
            <w:r>
              <w:rPr>
                <w:rFonts w:hint="eastAsia"/>
                <w:color w:val="000000" w:themeColor="text1"/>
                <w:sz w:val="21"/>
                <w:szCs w:val="21"/>
                <w:highlight w:val="none"/>
                <w14:textFill>
                  <w14:solidFill>
                    <w14:schemeClr w14:val="tx1"/>
                  </w14:solidFill>
                </w14:textFill>
              </w:rPr>
              <w:t>压裂</w:t>
            </w:r>
            <w:r>
              <w:rPr>
                <w:rFonts w:hint="eastAsia" w:cs="Times New Roman"/>
                <w:color w:val="000000" w:themeColor="text1"/>
                <w:sz w:val="21"/>
                <w:szCs w:val="21"/>
                <w:highlight w:val="none"/>
                <w14:textFill>
                  <w14:solidFill>
                    <w14:schemeClr w14:val="tx1"/>
                  </w14:solidFill>
                </w14:textFill>
              </w:rPr>
              <w:t>液储罐暂存，周边井场</w:t>
            </w:r>
            <w:r>
              <w:rPr>
                <w:color w:val="000000" w:themeColor="text1"/>
                <w:sz w:val="21"/>
                <w:szCs w:val="21"/>
                <w:highlight w:val="none"/>
                <w14:textFill>
                  <w14:solidFill>
                    <w14:schemeClr w14:val="tx1"/>
                  </w14:solidFill>
                </w14:textFill>
              </w:rPr>
              <w:t>不能回用</w:t>
            </w:r>
            <w:r>
              <w:rPr>
                <w:rFonts w:hint="eastAsia"/>
                <w:color w:val="000000" w:themeColor="text1"/>
                <w:sz w:val="21"/>
                <w:szCs w:val="21"/>
                <w:highlight w:val="none"/>
                <w14:textFill>
                  <w14:solidFill>
                    <w14:schemeClr w14:val="tx1"/>
                  </w14:solidFill>
                </w14:textFill>
              </w:rPr>
              <w:t>时</w:t>
            </w:r>
            <w:r>
              <w:rPr>
                <w:color w:val="000000" w:themeColor="text1"/>
                <w:sz w:val="21"/>
                <w:szCs w:val="21"/>
                <w:highlight w:val="none"/>
                <w14:textFill>
                  <w14:solidFill>
                    <w14:schemeClr w14:val="tx1"/>
                  </w14:solidFill>
                </w14:textFill>
              </w:rPr>
              <w:t>用</w:t>
            </w:r>
            <w:r>
              <w:rPr>
                <w:rFonts w:cs="Times New Roman"/>
                <w:color w:val="000000" w:themeColor="text1"/>
                <w:sz w:val="21"/>
                <w:szCs w:val="21"/>
                <w:highlight w:val="none"/>
                <w14:textFill>
                  <w14:solidFill>
                    <w14:schemeClr w14:val="tx1"/>
                  </w14:solidFill>
                </w14:textFill>
              </w:rPr>
              <w:t>拉运至</w:t>
            </w:r>
            <w:r>
              <w:rPr>
                <w:rFonts w:hint="eastAsia" w:cs="Times New Roman"/>
                <w:color w:val="000000" w:themeColor="text1"/>
                <w:sz w:val="21"/>
                <w:szCs w:val="21"/>
                <w:highlight w:val="none"/>
                <w14:textFill>
                  <w14:solidFill>
                    <w14:schemeClr w14:val="tx1"/>
                  </w14:solidFill>
                </w14:textFill>
              </w:rPr>
              <w:t>赵家坝污水处理站处理</w:t>
            </w:r>
            <w:r>
              <w:rPr>
                <w:rFonts w:cs="Times New Roman"/>
                <w:color w:val="000000" w:themeColor="text1"/>
                <w:sz w:val="21"/>
                <w:szCs w:val="21"/>
                <w:highlight w:val="none"/>
                <w14:textFill>
                  <w14:solidFill>
                    <w14:schemeClr w14:val="tx1"/>
                  </w14:solidFill>
                </w14:textFill>
              </w:rPr>
              <w:t>达标后管输至</w:t>
            </w:r>
            <w:r>
              <w:rPr>
                <w:rFonts w:hint="eastAsia" w:cs="Times New Roman"/>
                <w:color w:val="000000" w:themeColor="text1"/>
                <w:sz w:val="21"/>
                <w:szCs w:val="21"/>
                <w:highlight w:val="none"/>
                <w14:textFill>
                  <w14:solidFill>
                    <w14:schemeClr w14:val="tx1"/>
                  </w14:solidFill>
                </w14:textFill>
              </w:rPr>
              <w:t>普光3井回注站回注，不外排。</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r>
              <w:rPr>
                <w:rFonts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压裂返排液</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压裂返排液临时暂存于压裂液储罐内，优先回用于气田周边其他井场配置压裂液使用，若周边井场暂无法使用或压裂返排液水质无法满足回用要求时，则通过密闭罐车定期拉运至赵家坝污水处理站处理达标后管输至</w:t>
            </w:r>
            <w:r>
              <w:rPr>
                <w:rFonts w:hint="eastAsia" w:cs="Times New Roman"/>
                <w:color w:val="000000" w:themeColor="text1"/>
                <w:sz w:val="21"/>
                <w:szCs w:val="21"/>
                <w:highlight w:val="none"/>
                <w14:textFill>
                  <w14:solidFill>
                    <w14:schemeClr w14:val="tx1"/>
                  </w14:solidFill>
                </w14:textFill>
              </w:rPr>
              <w:t>普光3井回注站回注，不外排。</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r>
              <w:rPr>
                <w:rFonts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生活污水</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经生态厕所收集后定期由密闭罐车拉运至周边生活污水处理厂处理</w:t>
            </w:r>
          </w:p>
        </w:tc>
        <w:tc>
          <w:tcPr>
            <w:tcW w:w="1831"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r>
              <w:rPr>
                <w:rFonts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初期雨水</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初期雨水同钻井废水一并经不落地装置处理后大部分回用于配制钻井液，剩余不能回用部分暂存于清洁生产操作平台的废水罐内，定期装车拉运至赵家坝污水处理站处理达标后经普光3井回注站回注</w:t>
            </w:r>
          </w:p>
        </w:tc>
        <w:tc>
          <w:tcPr>
            <w:tcW w:w="1831"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r>
              <w:rPr>
                <w:rFonts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钻井</w:t>
            </w:r>
            <w:r>
              <w:rPr>
                <w:rFonts w:cs="Times New Roman"/>
                <w:color w:val="000000" w:themeColor="text1"/>
                <w:sz w:val="21"/>
                <w:szCs w:val="20"/>
                <w:highlight w:val="none"/>
                <w14:textFill>
                  <w14:solidFill>
                    <w14:schemeClr w14:val="tx1"/>
                  </w14:solidFill>
                </w14:textFill>
              </w:rPr>
              <w:t>施工粉尘</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硬化进出口并采取冲洗、洒水等措施控制扬尘</w:t>
            </w:r>
            <w:r>
              <w:rPr>
                <w:rFonts w:hint="eastAsia" w:cs="Times New Roman"/>
                <w:color w:val="000000" w:themeColor="text1"/>
                <w:sz w:val="21"/>
                <w:szCs w:val="20"/>
                <w:highlight w:val="none"/>
                <w14:textFill>
                  <w14:solidFill>
                    <w14:schemeClr w14:val="tx1"/>
                  </w14:solidFill>
                </w14:textFill>
              </w:rPr>
              <w:t>。</w:t>
            </w:r>
          </w:p>
        </w:tc>
        <w:tc>
          <w:tcPr>
            <w:tcW w:w="183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废气影响</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备用柴油发电机</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柴油机经自带尾气处理系统后经过自带排气筒排放</w:t>
            </w:r>
            <w:r>
              <w:rPr>
                <w:rFonts w:hint="eastAsia" w:cs="Times New Roman"/>
                <w:color w:val="000000" w:themeColor="text1"/>
                <w:sz w:val="21"/>
                <w:szCs w:val="20"/>
                <w:highlight w:val="none"/>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测试放喷废气</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放喷期间应临时撤离放喷口周边500m的居民</w:t>
            </w:r>
            <w:r>
              <w:rPr>
                <w:rFonts w:hint="eastAsia" w:cs="Times New Roman"/>
                <w:color w:val="000000" w:themeColor="text1"/>
                <w:sz w:val="21"/>
                <w:szCs w:val="20"/>
                <w:highlight w:val="none"/>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事故放喷废气</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通过专用的放喷管线将天然气引至放喷池进行点火放喷，放喷前建设单位应对距离井口500m范围内的居民临时撤离，并建立警戒点进行24小时警戒，严禁居民靠近。</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r>
              <w:rPr>
                <w:rFonts w:hint="eastAsia" w:cs="Times New Roman"/>
                <w:color w:val="000000" w:themeColor="text1"/>
                <w:sz w:val="21"/>
                <w:szCs w:val="20"/>
                <w:highlight w:val="none"/>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废水基</w:t>
            </w:r>
            <w:r>
              <w:rPr>
                <w:rFonts w:hint="eastAsia" w:cs="Times New Roman"/>
                <w:color w:val="000000" w:themeColor="text1"/>
                <w:sz w:val="21"/>
                <w:szCs w:val="20"/>
                <w:highlight w:val="none"/>
                <w14:textFill>
                  <w14:solidFill>
                    <w14:schemeClr w14:val="tx1"/>
                  </w14:solidFill>
                </w14:textFill>
              </w:rPr>
              <w:t>钻井</w:t>
            </w:r>
            <w:r>
              <w:rPr>
                <w:rFonts w:cs="Times New Roman"/>
                <w:color w:val="000000" w:themeColor="text1"/>
                <w:sz w:val="21"/>
                <w:szCs w:val="20"/>
                <w:highlight w:val="none"/>
                <w14:textFill>
                  <w14:solidFill>
                    <w14:schemeClr w14:val="tx1"/>
                  </w14:solidFill>
                </w14:textFill>
              </w:rPr>
              <w:t>泥浆及岩屑处置</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本项目采用清洁化操作平台，并采取泥浆不落地措施。项目常规钻产生的废弃泥浆与废岩屑暂存于</w:t>
            </w:r>
            <w:r>
              <w:rPr>
                <w:rFonts w:hint="eastAsia" w:cs="Times New Roman"/>
                <w:color w:val="000000" w:themeColor="text1"/>
                <w:sz w:val="21"/>
                <w:szCs w:val="20"/>
                <w:highlight w:val="none"/>
                <w14:textFill>
                  <w14:solidFill>
                    <w14:schemeClr w14:val="tx1"/>
                  </w14:solidFill>
                </w14:textFill>
              </w:rPr>
              <w:t>钻井固废暂存区</w:t>
            </w:r>
            <w:r>
              <w:rPr>
                <w:rFonts w:cs="Times New Roman"/>
                <w:color w:val="000000" w:themeColor="text1"/>
                <w:sz w:val="21"/>
                <w:szCs w:val="20"/>
                <w:highlight w:val="none"/>
                <w14:textFill>
                  <w14:solidFill>
                    <w14:schemeClr w14:val="tx1"/>
                  </w14:solidFill>
                </w14:textFill>
              </w:rPr>
              <w:t>（共用1处，占地约60m</w:t>
            </w:r>
            <w:r>
              <w:rPr>
                <w:rFonts w:cs="Times New Roman"/>
                <w:color w:val="000000" w:themeColor="text1"/>
                <w:sz w:val="21"/>
                <w:szCs w:val="20"/>
                <w:highlight w:val="none"/>
                <w:vertAlign w:val="superscript"/>
                <w14:textFill>
                  <w14:solidFill>
                    <w14:schemeClr w14:val="tx1"/>
                  </w14:solidFill>
                </w14:textFill>
              </w:rPr>
              <w:t>2</w:t>
            </w:r>
            <w:r>
              <w:rPr>
                <w:rFonts w:cs="Times New Roman"/>
                <w:color w:val="000000" w:themeColor="text1"/>
                <w:sz w:val="21"/>
                <w:szCs w:val="20"/>
                <w:highlight w:val="none"/>
                <w14:textFill>
                  <w14:solidFill>
                    <w14:schemeClr w14:val="tx1"/>
                  </w14:solidFill>
                </w14:textFill>
              </w:rPr>
              <w:t>），及时就近交给依法取得生态环境部门关于利用和处置相关工业固体废物项目环评批复、具有处理处置相应固体废物能力并配套建设有废气、废水、固废等污染物治理设施的单位进行资源化利用</w:t>
            </w:r>
            <w:r>
              <w:rPr>
                <w:rFonts w:hint="eastAsia" w:cs="Times New Roman"/>
                <w:color w:val="000000" w:themeColor="text1"/>
                <w:sz w:val="21"/>
                <w:szCs w:val="20"/>
                <w:highlight w:val="none"/>
                <w14:textFill>
                  <w14:solidFill>
                    <w14:schemeClr w14:val="tx1"/>
                  </w14:solidFill>
                </w14:textFill>
              </w:rPr>
              <w:t>。</w:t>
            </w:r>
          </w:p>
        </w:tc>
        <w:tc>
          <w:tcPr>
            <w:tcW w:w="1831"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泄漏污染</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r>
              <w:rPr>
                <w:rFonts w:hint="eastAsia"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废</w:t>
            </w:r>
            <w:r>
              <w:rPr>
                <w:rFonts w:cs="Times New Roman"/>
                <w:color w:val="000000" w:themeColor="text1"/>
                <w:sz w:val="21"/>
                <w:szCs w:val="20"/>
                <w:highlight w:val="none"/>
                <w14:textFill>
                  <w14:solidFill>
                    <w14:schemeClr w14:val="tx1"/>
                  </w14:solidFill>
                </w14:textFill>
              </w:rPr>
              <w:t>油基钻井废泥浆、岩屑</w:t>
            </w:r>
            <w:r>
              <w:rPr>
                <w:rFonts w:hint="eastAsia" w:cs="Times New Roman"/>
                <w:color w:val="000000" w:themeColor="text1"/>
                <w:sz w:val="21"/>
                <w:szCs w:val="20"/>
                <w:highlight w:val="none"/>
                <w14:textFill>
                  <w14:solidFill>
                    <w14:schemeClr w14:val="tx1"/>
                  </w14:solidFill>
                </w14:textFill>
              </w:rPr>
              <w:t>处置（若钻遇特殊地层）</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油基钻井废泥浆、岩屑暂存于新建的60m</w:t>
            </w:r>
            <w:r>
              <w:rPr>
                <w:rFonts w:cs="Times New Roman"/>
                <w:color w:val="000000" w:themeColor="text1"/>
                <w:sz w:val="21"/>
                <w:szCs w:val="20"/>
                <w:highlight w:val="none"/>
                <w:vertAlign w:val="superscript"/>
                <w14:textFill>
                  <w14:solidFill>
                    <w14:schemeClr w14:val="tx1"/>
                  </w14:solidFill>
                </w14:textFill>
              </w:rPr>
              <w:t>2</w:t>
            </w:r>
            <w:r>
              <w:rPr>
                <w:rFonts w:cs="Times New Roman"/>
                <w:color w:val="000000" w:themeColor="text1"/>
                <w:sz w:val="21"/>
                <w:szCs w:val="20"/>
                <w:highlight w:val="none"/>
                <w14:textFill>
                  <w14:solidFill>
                    <w14:schemeClr w14:val="tx1"/>
                  </w14:solidFill>
                </w14:textFill>
              </w:rPr>
              <w:t>危险废物暂存场所（</w:t>
            </w:r>
            <w:r>
              <w:rPr>
                <w:rFonts w:hint="eastAsia" w:cs="Times New Roman"/>
                <w:color w:val="000000" w:themeColor="text1"/>
                <w:sz w:val="21"/>
                <w:szCs w:val="20"/>
                <w:highlight w:val="none"/>
                <w14:textFill>
                  <w14:solidFill>
                    <w14:schemeClr w14:val="tx1"/>
                  </w14:solidFill>
                </w14:textFill>
              </w:rPr>
              <w:t>若使用油基岩屑钻井时设置，</w:t>
            </w:r>
            <w:r>
              <w:rPr>
                <w:rFonts w:cs="Times New Roman"/>
                <w:color w:val="000000" w:themeColor="text1"/>
                <w:sz w:val="21"/>
                <w:szCs w:val="20"/>
                <w:highlight w:val="none"/>
                <w14:textFill>
                  <w14:solidFill>
                    <w14:schemeClr w14:val="tx1"/>
                  </w14:solidFill>
                </w14:textFill>
              </w:rPr>
              <w:t>共用1处，采取必要的防风、防晒、防雨、防漏、防渗、防腐以及其他环境污染防治措施，不得露天堆放危险废物），泥浆和油基钻井岩屑及时交由有资质的单位处置</w:t>
            </w:r>
            <w:r>
              <w:rPr>
                <w:rFonts w:hint="eastAsia" w:cs="Times New Roman"/>
                <w:color w:val="000000" w:themeColor="text1"/>
                <w:sz w:val="21"/>
                <w:szCs w:val="20"/>
                <w:highlight w:val="none"/>
                <w14:textFill>
                  <w14:solidFill>
                    <w14:schemeClr w14:val="tx1"/>
                  </w14:solidFill>
                </w14:textFill>
              </w:rPr>
              <w:t>。</w:t>
            </w:r>
          </w:p>
        </w:tc>
        <w:tc>
          <w:tcPr>
            <w:tcW w:w="183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生活垃圾</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井场区域设1个垃圾箱，完工后外运交由环卫集中收集处置</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废包装材料</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集中收集后部分回用，剩余的送当地废品回收站处理</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废油</w:t>
            </w:r>
            <w:r>
              <w:rPr>
                <w:rFonts w:hint="eastAsia"/>
                <w:color w:val="000000" w:themeColor="text1"/>
                <w:sz w:val="21"/>
                <w:szCs w:val="21"/>
                <w:highlight w:val="none"/>
                <w14:textFill>
                  <w14:solidFill>
                    <w14:schemeClr w14:val="tx1"/>
                  </w14:solidFill>
                </w14:textFill>
              </w:rPr>
              <w:t>、废含油抹布和手套等含油固废</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钻井机械保养维修产生的废油</w:t>
            </w:r>
            <w:r>
              <w:rPr>
                <w:rFonts w:hint="eastAsia" w:cs="Times New Roman"/>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废含油抹布和手套</w:t>
            </w:r>
            <w:r>
              <w:rPr>
                <w:rFonts w:cs="Times New Roman"/>
                <w:color w:val="000000" w:themeColor="text1"/>
                <w:sz w:val="21"/>
                <w:szCs w:val="21"/>
                <w:highlight w:val="none"/>
                <w14:textFill>
                  <w14:solidFill>
                    <w14:schemeClr w14:val="tx1"/>
                  </w14:solidFill>
                </w14:textFill>
              </w:rPr>
              <w:t>由回收桶</w:t>
            </w:r>
            <w:r>
              <w:rPr>
                <w:rFonts w:hint="eastAsia" w:cs="Times New Roman"/>
                <w:color w:val="000000" w:themeColor="text1"/>
                <w:sz w:val="21"/>
                <w:szCs w:val="21"/>
                <w:highlight w:val="none"/>
                <w14:textFill>
                  <w14:solidFill>
                    <w14:schemeClr w14:val="tx1"/>
                  </w14:solidFill>
                </w14:textFill>
              </w:rPr>
              <w:t>分类</w:t>
            </w:r>
            <w:r>
              <w:rPr>
                <w:rFonts w:cs="Times New Roman"/>
                <w:color w:val="000000" w:themeColor="text1"/>
                <w:sz w:val="21"/>
                <w:szCs w:val="21"/>
                <w:highlight w:val="none"/>
                <w14:textFill>
                  <w14:solidFill>
                    <w14:schemeClr w14:val="tx1"/>
                  </w14:solidFill>
                </w14:textFill>
              </w:rPr>
              <w:t>收集，暂存于泥浆不落地装置区临时堆放区内，并采取防扬散、防流失、防渗漏或者其他防止污染环境的措施，</w:t>
            </w:r>
            <w:r>
              <w:rPr>
                <w:rFonts w:hint="eastAsia" w:cs="Times New Roman"/>
                <w:color w:val="000000" w:themeColor="text1"/>
                <w:sz w:val="21"/>
                <w:szCs w:val="21"/>
                <w:highlight w:val="none"/>
                <w14:textFill>
                  <w14:solidFill>
                    <w14:schemeClr w14:val="tx1"/>
                  </w14:solidFill>
                </w14:textFill>
              </w:rPr>
              <w:t>暂存废油的废油桶</w:t>
            </w:r>
            <w:r>
              <w:rPr>
                <w:rFonts w:cs="Times New Roman"/>
                <w:color w:val="000000" w:themeColor="text1"/>
                <w:sz w:val="21"/>
                <w:szCs w:val="21"/>
                <w:highlight w:val="none"/>
                <w14:textFill>
                  <w14:solidFill>
                    <w14:schemeClr w14:val="tx1"/>
                  </w14:solidFill>
                </w14:textFill>
              </w:rPr>
              <w:t>设置围堰或托盘，</w:t>
            </w:r>
            <w:r>
              <w:rPr>
                <w:rFonts w:hint="eastAsia" w:cs="Times New Roman"/>
                <w:color w:val="000000" w:themeColor="text1"/>
                <w:sz w:val="21"/>
                <w:szCs w:val="21"/>
                <w:highlight w:val="none"/>
                <w14:textFill>
                  <w14:solidFill>
                    <w14:schemeClr w14:val="tx1"/>
                  </w14:solidFill>
                </w14:textFill>
              </w:rPr>
              <w:t>废油由钻井队综合利用或</w:t>
            </w:r>
            <w:r>
              <w:rPr>
                <w:rFonts w:cs="Times New Roman"/>
                <w:color w:val="000000" w:themeColor="text1"/>
                <w:sz w:val="21"/>
                <w:szCs w:val="21"/>
                <w:highlight w:val="none"/>
                <w14:textFill>
                  <w14:solidFill>
                    <w14:schemeClr w14:val="tx1"/>
                  </w14:solidFill>
                </w14:textFill>
              </w:rPr>
              <w:t>完钻后交由有资质的单位处置</w:t>
            </w:r>
            <w:r>
              <w:rPr>
                <w:rFonts w:hint="eastAsia" w:cs="Times New Roman"/>
                <w:color w:val="000000" w:themeColor="text1"/>
                <w:sz w:val="21"/>
                <w:szCs w:val="21"/>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泄漏污染</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完井搬迁建筑垃圾</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施工队伍统一收集清运至政府指定地方</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噪声治理</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本项目周边已有完善的供电系统，采用网电，噪声较小；选用低噪声的施工机械和工艺，加强各类施工设备的维护和保养；对振动较大的固定机械设备加装基座减振</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生态保护</w:t>
            </w:r>
            <w:r>
              <w:rPr>
                <w:rFonts w:hint="eastAsia" w:cs="Times New Roman"/>
                <w:color w:val="000000" w:themeColor="text1"/>
                <w:sz w:val="21"/>
                <w:szCs w:val="20"/>
                <w:highlight w:val="none"/>
                <w14:textFill>
                  <w14:solidFill>
                    <w14:schemeClr w14:val="tx1"/>
                  </w14:solidFill>
                </w14:textFill>
              </w:rPr>
              <w:t>措施</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放喷池建挡墙较小热辐射影响；对热辐射破坏的植被进行补偿</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r>
              <w:rPr>
                <w:rFonts w:hint="eastAsia" w:cs="Times New Roman"/>
                <w:color w:val="000000" w:themeColor="text1"/>
                <w:sz w:val="21"/>
                <w:szCs w:val="20"/>
                <w:highlight w:val="none"/>
                <w14:textFill>
                  <w14:solidFill>
                    <w14:schemeClr w14:val="tx1"/>
                  </w14:solidFill>
                </w14:textFill>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生态恢复</w:t>
            </w:r>
            <w:r>
              <w:rPr>
                <w:rFonts w:hint="eastAsia" w:cs="Times New Roman"/>
                <w:color w:val="000000" w:themeColor="text1"/>
                <w:sz w:val="21"/>
                <w:szCs w:val="20"/>
                <w:highlight w:val="none"/>
                <w14:textFill>
                  <w14:solidFill>
                    <w14:schemeClr w14:val="tx1"/>
                  </w14:solidFill>
                </w14:textFill>
              </w:rPr>
              <w:t>措施</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根据《</w:t>
            </w:r>
            <w:r>
              <w:rPr>
                <w:rFonts w:hint="eastAsia" w:cs="Times New Roman"/>
                <w:color w:val="000000" w:themeColor="text1"/>
                <w:sz w:val="21"/>
                <w:szCs w:val="20"/>
                <w:highlight w:val="none"/>
                <w14:textFill>
                  <w14:solidFill>
                    <w14:schemeClr w14:val="tx1"/>
                  </w14:solidFill>
                </w14:textFill>
              </w:rPr>
              <w:t>中华人民共和国</w:t>
            </w:r>
            <w:r>
              <w:rPr>
                <w:rFonts w:cs="Times New Roman"/>
                <w:color w:val="000000" w:themeColor="text1"/>
                <w:sz w:val="21"/>
                <w:szCs w:val="20"/>
                <w:highlight w:val="none"/>
                <w14:textFill>
                  <w14:solidFill>
                    <w14:schemeClr w14:val="tx1"/>
                  </w14:solidFill>
                </w14:textFill>
              </w:rPr>
              <w:t>土地管理法》规定相关地方规定对工程占地进行补偿</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17" w:hRule="atLeast"/>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环境风险防范措施</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泥浆储备罐罐区周边设置0.3m高围堰，容积10m</w:t>
            </w:r>
            <w:r>
              <w:rPr>
                <w:rFonts w:cs="Times New Roman"/>
                <w:color w:val="000000" w:themeColor="text1"/>
                <w:sz w:val="21"/>
                <w:szCs w:val="20"/>
                <w:highlight w:val="none"/>
                <w:vertAlign w:val="superscript"/>
                <w14:textFill>
                  <w14:solidFill>
                    <w14:schemeClr w14:val="tx1"/>
                  </w14:solidFill>
                </w14:textFill>
              </w:rPr>
              <w:t>3</w:t>
            </w:r>
            <w:r>
              <w:rPr>
                <w:rFonts w:cs="Times New Roman"/>
                <w:color w:val="000000" w:themeColor="text1"/>
                <w:sz w:val="21"/>
                <w:szCs w:val="20"/>
                <w:highlight w:val="none"/>
                <w14:textFill>
                  <w14:solidFill>
                    <w14:schemeClr w14:val="tx1"/>
                  </w14:solidFill>
                </w14:textFill>
              </w:rPr>
              <w:t>；柴油罐区周边设置0.3m高围堰，容积20m</w:t>
            </w:r>
            <w:r>
              <w:rPr>
                <w:rFonts w:cs="Times New Roman"/>
                <w:color w:val="000000" w:themeColor="text1"/>
                <w:sz w:val="21"/>
                <w:szCs w:val="20"/>
                <w:highlight w:val="none"/>
                <w:vertAlign w:val="superscript"/>
                <w14:textFill>
                  <w14:solidFill>
                    <w14:schemeClr w14:val="tx1"/>
                  </w14:solidFill>
                </w14:textFill>
              </w:rPr>
              <w:t>3</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渗漏污染土壤、地下水、地表水环境</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油气集输工程</w:t>
            </w: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废水</w:t>
            </w:r>
            <w:r>
              <w:rPr>
                <w:rFonts w:hint="eastAsia" w:cs="Times New Roman"/>
                <w:color w:val="000000" w:themeColor="text1"/>
                <w:sz w:val="21"/>
                <w:szCs w:val="20"/>
                <w:highlight w:val="none"/>
                <w14:textFill>
                  <w14:solidFill>
                    <w14:schemeClr w14:val="tx1"/>
                  </w14:solidFill>
                </w14:textFill>
              </w:rPr>
              <w:t>治理</w:t>
            </w:r>
          </w:p>
        </w:tc>
        <w:tc>
          <w:tcPr>
            <w:tcW w:w="3414" w:type="dxa"/>
            <w:vAlign w:val="center"/>
          </w:tcPr>
          <w:p>
            <w:pPr>
              <w:widowControl/>
              <w:spacing w:line="240" w:lineRule="auto"/>
              <w:ind w:firstLine="0" w:firstLineChars="0"/>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施工期管道试压废水经沉淀后用于降尘使用，不外排。</w:t>
            </w:r>
            <w:r>
              <w:rPr>
                <w:rFonts w:cs="Times New Roman"/>
                <w:color w:val="000000" w:themeColor="text1"/>
                <w:sz w:val="21"/>
                <w:szCs w:val="20"/>
                <w:highlight w:val="none"/>
                <w14:textFill>
                  <w14:solidFill>
                    <w14:schemeClr w14:val="tx1"/>
                  </w14:solidFill>
                </w14:textFill>
              </w:rPr>
              <w:t>试采期</w:t>
            </w:r>
            <w:r>
              <w:rPr>
                <w:rFonts w:hint="eastAsia" w:cs="Times New Roman"/>
                <w:color w:val="000000" w:themeColor="text1"/>
                <w:sz w:val="21"/>
                <w:szCs w:val="20"/>
                <w:highlight w:val="none"/>
                <w14:textFill>
                  <w14:solidFill>
                    <w14:schemeClr w14:val="tx1"/>
                  </w14:solidFill>
                </w14:textFill>
              </w:rPr>
              <w:t>大湾408-3井场</w:t>
            </w:r>
            <w:r>
              <w:rPr>
                <w:rFonts w:cs="Times New Roman"/>
                <w:color w:val="000000" w:themeColor="text1"/>
                <w:sz w:val="21"/>
                <w:szCs w:val="20"/>
                <w:highlight w:val="none"/>
                <w14:textFill>
                  <w14:solidFill>
                    <w14:schemeClr w14:val="tx1"/>
                  </w14:solidFill>
                </w14:textFill>
              </w:rPr>
              <w:t>采</w:t>
            </w:r>
            <w:r>
              <w:rPr>
                <w:rFonts w:hint="eastAsia" w:cs="Times New Roman"/>
                <w:color w:val="000000" w:themeColor="text1"/>
                <w:sz w:val="21"/>
                <w:szCs w:val="20"/>
                <w:highlight w:val="none"/>
                <w14:textFill>
                  <w14:solidFill>
                    <w14:schemeClr w14:val="tx1"/>
                  </w14:solidFill>
                </w14:textFill>
              </w:rPr>
              <w:t>出水</w:t>
            </w:r>
            <w:r>
              <w:rPr>
                <w:rFonts w:hint="eastAsia" w:cs="Times New Roman"/>
                <w:color w:val="000000" w:themeColor="text1"/>
                <w:sz w:val="21"/>
                <w:szCs w:val="20"/>
                <w:highlight w:val="none"/>
                <w:lang w:eastAsia="zh-CN"/>
                <w14:textFill>
                  <w14:solidFill>
                    <w14:schemeClr w14:val="tx1"/>
                  </w14:solidFill>
                </w14:textFill>
              </w:rPr>
              <w:t>通过拟建管线外输至大湾408试采站已建临时分酸分离器分离后进入酸液缓冲罐收集暂存</w:t>
            </w:r>
            <w:r>
              <w:rPr>
                <w:rFonts w:cs="Times New Roman"/>
                <w:color w:val="000000" w:themeColor="text1"/>
                <w:sz w:val="21"/>
                <w:szCs w:val="20"/>
                <w:highlight w:val="none"/>
                <w14:textFill>
                  <w14:solidFill>
                    <w14:schemeClr w14:val="tx1"/>
                  </w14:solidFill>
                </w14:textFill>
              </w:rPr>
              <w:t>，然后通过密闭罐车拉运至</w:t>
            </w:r>
            <w:r>
              <w:rPr>
                <w:rFonts w:hint="eastAsia" w:cs="Times New Roman"/>
                <w:color w:val="000000" w:themeColor="text1"/>
                <w:sz w:val="21"/>
                <w:szCs w:val="20"/>
                <w:highlight w:val="none"/>
                <w14:textFill>
                  <w14:solidFill>
                    <w14:schemeClr w14:val="tx1"/>
                  </w14:solidFill>
                </w14:textFill>
              </w:rPr>
              <w:t>赵家坝污水处理站</w:t>
            </w:r>
            <w:r>
              <w:rPr>
                <w:rFonts w:cs="Times New Roman"/>
                <w:color w:val="000000" w:themeColor="text1"/>
                <w:sz w:val="21"/>
                <w:szCs w:val="20"/>
                <w:highlight w:val="none"/>
                <w14:textFill>
                  <w14:solidFill>
                    <w14:schemeClr w14:val="tx1"/>
                  </w14:solidFill>
                </w14:textFill>
              </w:rPr>
              <w:t>达到《</w:t>
            </w:r>
            <w:r>
              <w:rPr>
                <w:rFonts w:hint="eastAsia" w:cs="Times New Roman"/>
                <w:color w:val="000000" w:themeColor="text1"/>
                <w:sz w:val="21"/>
                <w:szCs w:val="20"/>
                <w:highlight w:val="none"/>
                <w14:textFill>
                  <w14:solidFill>
                    <w14:schemeClr w14:val="tx1"/>
                  </w14:solidFill>
                </w14:textFill>
              </w:rPr>
              <w:t>采出水</w:t>
            </w:r>
            <w:r>
              <w:rPr>
                <w:rFonts w:cs="Times New Roman"/>
                <w:color w:val="000000" w:themeColor="text1"/>
                <w:sz w:val="21"/>
                <w:szCs w:val="20"/>
                <w:highlight w:val="none"/>
                <w14:textFill>
                  <w14:solidFill>
                    <w14:schemeClr w14:val="tx1"/>
                  </w14:solidFill>
                </w14:textFill>
              </w:rPr>
              <w:t>回注方法》（SY/T 65</w:t>
            </w:r>
            <w:r>
              <w:rPr>
                <w:rFonts w:hint="eastAsia" w:cs="Times New Roman"/>
                <w:color w:val="000000" w:themeColor="text1"/>
                <w:sz w:val="21"/>
                <w:szCs w:val="20"/>
                <w:highlight w:val="none"/>
                <w14:textFill>
                  <w14:solidFill>
                    <w14:schemeClr w14:val="tx1"/>
                  </w14:solidFill>
                </w14:textFill>
              </w:rPr>
              <w:t>建筑</w:t>
            </w:r>
            <w:r>
              <w:rPr>
                <w:rFonts w:cs="Times New Roman"/>
                <w:color w:val="000000" w:themeColor="text1"/>
                <w:sz w:val="21"/>
                <w:szCs w:val="20"/>
                <w:highlight w:val="none"/>
                <w14:textFill>
                  <w14:solidFill>
                    <w14:schemeClr w14:val="tx1"/>
                  </w14:solidFill>
                </w14:textFill>
              </w:rPr>
              <w:t>96-2016）中注入水基本要求后管输至</w:t>
            </w:r>
            <w:r>
              <w:rPr>
                <w:rFonts w:hint="eastAsia" w:cs="Times New Roman"/>
                <w:color w:val="000000" w:themeColor="text1"/>
                <w:sz w:val="21"/>
                <w:szCs w:val="20"/>
                <w:highlight w:val="none"/>
                <w14:textFill>
                  <w14:solidFill>
                    <w14:schemeClr w14:val="tx1"/>
                  </w14:solidFill>
                </w14:textFill>
              </w:rPr>
              <w:t>普光3井回注站</w:t>
            </w:r>
            <w:r>
              <w:rPr>
                <w:rFonts w:cs="Times New Roman"/>
                <w:color w:val="000000" w:themeColor="text1"/>
                <w:sz w:val="21"/>
                <w:szCs w:val="20"/>
                <w:highlight w:val="none"/>
                <w14:textFill>
                  <w14:solidFill>
                    <w14:schemeClr w14:val="tx1"/>
                  </w14:solidFill>
                </w14:textFill>
              </w:rPr>
              <w:t>回注处理，不外排。拟建工程不新增定员，不涉及</w:t>
            </w:r>
            <w:r>
              <w:rPr>
                <w:rFonts w:hint="eastAsia" w:cs="Times New Roman"/>
                <w:color w:val="000000" w:themeColor="text1"/>
                <w:sz w:val="21"/>
                <w:szCs w:val="20"/>
                <w:highlight w:val="none"/>
                <w14:textFill>
                  <w14:solidFill>
                    <w14:schemeClr w14:val="tx1"/>
                  </w14:solidFill>
                </w14:textFill>
              </w:rPr>
              <w:t>新增</w:t>
            </w:r>
            <w:r>
              <w:rPr>
                <w:rFonts w:cs="Times New Roman"/>
                <w:color w:val="000000" w:themeColor="text1"/>
                <w:sz w:val="21"/>
                <w:szCs w:val="20"/>
                <w:highlight w:val="none"/>
                <w14:textFill>
                  <w14:solidFill>
                    <w14:schemeClr w14:val="tx1"/>
                  </w14:solidFill>
                </w14:textFill>
              </w:rPr>
              <w:t>值班人员生活废水</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废水</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废气治理</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洒水降尘，选用环保合格机械车辆</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废气</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噪声治理</w:t>
            </w:r>
          </w:p>
        </w:tc>
        <w:tc>
          <w:tcPr>
            <w:tcW w:w="3414"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选用低噪声设备、加强维护保养</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噪声</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固废治理</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站场建设和集输管线施工产生少量建筑垃圾，如包装袋，废弃建筑材料等，由施工队伍统一收集清运至政府指定地方。生活垃圾利用附近农户现有的设施进行收集处置，项目站场建设和集输管线施工还会产生少量管道焊接、防腐作业中产生的废材料由施工单位带走处置。</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固废</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环境风险防范措施</w:t>
            </w: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事故放空：事故状态下站场内天然气通过</w:t>
            </w:r>
            <w:r>
              <w:rPr>
                <w:rFonts w:hint="eastAsia" w:cs="Times New Roman"/>
                <w:color w:val="000000" w:themeColor="text1"/>
                <w:sz w:val="21"/>
                <w:szCs w:val="20"/>
                <w:highlight w:val="none"/>
                <w14:textFill>
                  <w14:solidFill>
                    <w14:schemeClr w14:val="tx1"/>
                  </w14:solidFill>
                </w14:textFill>
              </w:rPr>
              <w:t>试采站</w:t>
            </w:r>
            <w:r>
              <w:rPr>
                <w:rFonts w:cs="Times New Roman"/>
                <w:color w:val="000000" w:themeColor="text1"/>
                <w:sz w:val="21"/>
                <w:szCs w:val="20"/>
                <w:highlight w:val="none"/>
                <w14:textFill>
                  <w14:solidFill>
                    <w14:schemeClr w14:val="tx1"/>
                  </w14:solidFill>
                </w14:textFill>
              </w:rPr>
              <w:t>的放空火炬燃烧排放</w:t>
            </w:r>
            <w:r>
              <w:rPr>
                <w:rFonts w:hint="eastAsia" w:cs="Times New Roman"/>
                <w:color w:val="000000" w:themeColor="text1"/>
                <w:sz w:val="21"/>
                <w:szCs w:val="20"/>
                <w:highlight w:val="none"/>
                <w14:textFill>
                  <w14:solidFill>
                    <w14:schemeClr w14:val="tx1"/>
                  </w14:solidFill>
                </w14:textFill>
              </w:rPr>
              <w:t>。</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341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项目建成后运行过程中风险应急预案依托项目所属的中国石油化工股份有限公司中原油田普光分公司编制的应急预案</w:t>
            </w:r>
            <w:r>
              <w:rPr>
                <w:rFonts w:hint="eastAsia" w:cs="Times New Roman"/>
                <w:color w:val="000000" w:themeColor="text1"/>
                <w:sz w:val="21"/>
                <w:szCs w:val="21"/>
                <w:highlight w:val="none"/>
                <w14:textFill>
                  <w14:solidFill>
                    <w14:schemeClr w14:val="tx1"/>
                  </w14:solidFill>
                </w14:textFill>
              </w:rPr>
              <w:t>；需按相关要求对预案进行修订，将本项目纳入更新后的应急预案体系管理；同时本项目应单独编制应急预案并定期演练。</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新建+依托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地下水及土壤防治措施</w:t>
            </w:r>
          </w:p>
        </w:tc>
        <w:tc>
          <w:tcPr>
            <w:tcW w:w="3414"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清污分流，排水沟，弃土场覆盖围挡，分区分级防渗，污染监测</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81"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83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992"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水土流失及生态保护措施</w:t>
            </w:r>
          </w:p>
        </w:tc>
        <w:tc>
          <w:tcPr>
            <w:tcW w:w="3414"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青苗（林木）赔偿，临时占地施工迹地地表恢复等，进行绿化建设。</w:t>
            </w:r>
          </w:p>
        </w:tc>
        <w:tc>
          <w:tcPr>
            <w:tcW w:w="1831"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572" w:type="dxa"/>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新建</w:t>
            </w:r>
          </w:p>
        </w:tc>
      </w:tr>
    </w:tbl>
    <w:p>
      <w:pPr>
        <w:pStyle w:val="4"/>
        <w:spacing w:before="120"/>
        <w:ind w:firstLine="480"/>
        <w:rPr>
          <w:b/>
          <w:color w:val="000000" w:themeColor="text1"/>
          <w:highlight w:val="none"/>
          <w:lang w:eastAsia="zh-CN"/>
          <w14:textFill>
            <w14:solidFill>
              <w14:schemeClr w14:val="tx1"/>
            </w14:solidFill>
          </w14:textFill>
        </w:rPr>
      </w:pPr>
      <w:bookmarkStart w:id="137" w:name="_Toc120173102"/>
      <w:r>
        <w:rPr>
          <w:color w:val="000000" w:themeColor="text1"/>
          <w:highlight w:val="none"/>
          <w:lang w:eastAsia="zh-CN"/>
          <w14:textFill>
            <w14:solidFill>
              <w14:schemeClr w14:val="tx1"/>
            </w14:solidFill>
          </w14:textFill>
        </w:rPr>
        <w:t>主要设备</w:t>
      </w:r>
      <w:bookmarkEnd w:id="137"/>
    </w:p>
    <w:p>
      <w:pPr>
        <w:pStyle w:val="5"/>
        <w:ind w:firstLine="480"/>
        <w:rPr>
          <w:color w:val="000000" w:themeColor="text1"/>
          <w:highlight w:val="none"/>
          <w14:textFill>
            <w14:solidFill>
              <w14:schemeClr w14:val="tx1"/>
            </w14:solidFill>
          </w14:textFill>
        </w:rPr>
      </w:pPr>
      <w:bookmarkStart w:id="138" w:name="3.2.3原辅材料及用量"/>
      <w:bookmarkEnd w:id="138"/>
      <w:bookmarkStart w:id="139" w:name="3.2.5公用工程"/>
      <w:bookmarkEnd w:id="139"/>
      <w:bookmarkStart w:id="140" w:name="3.2.4总平面布置及其合理性分析"/>
      <w:bookmarkEnd w:id="140"/>
      <w:r>
        <w:rPr>
          <w:color w:val="000000" w:themeColor="text1"/>
          <w:highlight w:val="none"/>
          <w14:textFill>
            <w14:solidFill>
              <w14:schemeClr w14:val="tx1"/>
            </w14:solidFill>
          </w14:textFill>
        </w:rPr>
        <w:t>施工期</w:t>
      </w:r>
    </w:p>
    <w:p>
      <w:pPr>
        <w:autoSpaceDE w:val="0"/>
        <w:autoSpaceDN w:val="0"/>
        <w:ind w:firstLine="480"/>
        <w:textAlignment w:val="baseline"/>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本项目根据项目所在地地层实际情况，本项目采用机械钻机，为ZJ70钻机，并配备顶驱装置。井架设备和井场监控自动化设备</w:t>
      </w:r>
      <w:r>
        <w:rPr>
          <w:rFonts w:hint="eastAsia" w:cs="Times New Roman"/>
          <w:color w:val="000000" w:themeColor="text1"/>
          <w:szCs w:val="24"/>
          <w:highlight w:val="none"/>
          <w14:textFill>
            <w14:solidFill>
              <w14:schemeClr w14:val="tx1"/>
            </w14:solidFill>
          </w14:textFill>
        </w:rPr>
        <w:t>由钻井队搬运至现场</w:t>
      </w:r>
      <w:r>
        <w:rPr>
          <w:rFonts w:cs="Times New Roman"/>
          <w:color w:val="000000" w:themeColor="text1"/>
          <w:szCs w:val="24"/>
          <w:highlight w:val="none"/>
          <w14:textFill>
            <w14:solidFill>
              <w14:schemeClr w14:val="tx1"/>
            </w14:solidFill>
          </w14:textFill>
        </w:rPr>
        <w:t>，泥浆钻井系统（含现场泥浆的调配、储存、循环以及钻井时的井控设施等）独立配置。项目钻、完井工程所用设备见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_Ref142593373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6</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rFonts w:hint="eastAsia"/>
          <w:color w:val="000000" w:themeColor="text1"/>
          <w:highlight w:val="none"/>
          <w14:textFill>
            <w14:solidFill>
              <w14:schemeClr w14:val="tx1"/>
            </w14:solidFill>
          </w14:textFill>
        </w:rPr>
      </w:pPr>
      <w:bookmarkStart w:id="141" w:name="_Ref14259337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141"/>
      <w:r>
        <w:rPr>
          <w:rFonts w:hint="eastAsia"/>
          <w:color w:val="000000" w:themeColor="text1"/>
          <w:highlight w:val="none"/>
          <w14:textFill>
            <w14:solidFill>
              <w14:schemeClr w14:val="tx1"/>
            </w14:solidFill>
          </w14:textFill>
        </w:rPr>
        <w:t xml:space="preserve">6 </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本项目钻井工程所用主要设施一览表（单井）</w:t>
      </w:r>
    </w:p>
    <w:p>
      <w:pPr>
        <w:pStyle w:val="204"/>
      </w:pPr>
      <w:r>
        <w:rPr>
          <w:rFonts w:hint="eastAsia"/>
        </w:rPr>
        <w:t>***</w:t>
      </w:r>
    </w:p>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p>
    <w:p>
      <w:pPr>
        <w:autoSpaceDE w:val="0"/>
        <w:autoSpaceDN w:val="0"/>
        <w:ind w:firstLine="480"/>
        <w:textAlignment w:val="baseline"/>
        <w:rPr>
          <w:rFonts w:cs="Times New Roman"/>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试采期</w:t>
      </w:r>
      <w:r>
        <w:rPr>
          <w:rFonts w:cs="Times New Roman"/>
          <w:color w:val="000000" w:themeColor="text1"/>
          <w:szCs w:val="24"/>
          <w:highlight w:val="none"/>
          <w14:textFill>
            <w14:solidFill>
              <w14:schemeClr w14:val="tx1"/>
            </w14:solidFill>
          </w14:textFill>
        </w:rPr>
        <w:t>主要设备一览表见</w:t>
      </w:r>
      <w:r>
        <w:rPr>
          <w:rFonts w:hint="eastAsia" w:cs="Times New Roman"/>
          <w:color w:val="000000" w:themeColor="text1"/>
          <w:szCs w:val="24"/>
          <w:highlight w:val="none"/>
          <w14:textFill>
            <w14:solidFill>
              <w14:schemeClr w14:val="tx1"/>
            </w14:solidFill>
          </w14:textFill>
        </w:rPr>
        <w:t>下表</w:t>
      </w:r>
      <w:r>
        <w:rPr>
          <w:rFonts w:cs="Times New Roman"/>
          <w:color w:val="000000" w:themeColor="text1"/>
          <w:szCs w:val="24"/>
          <w:highlight w:val="none"/>
          <w14:textFill>
            <w14:solidFill>
              <w14:schemeClr w14:val="tx1"/>
            </w14:solidFill>
          </w14:textFill>
        </w:rPr>
        <w:t>。</w:t>
      </w:r>
      <w:bookmarkStart w:id="142" w:name="_Ref142593374"/>
    </w:p>
    <w:p>
      <w:pPr>
        <w:autoSpaceDE w:val="0"/>
        <w:autoSpaceDN w:val="0"/>
        <w:ind w:firstLine="420"/>
        <w:jc w:val="center"/>
        <w:textAlignment w:val="baseline"/>
        <w:rPr>
          <w:rFonts w:eastAsia="黑体" w:cs="Times New Roman"/>
          <w:color w:val="000000" w:themeColor="text1"/>
          <w:sz w:val="21"/>
          <w:szCs w:val="21"/>
          <w:highlight w:val="none"/>
          <w14:textFill>
            <w14:solidFill>
              <w14:schemeClr w14:val="tx1"/>
            </w14:solidFill>
          </w14:textFill>
        </w:rPr>
      </w:pPr>
      <w:r>
        <w:rPr>
          <w:rFonts w:hint="eastAsia" w:eastAsia="黑体" w:cs="Times New Roman"/>
          <w:color w:val="000000" w:themeColor="text1"/>
          <w:sz w:val="21"/>
          <w:szCs w:val="21"/>
          <w:highlight w:val="none"/>
          <w14:textFill>
            <w14:solidFill>
              <w14:schemeClr w14:val="tx1"/>
            </w14:solidFill>
          </w14:textFill>
        </w:rPr>
        <w:t>表</w:t>
      </w:r>
      <w:r>
        <w:rPr>
          <w:rFonts w:eastAsia="黑体" w:cs="Times New Roman"/>
          <w:color w:val="000000" w:themeColor="text1"/>
          <w:sz w:val="21"/>
          <w:szCs w:val="21"/>
          <w:highlight w:val="none"/>
          <w14:textFill>
            <w14:solidFill>
              <w14:schemeClr w14:val="tx1"/>
            </w14:solidFill>
          </w14:textFill>
        </w:rPr>
        <w:fldChar w:fldCharType="begin"/>
      </w:r>
      <w:r>
        <w:rPr>
          <w:rFonts w:eastAsia="黑体" w:cs="Times New Roman"/>
          <w:color w:val="000000" w:themeColor="text1"/>
          <w:sz w:val="21"/>
          <w:szCs w:val="21"/>
          <w:highlight w:val="none"/>
          <w14:textFill>
            <w14:solidFill>
              <w14:schemeClr w14:val="tx1"/>
            </w14:solidFill>
          </w14:textFill>
        </w:rPr>
        <w:instrText xml:space="preserve"> </w:instrText>
      </w:r>
      <w:r>
        <w:rPr>
          <w:rFonts w:hint="eastAsia" w:eastAsia="黑体" w:cs="Times New Roman"/>
          <w:color w:val="000000" w:themeColor="text1"/>
          <w:sz w:val="21"/>
          <w:szCs w:val="21"/>
          <w:highlight w:val="none"/>
          <w14:textFill>
            <w14:solidFill>
              <w14:schemeClr w14:val="tx1"/>
            </w14:solidFill>
          </w14:textFill>
        </w:rPr>
        <w:instrText xml:space="preserve">STYLEREF 2 \s</w:instrText>
      </w:r>
      <w:r>
        <w:rPr>
          <w:rFonts w:eastAsia="黑体" w:cs="Times New Roman"/>
          <w:color w:val="000000" w:themeColor="text1"/>
          <w:sz w:val="21"/>
          <w:szCs w:val="21"/>
          <w:highlight w:val="none"/>
          <w14:textFill>
            <w14:solidFill>
              <w14:schemeClr w14:val="tx1"/>
            </w14:solidFill>
          </w14:textFill>
        </w:rPr>
        <w:instrText xml:space="preserve"> </w:instrText>
      </w:r>
      <w:r>
        <w:rPr>
          <w:rFonts w:eastAsia="黑体" w:cs="Times New Roman"/>
          <w:color w:val="000000" w:themeColor="text1"/>
          <w:sz w:val="21"/>
          <w:szCs w:val="21"/>
          <w:highlight w:val="none"/>
          <w14:textFill>
            <w14:solidFill>
              <w14:schemeClr w14:val="tx1"/>
            </w14:solidFill>
          </w14:textFill>
        </w:rPr>
        <w:fldChar w:fldCharType="separate"/>
      </w:r>
      <w:r>
        <w:rPr>
          <w:rFonts w:eastAsia="黑体" w:cs="Times New Roman"/>
          <w:color w:val="000000" w:themeColor="text1"/>
          <w:sz w:val="21"/>
          <w:szCs w:val="21"/>
          <w:highlight w:val="none"/>
          <w14:textFill>
            <w14:solidFill>
              <w14:schemeClr w14:val="tx1"/>
            </w14:solidFill>
          </w14:textFill>
        </w:rPr>
        <w:t>3.2</w:t>
      </w:r>
      <w:r>
        <w:rPr>
          <w:rFonts w:eastAsia="黑体" w:cs="Times New Roman"/>
          <w:color w:val="000000" w:themeColor="text1"/>
          <w:sz w:val="21"/>
          <w:szCs w:val="21"/>
          <w:highlight w:val="none"/>
          <w14:textFill>
            <w14:solidFill>
              <w14:schemeClr w14:val="tx1"/>
            </w14:solidFill>
          </w14:textFill>
        </w:rPr>
        <w:fldChar w:fldCharType="end"/>
      </w:r>
      <w:r>
        <w:rPr>
          <w:rFonts w:eastAsia="黑体" w:cs="Times New Roman"/>
          <w:color w:val="000000" w:themeColor="text1"/>
          <w:sz w:val="21"/>
          <w:szCs w:val="21"/>
          <w:highlight w:val="none"/>
          <w14:textFill>
            <w14:solidFill>
              <w14:schemeClr w14:val="tx1"/>
            </w14:solidFill>
          </w14:textFill>
        </w:rPr>
        <w:noBreakHyphen/>
      </w:r>
      <w:bookmarkEnd w:id="142"/>
      <w:r>
        <w:rPr>
          <w:rFonts w:hint="eastAsia" w:eastAsia="黑体" w:cs="Times New Roman"/>
          <w:color w:val="000000" w:themeColor="text1"/>
          <w:sz w:val="21"/>
          <w:szCs w:val="21"/>
          <w:highlight w:val="none"/>
          <w14:textFill>
            <w14:solidFill>
              <w14:schemeClr w14:val="tx1"/>
            </w14:solidFill>
          </w14:textFill>
        </w:rPr>
        <w:t>7</w:t>
      </w:r>
      <w:r>
        <w:rPr>
          <w:rFonts w:eastAsia="黑体" w:cs="Times New Roman"/>
          <w:color w:val="000000" w:themeColor="text1"/>
          <w:sz w:val="21"/>
          <w:szCs w:val="21"/>
          <w:highlight w:val="none"/>
          <w14:textFill>
            <w14:solidFill>
              <w14:schemeClr w14:val="tx1"/>
            </w14:solidFill>
          </w14:textFill>
        </w:rPr>
        <w:t xml:space="preserve"> </w:t>
      </w:r>
      <w:r>
        <w:rPr>
          <w:rFonts w:hint="eastAsia" w:eastAsia="黑体" w:cs="Times New Roman"/>
          <w:color w:val="000000" w:themeColor="text1"/>
          <w:sz w:val="21"/>
          <w:szCs w:val="21"/>
          <w:highlight w:val="none"/>
          <w14:textFill>
            <w14:solidFill>
              <w14:schemeClr w14:val="tx1"/>
            </w14:solidFill>
          </w14:textFill>
        </w:rPr>
        <w:t>试采期</w:t>
      </w:r>
      <w:r>
        <w:rPr>
          <w:rFonts w:eastAsia="黑体" w:cs="Times New Roman"/>
          <w:color w:val="000000" w:themeColor="text1"/>
          <w:sz w:val="21"/>
          <w:szCs w:val="21"/>
          <w:highlight w:val="none"/>
          <w14:textFill>
            <w14:solidFill>
              <w14:schemeClr w14:val="tx1"/>
            </w14:solidFill>
          </w14:textFill>
        </w:rPr>
        <w:t>主要设备一览表</w:t>
      </w:r>
    </w:p>
    <w:p>
      <w:pPr>
        <w:autoSpaceDE w:val="0"/>
        <w:autoSpaceDN w:val="0"/>
        <w:ind w:firstLine="420"/>
        <w:jc w:val="center"/>
        <w:textAlignment w:val="baseline"/>
        <w:rPr>
          <w:rFonts w:eastAsia="黑体" w:cs="Times New Roman"/>
          <w:color w:val="000000" w:themeColor="text1"/>
          <w:sz w:val="21"/>
          <w:szCs w:val="21"/>
          <w:highlight w:val="none"/>
          <w14:textFill>
            <w14:solidFill>
              <w14:schemeClr w14:val="tx1"/>
            </w14:solidFill>
          </w14:textFill>
        </w:rPr>
      </w:pPr>
      <w:r>
        <w:rPr>
          <w:rFonts w:hint="eastAsia" w:eastAsia="黑体" w:cs="Times New Roman"/>
          <w:color w:val="000000" w:themeColor="text1"/>
          <w:sz w:val="21"/>
          <w:szCs w:val="21"/>
          <w:highlight w:val="none"/>
          <w14:textFill>
            <w14:solidFill>
              <w14:schemeClr w14:val="tx1"/>
            </w14:solidFill>
          </w14:textFill>
        </w:rPr>
        <w:t>***</w:t>
      </w:r>
    </w:p>
    <w:p>
      <w:pPr>
        <w:pStyle w:val="4"/>
        <w:spacing w:before="120"/>
        <w:ind w:firstLine="480"/>
        <w:rPr>
          <w:b/>
          <w:color w:val="000000" w:themeColor="text1"/>
          <w:highlight w:val="none"/>
          <w:lang w:eastAsia="zh-CN"/>
          <w14:textFill>
            <w14:solidFill>
              <w14:schemeClr w14:val="tx1"/>
            </w14:solidFill>
          </w14:textFill>
        </w:rPr>
      </w:pPr>
      <w:bookmarkStart w:id="143" w:name="_Toc120173103"/>
      <w:r>
        <w:rPr>
          <w:color w:val="000000" w:themeColor="text1"/>
          <w:highlight w:val="none"/>
          <w:lang w:eastAsia="zh-CN"/>
          <w14:textFill>
            <w14:solidFill>
              <w14:schemeClr w14:val="tx1"/>
            </w14:solidFill>
          </w14:textFill>
        </w:rPr>
        <w:t>原辅材料消耗</w:t>
      </w:r>
      <w:bookmarkEnd w:id="143"/>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p>
    <w:p>
      <w:pPr>
        <w:autoSpaceDE w:val="0"/>
        <w:autoSpaceDN w:val="0"/>
        <w:ind w:firstLine="480"/>
        <w:textAlignment w:val="baseline"/>
        <w:rPr>
          <w:rFonts w:cs="Times New Roman"/>
          <w:color w:val="000000" w:themeColor="text1"/>
          <w:kern w:val="0"/>
          <w:szCs w:val="20"/>
          <w:highlight w:val="none"/>
          <w14:textFill>
            <w14:solidFill>
              <w14:schemeClr w14:val="tx1"/>
            </w14:solidFill>
          </w14:textFill>
        </w:rPr>
      </w:pPr>
      <w:r>
        <w:rPr>
          <w:rFonts w:hint="eastAsia" w:cs="Times New Roman"/>
          <w:color w:val="000000" w:themeColor="text1"/>
          <w:kern w:val="0"/>
          <w:szCs w:val="20"/>
          <w:highlight w:val="none"/>
          <w14:textFill>
            <w14:solidFill>
              <w14:schemeClr w14:val="tx1"/>
            </w14:solidFill>
          </w14:textFill>
        </w:rPr>
        <w:t>本项目施工期包括钻前工程施工、钻井工程施工、储层改造工程施工三部分，其中钻前工程主要为井场建设、设备基础、生活区等建设，其原辅材料消耗为常规的建筑施工材料及柴油、水资源等。本次评价结合项目特点，重点就钻井工程、储层改造工程所使用的原辅材料情况进行详细说明如下：</w:t>
      </w:r>
    </w:p>
    <w:p>
      <w:pPr>
        <w:autoSpaceDE w:val="0"/>
        <w:autoSpaceDN w:val="0"/>
        <w:ind w:firstLine="482"/>
        <w:textAlignment w:val="baseline"/>
        <w:rPr>
          <w:rFonts w:cs="Times New Roman"/>
          <w:b/>
          <w:bCs/>
          <w:color w:val="000000" w:themeColor="text1"/>
          <w:kern w:val="0"/>
          <w:szCs w:val="20"/>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1、</w:t>
      </w:r>
      <w:r>
        <w:rPr>
          <w:rFonts w:cs="Times New Roman"/>
          <w:b/>
          <w:bCs/>
          <w:color w:val="000000" w:themeColor="text1"/>
          <w:kern w:val="0"/>
          <w:szCs w:val="20"/>
          <w:highlight w:val="none"/>
          <w14:textFill>
            <w14:solidFill>
              <w14:schemeClr w14:val="tx1"/>
            </w14:solidFill>
          </w14:textFill>
        </w:rPr>
        <w:t>钻井作业材料消耗</w:t>
      </w:r>
    </w:p>
    <w:p>
      <w:pPr>
        <w:autoSpaceDE w:val="0"/>
        <w:autoSpaceDN w:val="0"/>
        <w:ind w:firstLine="482"/>
        <w:textAlignment w:val="baseline"/>
        <w:rPr>
          <w:rFonts w:cs="Times New Roman"/>
          <w:b/>
          <w:bCs/>
          <w:color w:val="000000" w:themeColor="text1"/>
          <w:kern w:val="0"/>
          <w:szCs w:val="20"/>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（1）钻井施工</w:t>
      </w:r>
      <w:r>
        <w:rPr>
          <w:rFonts w:cs="Times New Roman"/>
          <w:b/>
          <w:bCs/>
          <w:color w:val="000000" w:themeColor="text1"/>
          <w:kern w:val="0"/>
          <w:szCs w:val="20"/>
          <w:highlight w:val="none"/>
          <w14:textFill>
            <w14:solidFill>
              <w14:schemeClr w14:val="tx1"/>
            </w14:solidFill>
          </w14:textFill>
        </w:rPr>
        <w:t>材料消耗</w:t>
      </w:r>
    </w:p>
    <w:p>
      <w:pPr>
        <w:autoSpaceDE w:val="0"/>
        <w:autoSpaceDN w:val="0"/>
        <w:ind w:firstLine="480"/>
        <w:textAlignment w:val="baseline"/>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本工程采用常规钻井工艺进行钻井，</w:t>
      </w:r>
      <w:r>
        <w:rPr>
          <w:rFonts w:hint="eastAsia" w:cs="Times New Roman"/>
          <w:color w:val="000000" w:themeColor="text1"/>
          <w:kern w:val="0"/>
          <w:szCs w:val="20"/>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项目分段钻井液类型</w:t>
      </w:r>
    </w:p>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999"/>
        <w:gridCol w:w="1980"/>
        <w:gridCol w:w="5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999"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开钻序号</w:t>
            </w:r>
          </w:p>
        </w:tc>
        <w:tc>
          <w:tcPr>
            <w:tcW w:w="1980"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井眼尺寸（mm）</w:t>
            </w:r>
          </w:p>
        </w:tc>
        <w:tc>
          <w:tcPr>
            <w:tcW w:w="5241"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钻井液体系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9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导管</w:t>
            </w:r>
          </w:p>
        </w:tc>
        <w:tc>
          <w:tcPr>
            <w:tcW w:w="198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08</w:t>
            </w:r>
          </w:p>
        </w:tc>
        <w:tc>
          <w:tcPr>
            <w:tcW w:w="5241"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9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一开</w:t>
            </w:r>
          </w:p>
        </w:tc>
        <w:tc>
          <w:tcPr>
            <w:tcW w:w="198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444.5</w:t>
            </w:r>
          </w:p>
        </w:tc>
        <w:tc>
          <w:tcPr>
            <w:tcW w:w="5241"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17" w:hRule="atLeast"/>
          <w:jc w:val="center"/>
        </w:trPr>
        <w:tc>
          <w:tcPr>
            <w:tcW w:w="9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二开</w:t>
            </w:r>
          </w:p>
        </w:tc>
        <w:tc>
          <w:tcPr>
            <w:tcW w:w="198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311.2</w:t>
            </w:r>
          </w:p>
        </w:tc>
        <w:tc>
          <w:tcPr>
            <w:tcW w:w="5241"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9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三开</w:t>
            </w:r>
          </w:p>
        </w:tc>
        <w:tc>
          <w:tcPr>
            <w:tcW w:w="198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241.3</w:t>
            </w:r>
          </w:p>
        </w:tc>
        <w:tc>
          <w:tcPr>
            <w:tcW w:w="5241" w:type="dxa"/>
            <w:vAlign w:val="center"/>
          </w:tcPr>
          <w:p>
            <w:pPr>
              <w:ind w:firstLine="480" w:firstLineChars="200"/>
              <w:rPr>
                <w:color w:val="000000" w:themeColor="text1"/>
                <w:highlight w:val="none"/>
                <w14:textFill>
                  <w14:solidFill>
                    <w14:schemeClr w14:val="tx1"/>
                  </w14:solidFill>
                </w14:textFill>
              </w:rPr>
            </w:pPr>
            <w:r>
              <w:rPr>
                <w:rFonts w:hint="eastAsia"/>
              </w:rPr>
              <w:t>***</w:t>
            </w:r>
          </w:p>
        </w:tc>
      </w:tr>
    </w:tbl>
    <w:p>
      <w:pPr>
        <w:pStyle w:val="252"/>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项目主要原辅材料消耗情况见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_Ref142593376 \h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44" w:name="_Ref14259337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144"/>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钻井作业主要原辅材料消耗情况表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587"/>
        <w:gridCol w:w="1580"/>
        <w:gridCol w:w="2763"/>
        <w:gridCol w:w="1246"/>
        <w:gridCol w:w="1022"/>
        <w:gridCol w:w="10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551" w:hRule="atLeast"/>
          <w:tblHeader/>
          <w:jc w:val="center"/>
        </w:trPr>
        <w:tc>
          <w:tcPr>
            <w:tcW w:w="587"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序号</w:t>
            </w:r>
          </w:p>
        </w:tc>
        <w:tc>
          <w:tcPr>
            <w:tcW w:w="1580" w:type="dxa"/>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钻井液类型</w:t>
            </w:r>
          </w:p>
        </w:tc>
        <w:tc>
          <w:tcPr>
            <w:tcW w:w="2763"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材料名称</w:t>
            </w:r>
          </w:p>
        </w:tc>
        <w:tc>
          <w:tcPr>
            <w:tcW w:w="1246" w:type="dxa"/>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大湾408-3井场</w:t>
            </w:r>
            <w:r>
              <w:rPr>
                <w:b/>
                <w:bCs/>
                <w:color w:val="000000" w:themeColor="text1"/>
                <w:szCs w:val="21"/>
                <w:highlight w:val="none"/>
                <w14:textFill>
                  <w14:solidFill>
                    <w14:schemeClr w14:val="tx1"/>
                  </w14:solidFill>
                </w14:textFill>
              </w:rPr>
              <w:t>用量（t）</w:t>
            </w:r>
          </w:p>
        </w:tc>
        <w:tc>
          <w:tcPr>
            <w:tcW w:w="1022"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现场最大储量（t）</w:t>
            </w:r>
          </w:p>
        </w:tc>
        <w:tc>
          <w:tcPr>
            <w:tcW w:w="1022" w:type="dxa"/>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Merge w:val="restart"/>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1580"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kern w:val="0"/>
                <w:highlight w:val="none"/>
                <w14:textFill>
                  <w14:solidFill>
                    <w14:schemeClr w14:val="tx1"/>
                  </w14:solidFill>
                </w14:textFill>
              </w:rPr>
              <w:t>清水钻井液（高坂含钻井液）</w:t>
            </w: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Merge w:val="continue"/>
            <w:vAlign w:val="center"/>
          </w:tcPr>
          <w:p>
            <w:pPr>
              <w:pStyle w:val="297"/>
              <w:rPr>
                <w:color w:val="000000" w:themeColor="text1"/>
                <w:szCs w:val="21"/>
                <w:highlight w:val="none"/>
                <w14:textFill>
                  <w14:solidFill>
                    <w14:schemeClr w14:val="tx1"/>
                  </w14:solidFill>
                </w14:textFill>
              </w:rPr>
            </w:pPr>
          </w:p>
        </w:tc>
        <w:tc>
          <w:tcPr>
            <w:tcW w:w="1580" w:type="dxa"/>
            <w:vMerge w:val="restart"/>
            <w:vAlign w:val="center"/>
          </w:tcPr>
          <w:p>
            <w:pPr>
              <w:pStyle w:val="297"/>
              <w:rPr>
                <w:color w:val="000000" w:themeColor="text1"/>
                <w:kern w:val="0"/>
                <w:highlight w:val="none"/>
                <w14:textFill>
                  <w14:solidFill>
                    <w14:schemeClr w14:val="tx1"/>
                  </w14:solidFill>
                </w14:textFill>
              </w:rPr>
            </w:pP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钻井液/聚合物封堵防塌钻井液</w:t>
            </w: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100</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15 </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9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10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10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28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15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15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18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11</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34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34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13</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25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14</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33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15</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50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16</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9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17</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900 </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80</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18</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44 </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19</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44 </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20</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21</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78</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22</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11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23</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22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50"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24</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100 </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26</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w:t>
            </w:r>
          </w:p>
        </w:tc>
        <w:tc>
          <w:tcPr>
            <w:tcW w:w="102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27</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8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28</w:t>
            </w:r>
          </w:p>
        </w:tc>
        <w:tc>
          <w:tcPr>
            <w:tcW w:w="1580" w:type="dxa"/>
            <w:vMerge w:val="continue"/>
            <w:vAlign w:val="center"/>
          </w:tcPr>
          <w:p>
            <w:pPr>
              <w:pStyle w:val="297"/>
              <w:rPr>
                <w:color w:val="000000" w:themeColor="text1"/>
                <w:szCs w:val="21"/>
                <w:highlight w:val="none"/>
                <w14:textFill>
                  <w14:solidFill>
                    <w14:schemeClr w14:val="tx1"/>
                  </w14:solidFill>
                </w14:textFill>
              </w:rPr>
            </w:pP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30 </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561" w:hRule="atLeast"/>
          <w:jc w:val="center"/>
        </w:trPr>
        <w:tc>
          <w:tcPr>
            <w:tcW w:w="58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29</w:t>
            </w:r>
          </w:p>
        </w:tc>
        <w:tc>
          <w:tcPr>
            <w:tcW w:w="158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油基钻井液</w:t>
            </w:r>
          </w:p>
        </w:tc>
        <w:tc>
          <w:tcPr>
            <w:tcW w:w="2763" w:type="dxa"/>
            <w:vAlign w:val="center"/>
          </w:tcPr>
          <w:p>
            <w:pPr>
              <w:ind w:firstLine="480" w:firstLineChars="200"/>
              <w:jc w:val="center"/>
              <w:rPr>
                <w:color w:val="000000" w:themeColor="text1"/>
                <w:szCs w:val="21"/>
                <w:highlight w:val="none"/>
                <w14:textFill>
                  <w14:solidFill>
                    <w14:schemeClr w14:val="tx1"/>
                  </w14:solidFill>
                </w14:textFill>
              </w:rPr>
            </w:pPr>
            <w:r>
              <w:rPr>
                <w:rFonts w:hint="eastAsia"/>
              </w:rPr>
              <w:t>***</w:t>
            </w:r>
          </w:p>
        </w:tc>
        <w:tc>
          <w:tcPr>
            <w:tcW w:w="124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900 </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0</w:t>
            </w:r>
          </w:p>
        </w:tc>
        <w:tc>
          <w:tcPr>
            <w:tcW w:w="102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三开钻遇特殊地层采用油基钻井</w:t>
            </w:r>
          </w:p>
        </w:tc>
      </w:tr>
    </w:tbl>
    <w:p>
      <w:pPr>
        <w:pStyle w:val="252"/>
        <w:adjustRightInd w:val="0"/>
        <w:snapToGrid w:val="0"/>
        <w:ind w:firstLine="482"/>
        <w:rPr>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工程所用钻井液体系及成分见下表：</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工程钻井液体系及成分</w:t>
      </w:r>
    </w:p>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0"/>
        <w:gridCol w:w="680"/>
        <w:gridCol w:w="855"/>
        <w:gridCol w:w="865"/>
        <w:gridCol w:w="5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0" w:type="dxa"/>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开钻序号</w:t>
            </w:r>
          </w:p>
        </w:tc>
        <w:tc>
          <w:tcPr>
            <w:tcW w:w="680" w:type="dxa"/>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钻深（m）</w:t>
            </w:r>
          </w:p>
        </w:tc>
        <w:tc>
          <w:tcPr>
            <w:tcW w:w="855" w:type="dxa"/>
            <w:vAlign w:val="center"/>
          </w:tcPr>
          <w:p>
            <w:pPr>
              <w:spacing w:line="240" w:lineRule="auto"/>
              <w:ind w:firstLine="0" w:firstLineChars="0"/>
              <w:jc w:val="center"/>
              <w:textAlignment w:val="center"/>
              <w:rPr>
                <w:rFonts w:hint="eastAsia" w:ascii="等线" w:hAnsi="等线" w:eastAsia="等线"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lang w:bidi="ar"/>
                <w14:textFill>
                  <w14:solidFill>
                    <w14:schemeClr w14:val="tx1"/>
                  </w14:solidFill>
                </w14:textFill>
              </w:rPr>
              <w:t>钻头尺寸（mm）</w:t>
            </w:r>
          </w:p>
        </w:tc>
        <w:tc>
          <w:tcPr>
            <w:tcW w:w="865" w:type="dxa"/>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钻井液体系</w:t>
            </w:r>
          </w:p>
        </w:tc>
        <w:tc>
          <w:tcPr>
            <w:tcW w:w="5290" w:type="dxa"/>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主要成分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导管</w:t>
            </w:r>
          </w:p>
        </w:tc>
        <w:tc>
          <w:tcPr>
            <w:tcW w:w="680" w:type="dxa"/>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855" w:type="dxa"/>
            <w:vAlign w:val="center"/>
          </w:tcPr>
          <w:p>
            <w:pPr>
              <w:spacing w:line="240" w:lineRule="auto"/>
              <w:ind w:firstLine="480" w:firstLineChars="200"/>
              <w:jc w:val="center"/>
              <w:textAlignment w:val="center"/>
              <w:rPr>
                <w:rFonts w:hint="eastAsia" w:ascii="等线" w:hAnsi="等线" w:eastAsia="等线" w:cs="Times New Roman"/>
                <w:color w:val="000000" w:themeColor="text1"/>
                <w:sz w:val="21"/>
                <w:szCs w:val="21"/>
                <w:highlight w:val="none"/>
                <w14:textFill>
                  <w14:solidFill>
                    <w14:schemeClr w14:val="tx1"/>
                  </w14:solidFill>
                </w14:textFill>
              </w:rPr>
            </w:pPr>
            <w:r>
              <w:rPr>
                <w:rFonts w:hint="eastAsia"/>
              </w:rPr>
              <w:t>***</w:t>
            </w:r>
          </w:p>
        </w:tc>
        <w:tc>
          <w:tcPr>
            <w:tcW w:w="865" w:type="dxa"/>
            <w:vAlign w:val="center"/>
          </w:tcPr>
          <w:p>
            <w:pPr>
              <w:spacing w:line="240" w:lineRule="auto"/>
              <w:ind w:firstLine="480" w:firstLineChars="200"/>
              <w:jc w:val="center"/>
              <w:textAlignment w:val="center"/>
              <w:rPr>
                <w:rFonts w:hint="eastAsia" w:ascii="等线" w:hAnsi="等线" w:eastAsia="等线" w:cs="Times New Roman"/>
                <w:color w:val="000000" w:themeColor="text1"/>
                <w:sz w:val="21"/>
                <w:szCs w:val="21"/>
                <w:highlight w:val="none"/>
                <w14:textFill>
                  <w14:solidFill>
                    <w14:schemeClr w14:val="tx1"/>
                  </w14:solidFill>
                </w14:textFill>
              </w:rPr>
            </w:pPr>
            <w:r>
              <w:rPr>
                <w:rFonts w:hint="eastAsia"/>
              </w:rPr>
              <w:t>***</w:t>
            </w:r>
          </w:p>
        </w:tc>
        <w:tc>
          <w:tcPr>
            <w:tcW w:w="5290" w:type="dxa"/>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3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一开</w:t>
            </w:r>
          </w:p>
        </w:tc>
        <w:tc>
          <w:tcPr>
            <w:tcW w:w="680" w:type="dxa"/>
            <w:vAlign w:val="center"/>
          </w:tcPr>
          <w:p>
            <w:pPr>
              <w:spacing w:line="240" w:lineRule="auto"/>
              <w:ind w:firstLine="480" w:firstLineChars="200"/>
              <w:jc w:val="center"/>
              <w:rPr>
                <w:rFonts w:hint="eastAsia" w:eastAsia="宋体" w:cs="Times New Roman"/>
                <w:color w:val="000000" w:themeColor="text1"/>
                <w:sz w:val="21"/>
                <w:szCs w:val="21"/>
                <w:highlight w:val="none"/>
                <w:lang w:eastAsia="zh-CN"/>
                <w14:textFill>
                  <w14:solidFill>
                    <w14:schemeClr w14:val="tx1"/>
                  </w14:solidFill>
                </w14:textFill>
              </w:rPr>
            </w:pPr>
            <w:r>
              <w:rPr>
                <w:rFonts w:hint="eastAsia"/>
              </w:rPr>
              <w:t>***</w:t>
            </w:r>
          </w:p>
        </w:tc>
        <w:tc>
          <w:tcPr>
            <w:tcW w:w="855" w:type="dxa"/>
            <w:vAlign w:val="center"/>
          </w:tcPr>
          <w:p>
            <w:pPr>
              <w:spacing w:line="240" w:lineRule="auto"/>
              <w:ind w:firstLine="480" w:firstLineChars="200"/>
              <w:jc w:val="center"/>
              <w:textAlignment w:val="center"/>
              <w:rPr>
                <w:rFonts w:cs="Times New Roman"/>
                <w:color w:val="000000" w:themeColor="text1"/>
                <w:sz w:val="21"/>
                <w:szCs w:val="21"/>
                <w:highlight w:val="none"/>
                <w:lang w:bidi="ar"/>
                <w14:textFill>
                  <w14:solidFill>
                    <w14:schemeClr w14:val="tx1"/>
                  </w14:solidFill>
                </w14:textFill>
              </w:rPr>
            </w:pPr>
            <w:r>
              <w:rPr>
                <w:rFonts w:hint="eastAsia"/>
              </w:rPr>
              <w:t>***</w:t>
            </w:r>
          </w:p>
        </w:tc>
        <w:tc>
          <w:tcPr>
            <w:tcW w:w="865" w:type="dxa"/>
            <w:vAlign w:val="center"/>
          </w:tcPr>
          <w:p>
            <w:pPr>
              <w:spacing w:line="240" w:lineRule="auto"/>
              <w:ind w:firstLine="480" w:firstLineChars="200"/>
              <w:jc w:val="center"/>
              <w:textAlignment w:val="center"/>
              <w:rPr>
                <w:rFonts w:cs="Times New Roman"/>
                <w:color w:val="000000" w:themeColor="text1"/>
                <w:sz w:val="21"/>
                <w:szCs w:val="21"/>
                <w:highlight w:val="none"/>
                <w:lang w:bidi="ar"/>
                <w14:textFill>
                  <w14:solidFill>
                    <w14:schemeClr w14:val="tx1"/>
                  </w14:solidFill>
                </w14:textFill>
              </w:rPr>
            </w:pPr>
            <w:r>
              <w:rPr>
                <w:rFonts w:hint="eastAsia"/>
              </w:rPr>
              <w:t>***</w:t>
            </w:r>
          </w:p>
        </w:tc>
        <w:tc>
          <w:tcPr>
            <w:tcW w:w="5290" w:type="dxa"/>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12" w:hRule="atLeast"/>
          <w:jc w:val="center"/>
        </w:trPr>
        <w:tc>
          <w:tcPr>
            <w:tcW w:w="53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二开</w:t>
            </w:r>
          </w:p>
        </w:tc>
        <w:tc>
          <w:tcPr>
            <w:tcW w:w="680" w:type="dxa"/>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855" w:type="dxa"/>
            <w:vAlign w:val="center"/>
          </w:tcPr>
          <w:p>
            <w:pPr>
              <w:spacing w:line="240" w:lineRule="auto"/>
              <w:ind w:firstLine="480" w:firstLineChars="200"/>
              <w:jc w:val="center"/>
              <w:textAlignment w:val="center"/>
              <w:rPr>
                <w:rFonts w:hint="eastAsia" w:ascii="等线" w:hAnsi="等线" w:cs="Times New Roman"/>
                <w:color w:val="000000" w:themeColor="text1"/>
                <w:sz w:val="21"/>
                <w:szCs w:val="21"/>
                <w:highlight w:val="none"/>
                <w14:textFill>
                  <w14:solidFill>
                    <w14:schemeClr w14:val="tx1"/>
                  </w14:solidFill>
                </w14:textFill>
              </w:rPr>
            </w:pPr>
            <w:r>
              <w:rPr>
                <w:rFonts w:hint="eastAsia"/>
              </w:rPr>
              <w:t>***</w:t>
            </w:r>
          </w:p>
        </w:tc>
        <w:tc>
          <w:tcPr>
            <w:tcW w:w="865" w:type="dxa"/>
            <w:vAlign w:val="center"/>
          </w:tcPr>
          <w:p>
            <w:pPr>
              <w:spacing w:line="240" w:lineRule="auto"/>
              <w:ind w:firstLine="480" w:firstLineChars="200"/>
              <w:jc w:val="left"/>
              <w:rPr>
                <w:rFonts w:hint="eastAsia" w:eastAsia="宋体" w:cs="Times New Roman"/>
                <w:color w:val="000000" w:themeColor="text1"/>
                <w:kern w:val="0"/>
                <w:sz w:val="21"/>
                <w:szCs w:val="21"/>
                <w:highlight w:val="none"/>
                <w:lang w:eastAsia="zh-CN"/>
                <w14:textFill>
                  <w14:solidFill>
                    <w14:schemeClr w14:val="tx1"/>
                  </w14:solidFill>
                </w14:textFill>
              </w:rPr>
            </w:pPr>
            <w:r>
              <w:rPr>
                <w:rFonts w:hint="eastAsia"/>
              </w:rPr>
              <w:t>***</w:t>
            </w:r>
          </w:p>
        </w:tc>
        <w:tc>
          <w:tcPr>
            <w:tcW w:w="5290" w:type="dxa"/>
            <w:vAlign w:val="center"/>
          </w:tcPr>
          <w:p>
            <w:pPr>
              <w:spacing w:line="240" w:lineRule="auto"/>
              <w:ind w:firstLine="480" w:firstLineChars="200"/>
              <w:jc w:val="center"/>
              <w:rPr>
                <w:rFonts w:cs="Times New Roman"/>
                <w:color w:val="000000" w:themeColor="text1"/>
                <w:kern w:val="0"/>
                <w:sz w:val="21"/>
                <w:szCs w:val="2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7" w:hRule="atLeast"/>
          <w:jc w:val="center"/>
        </w:trPr>
        <w:tc>
          <w:tcPr>
            <w:tcW w:w="53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三开</w:t>
            </w:r>
          </w:p>
        </w:tc>
        <w:tc>
          <w:tcPr>
            <w:tcW w:w="680" w:type="dxa"/>
            <w:vAlign w:val="center"/>
          </w:tcPr>
          <w:p>
            <w:pPr>
              <w:spacing w:line="240" w:lineRule="auto"/>
              <w:ind w:firstLine="480" w:firstLineChars="200"/>
              <w:jc w:val="center"/>
              <w:rPr>
                <w:rFonts w:hint="eastAsia" w:eastAsia="宋体" w:cs="Times New Roman"/>
                <w:color w:val="000000" w:themeColor="text1"/>
                <w:sz w:val="21"/>
                <w:szCs w:val="21"/>
                <w:highlight w:val="none"/>
                <w:lang w:eastAsia="zh-CN"/>
                <w14:textFill>
                  <w14:solidFill>
                    <w14:schemeClr w14:val="tx1"/>
                  </w14:solidFill>
                </w14:textFill>
              </w:rPr>
            </w:pPr>
            <w:r>
              <w:rPr>
                <w:rFonts w:hint="eastAsia"/>
              </w:rPr>
              <w:t>***</w:t>
            </w:r>
          </w:p>
        </w:tc>
        <w:tc>
          <w:tcPr>
            <w:tcW w:w="855" w:type="dxa"/>
            <w:vAlign w:val="center"/>
          </w:tcPr>
          <w:p>
            <w:pPr>
              <w:spacing w:line="240" w:lineRule="auto"/>
              <w:ind w:firstLine="480" w:firstLineChars="200"/>
              <w:jc w:val="center"/>
              <w:textAlignment w:val="center"/>
              <w:rPr>
                <w:rFonts w:cs="Times New Roman"/>
                <w:color w:val="000000" w:themeColor="text1"/>
                <w:sz w:val="21"/>
                <w:szCs w:val="21"/>
                <w:highlight w:val="none"/>
                <w:lang w:bidi="ar"/>
                <w14:textFill>
                  <w14:solidFill>
                    <w14:schemeClr w14:val="tx1"/>
                  </w14:solidFill>
                </w14:textFill>
              </w:rPr>
            </w:pPr>
            <w:r>
              <w:rPr>
                <w:rFonts w:hint="eastAsia"/>
              </w:rPr>
              <w:t>***</w:t>
            </w:r>
          </w:p>
        </w:tc>
        <w:tc>
          <w:tcPr>
            <w:tcW w:w="865" w:type="dxa"/>
            <w:vAlign w:val="center"/>
          </w:tcPr>
          <w:p>
            <w:pPr>
              <w:spacing w:line="240" w:lineRule="auto"/>
              <w:ind w:firstLine="480" w:firstLineChars="200"/>
              <w:jc w:val="center"/>
              <w:textAlignment w:val="center"/>
              <w:rPr>
                <w:rFonts w:cs="Times New Roman"/>
                <w:color w:val="000000" w:themeColor="text1"/>
                <w:sz w:val="21"/>
                <w:szCs w:val="21"/>
                <w:highlight w:val="none"/>
                <w:lang w:val="zh-CN" w:bidi="ar"/>
                <w14:textFill>
                  <w14:solidFill>
                    <w14:schemeClr w14:val="tx1"/>
                  </w14:solidFill>
                </w14:textFill>
              </w:rPr>
            </w:pPr>
            <w:r>
              <w:rPr>
                <w:rFonts w:hint="eastAsia"/>
              </w:rPr>
              <w:t>***</w:t>
            </w:r>
          </w:p>
        </w:tc>
        <w:tc>
          <w:tcPr>
            <w:tcW w:w="5290" w:type="dxa"/>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79" w:hRule="atLeast"/>
          <w:jc w:val="center"/>
        </w:trPr>
        <w:tc>
          <w:tcPr>
            <w:tcW w:w="530" w:type="dxa"/>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三开</w:t>
            </w:r>
          </w:p>
        </w:tc>
        <w:tc>
          <w:tcPr>
            <w:tcW w:w="680" w:type="dxa"/>
            <w:vAlign w:val="center"/>
          </w:tcPr>
          <w:p>
            <w:pPr>
              <w:spacing w:line="240" w:lineRule="auto"/>
              <w:ind w:firstLine="480" w:firstLineChars="200"/>
              <w:jc w:val="center"/>
              <w:rPr>
                <w:rFonts w:hint="eastAsia" w:eastAsia="宋体" w:cs="Times New Roman"/>
                <w:color w:val="000000" w:themeColor="text1"/>
                <w:sz w:val="21"/>
                <w:szCs w:val="21"/>
                <w:highlight w:val="none"/>
                <w:lang w:eastAsia="zh-CN"/>
                <w14:textFill>
                  <w14:solidFill>
                    <w14:schemeClr w14:val="tx1"/>
                  </w14:solidFill>
                </w14:textFill>
              </w:rPr>
            </w:pPr>
            <w:r>
              <w:rPr>
                <w:rFonts w:hint="eastAsia"/>
              </w:rPr>
              <w:t>***</w:t>
            </w:r>
          </w:p>
        </w:tc>
        <w:tc>
          <w:tcPr>
            <w:tcW w:w="855" w:type="dxa"/>
            <w:vAlign w:val="center"/>
          </w:tcPr>
          <w:p>
            <w:pPr>
              <w:spacing w:line="240" w:lineRule="auto"/>
              <w:ind w:firstLine="480" w:firstLineChars="200"/>
              <w:jc w:val="center"/>
              <w:textAlignment w:val="center"/>
              <w:rPr>
                <w:rFonts w:cs="Times New Roman"/>
                <w:color w:val="000000" w:themeColor="text1"/>
                <w:sz w:val="21"/>
                <w:szCs w:val="21"/>
                <w:highlight w:val="none"/>
                <w:lang w:bidi="ar"/>
                <w14:textFill>
                  <w14:solidFill>
                    <w14:schemeClr w14:val="tx1"/>
                  </w14:solidFill>
                </w14:textFill>
              </w:rPr>
            </w:pPr>
            <w:r>
              <w:rPr>
                <w:rFonts w:hint="eastAsia"/>
              </w:rPr>
              <w:t>***</w:t>
            </w:r>
          </w:p>
        </w:tc>
        <w:tc>
          <w:tcPr>
            <w:tcW w:w="865" w:type="dxa"/>
            <w:vAlign w:val="center"/>
          </w:tcPr>
          <w:p>
            <w:pPr>
              <w:spacing w:line="240" w:lineRule="auto"/>
              <w:ind w:firstLine="480" w:firstLineChars="200"/>
              <w:jc w:val="center"/>
              <w:textAlignment w:val="center"/>
              <w:rPr>
                <w:rFonts w:cs="Times New Roman"/>
                <w:color w:val="000000" w:themeColor="text1"/>
                <w:sz w:val="21"/>
                <w:szCs w:val="21"/>
                <w:highlight w:val="none"/>
                <w:lang w:bidi="ar"/>
                <w14:textFill>
                  <w14:solidFill>
                    <w14:schemeClr w14:val="tx1"/>
                  </w14:solidFill>
                </w14:textFill>
              </w:rPr>
            </w:pPr>
            <w:r>
              <w:rPr>
                <w:rFonts w:hint="eastAsia"/>
              </w:rPr>
              <w:t>***</w:t>
            </w:r>
          </w:p>
        </w:tc>
        <w:tc>
          <w:tcPr>
            <w:tcW w:w="5290" w:type="dxa"/>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r>
    </w:tbl>
    <w:p>
      <w:pPr>
        <w:autoSpaceDE w:val="0"/>
        <w:autoSpaceDN w:val="0"/>
        <w:spacing w:before="120" w:beforeLines="50"/>
        <w:ind w:firstLine="482"/>
        <w:textAlignment w:val="baseline"/>
        <w:rPr>
          <w:rFonts w:cs="Times New Roman"/>
          <w:b/>
          <w:bCs/>
          <w:color w:val="000000" w:themeColor="text1"/>
          <w:kern w:val="0"/>
          <w:szCs w:val="20"/>
          <w:highlight w:val="none"/>
          <w14:textFill>
            <w14:solidFill>
              <w14:schemeClr w14:val="tx1"/>
            </w14:solidFill>
          </w14:textFill>
        </w:rPr>
      </w:pPr>
      <w:r>
        <w:rPr>
          <w:rFonts w:cs="Times New Roman"/>
          <w:b/>
          <w:bCs/>
          <w:color w:val="000000" w:themeColor="text1"/>
          <w:kern w:val="0"/>
          <w:szCs w:val="20"/>
          <w:highlight w:val="none"/>
          <w14:textFill>
            <w14:solidFill>
              <w14:schemeClr w14:val="tx1"/>
            </w14:solidFill>
          </w14:textFill>
        </w:rPr>
        <w:t>钻井液主要成分的物理化学特性：</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钻井液主要材料物理化学特性</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624"/>
        <w:gridCol w:w="1033"/>
        <w:gridCol w:w="65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62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103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材料名称</w:t>
            </w:r>
          </w:p>
        </w:tc>
        <w:tc>
          <w:tcPr>
            <w:tcW w:w="656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物理化学特性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103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c>
          <w:tcPr>
            <w:tcW w:w="6563" w:type="dxa"/>
            <w:vAlign w:val="center"/>
          </w:tcPr>
          <w:p>
            <w:pPr>
              <w:ind w:firstLine="480" w:firstLineChars="200"/>
              <w:jc w:val="center"/>
              <w:rPr>
                <w:color w:val="000000" w:themeColor="text1"/>
                <w:highlight w:val="none"/>
                <w14:textFill>
                  <w14:solidFill>
                    <w14:schemeClr w14:val="tx1"/>
                  </w14:solidFill>
                </w14:textFill>
              </w:rPr>
            </w:pPr>
            <w:r>
              <w:rPr>
                <w:rFonts w:hint="eastAsia"/>
              </w:rPr>
              <w:t>***</w:t>
            </w:r>
          </w:p>
        </w:tc>
      </w:tr>
    </w:tbl>
    <w:p>
      <w:pPr>
        <w:autoSpaceDE w:val="0"/>
        <w:autoSpaceDN w:val="0"/>
        <w:spacing w:before="120" w:beforeLines="50"/>
        <w:ind w:firstLine="482"/>
        <w:textAlignment w:val="baseline"/>
        <w:rPr>
          <w:rFonts w:cs="Times New Roman"/>
          <w:b/>
          <w:bCs/>
          <w:color w:val="000000" w:themeColor="text1"/>
          <w:kern w:val="0"/>
          <w:szCs w:val="20"/>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（2）</w:t>
      </w:r>
      <w:r>
        <w:rPr>
          <w:rFonts w:cs="Times New Roman"/>
          <w:b/>
          <w:bCs/>
          <w:color w:val="000000" w:themeColor="text1"/>
          <w:kern w:val="0"/>
          <w:szCs w:val="20"/>
          <w:highlight w:val="none"/>
          <w14:textFill>
            <w14:solidFill>
              <w14:schemeClr w14:val="tx1"/>
            </w14:solidFill>
          </w14:textFill>
        </w:rPr>
        <w:t>固井作业材料消耗</w:t>
      </w:r>
    </w:p>
    <w:p>
      <w:pPr>
        <w:autoSpaceDE w:val="0"/>
        <w:autoSpaceDN w:val="0"/>
        <w:ind w:firstLine="480"/>
        <w:textAlignment w:val="baseline"/>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1）水泥浆体系</w:t>
      </w:r>
    </w:p>
    <w:p>
      <w:pPr>
        <w:autoSpaceDE w:val="0"/>
        <w:autoSpaceDN w:val="0"/>
        <w:ind w:firstLine="480"/>
        <w:textAlignment w:val="baseline"/>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水泥浆体系设计</w:t>
      </w:r>
    </w:p>
    <w:p>
      <w:pPr>
        <w:autoSpaceDE w:val="0"/>
        <w:autoSpaceDN w:val="0"/>
        <w:ind w:firstLine="480"/>
        <w:textAlignment w:val="baseline"/>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井采用胶乳防窜水泥浆体系。</w:t>
      </w:r>
    </w:p>
    <w:p>
      <w:pPr>
        <w:autoSpaceDE w:val="0"/>
        <w:autoSpaceDN w:val="0"/>
        <w:ind w:firstLine="480"/>
        <w:textAlignment w:val="baseline"/>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注水泥设计</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大湾408-3井</w:t>
      </w:r>
      <w:r>
        <w:rPr>
          <w:color w:val="000000" w:themeColor="text1"/>
          <w:highlight w:val="none"/>
          <w14:textFill>
            <w14:solidFill>
              <w14:schemeClr w14:val="tx1"/>
            </w14:solidFill>
          </w14:textFill>
        </w:rPr>
        <w:t>注水泥设计表</w:t>
      </w:r>
    </w:p>
    <w:tbl>
      <w:tblPr>
        <w:tblStyle w:val="54"/>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23" w:type="dxa"/>
          <w:bottom w:w="0" w:type="dxa"/>
          <w:right w:w="23" w:type="dxa"/>
        </w:tblCellMar>
      </w:tblPr>
      <w:tblGrid>
        <w:gridCol w:w="655"/>
        <w:gridCol w:w="1036"/>
        <w:gridCol w:w="901"/>
        <w:gridCol w:w="1287"/>
        <w:gridCol w:w="1142"/>
        <w:gridCol w:w="886"/>
        <w:gridCol w:w="886"/>
        <w:gridCol w:w="534"/>
        <w:gridCol w:w="102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3" w:type="dxa"/>
            <w:bottom w:w="0" w:type="dxa"/>
            <w:right w:w="23" w:type="dxa"/>
          </w:tblCellMar>
        </w:tblPrEx>
        <w:trPr>
          <w:jc w:val="center"/>
        </w:trPr>
        <w:tc>
          <w:tcPr>
            <w:tcW w:w="42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开钻序号</w:t>
            </w:r>
          </w:p>
        </w:tc>
        <w:tc>
          <w:tcPr>
            <w:tcW w:w="651"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套管外径</w:t>
            </w:r>
            <w:r>
              <w:rPr>
                <w:rFonts w:cs="Times New Roman"/>
                <w:color w:val="000000" w:themeColor="text1"/>
                <w:sz w:val="21"/>
                <w:szCs w:val="21"/>
                <w:highlight w:val="none"/>
                <w14:textFill>
                  <w14:solidFill>
                    <w14:schemeClr w14:val="tx1"/>
                  </w14:solidFill>
                </w14:textFill>
              </w:rPr>
              <w:t>mm</w:t>
            </w:r>
          </w:p>
        </w:tc>
        <w:tc>
          <w:tcPr>
            <w:tcW w:w="570"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套管下深</w:t>
            </w:r>
            <w:r>
              <w:rPr>
                <w:rFonts w:cs="Times New Roman"/>
                <w:color w:val="000000" w:themeColor="text1"/>
                <w:sz w:val="21"/>
                <w:szCs w:val="21"/>
                <w:highlight w:val="none"/>
                <w14:textFill>
                  <w14:solidFill>
                    <w14:schemeClr w14:val="tx1"/>
                  </w14:solidFill>
                </w14:textFill>
              </w:rPr>
              <w:t>m</w:t>
            </w:r>
          </w:p>
        </w:tc>
        <w:tc>
          <w:tcPr>
            <w:tcW w:w="801"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钻井液密度</w:t>
            </w:r>
            <w:r>
              <w:rPr>
                <w:rFonts w:cs="Times New Roman"/>
                <w:color w:val="000000" w:themeColor="text1"/>
                <w:sz w:val="21"/>
                <w:szCs w:val="21"/>
                <w:highlight w:val="none"/>
                <w14:textFill>
                  <w14:solidFill>
                    <w14:schemeClr w14:val="tx1"/>
                  </w14:solidFill>
                </w14:textFill>
              </w:rPr>
              <w:t>g/cm</w:t>
            </w:r>
            <w:r>
              <w:rPr>
                <w:rFonts w:cs="Times New Roman"/>
                <w:color w:val="000000" w:themeColor="text1"/>
                <w:sz w:val="21"/>
                <w:szCs w:val="21"/>
                <w:highlight w:val="none"/>
                <w:vertAlign w:val="superscript"/>
                <w14:textFill>
                  <w14:solidFill>
                    <w14:schemeClr w14:val="tx1"/>
                  </w14:solidFill>
                </w14:textFill>
              </w:rPr>
              <w:t>3</w:t>
            </w:r>
          </w:p>
        </w:tc>
        <w:tc>
          <w:tcPr>
            <w:tcW w:w="714"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水泥浆密度</w:t>
            </w:r>
            <w:r>
              <w:rPr>
                <w:rFonts w:cs="Times New Roman"/>
                <w:color w:val="000000" w:themeColor="text1"/>
                <w:sz w:val="21"/>
                <w:szCs w:val="21"/>
                <w:highlight w:val="none"/>
                <w14:textFill>
                  <w14:solidFill>
                    <w14:schemeClr w14:val="tx1"/>
                  </w14:solidFill>
                </w14:textFill>
              </w:rPr>
              <w:t>g/cm</w:t>
            </w:r>
            <w:r>
              <w:rPr>
                <w:rFonts w:cs="Times New Roman"/>
                <w:color w:val="000000" w:themeColor="text1"/>
                <w:sz w:val="21"/>
                <w:szCs w:val="21"/>
                <w:highlight w:val="none"/>
                <w:vertAlign w:val="superscript"/>
                <w14:textFill>
                  <w14:solidFill>
                    <w14:schemeClr w14:val="tx1"/>
                  </w14:solidFill>
                </w14:textFill>
              </w:rPr>
              <w:t>3</w:t>
            </w:r>
          </w:p>
        </w:tc>
        <w:tc>
          <w:tcPr>
            <w:tcW w:w="4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水泥型号</w:t>
            </w:r>
          </w:p>
        </w:tc>
        <w:tc>
          <w:tcPr>
            <w:tcW w:w="402"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注水泥量</w:t>
            </w:r>
            <w:r>
              <w:rPr>
                <w:rFonts w:cs="Times New Roman"/>
                <w:color w:val="000000" w:themeColor="text1"/>
                <w:sz w:val="21"/>
                <w:szCs w:val="21"/>
                <w:highlight w:val="none"/>
                <w14:textFill>
                  <w14:solidFill>
                    <w14:schemeClr w14:val="tx1"/>
                  </w14:solidFill>
                </w14:textFill>
              </w:rPr>
              <w:t>t</w:t>
            </w:r>
          </w:p>
        </w:tc>
        <w:tc>
          <w:tcPr>
            <w:tcW w:w="350"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固井方式</w:t>
            </w:r>
          </w:p>
        </w:tc>
        <w:tc>
          <w:tcPr>
            <w:tcW w:w="6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3" w:type="dxa"/>
            <w:bottom w:w="0" w:type="dxa"/>
            <w:right w:w="23" w:type="dxa"/>
          </w:tblCellMar>
        </w:tblPrEx>
        <w:trPr>
          <w:jc w:val="center"/>
        </w:trPr>
        <w:tc>
          <w:tcPr>
            <w:tcW w:w="42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导管</w:t>
            </w:r>
          </w:p>
        </w:tc>
        <w:tc>
          <w:tcPr>
            <w:tcW w:w="651" w:type="pct"/>
            <w:tcBorders>
              <w:top w:val="single" w:color="auto" w:sz="4" w:space="0"/>
              <w:left w:val="single" w:color="auto" w:sz="4" w:space="0"/>
              <w:bottom w:val="single" w:color="auto" w:sz="4" w:space="0"/>
              <w:right w:val="single" w:color="auto" w:sz="4" w:space="0"/>
              <w:tl2br w:val="nil"/>
              <w:tr2bl w:val="nil"/>
            </w:tcBorders>
            <w:vAlign w:val="center"/>
          </w:tcPr>
          <w:p>
            <w:pPr>
              <w:adjustRightInd/>
              <w:snapToGrid/>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570"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801"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714"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02"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350"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内插</w:t>
            </w:r>
          </w:p>
        </w:tc>
        <w:tc>
          <w:tcPr>
            <w:tcW w:w="6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或</w:t>
            </w:r>
            <w:r>
              <w:rPr>
                <w:rFonts w:hint="eastAsia" w:cs="Times New Roman"/>
                <w:color w:val="000000" w:themeColor="text1"/>
                <w:sz w:val="21"/>
                <w:szCs w:val="21"/>
                <w:highlight w:val="none"/>
                <w14:textFill>
                  <w14:solidFill>
                    <w14:schemeClr w14:val="tx1"/>
                  </w14:solidFill>
                </w14:textFill>
              </w:rPr>
              <w:t>干法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3" w:type="dxa"/>
            <w:bottom w:w="0" w:type="dxa"/>
            <w:right w:w="23" w:type="dxa"/>
          </w:tblCellMar>
        </w:tblPrEx>
        <w:trPr>
          <w:jc w:val="center"/>
        </w:trPr>
        <w:tc>
          <w:tcPr>
            <w:tcW w:w="42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一开</w:t>
            </w:r>
          </w:p>
        </w:tc>
        <w:tc>
          <w:tcPr>
            <w:tcW w:w="651"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70"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hint="eastAsia" w:eastAsia="宋体" w:cs="Times New Roman"/>
                <w:color w:val="000000" w:themeColor="text1"/>
                <w:sz w:val="21"/>
                <w:szCs w:val="21"/>
                <w:highlight w:val="none"/>
                <w:lang w:eastAsia="zh-CN"/>
                <w14:textFill>
                  <w14:solidFill>
                    <w14:schemeClr w14:val="tx1"/>
                  </w14:solidFill>
                </w14:textFill>
              </w:rPr>
            </w:pPr>
            <w:r>
              <w:rPr>
                <w:rFonts w:hint="eastAsia"/>
              </w:rPr>
              <w:t>***</w:t>
            </w:r>
          </w:p>
        </w:tc>
        <w:tc>
          <w:tcPr>
            <w:tcW w:w="801"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714"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02"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350"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内插</w:t>
            </w:r>
          </w:p>
        </w:tc>
        <w:tc>
          <w:tcPr>
            <w:tcW w:w="6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或</w:t>
            </w:r>
            <w:r>
              <w:rPr>
                <w:rFonts w:hint="eastAsia" w:cs="Times New Roman"/>
                <w:color w:val="000000" w:themeColor="text1"/>
                <w:sz w:val="21"/>
                <w:szCs w:val="21"/>
                <w:highlight w:val="none"/>
                <w14:textFill>
                  <w14:solidFill>
                    <w14:schemeClr w14:val="tx1"/>
                  </w14:solidFill>
                </w14:textFill>
              </w:rPr>
              <w:t>干法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3" w:type="dxa"/>
            <w:bottom w:w="0" w:type="dxa"/>
            <w:right w:w="23" w:type="dxa"/>
          </w:tblCellMar>
        </w:tblPrEx>
        <w:trPr>
          <w:jc w:val="center"/>
        </w:trPr>
        <w:tc>
          <w:tcPr>
            <w:tcW w:w="423"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二开</w:t>
            </w:r>
          </w:p>
        </w:tc>
        <w:tc>
          <w:tcPr>
            <w:tcW w:w="651"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hint="eastAsia"/>
              </w:rPr>
            </w:pPr>
            <w:r>
              <w:rPr>
                <w:rFonts w:hint="eastAsia"/>
              </w:rPr>
              <w:t>***</w:t>
            </w:r>
          </w:p>
          <w:p>
            <w:pPr>
              <w:spacing w:line="240" w:lineRule="auto"/>
              <w:ind w:firstLine="480" w:firstLineChars="200"/>
              <w:jc w:val="center"/>
              <w:rPr>
                <w:rFonts w:hint="eastAsia"/>
              </w:rPr>
            </w:pPr>
            <w:r>
              <w:rPr>
                <w:rFonts w:hint="eastAsia"/>
              </w:rPr>
              <w:t>***</w:t>
            </w:r>
          </w:p>
        </w:tc>
        <w:tc>
          <w:tcPr>
            <w:tcW w:w="570"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hint="eastAsia"/>
              </w:rPr>
            </w:pPr>
            <w:r>
              <w:rPr>
                <w:rFonts w:hint="eastAsia"/>
              </w:rPr>
              <w:t>***</w:t>
            </w:r>
          </w:p>
          <w:p>
            <w:pPr>
              <w:spacing w:line="240" w:lineRule="auto"/>
              <w:ind w:firstLine="480" w:firstLineChars="200"/>
              <w:jc w:val="center"/>
              <w:rPr>
                <w:rFonts w:hint="eastAsia"/>
              </w:rPr>
            </w:pPr>
            <w:r>
              <w:rPr>
                <w:rFonts w:hint="eastAsia"/>
              </w:rPr>
              <w:t>***</w:t>
            </w:r>
          </w:p>
        </w:tc>
        <w:tc>
          <w:tcPr>
            <w:tcW w:w="801"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714"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02"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350" w:type="pct"/>
            <w:vMerge w:val="restar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常规</w:t>
            </w:r>
          </w:p>
        </w:tc>
        <w:tc>
          <w:tcPr>
            <w:tcW w:w="6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漂珠</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3" w:type="dxa"/>
            <w:bottom w:w="0" w:type="dxa"/>
            <w:right w:w="23" w:type="dxa"/>
          </w:tblCellMar>
        </w:tblPrEx>
        <w:trPr>
          <w:jc w:val="center"/>
        </w:trPr>
        <w:tc>
          <w:tcPr>
            <w:tcW w:w="423" w:type="pct"/>
            <w:vMerge w:val="continue"/>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651" w:type="pct"/>
            <w:vMerge w:val="continue"/>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570" w:type="pct"/>
            <w:vMerge w:val="continue"/>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801"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714"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02"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350" w:type="pct"/>
            <w:vMerge w:val="continue"/>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6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增韧</w:t>
            </w:r>
            <w:r>
              <w:rPr>
                <w:rFonts w:hint="eastAsia" w:cs="Times New Roman"/>
                <w:color w:val="000000" w:themeColor="text1"/>
                <w:sz w:val="21"/>
                <w:szCs w:val="21"/>
                <w:highlight w:val="none"/>
                <w14:textFill>
                  <w14:solidFill>
                    <w14:schemeClr w14:val="tx1"/>
                  </w14:solidFill>
                </w14:textFill>
              </w:rPr>
              <w:t>防漏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3" w:type="dxa"/>
            <w:bottom w:w="0" w:type="dxa"/>
            <w:right w:w="23" w:type="dxa"/>
          </w:tblCellMar>
        </w:tblPrEx>
        <w:trPr>
          <w:jc w:val="center"/>
        </w:trPr>
        <w:tc>
          <w:tcPr>
            <w:tcW w:w="42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三开</w:t>
            </w:r>
          </w:p>
        </w:tc>
        <w:tc>
          <w:tcPr>
            <w:tcW w:w="651"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70"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hint="eastAsia" w:eastAsia="宋体" w:cs="Times New Roman"/>
                <w:color w:val="000000" w:themeColor="text1"/>
                <w:sz w:val="21"/>
                <w:szCs w:val="21"/>
                <w:highlight w:val="none"/>
                <w:lang w:eastAsia="zh-CN"/>
                <w14:textFill>
                  <w14:solidFill>
                    <w14:schemeClr w14:val="tx1"/>
                  </w14:solidFill>
                </w14:textFill>
              </w:rPr>
            </w:pPr>
            <w:r>
              <w:rPr>
                <w:rFonts w:hint="eastAsia"/>
              </w:rPr>
              <w:t>***</w:t>
            </w:r>
          </w:p>
        </w:tc>
        <w:tc>
          <w:tcPr>
            <w:tcW w:w="801"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714"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4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02"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350"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常规</w:t>
            </w:r>
          </w:p>
        </w:tc>
        <w:tc>
          <w:tcPr>
            <w:tcW w:w="643" w:type="pct"/>
            <w:tcBorders>
              <w:top w:val="single" w:color="auto" w:sz="4" w:space="0"/>
              <w:left w:val="single" w:color="auto" w:sz="4" w:space="0"/>
              <w:bottom w:val="single" w:color="auto" w:sz="4" w:space="0"/>
              <w:right w:val="single" w:color="auto" w:sz="4" w:space="0"/>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增韧</w:t>
            </w:r>
            <w:r>
              <w:rPr>
                <w:rFonts w:hint="eastAsia" w:cs="Times New Roman"/>
                <w:color w:val="000000" w:themeColor="text1"/>
                <w:sz w:val="21"/>
                <w:szCs w:val="21"/>
                <w:highlight w:val="none"/>
                <w14:textFill>
                  <w14:solidFill>
                    <w14:schemeClr w14:val="tx1"/>
                  </w14:solidFill>
                </w14:textFill>
              </w:rPr>
              <w:t>防窜</w:t>
            </w:r>
          </w:p>
        </w:tc>
      </w:tr>
    </w:tbl>
    <w:p>
      <w:pPr>
        <w:spacing w:line="240" w:lineRule="auto"/>
        <w:ind w:firstLine="0" w:firstLineChars="0"/>
        <w:rPr>
          <w:rFonts w:hint="eastAsia" w:ascii="宋体" w:hAnsi="宋体" w:cs="Times New Roman"/>
          <w:i/>
          <w:iCs/>
          <w:color w:val="000000" w:themeColor="text1"/>
          <w:sz w:val="18"/>
          <w:szCs w:val="18"/>
          <w:highlight w:val="none"/>
          <w14:textFill>
            <w14:solidFill>
              <w14:schemeClr w14:val="tx1"/>
            </w14:solidFill>
          </w14:textFill>
        </w:rPr>
      </w:pPr>
      <w:r>
        <w:rPr>
          <w:rFonts w:ascii="宋体" w:hAnsi="宋体" w:cs="Times New Roman"/>
          <w:i/>
          <w:iCs/>
          <w:color w:val="000000" w:themeColor="text1"/>
          <w:sz w:val="18"/>
          <w:szCs w:val="18"/>
          <w:highlight w:val="none"/>
          <w14:textFill>
            <w14:solidFill>
              <w14:schemeClr w14:val="tx1"/>
            </w14:solidFill>
          </w14:textFill>
        </w:rPr>
        <w:t>注：</w:t>
      </w:r>
      <w:r>
        <w:rPr>
          <w:rFonts w:hint="eastAsia" w:ascii="宋体" w:hAnsi="宋体" w:cs="宋体"/>
          <w:i/>
          <w:iCs/>
          <w:color w:val="000000" w:themeColor="text1"/>
          <w:sz w:val="18"/>
          <w:szCs w:val="18"/>
          <w:highlight w:val="none"/>
          <w14:textFill>
            <w14:solidFill>
              <w14:schemeClr w14:val="tx1"/>
            </w14:solidFill>
          </w14:textFill>
        </w:rPr>
        <w:t>①</w:t>
      </w:r>
      <w:r>
        <w:rPr>
          <w:rFonts w:ascii="宋体" w:hAnsi="宋体" w:cs="Times New Roman"/>
          <w:i/>
          <w:iCs/>
          <w:color w:val="000000" w:themeColor="text1"/>
          <w:sz w:val="18"/>
          <w:szCs w:val="18"/>
          <w:highlight w:val="none"/>
          <w14:textFill>
            <w14:solidFill>
              <w14:schemeClr w14:val="tx1"/>
            </w14:solidFill>
          </w14:textFill>
        </w:rPr>
        <w:t>水泥用量及上返深度为理论数据，施工中应根据实测井径进行修正。</w:t>
      </w:r>
    </w:p>
    <w:p>
      <w:pPr>
        <w:spacing w:line="240" w:lineRule="auto"/>
        <w:ind w:firstLine="0" w:firstLineChars="0"/>
        <w:rPr>
          <w:rFonts w:hint="eastAsia" w:ascii="宋体" w:hAnsi="宋体" w:cs="Times New Roman"/>
          <w:i/>
          <w:iCs/>
          <w:color w:val="000000" w:themeColor="text1"/>
          <w:sz w:val="18"/>
          <w:szCs w:val="18"/>
          <w:highlight w:val="none"/>
          <w14:textFill>
            <w14:solidFill>
              <w14:schemeClr w14:val="tx1"/>
            </w14:solidFill>
          </w14:textFill>
        </w:rPr>
      </w:pPr>
      <w:r>
        <w:rPr>
          <w:rFonts w:hint="eastAsia" w:ascii="宋体" w:hAnsi="宋体" w:cs="宋体"/>
          <w:i/>
          <w:iCs/>
          <w:color w:val="000000" w:themeColor="text1"/>
          <w:sz w:val="18"/>
          <w:szCs w:val="18"/>
          <w:highlight w:val="none"/>
          <w14:textFill>
            <w14:solidFill>
              <w14:schemeClr w14:val="tx1"/>
            </w14:solidFill>
          </w14:textFill>
        </w:rPr>
        <w:t>②</w:t>
      </w:r>
      <w:r>
        <w:rPr>
          <w:rFonts w:ascii="宋体" w:hAnsi="宋体" w:cs="Times New Roman"/>
          <w:i/>
          <w:iCs/>
          <w:color w:val="000000" w:themeColor="text1"/>
          <w:sz w:val="18"/>
          <w:szCs w:val="18"/>
          <w:highlight w:val="none"/>
          <w14:textFill>
            <w14:solidFill>
              <w14:schemeClr w14:val="tx1"/>
            </w14:solidFill>
          </w14:textFill>
        </w:rPr>
        <w:t>现场水泥浆密度应根据实际地层压力需要进行调整。</w:t>
      </w:r>
    </w:p>
    <w:p>
      <w:pPr>
        <w:spacing w:line="240" w:lineRule="auto"/>
        <w:ind w:firstLine="0" w:firstLineChars="0"/>
        <w:rPr>
          <w:rFonts w:hint="eastAsia" w:ascii="宋体" w:hAnsi="宋体" w:cs="Times New Roman"/>
          <w:i/>
          <w:iCs/>
          <w:color w:val="000000" w:themeColor="text1"/>
          <w:sz w:val="18"/>
          <w:szCs w:val="18"/>
          <w:highlight w:val="none"/>
          <w14:textFill>
            <w14:solidFill>
              <w14:schemeClr w14:val="tx1"/>
            </w14:solidFill>
          </w14:textFill>
        </w:rPr>
      </w:pPr>
      <w:r>
        <w:rPr>
          <w:rFonts w:hint="eastAsia" w:ascii="宋体" w:hAnsi="宋体" w:cs="宋体"/>
          <w:i/>
          <w:iCs/>
          <w:color w:val="000000" w:themeColor="text1"/>
          <w:sz w:val="18"/>
          <w:szCs w:val="18"/>
          <w:highlight w:val="none"/>
          <w14:textFill>
            <w14:solidFill>
              <w14:schemeClr w14:val="tx1"/>
            </w14:solidFill>
          </w14:textFill>
        </w:rPr>
        <w:t>③</w:t>
      </w:r>
      <w:r>
        <w:rPr>
          <w:rFonts w:ascii="宋体" w:hAnsi="宋体" w:cs="Times New Roman"/>
          <w:i/>
          <w:iCs/>
          <w:color w:val="000000" w:themeColor="text1"/>
          <w:sz w:val="18"/>
          <w:szCs w:val="18"/>
          <w:highlight w:val="none"/>
          <w14:textFill>
            <w14:solidFill>
              <w14:schemeClr w14:val="tx1"/>
            </w14:solidFill>
          </w14:textFill>
        </w:rPr>
        <w:t>注水泥前，采取KSY等堵漏方法提高裸眼承压能力，确保在压稳、不漏的基础上进行固井施工。</w:t>
      </w:r>
    </w:p>
    <w:p>
      <w:pPr>
        <w:autoSpaceDE w:val="0"/>
        <w:autoSpaceDN w:val="0"/>
        <w:spacing w:line="240" w:lineRule="auto"/>
        <w:ind w:firstLine="0" w:firstLineChars="0"/>
        <w:textAlignment w:val="baseline"/>
        <w:rPr>
          <w:rFonts w:hint="eastAsia" w:ascii="仿宋" w:hAnsi="仿宋" w:eastAsia="仿宋" w:cs="Times New Roman"/>
          <w:i/>
          <w:iCs/>
          <w:color w:val="000000" w:themeColor="text1"/>
          <w:sz w:val="18"/>
          <w:szCs w:val="18"/>
          <w:highlight w:val="none"/>
          <w14:textFill>
            <w14:solidFill>
              <w14:schemeClr w14:val="tx1"/>
            </w14:solidFill>
          </w14:textFill>
        </w:rPr>
      </w:pPr>
      <w:r>
        <w:rPr>
          <w:rFonts w:hint="eastAsia" w:ascii="宋体" w:hAnsi="宋体" w:cs="宋体"/>
          <w:i/>
          <w:iCs/>
          <w:color w:val="000000" w:themeColor="text1"/>
          <w:sz w:val="18"/>
          <w:szCs w:val="18"/>
          <w:highlight w:val="none"/>
          <w14:textFill>
            <w14:solidFill>
              <w14:schemeClr w14:val="tx1"/>
            </w14:solidFill>
          </w14:textFill>
        </w:rPr>
        <w:t>④</w:t>
      </w:r>
      <w:r>
        <w:rPr>
          <w:rFonts w:ascii="宋体" w:hAnsi="宋体" w:cs="Times New Roman"/>
          <w:i/>
          <w:iCs/>
          <w:color w:val="000000" w:themeColor="text1"/>
          <w:sz w:val="18"/>
          <w:szCs w:val="18"/>
          <w:highlight w:val="none"/>
          <w14:textFill>
            <w14:solidFill>
              <w14:schemeClr w14:val="tx1"/>
            </w14:solidFill>
          </w14:textFill>
        </w:rPr>
        <w:t>如果固井质量不好应采取挤水泥、短回接等方式补救至合格。</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水泥浆体系及性能参数</w:t>
      </w:r>
    </w:p>
    <w:tbl>
      <w:tblPr>
        <w:tblStyle w:val="54"/>
        <w:tblW w:w="8220"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644"/>
        <w:gridCol w:w="1644"/>
        <w:gridCol w:w="1644"/>
        <w:gridCol w:w="1644"/>
        <w:gridCol w:w="164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项目</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一开</w:t>
            </w:r>
          </w:p>
        </w:tc>
        <w:tc>
          <w:tcPr>
            <w:tcW w:w="0" w:type="auto"/>
            <w:gridSpan w:val="2"/>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二开</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三开</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0" w:type="auto"/>
            <w:tcBorders>
              <w:top w:val="single" w:color="auto" w:sz="4" w:space="0"/>
              <w:left w:val="single" w:color="auto" w:sz="4" w:space="0"/>
              <w:bottom w:val="single" w:color="auto" w:sz="4" w:space="0"/>
              <w:right w:val="single" w:color="auto" w:sz="4" w:space="0"/>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r>
    </w:tbl>
    <w:p>
      <w:pPr>
        <w:autoSpaceDE w:val="0"/>
        <w:autoSpaceDN w:val="0"/>
        <w:spacing w:before="120" w:beforeLines="50"/>
        <w:ind w:firstLine="480"/>
        <w:textAlignment w:val="baseline"/>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2）固井材料</w:t>
      </w:r>
    </w:p>
    <w:p>
      <w:pPr>
        <w:autoSpaceDE w:val="0"/>
        <w:autoSpaceDN w:val="0"/>
        <w:ind w:firstLine="480"/>
        <w:textAlignment w:val="baseline"/>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固井作业主要原辅材料、能源消耗及来源统计</w:t>
      </w:r>
      <w:r>
        <w:rPr>
          <w:rFonts w:hint="eastAsia" w:cs="Times New Roman"/>
          <w:color w:val="000000" w:themeColor="text1"/>
          <w:szCs w:val="24"/>
          <w:highlight w:val="none"/>
          <w14:textFill>
            <w14:solidFill>
              <w14:schemeClr w14:val="tx1"/>
            </w14:solidFill>
          </w14:textFill>
        </w:rPr>
        <w:t>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_Ref142593382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4</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45" w:name="_Ref14259338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14</w:t>
      </w:r>
      <w:r>
        <w:rPr>
          <w:color w:val="000000" w:themeColor="text1"/>
          <w:highlight w:val="none"/>
          <w14:textFill>
            <w14:solidFill>
              <w14:schemeClr w14:val="tx1"/>
            </w14:solidFill>
          </w14:textFill>
        </w:rPr>
        <w:fldChar w:fldCharType="end"/>
      </w:r>
      <w:bookmarkEnd w:id="145"/>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固井作业主要原辅材料和能源种类及用量</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单位：</w:t>
      </w:r>
      <w:r>
        <w:rPr>
          <w:color w:val="000000" w:themeColor="text1"/>
          <w:highlight w:val="none"/>
          <w14:textFill>
            <w14:solidFill>
              <w14:schemeClr w14:val="tx1"/>
            </w14:solidFill>
          </w14:textFill>
        </w:rPr>
        <w:t>t</w:t>
      </w:r>
    </w:p>
    <w:tbl>
      <w:tblPr>
        <w:tblStyle w:val="5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3" w:type="dxa"/>
        </w:tblCellMar>
      </w:tblPr>
      <w:tblGrid>
        <w:gridCol w:w="1120"/>
        <w:gridCol w:w="2313"/>
        <w:gridCol w:w="886"/>
        <w:gridCol w:w="886"/>
        <w:gridCol w:w="887"/>
        <w:gridCol w:w="2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2106" w:type="pct"/>
            <w:gridSpan w:val="2"/>
            <w:vMerge w:val="restar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材料名称</w:t>
            </w:r>
          </w:p>
        </w:tc>
        <w:tc>
          <w:tcPr>
            <w:tcW w:w="1503" w:type="pct"/>
            <w:gridSpan w:val="3"/>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用量</w:t>
            </w:r>
          </w:p>
        </w:tc>
        <w:tc>
          <w:tcPr>
            <w:tcW w:w="1390" w:type="pct"/>
            <w:vMerge w:val="restar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59" w:hRule="atLeast"/>
          <w:jc w:val="center"/>
        </w:trPr>
        <w:tc>
          <w:tcPr>
            <w:tcW w:w="2106" w:type="pct"/>
            <w:gridSpan w:val="2"/>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544" w:type="pc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一开</w:t>
            </w:r>
          </w:p>
        </w:tc>
        <w:tc>
          <w:tcPr>
            <w:tcW w:w="479" w:type="pc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二开</w:t>
            </w:r>
          </w:p>
        </w:tc>
        <w:tc>
          <w:tcPr>
            <w:tcW w:w="480" w:type="pc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三开</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restar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水泥添加剂</w:t>
            </w: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restar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添加剂加量可根据实际情况进行调整，必须满足水泥浆性能要求和施工要求。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2106" w:type="pct"/>
            <w:gridSpan w:val="2"/>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冲洗液（m</w:t>
            </w:r>
            <w:r>
              <w:rPr>
                <w:rFonts w:hint="eastAsia" w:cs="Times New Roman"/>
                <w:color w:val="000000" w:themeColor="text1"/>
                <w:sz w:val="21"/>
                <w:szCs w:val="21"/>
                <w:highlight w:val="none"/>
                <w:vertAlign w:val="superscript"/>
                <w:lang w:val="zh-CN"/>
                <w14:textFill>
                  <w14:solidFill>
                    <w14:schemeClr w14:val="tx1"/>
                  </w14:solidFill>
                </w14:textFill>
              </w:rPr>
              <w:t>3</w:t>
            </w:r>
            <w:r>
              <w:rPr>
                <w:rFonts w:hint="eastAsia" w:cs="Times New Roman"/>
                <w:color w:val="000000" w:themeColor="text1"/>
                <w:sz w:val="21"/>
                <w:szCs w:val="21"/>
                <w:highlight w:val="none"/>
                <w:lang w:val="zh-CN"/>
                <w14:textFill>
                  <w14:solidFill>
                    <w14:schemeClr w14:val="tx1"/>
                  </w14:solidFill>
                </w14:textFill>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restart"/>
            <w:tcBorders>
              <w:tl2br w:val="nil"/>
              <w:tr2bl w:val="nil"/>
            </w:tcBorders>
            <w:shd w:val="clear" w:color="000000" w:fill="FFFFFF"/>
            <w:vAlign w:val="center"/>
          </w:tcPr>
          <w:p>
            <w:pPr>
              <w:spacing w:line="240" w:lineRule="auto"/>
              <w:ind w:firstLine="480" w:firstLineChars="200"/>
              <w:jc w:val="center"/>
              <w:rPr>
                <w:rFonts w:hint="eastAsia"/>
              </w:rPr>
            </w:pPr>
            <w:r>
              <w:rPr>
                <w:rFonts w:hint="eastAsia"/>
              </w:rPr>
              <w:t>***</w:t>
            </w:r>
          </w:p>
          <w:p>
            <w:pPr>
              <w:spacing w:line="240" w:lineRule="auto"/>
              <w:ind w:firstLine="480" w:firstLineChars="200"/>
              <w:jc w:val="center"/>
              <w:rPr>
                <w:rFonts w:hint="eastAsia"/>
                <w:lang w:val="zh-CN"/>
              </w:rPr>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2106" w:type="pct"/>
            <w:gridSpan w:val="2"/>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前置液（m</w:t>
            </w:r>
            <w:r>
              <w:rPr>
                <w:rFonts w:hint="eastAsia" w:cs="Times New Roman"/>
                <w:color w:val="000000" w:themeColor="text1"/>
                <w:sz w:val="21"/>
                <w:szCs w:val="21"/>
                <w:highlight w:val="none"/>
                <w:vertAlign w:val="superscript"/>
                <w:lang w:val="zh-CN"/>
                <w14:textFill>
                  <w14:solidFill>
                    <w14:schemeClr w14:val="tx1"/>
                  </w14:solidFill>
                </w14:textFill>
              </w:rPr>
              <w:t>3</w:t>
            </w:r>
            <w:r>
              <w:rPr>
                <w:rFonts w:hint="eastAsia" w:cs="Times New Roman"/>
                <w:color w:val="000000" w:themeColor="text1"/>
                <w:sz w:val="21"/>
                <w:szCs w:val="21"/>
                <w:highlight w:val="none"/>
                <w:lang w:val="zh-CN"/>
                <w14:textFill>
                  <w14:solidFill>
                    <w14:schemeClr w14:val="tx1"/>
                  </w14:solidFill>
                </w14:textFill>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固井附件</w:t>
            </w: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三开气密扣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restar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套管扶正器</w:t>
            </w: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restar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扶正器规格必须与井眼及套管尺寸匹配。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544"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14:textFill>
                  <w14:solidFill>
                    <w14:schemeClr w14:val="tx1"/>
                  </w14:solidFill>
                </w14:textFill>
              </w:rPr>
            </w:pPr>
            <w:r>
              <w:rPr>
                <w:rFonts w:hint="eastAsia"/>
              </w:rPr>
              <w:t>***</w:t>
            </w:r>
          </w:p>
        </w:tc>
        <w:tc>
          <w:tcPr>
            <w:tcW w:w="479"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480" w:type="pct"/>
            <w:tcBorders>
              <w:tl2br w:val="nil"/>
              <w:tr2bl w:val="nil"/>
            </w:tcBorders>
            <w:shd w:val="clear" w:color="000000" w:fill="FFFFFF"/>
            <w:vAlign w:val="center"/>
          </w:tcPr>
          <w:p>
            <w:pPr>
              <w:spacing w:line="240" w:lineRule="auto"/>
              <w:ind w:firstLine="480" w:firstLineChars="200"/>
              <w:jc w:val="center"/>
              <w:rPr>
                <w:rFonts w:cs="Times New Roman"/>
                <w:color w:val="000000" w:themeColor="text1"/>
                <w:sz w:val="21"/>
                <w:szCs w:val="21"/>
                <w:highlight w:val="none"/>
                <w:lang w:val="zh-CN"/>
                <w14:textFill>
                  <w14:solidFill>
                    <w14:schemeClr w14:val="tx1"/>
                  </w14:solidFill>
                </w14:textFill>
              </w:rPr>
            </w:pPr>
            <w:r>
              <w:rPr>
                <w:rFonts w:hint="eastAsia"/>
              </w:rPr>
              <w:t>***</w:t>
            </w:r>
          </w:p>
        </w:tc>
        <w:tc>
          <w:tcPr>
            <w:tcW w:w="1390" w:type="pct"/>
            <w:vMerge w:val="continue"/>
            <w:tcBorders>
              <w:tl2br w:val="nil"/>
              <w:tr2bl w:val="nil"/>
            </w:tcBorders>
            <w:shd w:val="clear" w:color="000000" w:fill="FFFFFF"/>
            <w:vAlign w:val="center"/>
          </w:tcPr>
          <w:p>
            <w:pPr>
              <w:autoSpaceDE w:val="0"/>
              <w:autoSpaceDN w:val="0"/>
              <w:spacing w:after="200"/>
              <w:ind w:firstLine="360"/>
              <w:jc w:val="left"/>
              <w:rPr>
                <w:rFonts w:ascii="宋体" w:cs="宋体"/>
                <w:color w:val="000000" w:themeColor="text1"/>
                <w:kern w:val="0"/>
                <w:sz w:val="18"/>
                <w:szCs w:val="18"/>
                <w:highlight w:val="none"/>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35" w:hRule="atLeast"/>
          <w:jc w:val="center"/>
        </w:trPr>
        <w:tc>
          <w:tcPr>
            <w:tcW w:w="696" w:type="pct"/>
            <w:vMerge w:val="continue"/>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p>
        </w:tc>
        <w:tc>
          <w:tcPr>
            <w:tcW w:w="1409" w:type="pc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滚珠刚性扶正器（只）</w:t>
            </w:r>
          </w:p>
        </w:tc>
        <w:tc>
          <w:tcPr>
            <w:tcW w:w="544" w:type="pc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cs="Times New Roman"/>
                <w:color w:val="000000" w:themeColor="text1"/>
                <w:sz w:val="21"/>
                <w:szCs w:val="21"/>
                <w:highlight w:val="none"/>
                <w14:textFill>
                  <w14:solidFill>
                    <w14:schemeClr w14:val="tx1"/>
                  </w14:solidFill>
                </w14:textFill>
              </w:rPr>
              <w:t>/</w:t>
            </w:r>
          </w:p>
        </w:tc>
        <w:tc>
          <w:tcPr>
            <w:tcW w:w="479" w:type="pc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lang w:val="zh-CN"/>
                <w14:textFill>
                  <w14:solidFill>
                    <w14:schemeClr w14:val="tx1"/>
                  </w14:solidFill>
                </w14:textFill>
              </w:rPr>
              <w:t>/</w:t>
            </w:r>
          </w:p>
        </w:tc>
        <w:tc>
          <w:tcPr>
            <w:tcW w:w="480" w:type="pct"/>
            <w:tcBorders>
              <w:tl2br w:val="nil"/>
              <w:tr2bl w:val="nil"/>
            </w:tcBorders>
            <w:shd w:val="clear" w:color="000000" w:fill="FFFFFF"/>
            <w:vAlign w:val="center"/>
          </w:tcPr>
          <w:p>
            <w:pPr>
              <w:spacing w:line="240" w:lineRule="auto"/>
              <w:ind w:firstLine="0" w:firstLineChars="0"/>
              <w:jc w:val="center"/>
              <w:rPr>
                <w:rFonts w:cs="Times New Roman"/>
                <w:color w:val="000000" w:themeColor="text1"/>
                <w:sz w:val="21"/>
                <w:szCs w:val="21"/>
                <w:highlight w:val="none"/>
                <w:lang w:val="zh-CN"/>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w:t>
            </w:r>
          </w:p>
        </w:tc>
        <w:tc>
          <w:tcPr>
            <w:tcW w:w="1390" w:type="pct"/>
            <w:vMerge w:val="continue"/>
            <w:tcBorders>
              <w:tl2br w:val="nil"/>
              <w:tr2bl w:val="nil"/>
            </w:tcBorders>
            <w:shd w:val="clear" w:color="000000" w:fill="FFFFFF"/>
            <w:vAlign w:val="center"/>
          </w:tcPr>
          <w:p>
            <w:pPr>
              <w:autoSpaceDE w:val="0"/>
              <w:autoSpaceDN w:val="0"/>
              <w:spacing w:after="200"/>
              <w:ind w:firstLine="360"/>
              <w:jc w:val="left"/>
              <w:rPr>
                <w:rFonts w:ascii="宋体" w:cs="宋体"/>
                <w:color w:val="000000" w:themeColor="text1"/>
                <w:kern w:val="0"/>
                <w:sz w:val="18"/>
                <w:szCs w:val="18"/>
                <w:highlight w:val="none"/>
                <w:lang w:val="zh-CN"/>
                <w14:textFill>
                  <w14:solidFill>
                    <w14:schemeClr w14:val="tx1"/>
                  </w14:solidFill>
                </w14:textFill>
              </w:rPr>
            </w:pPr>
          </w:p>
        </w:tc>
      </w:tr>
    </w:tbl>
    <w:p>
      <w:pPr>
        <w:spacing w:line="240" w:lineRule="auto"/>
        <w:ind w:firstLine="0" w:firstLineChars="0"/>
        <w:rPr>
          <w:rFonts w:hint="eastAsia" w:ascii="宋体" w:hAnsi="宋体" w:cs="Times New Roman"/>
          <w:color w:val="000000" w:themeColor="text1"/>
          <w:sz w:val="18"/>
          <w:szCs w:val="18"/>
          <w:highlight w:val="none"/>
          <w14:textFill>
            <w14:solidFill>
              <w14:schemeClr w14:val="tx1"/>
            </w14:solidFill>
          </w14:textFill>
        </w:rPr>
      </w:pPr>
      <w:r>
        <w:rPr>
          <w:rFonts w:ascii="宋体" w:hAnsi="宋体" w:cs="Times New Roman"/>
          <w:color w:val="000000" w:themeColor="text1"/>
          <w:sz w:val="18"/>
          <w:szCs w:val="18"/>
          <w:highlight w:val="none"/>
          <w14:textFill>
            <w14:solidFill>
              <w14:schemeClr w14:val="tx1"/>
            </w14:solidFill>
          </w14:textFill>
        </w:rPr>
        <w:t>注：固井材料可根据实际情况进行调整，必须满足水泥浆性能要求和施工要求。</w:t>
      </w:r>
    </w:p>
    <w:p>
      <w:pPr>
        <w:autoSpaceDE w:val="0"/>
        <w:autoSpaceDN w:val="0"/>
        <w:spacing w:before="120" w:beforeLines="50"/>
        <w:ind w:firstLine="482"/>
        <w:textAlignment w:val="baseline"/>
        <w:rPr>
          <w:rFonts w:cs="Times New Roman"/>
          <w:b/>
          <w:bCs/>
          <w:color w:val="000000" w:themeColor="text1"/>
          <w:kern w:val="0"/>
          <w:szCs w:val="20"/>
          <w:highlight w:val="none"/>
          <w14:textFill>
            <w14:solidFill>
              <w14:schemeClr w14:val="tx1"/>
            </w14:solidFill>
          </w14:textFill>
        </w:rPr>
      </w:pPr>
      <w:r>
        <w:rPr>
          <w:rFonts w:hint="eastAsia" w:cs="Times New Roman"/>
          <w:b/>
          <w:bCs/>
          <w:color w:val="000000" w:themeColor="text1"/>
          <w:kern w:val="0"/>
          <w:szCs w:val="20"/>
          <w:highlight w:val="none"/>
          <w14:textFill>
            <w14:solidFill>
              <w14:schemeClr w14:val="tx1"/>
            </w14:solidFill>
          </w14:textFill>
        </w:rPr>
        <w:t>2、储层改造工程</w:t>
      </w:r>
      <w:r>
        <w:rPr>
          <w:rFonts w:cs="Times New Roman"/>
          <w:b/>
          <w:bCs/>
          <w:color w:val="000000" w:themeColor="text1"/>
          <w:kern w:val="0"/>
          <w:szCs w:val="20"/>
          <w:highlight w:val="none"/>
          <w14:textFill>
            <w14:solidFill>
              <w14:schemeClr w14:val="tx1"/>
            </w14:solidFill>
          </w14:textFill>
        </w:rPr>
        <w:t>材料消耗</w:t>
      </w:r>
    </w:p>
    <w:p>
      <w:pPr>
        <w:autoSpaceDE w:val="0"/>
        <w:autoSpaceDN w:val="0"/>
        <w:ind w:firstLine="480"/>
        <w:textAlignment w:val="baseline"/>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借鉴普光</w:t>
      </w:r>
      <w:r>
        <w:rPr>
          <w:rFonts w:hint="eastAsia"/>
          <w:color w:val="000000" w:themeColor="text1"/>
          <w:szCs w:val="24"/>
          <w:highlight w:val="none"/>
          <w:lang w:eastAsia="zh-CN"/>
          <w14:textFill>
            <w14:solidFill>
              <w14:schemeClr w14:val="tx1"/>
            </w14:solidFill>
          </w14:textFill>
        </w:rPr>
        <w:t>***</w:t>
      </w:r>
      <w:r>
        <w:rPr>
          <w:rFonts w:hint="eastAsia"/>
          <w:color w:val="000000" w:themeColor="text1"/>
          <w:szCs w:val="24"/>
          <w:highlight w:val="none"/>
          <w14:textFill>
            <w14:solidFill>
              <w14:schemeClr w14:val="tx1"/>
            </w14:solidFill>
          </w14:textFill>
        </w:rPr>
        <w:t>含硫天然气</w:t>
      </w:r>
      <w:r>
        <w:rPr>
          <w:color w:val="000000" w:themeColor="text1"/>
          <w:szCs w:val="24"/>
          <w:highlight w:val="none"/>
          <w14:textFill>
            <w14:solidFill>
              <w14:schemeClr w14:val="tx1"/>
            </w14:solidFill>
          </w14:textFill>
        </w:rPr>
        <w:t>压裂经验，</w:t>
      </w:r>
      <w:r>
        <w:rPr>
          <w:rFonts w:hint="eastAsia"/>
          <w:color w:val="000000" w:themeColor="text1"/>
          <w:highlight w:val="none"/>
          <w14:textFill>
            <w14:solidFill>
              <w14:schemeClr w14:val="tx1"/>
            </w14:solidFill>
          </w14:textFill>
        </w:rPr>
        <w:t>采用“钻采一体化”投产模式，分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一体化完井管柱两趟下入。施工排量为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/分钟，预测井口最高压力为</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帕，分</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，总液量为1250方</w:t>
      </w:r>
      <w:r>
        <w:rPr>
          <w:color w:val="000000" w:themeColor="text1"/>
          <w:szCs w:val="24"/>
          <w:highlight w:val="none"/>
          <w14:textFill>
            <w14:solidFill>
              <w14:schemeClr w14:val="tx1"/>
            </w14:solidFill>
          </w14:textFill>
        </w:rPr>
        <w:t>。</w:t>
      </w:r>
      <w:r>
        <w:rPr>
          <w:color w:val="000000" w:themeColor="text1"/>
          <w:highlight w:val="none"/>
          <w14:textFill>
            <w14:solidFill>
              <w14:schemeClr w14:val="tx1"/>
            </w14:solidFill>
          </w14:textFill>
        </w:rPr>
        <w:t>所需压裂液在现场配制，压裂液均在配液车中配制完成，配制的压裂液进入压裂车注入井口，配制而成的压裂液不在厂区内长期暂存。</w:t>
      </w:r>
    </w:p>
    <w:p>
      <w:pPr>
        <w:pStyle w:val="5"/>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p>
    <w:p>
      <w:pPr>
        <w:autoSpaceDE w:val="0"/>
        <w:autoSpaceDN w:val="0"/>
        <w:ind w:firstLine="480"/>
        <w:textAlignment w:val="baseline"/>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项目试采期为天然气的试采，控制系统消耗一定的电能，试采工程主要原辅材料消耗情况见下</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_Ref142593390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15</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46" w:name="_Ref14259339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15</w:t>
      </w:r>
      <w:r>
        <w:rPr>
          <w:color w:val="000000" w:themeColor="text1"/>
          <w:highlight w:val="none"/>
          <w14:textFill>
            <w14:solidFill>
              <w14:schemeClr w14:val="tx1"/>
            </w14:solidFill>
          </w14:textFill>
        </w:rPr>
        <w:fldChar w:fldCharType="end"/>
      </w:r>
      <w:bookmarkEnd w:id="14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试采工程材料消耗一览表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992"/>
        <w:gridCol w:w="993"/>
        <w:gridCol w:w="1275"/>
        <w:gridCol w:w="1134"/>
        <w:gridCol w:w="3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类别</w:t>
            </w:r>
          </w:p>
        </w:tc>
        <w:tc>
          <w:tcPr>
            <w:tcW w:w="99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99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名称</w:t>
            </w:r>
          </w:p>
        </w:tc>
        <w:tc>
          <w:tcPr>
            <w:tcW w:w="127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单位</w:t>
            </w:r>
          </w:p>
        </w:tc>
        <w:tc>
          <w:tcPr>
            <w:tcW w:w="113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数量</w:t>
            </w:r>
          </w:p>
        </w:tc>
        <w:tc>
          <w:tcPr>
            <w:tcW w:w="312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能源</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99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天然气</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万m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p>
        </w:tc>
        <w:tc>
          <w:tcPr>
            <w:tcW w:w="1134"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3124"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Merge w:val="continue"/>
            <w:vAlign w:val="center"/>
          </w:tcPr>
          <w:p>
            <w:pPr>
              <w:pStyle w:val="297"/>
              <w:rPr>
                <w:color w:val="000000" w:themeColor="text1"/>
                <w:highlight w:val="none"/>
                <w14:textFill>
                  <w14:solidFill>
                    <w14:schemeClr w14:val="tx1"/>
                  </w14:solidFill>
                </w14:textFill>
              </w:rPr>
            </w:pP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99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电</w:t>
            </w:r>
          </w:p>
        </w:tc>
        <w:tc>
          <w:tcPr>
            <w:tcW w:w="127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万</w:t>
            </w:r>
            <w:r>
              <w:rPr>
                <w:rFonts w:hint="eastAsia"/>
                <w:color w:val="000000" w:themeColor="text1"/>
                <w:highlight w:val="none"/>
                <w14:textFill>
                  <w14:solidFill>
                    <w14:schemeClr w14:val="tx1"/>
                  </w14:solidFill>
                </w14:textFill>
              </w:rPr>
              <w:t>kW</w:t>
            </w:r>
            <w:r>
              <w:rPr>
                <w:color w:val="000000" w:themeColor="text1"/>
                <w:highlight w:val="none"/>
                <w14:textFill>
                  <w14:solidFill>
                    <w14:schemeClr w14:val="tx1"/>
                  </w14:solidFill>
                </w14:textFill>
              </w:rPr>
              <w:t>·h/a</w:t>
            </w:r>
          </w:p>
        </w:tc>
        <w:tc>
          <w:tcPr>
            <w:tcW w:w="113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312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当地电网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耗材</w:t>
            </w:r>
          </w:p>
        </w:tc>
        <w:tc>
          <w:tcPr>
            <w:tcW w:w="992"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993"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管材</w:t>
            </w:r>
          </w:p>
        </w:tc>
        <w:tc>
          <w:tcPr>
            <w:tcW w:w="127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m</w:t>
            </w:r>
          </w:p>
        </w:tc>
        <w:tc>
          <w:tcPr>
            <w:tcW w:w="113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120</w:t>
            </w:r>
          </w:p>
        </w:tc>
        <w:tc>
          <w:tcPr>
            <w:tcW w:w="3124" w:type="dxa"/>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本项目至大湾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集输管道200m</w:t>
            </w:r>
          </w:p>
        </w:tc>
      </w:tr>
    </w:tbl>
    <w:p>
      <w:pPr>
        <w:pStyle w:val="4"/>
        <w:spacing w:before="0" w:beforeLines="0"/>
        <w:ind w:firstLine="480"/>
        <w:rPr>
          <w:b/>
          <w:color w:val="000000" w:themeColor="text1"/>
          <w:highlight w:val="none"/>
          <w:lang w:eastAsia="zh-CN"/>
          <w14:textFill>
            <w14:solidFill>
              <w14:schemeClr w14:val="tx1"/>
            </w14:solidFill>
          </w14:textFill>
        </w:rPr>
      </w:pPr>
      <w:bookmarkStart w:id="147" w:name="3.3建设项目环境影响因素分析"/>
      <w:bookmarkEnd w:id="147"/>
      <w:bookmarkStart w:id="148" w:name="_bookmark19"/>
      <w:bookmarkEnd w:id="148"/>
      <w:bookmarkStart w:id="149" w:name="_Toc120173104"/>
      <w:r>
        <w:rPr>
          <w:color w:val="000000" w:themeColor="text1"/>
          <w:highlight w:val="none"/>
          <w:lang w:eastAsia="zh-CN"/>
          <w14:textFill>
            <w14:solidFill>
              <w14:schemeClr w14:val="tx1"/>
            </w14:solidFill>
          </w14:textFill>
        </w:rPr>
        <w:t>项目给排水及供电</w:t>
      </w:r>
      <w:bookmarkEnd w:id="149"/>
    </w:p>
    <w:p>
      <w:pPr>
        <w:pStyle w:val="21"/>
        <w:spacing w:before="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1、项目给水</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（1）施工期</w:t>
      </w:r>
    </w:p>
    <w:p>
      <w:pPr>
        <w:ind w:firstLine="480"/>
        <w:rPr>
          <w:rFonts w:cs="Times New Roman"/>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本项目施工期的生产用水就近采用周边地表水（可从</w:t>
      </w:r>
      <w:r>
        <w:rPr>
          <w:rFonts w:hint="eastAsia"/>
          <w:color w:val="000000" w:themeColor="text1"/>
          <w:highlight w:val="none"/>
          <w14:textFill>
            <w14:solidFill>
              <w14:schemeClr w14:val="tx1"/>
            </w14:solidFill>
          </w14:textFill>
        </w:rPr>
        <w:t>后</w:t>
      </w:r>
      <w:r>
        <w:rPr>
          <w:color w:val="000000" w:themeColor="text1"/>
          <w:highlight w:val="none"/>
          <w14:textFill>
            <w14:solidFill>
              <w14:schemeClr w14:val="tx1"/>
            </w14:solidFill>
          </w14:textFill>
        </w:rPr>
        <w:t>河罐车拉运</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存放于生产水罐中</w:t>
      </w:r>
      <w:r>
        <w:rPr>
          <w:rFonts w:hint="eastAsia"/>
          <w:color w:val="000000" w:themeColor="text1"/>
          <w:highlight w:val="none"/>
          <w14:textFill>
            <w14:solidFill>
              <w14:schemeClr w14:val="tx1"/>
            </w14:solidFill>
          </w14:textFill>
        </w:rPr>
        <w:t>，取水需严格按照相关主管部门要求办理取水许可，取水口设置需避开后河特有鱼类国家级水产种质资源保护区</w:t>
      </w:r>
      <w:r>
        <w:rPr>
          <w:color w:val="000000" w:themeColor="text1"/>
          <w:highlight w:val="none"/>
          <w14:textFill>
            <w14:solidFill>
              <w14:schemeClr w14:val="tx1"/>
            </w14:solidFill>
          </w14:textFill>
        </w:rPr>
        <w:t>），生活用水</w:t>
      </w:r>
      <w:r>
        <w:rPr>
          <w:color w:val="000000" w:themeColor="text1"/>
          <w:kern w:val="28"/>
          <w:szCs w:val="21"/>
          <w:highlight w:val="none"/>
          <w14:textFill>
            <w14:solidFill>
              <w14:schemeClr w14:val="tx1"/>
            </w14:solidFill>
          </w14:textFill>
        </w:rPr>
        <w:t>车辆拉运桶装水至场地</w:t>
      </w:r>
      <w:bookmarkStart w:id="150" w:name="_Hlk91062915"/>
      <w:r>
        <w:rPr>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本项目</w:t>
      </w:r>
      <w:r>
        <w:rPr>
          <w:rFonts w:hint="eastAsia" w:cs="Times New Roman"/>
          <w:bCs/>
          <w:color w:val="000000" w:themeColor="text1"/>
          <w:highlight w:val="none"/>
          <w14:textFill>
            <w14:solidFill>
              <w14:schemeClr w14:val="tx1"/>
            </w14:solidFill>
          </w14:textFill>
        </w:rPr>
        <w:t>新增</w:t>
      </w:r>
      <w:r>
        <w:rPr>
          <w:rFonts w:cs="Times New Roman"/>
          <w:bCs/>
          <w:color w:val="000000" w:themeColor="text1"/>
          <w:highlight w:val="none"/>
          <w14:textFill>
            <w14:solidFill>
              <w14:schemeClr w14:val="tx1"/>
            </w14:solidFill>
          </w14:textFill>
        </w:rPr>
        <w:t>的生产用水</w:t>
      </w:r>
      <w:r>
        <w:rPr>
          <w:rFonts w:hint="eastAsia" w:cs="Times New Roman"/>
          <w:bCs/>
          <w:color w:val="000000" w:themeColor="text1"/>
          <w:highlight w:val="none"/>
          <w14:textFill>
            <w14:solidFill>
              <w14:schemeClr w14:val="tx1"/>
            </w14:solidFill>
          </w14:textFill>
        </w:rPr>
        <w:t>主要</w:t>
      </w:r>
      <w:r>
        <w:rPr>
          <w:rFonts w:cs="Times New Roman"/>
          <w:bCs/>
          <w:color w:val="000000" w:themeColor="text1"/>
          <w:highlight w:val="none"/>
          <w14:textFill>
            <w14:solidFill>
              <w14:schemeClr w14:val="tx1"/>
            </w14:solidFill>
          </w14:textFill>
        </w:rPr>
        <w:t>就近采用附近地表水（</w:t>
      </w:r>
      <w:r>
        <w:rPr>
          <w:rFonts w:hint="eastAsia" w:cs="Times New Roman"/>
          <w:bCs/>
          <w:color w:val="000000" w:themeColor="text1"/>
          <w:highlight w:val="none"/>
          <w14:textFill>
            <w14:solidFill>
              <w14:schemeClr w14:val="tx1"/>
            </w14:solidFill>
          </w14:textFill>
        </w:rPr>
        <w:t>后河</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，采取罐车拉运方式</w:t>
      </w:r>
      <w:r>
        <w:rPr>
          <w:rFonts w:cs="Times New Roman"/>
          <w:bCs/>
          <w:color w:val="000000" w:themeColor="text1"/>
          <w:highlight w:val="none"/>
          <w14:textFill>
            <w14:solidFill>
              <w14:schemeClr w14:val="tx1"/>
            </w14:solidFill>
          </w14:textFill>
        </w:rPr>
        <w:t>。由于项目距离</w:t>
      </w:r>
      <w:r>
        <w:rPr>
          <w:rFonts w:hint="eastAsia" w:cs="Times New Roman"/>
          <w:bCs/>
          <w:color w:val="000000" w:themeColor="text1"/>
          <w:highlight w:val="none"/>
          <w14:textFill>
            <w14:solidFill>
              <w14:schemeClr w14:val="tx1"/>
            </w14:solidFill>
          </w14:textFill>
        </w:rPr>
        <w:t>后河</w:t>
      </w:r>
      <w:r>
        <w:rPr>
          <w:rFonts w:cs="Times New Roman"/>
          <w:bCs/>
          <w:color w:val="000000" w:themeColor="text1"/>
          <w:highlight w:val="none"/>
          <w14:textFill>
            <w14:solidFill>
              <w14:schemeClr w14:val="tx1"/>
            </w14:solidFill>
          </w14:textFill>
        </w:rPr>
        <w:t>较近，</w:t>
      </w:r>
      <w:r>
        <w:rPr>
          <w:rFonts w:hint="eastAsia" w:cs="Times New Roman"/>
          <w:bCs/>
          <w:color w:val="000000" w:themeColor="text1"/>
          <w:highlight w:val="none"/>
          <w14:textFill>
            <w14:solidFill>
              <w14:schemeClr w14:val="tx1"/>
            </w14:solidFill>
          </w14:textFill>
        </w:rPr>
        <w:t>井场与后河之间有道路连接，后河</w:t>
      </w:r>
      <w:r>
        <w:rPr>
          <w:rFonts w:cs="Times New Roman"/>
          <w:bCs/>
          <w:color w:val="000000" w:themeColor="text1"/>
          <w:highlight w:val="none"/>
          <w14:textFill>
            <w14:solidFill>
              <w14:schemeClr w14:val="tx1"/>
            </w14:solidFill>
          </w14:textFill>
        </w:rPr>
        <w:t>水量充足，</w:t>
      </w:r>
      <w:r>
        <w:rPr>
          <w:rFonts w:hint="eastAsia" w:cs="Times New Roman"/>
          <w:bCs/>
          <w:color w:val="000000" w:themeColor="text1"/>
          <w:highlight w:val="none"/>
          <w14:textFill>
            <w14:solidFill>
              <w14:schemeClr w14:val="tx1"/>
            </w14:solidFill>
          </w14:textFill>
        </w:rPr>
        <w:t>在后河</w:t>
      </w:r>
      <w:r>
        <w:rPr>
          <w:rFonts w:cs="Times New Roman"/>
          <w:bCs/>
          <w:color w:val="000000" w:themeColor="text1"/>
          <w:highlight w:val="none"/>
          <w14:textFill>
            <w14:solidFill>
              <w14:schemeClr w14:val="tx1"/>
            </w14:solidFill>
          </w14:textFill>
        </w:rPr>
        <w:t>项目</w:t>
      </w:r>
      <w:r>
        <w:rPr>
          <w:rFonts w:hint="eastAsia" w:cs="Times New Roman"/>
          <w:bCs/>
          <w:color w:val="000000" w:themeColor="text1"/>
          <w:highlight w:val="none"/>
          <w14:textFill>
            <w14:solidFill>
              <w14:schemeClr w14:val="tx1"/>
            </w14:solidFill>
          </w14:textFill>
        </w:rPr>
        <w:t>通过</w:t>
      </w:r>
      <w:r>
        <w:rPr>
          <w:rFonts w:cs="Times New Roman"/>
          <w:bCs/>
          <w:color w:val="000000" w:themeColor="text1"/>
          <w:highlight w:val="none"/>
          <w14:textFill>
            <w14:solidFill>
              <w14:schemeClr w14:val="tx1"/>
            </w14:solidFill>
          </w14:textFill>
        </w:rPr>
        <w:t>合理</w:t>
      </w:r>
      <w:r>
        <w:rPr>
          <w:rFonts w:hint="eastAsia" w:cs="Times New Roman"/>
          <w:bCs/>
          <w:color w:val="000000" w:themeColor="text1"/>
          <w:highlight w:val="none"/>
          <w14:textFill>
            <w14:solidFill>
              <w14:schemeClr w14:val="tx1"/>
            </w14:solidFill>
          </w14:textFill>
        </w:rPr>
        <w:t>安排用水时间，尽量不在枯水期取水，用水前做好与当地主管部门沟通协调工作，取水需严格按照相关主管部门要求办理取水许可，且取水口需避开后河特有鱼类国家级水产种质资源保护区，项目储层改造施工</w:t>
      </w:r>
      <w:r>
        <w:rPr>
          <w:rFonts w:cs="Times New Roman"/>
          <w:bCs/>
          <w:color w:val="000000" w:themeColor="text1"/>
          <w:highlight w:val="none"/>
          <w14:textFill>
            <w14:solidFill>
              <w14:schemeClr w14:val="tx1"/>
            </w14:solidFill>
          </w14:textFill>
        </w:rPr>
        <w:t>取水不会对周边耕地等用水造成影响；若必须在枯水期取水要首先满足下游生态流量和管理部门的要求。</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（2）试采期</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试采期</w:t>
      </w:r>
      <w:r>
        <w:rPr>
          <w:rFonts w:hint="eastAsia" w:ascii="Times New Roman" w:hAnsi="Times New Roman"/>
          <w:color w:val="000000" w:themeColor="text1"/>
          <w:highlight w:val="none"/>
          <w:lang w:eastAsia="zh-CN"/>
          <w14:textFill>
            <w14:solidFill>
              <w14:schemeClr w14:val="tx1"/>
            </w14:solidFill>
          </w14:textFill>
        </w:rPr>
        <w:t>不新增劳动定员，无新增生活用水等</w:t>
      </w:r>
      <w:r>
        <w:rPr>
          <w:rFonts w:ascii="Times New Roman" w:hAnsi="Times New Roman"/>
          <w:color w:val="000000" w:themeColor="text1"/>
          <w:highlight w:val="none"/>
          <w:lang w:eastAsia="zh-CN"/>
          <w14:textFill>
            <w14:solidFill>
              <w14:schemeClr w14:val="tx1"/>
            </w14:solidFill>
          </w14:textFill>
        </w:rPr>
        <w:t>。</w:t>
      </w:r>
      <w:bookmarkEnd w:id="150"/>
    </w:p>
    <w:p>
      <w:pPr>
        <w:pStyle w:val="21"/>
        <w:spacing w:before="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2、项目排水</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（1）施工期</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本项目井场排水采用雨污分流，井场四周设置排水沟，并设置集水坑，场内雨水通过场内排水沟和集水坑（4个）隔油收集后，初期雨水、井口方井内收集的雨水通过泵提升至泥浆不落地区域暂存，与钻井废水合并处理，后期雨水散排至附近沟渠。若场内雨水被污染流入外环沟，则需封闭外环沟由作业队伍从集水坑抽汲至废水罐或放喷池。</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经固液分离后的钻井液满足要求的全部在钻井过程中回用，剩余部分和设备冲洗废水、方井雨水、失效泥浆、岩屑等经泥浆不落地装置接收处理后形成钻井废水，</w:t>
      </w:r>
      <w:r>
        <w:rPr>
          <w:rFonts w:hint="eastAsia"/>
          <w:color w:val="000000" w:themeColor="text1"/>
          <w:highlight w:val="none"/>
          <w:lang w:eastAsia="zh-CN"/>
          <w14:textFill>
            <w14:solidFill>
              <w14:schemeClr w14:val="tx1"/>
            </w14:solidFill>
          </w14:textFill>
        </w:rPr>
        <w:t>经不落地装置处理后大部分回用于配制钻井液，剩余不能回用部分暂存于清洁生产操作平台的废水罐内，定期装车拉运至赵家坝污水处理站处理达标后经普光3井回注站回注</w:t>
      </w:r>
      <w:r>
        <w:rPr>
          <w:rFonts w:hint="eastAsia" w:ascii="Times New Roman" w:hAnsi="Times New Roman"/>
          <w:color w:val="000000" w:themeColor="text1"/>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储层改造阶段产生的</w:t>
      </w:r>
      <w:r>
        <w:rPr>
          <w:rFonts w:ascii="Times New Roman" w:hAnsi="Times New Roman"/>
          <w:color w:val="000000" w:themeColor="text1"/>
          <w:highlight w:val="none"/>
          <w:lang w:eastAsia="zh-CN"/>
          <w14:textFill>
            <w14:solidFill>
              <w14:schemeClr w14:val="tx1"/>
            </w14:solidFill>
          </w14:textFill>
        </w:rPr>
        <w:t>压裂返排液及洗井废水临时暂存于放喷池或者</w:t>
      </w:r>
      <w:r>
        <w:rPr>
          <w:rFonts w:hint="eastAsia"/>
          <w:color w:val="000000" w:themeColor="text1"/>
          <w:highlight w:val="none"/>
          <w:lang w:eastAsia="zh-CN"/>
          <w14:textFill>
            <w14:solidFill>
              <w14:schemeClr w14:val="tx1"/>
            </w14:solidFill>
          </w14:textFill>
        </w:rPr>
        <w:t>压裂液储</w:t>
      </w:r>
      <w:r>
        <w:rPr>
          <w:rFonts w:ascii="Times New Roman" w:hAnsi="Times New Roman"/>
          <w:color w:val="000000" w:themeColor="text1"/>
          <w:highlight w:val="none"/>
          <w:lang w:eastAsia="zh-CN"/>
          <w14:textFill>
            <w14:solidFill>
              <w14:schemeClr w14:val="tx1"/>
            </w14:solidFill>
          </w14:textFill>
        </w:rPr>
        <w:t>罐</w:t>
      </w:r>
      <w:r>
        <w:rPr>
          <w:rFonts w:hint="eastAsia"/>
          <w:color w:val="000000" w:themeColor="text1"/>
          <w:highlight w:val="none"/>
          <w:lang w:eastAsia="zh-CN"/>
          <w14:textFill>
            <w14:solidFill>
              <w14:schemeClr w14:val="tx1"/>
            </w14:solidFill>
          </w14:textFill>
        </w:rPr>
        <w:t>中</w:t>
      </w:r>
      <w:r>
        <w:rPr>
          <w:rFonts w:ascii="Times New Roman" w:hAnsi="Times New Roman"/>
          <w:color w:val="000000" w:themeColor="text1"/>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优先回用于周边其他井场压裂液配置</w:t>
      </w:r>
      <w:r>
        <w:rPr>
          <w:rFonts w:ascii="Times New Roman" w:hAnsi="Times New Roman"/>
          <w:color w:val="000000" w:themeColor="text1"/>
          <w:highlight w:val="none"/>
          <w:lang w:eastAsia="zh-CN"/>
          <w14:textFill>
            <w14:solidFill>
              <w14:schemeClr w14:val="tx1"/>
            </w14:solidFill>
          </w14:textFill>
        </w:rPr>
        <w:t>，不能回用</w:t>
      </w:r>
      <w:r>
        <w:rPr>
          <w:rFonts w:hint="eastAsia"/>
          <w:color w:val="000000" w:themeColor="text1"/>
          <w:highlight w:val="none"/>
          <w:lang w:eastAsia="zh-CN"/>
          <w14:textFill>
            <w14:solidFill>
              <w14:schemeClr w14:val="tx1"/>
            </w14:solidFill>
          </w14:textFill>
        </w:rPr>
        <w:t>时</w:t>
      </w:r>
      <w:r>
        <w:rPr>
          <w:rFonts w:ascii="Times New Roman" w:hAnsi="Times New Roman"/>
          <w:color w:val="000000" w:themeColor="text1"/>
          <w:highlight w:val="none"/>
          <w:lang w:eastAsia="zh-CN"/>
          <w14:textFill>
            <w14:solidFill>
              <w14:schemeClr w14:val="tx1"/>
            </w14:solidFill>
          </w14:textFill>
        </w:rPr>
        <w:t>用罐车拉运至</w:t>
      </w:r>
      <w:r>
        <w:rPr>
          <w:rFonts w:hint="eastAsia" w:ascii="Times New Roman" w:hAnsi="Times New Roman"/>
          <w:color w:val="000000" w:themeColor="text1"/>
          <w:highlight w:val="none"/>
          <w:lang w:eastAsia="zh-CN"/>
          <w14:textFill>
            <w14:solidFill>
              <w14:schemeClr w14:val="tx1"/>
            </w14:solidFill>
          </w14:textFill>
        </w:rPr>
        <w:t>赵家坝污水处理站</w:t>
      </w:r>
      <w:r>
        <w:rPr>
          <w:rFonts w:ascii="Times New Roman" w:hAnsi="Times New Roman"/>
          <w:color w:val="000000" w:themeColor="text1"/>
          <w:highlight w:val="none"/>
          <w:lang w:eastAsia="zh-CN"/>
          <w14:textFill>
            <w14:solidFill>
              <w14:schemeClr w14:val="tx1"/>
            </w14:solidFill>
          </w14:textFill>
        </w:rPr>
        <w:t>处理达标后经</w:t>
      </w:r>
      <w:r>
        <w:rPr>
          <w:rFonts w:hint="eastAsia" w:ascii="Times New Roman" w:hAnsi="Times New Roman"/>
          <w:color w:val="000000" w:themeColor="text1"/>
          <w:highlight w:val="none"/>
          <w:lang w:eastAsia="zh-CN"/>
          <w14:textFill>
            <w14:solidFill>
              <w14:schemeClr w14:val="tx1"/>
            </w14:solidFill>
          </w14:textFill>
        </w:rPr>
        <w:t>普光3井回注站</w:t>
      </w:r>
      <w:r>
        <w:rPr>
          <w:rFonts w:ascii="Times New Roman" w:hAnsi="Times New Roman"/>
          <w:color w:val="000000" w:themeColor="text1"/>
          <w:highlight w:val="none"/>
          <w:lang w:eastAsia="zh-CN"/>
          <w14:textFill>
            <w14:solidFill>
              <w14:schemeClr w14:val="tx1"/>
            </w14:solidFill>
          </w14:textFill>
        </w:rPr>
        <w:t>回注；</w:t>
      </w:r>
      <w:r>
        <w:rPr>
          <w:rFonts w:hint="eastAsia" w:ascii="Times New Roman" w:hAnsi="Times New Roman"/>
          <w:color w:val="000000" w:themeColor="text1"/>
          <w:highlight w:val="none"/>
          <w:lang w:eastAsia="zh-CN"/>
          <w14:textFill>
            <w14:solidFill>
              <w14:schemeClr w14:val="tx1"/>
            </w14:solidFill>
          </w14:textFill>
        </w:rPr>
        <w:t>施工期（钻前工程）</w:t>
      </w:r>
      <w:r>
        <w:rPr>
          <w:rFonts w:ascii="Times New Roman" w:hAnsi="Times New Roman"/>
          <w:color w:val="000000" w:themeColor="text1"/>
          <w:highlight w:val="none"/>
          <w:lang w:eastAsia="zh-CN"/>
          <w14:textFill>
            <w14:solidFill>
              <w14:schemeClr w14:val="tx1"/>
            </w14:solidFill>
          </w14:textFill>
        </w:rPr>
        <w:t>生活污水依托周边农户已建设施处理</w:t>
      </w:r>
      <w:r>
        <w:rPr>
          <w:rFonts w:hint="eastAsia" w:ascii="Times New Roman" w:hAnsi="Times New Roman"/>
          <w:color w:val="000000" w:themeColor="text1"/>
          <w:highlight w:val="none"/>
          <w:lang w:eastAsia="zh-CN"/>
          <w14:textFill>
            <w14:solidFill>
              <w14:schemeClr w14:val="tx1"/>
            </w14:solidFill>
          </w14:textFill>
        </w:rPr>
        <w:t>，不外排；施工期（钻井工程、储层改造工程）</w:t>
      </w:r>
      <w:r>
        <w:rPr>
          <w:rFonts w:ascii="Times New Roman" w:hAnsi="Times New Roman"/>
          <w:color w:val="000000" w:themeColor="text1"/>
          <w:highlight w:val="none"/>
          <w:lang w:eastAsia="zh-CN"/>
          <w14:textFill>
            <w14:solidFill>
              <w14:schemeClr w14:val="tx1"/>
            </w14:solidFill>
          </w14:textFill>
        </w:rPr>
        <w:t>生活污水经生态厕所收集后定期由密闭罐车拉运至周边生活污水处理厂处理。在井场主要设备基础周边均设置了环状污水沟，用于收集可能产生的污水及雨季时雨水淋滤水，这部分废水通过连接处的集污坑隔油沉淀后最终汇入废水接收罐，接收罐及排污沟围堰上边缘均要高出井场</w:t>
      </w:r>
      <w:r>
        <w:rPr>
          <w:rFonts w:hint="eastAsia" w:ascii="Times New Roman" w:hAnsi="Times New Roman"/>
          <w:color w:val="000000" w:themeColor="text1"/>
          <w:highlight w:val="none"/>
          <w:lang w:eastAsia="zh-CN"/>
          <w14:textFill>
            <w14:solidFill>
              <w14:schemeClr w14:val="tx1"/>
            </w14:solidFill>
          </w14:textFill>
        </w:rPr>
        <w:t>3</w:t>
      </w:r>
      <w:r>
        <w:rPr>
          <w:rFonts w:ascii="Times New Roman" w:hAnsi="Times New Roman"/>
          <w:color w:val="000000" w:themeColor="text1"/>
          <w:highlight w:val="none"/>
          <w:lang w:eastAsia="zh-CN"/>
          <w14:textFill>
            <w14:solidFill>
              <w14:schemeClr w14:val="tx1"/>
            </w14:solidFill>
          </w14:textFill>
        </w:rPr>
        <w:t>0cm左右，确保污水不进入雨水排水系统，也防止雨水进入污水系统增加废水量。</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（2）试采期</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项目天然气试采</w:t>
      </w:r>
      <w:r>
        <w:rPr>
          <w:rFonts w:hint="eastAsia" w:ascii="Times New Roman" w:hAnsi="Times New Roman"/>
          <w:color w:val="000000" w:themeColor="text1"/>
          <w:highlight w:val="none"/>
          <w:lang w:eastAsia="zh-CN"/>
          <w14:textFill>
            <w14:solidFill>
              <w14:schemeClr w14:val="tx1"/>
            </w14:solidFill>
          </w14:textFill>
        </w:rPr>
        <w:t>过程中</w:t>
      </w:r>
      <w:r>
        <w:rPr>
          <w:rFonts w:ascii="Times New Roman" w:hAnsi="Times New Roman"/>
          <w:color w:val="000000" w:themeColor="text1"/>
          <w:highlight w:val="none"/>
          <w:lang w:eastAsia="zh-CN"/>
          <w14:textFill>
            <w14:solidFill>
              <w14:schemeClr w14:val="tx1"/>
            </w14:solidFill>
          </w14:textFill>
        </w:rPr>
        <w:t>产生的</w:t>
      </w:r>
      <w:r>
        <w:rPr>
          <w:rFonts w:hint="eastAsia" w:ascii="Times New Roman" w:hAnsi="Times New Roman"/>
          <w:color w:val="000000" w:themeColor="text1"/>
          <w:highlight w:val="none"/>
          <w:lang w:eastAsia="zh-CN"/>
          <w14:textFill>
            <w14:solidFill>
              <w14:schemeClr w14:val="tx1"/>
            </w14:solidFill>
          </w14:textFill>
        </w:rPr>
        <w:t>采出水</w:t>
      </w:r>
      <w:r>
        <w:rPr>
          <w:rFonts w:hint="eastAsia" w:cs="Times New Roman"/>
          <w:bCs/>
          <w:color w:val="000000" w:themeColor="text1"/>
          <w:highlight w:val="none"/>
          <w:lang w:eastAsia="zh-CN"/>
          <w14:textFill>
            <w14:solidFill>
              <w14:schemeClr w14:val="tx1"/>
            </w14:solidFill>
          </w14:textFill>
        </w:rPr>
        <w:t>过</w:t>
      </w:r>
      <w:r>
        <w:rPr>
          <w:rFonts w:hint="eastAsia" w:cs="Times New Roman"/>
          <w:bCs/>
          <w:color w:val="000000" w:themeColor="text1"/>
          <w:highlight w:val="none"/>
          <w:lang w:val="en-US" w:eastAsia="zh-CN"/>
          <w14:textFill>
            <w14:solidFill>
              <w14:schemeClr w14:val="tx1"/>
            </w14:solidFill>
          </w14:textFill>
        </w:rPr>
        <w:t>通</w:t>
      </w:r>
      <w:r>
        <w:rPr>
          <w:rFonts w:hint="eastAsia" w:cs="Times New Roman"/>
          <w:bCs/>
          <w:color w:val="000000" w:themeColor="text1"/>
          <w:highlight w:val="none"/>
          <w:lang w:eastAsia="zh-CN"/>
          <w14:textFill>
            <w14:solidFill>
              <w14:schemeClr w14:val="tx1"/>
            </w14:solidFill>
          </w14:textFill>
        </w:rPr>
        <w:t>拟建管线外输至大湾408试采站已建临时分酸分离器分离后进入酸液缓冲罐收集暂存</w:t>
      </w:r>
      <w:r>
        <w:rPr>
          <w:rFonts w:ascii="Times New Roman" w:hAnsi="Times New Roman"/>
          <w:color w:val="000000" w:themeColor="text1"/>
          <w:highlight w:val="none"/>
          <w:lang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后</w:t>
      </w:r>
      <w:r>
        <w:rPr>
          <w:rFonts w:hint="eastAsia" w:ascii="Times New Roman" w:hAnsi="Times New Roman"/>
          <w:color w:val="000000" w:themeColor="text1"/>
          <w:highlight w:val="none"/>
          <w:lang w:eastAsia="zh-CN"/>
          <w14:textFill>
            <w14:solidFill>
              <w14:schemeClr w14:val="tx1"/>
            </w14:solidFill>
          </w14:textFill>
        </w:rPr>
        <w:t>再由</w:t>
      </w:r>
      <w:r>
        <w:rPr>
          <w:rFonts w:ascii="Times New Roman" w:hAnsi="Times New Roman"/>
          <w:color w:val="000000" w:themeColor="text1"/>
          <w:highlight w:val="none"/>
          <w:lang w:eastAsia="zh-CN"/>
          <w14:textFill>
            <w14:solidFill>
              <w14:schemeClr w14:val="tx1"/>
            </w14:solidFill>
          </w14:textFill>
        </w:rPr>
        <w:t>密闭罐车运至</w:t>
      </w:r>
      <w:r>
        <w:rPr>
          <w:rFonts w:hint="eastAsia" w:ascii="Times New Roman" w:hAnsi="Times New Roman"/>
          <w:color w:val="000000" w:themeColor="text1"/>
          <w:highlight w:val="none"/>
          <w:lang w:eastAsia="zh-CN"/>
          <w14:textFill>
            <w14:solidFill>
              <w14:schemeClr w14:val="tx1"/>
            </w14:solidFill>
          </w14:textFill>
        </w:rPr>
        <w:t>赵家坝污水处理站</w:t>
      </w:r>
      <w:r>
        <w:rPr>
          <w:rFonts w:ascii="Times New Roman" w:hAnsi="Times New Roman"/>
          <w:color w:val="000000" w:themeColor="text1"/>
          <w:highlight w:val="none"/>
          <w:lang w:eastAsia="zh-CN"/>
          <w14:textFill>
            <w14:solidFill>
              <w14:schemeClr w14:val="tx1"/>
            </w14:solidFill>
          </w14:textFill>
        </w:rPr>
        <w:t>处理达到《</w:t>
      </w:r>
      <w:r>
        <w:rPr>
          <w:rFonts w:hint="eastAsia" w:ascii="Times New Roman" w:hAnsi="Times New Roman"/>
          <w:color w:val="000000" w:themeColor="text1"/>
          <w:highlight w:val="none"/>
          <w:lang w:eastAsia="zh-CN"/>
          <w14:textFill>
            <w14:solidFill>
              <w14:schemeClr w14:val="tx1"/>
            </w14:solidFill>
          </w14:textFill>
        </w:rPr>
        <w:t>采出水</w:t>
      </w:r>
      <w:r>
        <w:rPr>
          <w:rFonts w:ascii="Times New Roman" w:hAnsi="Times New Roman"/>
          <w:color w:val="000000" w:themeColor="text1"/>
          <w:highlight w:val="none"/>
          <w:lang w:eastAsia="zh-CN"/>
          <w14:textFill>
            <w14:solidFill>
              <w14:schemeClr w14:val="tx1"/>
            </w14:solidFill>
          </w14:textFill>
        </w:rPr>
        <w:t>回注方法》（SY/T 6596-2016）中注入水基本要求后管输至</w:t>
      </w:r>
      <w:r>
        <w:rPr>
          <w:rFonts w:hint="eastAsia" w:ascii="Times New Roman" w:hAnsi="Times New Roman"/>
          <w:color w:val="000000" w:themeColor="text1"/>
          <w:highlight w:val="none"/>
          <w:lang w:eastAsia="zh-CN"/>
          <w14:textFill>
            <w14:solidFill>
              <w14:schemeClr w14:val="tx1"/>
            </w14:solidFill>
          </w14:textFill>
        </w:rPr>
        <w:t>普光3井回注站</w:t>
      </w:r>
      <w:r>
        <w:rPr>
          <w:rFonts w:ascii="Times New Roman" w:hAnsi="Times New Roman"/>
          <w:color w:val="000000" w:themeColor="text1"/>
          <w:highlight w:val="none"/>
          <w:lang w:eastAsia="zh-CN"/>
          <w14:textFill>
            <w14:solidFill>
              <w14:schemeClr w14:val="tx1"/>
            </w14:solidFill>
          </w14:textFill>
        </w:rPr>
        <w:t>回注处理，不外排。</w:t>
      </w:r>
    </w:p>
    <w:p>
      <w:pPr>
        <w:pStyle w:val="21"/>
        <w:spacing w:before="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3、项目供电</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项目施工期用电优先采用电网接入，在停电等紧急情况下则启用备用柴油发电机组供电。项目试采期，场站内的控制系</w:t>
      </w:r>
      <w:r>
        <w:rPr>
          <w:rFonts w:hint="eastAsia" w:ascii="Times New Roman" w:hAnsi="Times New Roman"/>
          <w:color w:val="000000" w:themeColor="text1"/>
          <w:highlight w:val="none"/>
          <w:lang w:eastAsia="zh-CN"/>
          <w14:textFill>
            <w14:solidFill>
              <w14:schemeClr w14:val="tx1"/>
            </w14:solidFill>
          </w14:textFill>
        </w:rPr>
        <w:t>统和</w:t>
      </w:r>
      <w:r>
        <w:rPr>
          <w:rFonts w:ascii="Times New Roman" w:hAnsi="Times New Roman"/>
          <w:color w:val="000000" w:themeColor="text1"/>
          <w:highlight w:val="none"/>
          <w:lang w:eastAsia="zh-CN"/>
          <w14:textFill>
            <w14:solidFill>
              <w14:schemeClr w14:val="tx1"/>
            </w14:solidFill>
          </w14:textFill>
        </w:rPr>
        <w:t>计量系统用电等均由地方电网供给。</w:t>
      </w:r>
    </w:p>
    <w:p>
      <w:pPr>
        <w:pStyle w:val="4"/>
        <w:spacing w:before="0" w:beforeLines="0"/>
        <w:ind w:firstLine="480"/>
        <w:rPr>
          <w:b/>
          <w:color w:val="000000" w:themeColor="text1"/>
          <w:highlight w:val="none"/>
          <w:lang w:eastAsia="zh-CN"/>
          <w14:textFill>
            <w14:solidFill>
              <w14:schemeClr w14:val="tx1"/>
            </w14:solidFill>
          </w14:textFill>
        </w:rPr>
      </w:pPr>
      <w:bookmarkStart w:id="151" w:name="_Toc120173105"/>
      <w:r>
        <w:rPr>
          <w:color w:val="000000" w:themeColor="text1"/>
          <w:highlight w:val="none"/>
          <w:lang w:eastAsia="zh-CN"/>
          <w14:textFill>
            <w14:solidFill>
              <w14:schemeClr w14:val="tx1"/>
            </w14:solidFill>
          </w14:textFill>
        </w:rPr>
        <w:t>工程占地及土石方平衡</w:t>
      </w:r>
      <w:bookmarkEnd w:id="151"/>
    </w:p>
    <w:p>
      <w:pPr>
        <w:pStyle w:val="21"/>
        <w:spacing w:before="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1、工程占地</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拟建</w:t>
      </w:r>
      <w:r>
        <w:rPr>
          <w:rFonts w:hint="eastAsia" w:ascii="Times New Roman" w:hAnsi="Times New Roman"/>
          <w:color w:val="000000" w:themeColor="text1"/>
          <w:highlight w:val="none"/>
          <w:lang w:eastAsia="zh-CN"/>
          <w14:textFill>
            <w14:solidFill>
              <w14:schemeClr w14:val="tx1"/>
            </w14:solidFill>
          </w14:textFill>
        </w:rPr>
        <w:t>工程</w:t>
      </w:r>
      <w:r>
        <w:rPr>
          <w:rFonts w:ascii="Times New Roman" w:hAnsi="Times New Roman"/>
          <w:color w:val="000000" w:themeColor="text1"/>
          <w:highlight w:val="none"/>
          <w:lang w:eastAsia="zh-CN"/>
          <w14:textFill>
            <w14:solidFill>
              <w14:schemeClr w14:val="tx1"/>
            </w14:solidFill>
          </w14:textFill>
        </w:rPr>
        <w:t>新增临时占地约</w:t>
      </w:r>
      <w:r>
        <w:rPr>
          <w:rFonts w:hint="eastAsia" w:ascii="Times New Roman" w:hAnsi="Times New Roman"/>
          <w:color w:val="000000" w:themeColor="text1"/>
          <w:highlight w:val="none"/>
          <w:lang w:eastAsia="zh-CN"/>
          <w14:textFill>
            <w14:solidFill>
              <w14:schemeClr w14:val="tx1"/>
            </w14:solidFill>
          </w14:textFill>
        </w:rPr>
        <w:t>17314m</w:t>
      </w:r>
      <w:r>
        <w:rPr>
          <w:rFonts w:ascii="Times New Roman" w:hAnsi="Times New Roman"/>
          <w:color w:val="000000" w:themeColor="text1"/>
          <w:highlight w:val="none"/>
          <w:vertAlign w:val="superscript"/>
          <w:lang w:eastAsia="zh-CN"/>
          <w14:textFill>
            <w14:solidFill>
              <w14:schemeClr w14:val="tx1"/>
            </w14:solidFill>
          </w14:textFill>
        </w:rPr>
        <w:t>2</w:t>
      </w:r>
      <w:r>
        <w:rPr>
          <w:rFonts w:ascii="Times New Roman" w:hAnsi="Times New Roman"/>
          <w:color w:val="000000" w:themeColor="text1"/>
          <w:highlight w:val="none"/>
          <w:lang w:eastAsia="zh-CN"/>
          <w14:textFill>
            <w14:solidFill>
              <w14:schemeClr w14:val="tx1"/>
            </w14:solidFill>
          </w14:textFill>
        </w:rPr>
        <w:t>。主要占地类型为</w:t>
      </w:r>
      <w:r>
        <w:rPr>
          <w:rFonts w:hint="eastAsia" w:ascii="Times New Roman" w:hAnsi="Times New Roman"/>
          <w:color w:val="000000" w:themeColor="text1"/>
          <w:highlight w:val="none"/>
          <w:lang w:eastAsia="zh-CN"/>
          <w14:textFill>
            <w14:solidFill>
              <w14:schemeClr w14:val="tx1"/>
            </w14:solidFill>
          </w14:textFill>
        </w:rPr>
        <w:t>林地、耕地</w:t>
      </w:r>
      <w:r>
        <w:rPr>
          <w:rFonts w:ascii="Times New Roman" w:hAnsi="Times New Roman"/>
          <w:color w:val="000000" w:themeColor="text1"/>
          <w:highlight w:val="none"/>
          <w:lang w:eastAsia="zh-CN"/>
          <w14:textFill>
            <w14:solidFill>
              <w14:schemeClr w14:val="tx1"/>
            </w14:solidFill>
          </w14:textFill>
        </w:rPr>
        <w:t>，工程的具体占地情况见</w:t>
      </w:r>
      <w:r>
        <w:rPr>
          <w:rFonts w:ascii="Times New Roman" w:hAnsi="Times New Roman"/>
          <w:color w:val="000000" w:themeColor="text1"/>
          <w:highlight w:val="none"/>
          <w:lang w:eastAsia="zh-CN"/>
          <w14:textFill>
            <w14:solidFill>
              <w14:schemeClr w14:val="tx1"/>
            </w14:solidFill>
          </w14:textFill>
        </w:rPr>
        <w:fldChar w:fldCharType="begin"/>
      </w:r>
      <w:r>
        <w:rPr>
          <w:rFonts w:ascii="Times New Roman" w:hAnsi="Times New Roman"/>
          <w:color w:val="000000" w:themeColor="text1"/>
          <w:highlight w:val="none"/>
          <w:lang w:eastAsia="zh-CN"/>
          <w14:textFill>
            <w14:solidFill>
              <w14:schemeClr w14:val="tx1"/>
            </w14:solidFill>
          </w14:textFill>
        </w:rPr>
        <w:instrText xml:space="preserve"> REF _Ref142593399 \h  \* MERGEFORMAT </w:instrText>
      </w:r>
      <w:r>
        <w:rPr>
          <w:rFonts w:ascii="Times New Roman" w:hAnsi="Times New Roman"/>
          <w:color w:val="000000" w:themeColor="text1"/>
          <w:highlight w:val="none"/>
          <w:lang w:eastAsia="zh-CN"/>
          <w14:textFill>
            <w14:solidFill>
              <w14:schemeClr w14:val="tx1"/>
            </w14:solidFill>
          </w14:textFill>
        </w:rPr>
        <w:fldChar w:fldCharType="separate"/>
      </w:r>
      <w:r>
        <w:rPr>
          <w:rFonts w:hint="eastAsia" w:ascii="Times New Roman" w:hAnsi="Times New Roman"/>
          <w:color w:val="000000" w:themeColor="text1"/>
          <w:highlight w:val="none"/>
          <w:lang w:eastAsia="zh-CN"/>
          <w14:textFill>
            <w14:solidFill>
              <w14:schemeClr w14:val="tx1"/>
            </w14:solidFill>
          </w14:textFill>
        </w:rPr>
        <w:t>表</w:t>
      </w:r>
      <w:r>
        <w:rPr>
          <w:rFonts w:ascii="Times New Roman" w:hAnsi="Times New Roman"/>
          <w:color w:val="000000" w:themeColor="text1"/>
          <w:highlight w:val="none"/>
          <w:lang w:eastAsia="zh-CN"/>
          <w14:textFill>
            <w14:solidFill>
              <w14:schemeClr w14:val="tx1"/>
            </w14:solidFill>
          </w14:textFill>
        </w:rPr>
        <w:fldChar w:fldCharType="begin"/>
      </w:r>
      <w:r>
        <w:rPr>
          <w:rFonts w:ascii="Times New Roman" w:hAnsi="Times New Roman"/>
          <w:color w:val="000000" w:themeColor="text1"/>
          <w:highlight w:val="none"/>
          <w:lang w:eastAsia="zh-CN"/>
          <w14:textFill>
            <w14:solidFill>
              <w14:schemeClr w14:val="tx1"/>
            </w14:solidFill>
          </w14:textFill>
        </w:rPr>
        <w:instrText xml:space="preserve"> </w:instrText>
      </w:r>
      <w:r>
        <w:rPr>
          <w:rFonts w:hint="eastAsia" w:ascii="Times New Roman" w:hAnsi="Times New Roman"/>
          <w:color w:val="000000" w:themeColor="text1"/>
          <w:highlight w:val="none"/>
          <w:lang w:eastAsia="zh-CN"/>
          <w14:textFill>
            <w14:solidFill>
              <w14:schemeClr w14:val="tx1"/>
            </w14:solidFill>
          </w14:textFill>
        </w:rPr>
        <w:instrText xml:space="preserve">STYLEREF 2 \s</w:instrText>
      </w:r>
      <w:r>
        <w:rPr>
          <w:rFonts w:ascii="Times New Roman" w:hAnsi="Times New Roman"/>
          <w:color w:val="000000" w:themeColor="text1"/>
          <w:highlight w:val="none"/>
          <w:lang w:eastAsia="zh-CN"/>
          <w14:textFill>
            <w14:solidFill>
              <w14:schemeClr w14:val="tx1"/>
            </w14:solidFill>
          </w14:textFill>
        </w:rPr>
        <w:instrText xml:space="preserve"> </w:instrText>
      </w:r>
      <w:r>
        <w:rPr>
          <w:rFonts w:ascii="Times New Roman" w:hAnsi="Times New Roman"/>
          <w:color w:val="000000" w:themeColor="text1"/>
          <w:highlight w:val="none"/>
          <w:lang w:eastAsia="zh-CN"/>
          <w14:textFill>
            <w14:solidFill>
              <w14:schemeClr w14:val="tx1"/>
            </w14:solidFill>
          </w14:textFill>
        </w:rPr>
        <w:fldChar w:fldCharType="separate"/>
      </w:r>
      <w:r>
        <w:rPr>
          <w:rFonts w:hint="eastAsia" w:ascii="Times New Roman" w:hAnsi="Times New Roman"/>
          <w:color w:val="000000" w:themeColor="text1"/>
          <w:highlight w:val="none"/>
          <w:lang w:eastAsia="zh-CN"/>
          <w14:textFill>
            <w14:solidFill>
              <w14:schemeClr w14:val="tx1"/>
            </w14:solidFill>
          </w14:textFill>
        </w:rPr>
        <w:t>3.2</w:t>
      </w:r>
      <w:r>
        <w:rPr>
          <w:rFonts w:ascii="Times New Roman" w:hAnsi="Times New Roman"/>
          <w:color w:val="000000" w:themeColor="text1"/>
          <w:highlight w:val="none"/>
          <w:lang w:eastAsia="zh-CN"/>
          <w14:textFill>
            <w14:solidFill>
              <w14:schemeClr w14:val="tx1"/>
            </w14:solidFill>
          </w14:textFill>
        </w:rPr>
        <w:fldChar w:fldCharType="end"/>
      </w:r>
      <w:r>
        <w:rPr>
          <w:rFonts w:ascii="Times New Roman" w:hAnsi="Times New Roman"/>
          <w:color w:val="000000" w:themeColor="text1"/>
          <w:highlight w:val="none"/>
          <w:lang w:eastAsia="zh-CN"/>
          <w14:textFill>
            <w14:solidFill>
              <w14:schemeClr w14:val="tx1"/>
            </w14:solidFill>
          </w14:textFill>
        </w:rPr>
        <w:noBreakHyphen/>
      </w:r>
      <w:r>
        <w:rPr>
          <w:rFonts w:hint="eastAsia" w:ascii="Times New Roman" w:hAnsi="Times New Roman"/>
          <w:color w:val="000000" w:themeColor="text1"/>
          <w:highlight w:val="none"/>
          <w:lang w:eastAsia="zh-CN"/>
          <w14:textFill>
            <w14:solidFill>
              <w14:schemeClr w14:val="tx1"/>
            </w14:solidFill>
          </w14:textFill>
        </w:rPr>
        <w:t>1</w:t>
      </w:r>
      <w:r>
        <w:rPr>
          <w:rFonts w:ascii="Times New Roman" w:hAnsi="Times New Roman"/>
          <w:color w:val="000000" w:themeColor="text1"/>
          <w:highlight w:val="none"/>
          <w:lang w:eastAsia="zh-CN"/>
          <w14:textFill>
            <w14:solidFill>
              <w14:schemeClr w14:val="tx1"/>
            </w14:solidFill>
          </w14:textFill>
        </w:rPr>
        <w:fldChar w:fldCharType="end"/>
      </w:r>
      <w:r>
        <w:rPr>
          <w:rFonts w:hint="eastAsia" w:ascii="Times New Roman" w:hAnsi="Times New Roman"/>
          <w:color w:val="000000" w:themeColor="text1"/>
          <w:highlight w:val="none"/>
          <w:lang w:eastAsia="zh-CN"/>
          <w14:textFill>
            <w14:solidFill>
              <w14:schemeClr w14:val="tx1"/>
            </w14:solidFill>
          </w14:textFill>
        </w:rPr>
        <w:t>6</w:t>
      </w:r>
      <w:r>
        <w:rPr>
          <w:rFonts w:ascii="Times New Roman" w:hAnsi="Times New Roman"/>
          <w:color w:val="000000" w:themeColor="text1"/>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52" w:name="_Ref14259339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152"/>
      <w:r>
        <w:rPr>
          <w:rFonts w:hint="eastAsia"/>
          <w:color w:val="000000" w:themeColor="text1"/>
          <w:highlight w:val="none"/>
          <w14:textFill>
            <w14:solidFill>
              <w14:schemeClr w14:val="tx1"/>
            </w14:solidFill>
          </w14:textFill>
        </w:rPr>
        <w:t>16</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工程占地类型一览表</w:t>
      </w:r>
      <w:r>
        <w:rPr>
          <w:color w:val="000000" w:themeColor="text1"/>
          <w:highlight w:val="none"/>
          <w14:textFill>
            <w14:solidFill>
              <w14:schemeClr w14:val="tx1"/>
            </w14:solidFill>
          </w14:textFill>
        </w:rPr>
        <w:t xml:space="preserve">   单位：</w:t>
      </w:r>
      <w:r>
        <w:rPr>
          <w:rFonts w:hint="eastAsia"/>
          <w:color w:val="000000" w:themeColor="text1"/>
          <w:highlight w:val="none"/>
          <w14:textFill>
            <w14:solidFill>
              <w14:schemeClr w14:val="tx1"/>
            </w14:solidFill>
          </w14:textFill>
        </w:rPr>
        <w:t>h</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2</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258"/>
        <w:gridCol w:w="1141"/>
        <w:gridCol w:w="1229"/>
        <w:gridCol w:w="1229"/>
        <w:gridCol w:w="1130"/>
        <w:gridCol w:w="1028"/>
        <w:gridCol w:w="1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Merge w:val="restart"/>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项目组成</w:t>
            </w:r>
          </w:p>
        </w:tc>
        <w:tc>
          <w:tcPr>
            <w:tcW w:w="4729" w:type="dxa"/>
            <w:gridSpan w:val="4"/>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占地类型</w:t>
            </w:r>
          </w:p>
        </w:tc>
        <w:tc>
          <w:tcPr>
            <w:tcW w:w="1028" w:type="dxa"/>
            <w:vMerge w:val="restart"/>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合计</w:t>
            </w:r>
          </w:p>
        </w:tc>
        <w:tc>
          <w:tcPr>
            <w:tcW w:w="1205" w:type="dxa"/>
            <w:vMerge w:val="restart"/>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占地性质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Merge w:val="continue"/>
            <w:vAlign w:val="center"/>
          </w:tcPr>
          <w:p>
            <w:pPr>
              <w:widowControl/>
              <w:spacing w:line="240" w:lineRule="auto"/>
              <w:ind w:firstLine="48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林地</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草地</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耕地</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其他用地</w:t>
            </w:r>
          </w:p>
        </w:tc>
        <w:tc>
          <w:tcPr>
            <w:tcW w:w="1028" w:type="dxa"/>
            <w:vMerge w:val="continue"/>
            <w:vAlign w:val="center"/>
          </w:tcPr>
          <w:p>
            <w:pPr>
              <w:widowControl/>
              <w:spacing w:line="240" w:lineRule="auto"/>
              <w:ind w:firstLine="48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1205" w:type="dxa"/>
            <w:vMerge w:val="continue"/>
            <w:vAlign w:val="center"/>
          </w:tcPr>
          <w:p>
            <w:pPr>
              <w:widowControl/>
              <w:spacing w:line="240" w:lineRule="auto"/>
              <w:ind w:firstLine="480" w:firstLineChars="0"/>
              <w:jc w:val="center"/>
              <w:textAlignment w:val="baseline"/>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井场</w:t>
            </w: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0.49</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02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0.49</w:t>
            </w:r>
          </w:p>
        </w:tc>
        <w:tc>
          <w:tcPr>
            <w:tcW w:w="1205"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临时征地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边坡</w:t>
            </w: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w:t>
            </w:r>
            <w:r>
              <w:rPr>
                <w:rFonts w:hint="eastAsia" w:cs="Times New Roman"/>
                <w:bCs/>
                <w:color w:val="000000" w:themeColor="text1"/>
                <w:sz w:val="21"/>
                <w:szCs w:val="21"/>
                <w:highlight w:val="none"/>
                <w14:textFill>
                  <w14:solidFill>
                    <w14:schemeClr w14:val="tx1"/>
                  </w14:solidFill>
                </w14:textFill>
              </w:rPr>
              <w:t>21</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02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w:t>
            </w:r>
            <w:r>
              <w:rPr>
                <w:rFonts w:hint="eastAsia" w:cs="Times New Roman"/>
                <w:bCs/>
                <w:color w:val="000000" w:themeColor="text1"/>
                <w:sz w:val="21"/>
                <w:szCs w:val="21"/>
                <w:highlight w:val="none"/>
                <w14:textFill>
                  <w14:solidFill>
                    <w14:schemeClr w14:val="tx1"/>
                  </w14:solidFill>
                </w14:textFill>
              </w:rPr>
              <w:t>21</w:t>
            </w:r>
          </w:p>
        </w:tc>
        <w:tc>
          <w:tcPr>
            <w:tcW w:w="1205"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临时征地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进场道路及回转场地</w:t>
            </w: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02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05" w:type="dxa"/>
            <w:vMerge w:val="restart"/>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利旧，不新增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清水池</w:t>
            </w: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02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05" w:type="dxa"/>
            <w:vMerge w:val="continue"/>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519" w:hRule="atLeast"/>
          <w:jc w:val="center"/>
        </w:trPr>
        <w:tc>
          <w:tcPr>
            <w:tcW w:w="125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放喷管线及施工便道（新建放喷池部分）</w:t>
            </w: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0.1014</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02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0.1014</w:t>
            </w:r>
          </w:p>
        </w:tc>
        <w:tc>
          <w:tcPr>
            <w:tcW w:w="1205"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临时征地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表土堆放区</w:t>
            </w: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0.63</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02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0.63</w:t>
            </w:r>
          </w:p>
        </w:tc>
        <w:tc>
          <w:tcPr>
            <w:tcW w:w="1205"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临时征地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生活区</w:t>
            </w: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0.14</w:t>
            </w:r>
          </w:p>
        </w:tc>
        <w:tc>
          <w:tcPr>
            <w:tcW w:w="102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0.14</w:t>
            </w:r>
          </w:p>
        </w:tc>
        <w:tc>
          <w:tcPr>
            <w:tcW w:w="1205"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临时征地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集输管线</w:t>
            </w: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0.16</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02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0.16</w:t>
            </w:r>
          </w:p>
        </w:tc>
        <w:tc>
          <w:tcPr>
            <w:tcW w:w="1205"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临时征地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5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合计</w:t>
            </w:r>
          </w:p>
        </w:tc>
        <w:tc>
          <w:tcPr>
            <w:tcW w:w="1141"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0.86</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1229"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0.7314</w:t>
            </w:r>
          </w:p>
        </w:tc>
        <w:tc>
          <w:tcPr>
            <w:tcW w:w="1130"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0.14</w:t>
            </w:r>
          </w:p>
        </w:tc>
        <w:tc>
          <w:tcPr>
            <w:tcW w:w="1028" w:type="dxa"/>
            <w:vAlign w:val="center"/>
          </w:tcPr>
          <w:p>
            <w:pPr>
              <w:widowControl/>
              <w:spacing w:line="240" w:lineRule="auto"/>
              <w:ind w:firstLine="0" w:firstLineChars="0"/>
              <w:jc w:val="center"/>
              <w:textAlignment w:val="baseline"/>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1.7314</w:t>
            </w:r>
          </w:p>
        </w:tc>
        <w:tc>
          <w:tcPr>
            <w:tcW w:w="1205" w:type="dxa"/>
            <w:vAlign w:val="center"/>
          </w:tcPr>
          <w:p>
            <w:pPr>
              <w:widowControl/>
              <w:spacing w:line="240" w:lineRule="auto"/>
              <w:ind w:firstLine="480" w:firstLineChars="0"/>
              <w:textAlignment w:val="baseline"/>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w:t>
            </w:r>
          </w:p>
        </w:tc>
      </w:tr>
    </w:tbl>
    <w:p>
      <w:pPr>
        <w:pStyle w:val="21"/>
        <w:spacing w:before="120" w:beforeLines="5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2、工程土石方工程量</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（1）表土剥离</w:t>
      </w:r>
    </w:p>
    <w:p>
      <w:pPr>
        <w:ind w:firstLine="480"/>
        <w:rPr>
          <w:rFonts w:cs="Times New Roman"/>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根据项目设计资料可知，</w:t>
      </w:r>
      <w:r>
        <w:rPr>
          <w:rFonts w:hint="eastAsia" w:cs="Times New Roman"/>
          <w:bCs/>
          <w:color w:val="000000" w:themeColor="text1"/>
          <w:szCs w:val="24"/>
          <w:highlight w:val="none"/>
          <w14:textFill>
            <w14:solidFill>
              <w14:schemeClr w14:val="tx1"/>
            </w14:solidFill>
          </w14:textFill>
        </w:rPr>
        <w:t>井场建设</w:t>
      </w:r>
      <w:r>
        <w:rPr>
          <w:rFonts w:cs="Times New Roman"/>
          <w:bCs/>
          <w:color w:val="000000" w:themeColor="text1"/>
          <w:szCs w:val="24"/>
          <w:highlight w:val="none"/>
          <w14:textFill>
            <w14:solidFill>
              <w14:schemeClr w14:val="tx1"/>
            </w14:solidFill>
          </w14:textFill>
        </w:rPr>
        <w:t>剥离表土就近堆放于项目设置的表土堆放场，堆放场采用密目网对其进行遮盖，定期洒水保持土壤的含水量。</w:t>
      </w:r>
      <w:r>
        <w:rPr>
          <w:rFonts w:hint="eastAsia" w:cs="Times New Roman"/>
          <w:bCs/>
          <w:color w:val="000000" w:themeColor="text1"/>
          <w:szCs w:val="24"/>
          <w:highlight w:val="none"/>
          <w14:textFill>
            <w14:solidFill>
              <w14:schemeClr w14:val="tx1"/>
            </w14:solidFill>
          </w14:textFill>
        </w:rPr>
        <w:t>管线建设</w:t>
      </w:r>
      <w:r>
        <w:rPr>
          <w:rFonts w:cs="Times New Roman"/>
          <w:bCs/>
          <w:color w:val="000000" w:themeColor="text1"/>
          <w:szCs w:val="24"/>
          <w:highlight w:val="none"/>
          <w14:textFill>
            <w14:solidFill>
              <w14:schemeClr w14:val="tx1"/>
            </w14:solidFill>
          </w14:textFill>
        </w:rPr>
        <w:t>临时开挖剥离的少量表土与土石方堆存于管道沿线临时占地范围内，</w:t>
      </w:r>
      <w:r>
        <w:rPr>
          <w:rFonts w:hint="eastAsia" w:cs="Times New Roman"/>
          <w:bCs/>
          <w:color w:val="000000" w:themeColor="text1"/>
          <w:szCs w:val="24"/>
          <w:highlight w:val="none"/>
          <w14:textFill>
            <w14:solidFill>
              <w14:schemeClr w14:val="tx1"/>
            </w14:solidFill>
          </w14:textFill>
        </w:rPr>
        <w:t>不设置表土堆场，</w:t>
      </w:r>
      <w:r>
        <w:rPr>
          <w:rFonts w:cs="Times New Roman"/>
          <w:bCs/>
          <w:color w:val="000000" w:themeColor="text1"/>
          <w:szCs w:val="24"/>
          <w:highlight w:val="none"/>
          <w14:textFill>
            <w14:solidFill>
              <w14:schemeClr w14:val="tx1"/>
            </w14:solidFill>
          </w14:textFill>
        </w:rPr>
        <w:t>严格落实水土保持措施</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本项目施工期剥离表土总计约</w:t>
      </w:r>
      <w:r>
        <w:rPr>
          <w:rFonts w:hint="eastAsia" w:cs="Times New Roman"/>
          <w:bCs/>
          <w:color w:val="000000" w:themeColor="text1"/>
          <w:szCs w:val="24"/>
          <w:highlight w:val="none"/>
          <w14:textFill>
            <w14:solidFill>
              <w14:schemeClr w14:val="tx1"/>
            </w14:solidFill>
          </w14:textFill>
        </w:rPr>
        <w:t>2800</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，回填表土</w:t>
      </w:r>
      <w:r>
        <w:rPr>
          <w:rFonts w:hint="eastAsia" w:cs="Times New Roman"/>
          <w:bCs/>
          <w:color w:val="000000" w:themeColor="text1"/>
          <w:szCs w:val="24"/>
          <w:highlight w:val="none"/>
          <w14:textFill>
            <w14:solidFill>
              <w14:schemeClr w14:val="tx1"/>
            </w14:solidFill>
          </w14:textFill>
        </w:rPr>
        <w:t>2800</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，用于施工开挖剥离面绿化耕植</w:t>
      </w:r>
      <w:r>
        <w:rPr>
          <w:rFonts w:hint="eastAsia" w:cs="Times New Roman"/>
          <w:bCs/>
          <w:color w:val="000000" w:themeColor="text1"/>
          <w:szCs w:val="24"/>
          <w:highlight w:val="none"/>
          <w14:textFill>
            <w14:solidFill>
              <w14:schemeClr w14:val="tx1"/>
            </w14:solidFill>
          </w14:textFill>
        </w:rPr>
        <w:t>，其中井场区域表土约1980</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边坡区表土约820</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，井场附近设置表土堆场3500m</w:t>
      </w:r>
      <w:r>
        <w:rPr>
          <w:rFonts w:hint="eastAsia" w:cs="Times New Roman"/>
          <w:bCs/>
          <w:color w:val="000000" w:themeColor="text1"/>
          <w:szCs w:val="24"/>
          <w:highlight w:val="none"/>
          <w:vertAlign w:val="superscript"/>
          <w14:textFill>
            <w14:solidFill>
              <w14:schemeClr w14:val="tx1"/>
            </w14:solidFill>
          </w14:textFill>
        </w:rPr>
        <w:t>2</w:t>
      </w:r>
      <w:r>
        <w:rPr>
          <w:rFonts w:hint="eastAsia" w:cs="Times New Roman"/>
          <w:bCs/>
          <w:color w:val="000000" w:themeColor="text1"/>
          <w:szCs w:val="24"/>
          <w:highlight w:val="none"/>
          <w14:textFill>
            <w14:solidFill>
              <w14:schemeClr w14:val="tx1"/>
            </w14:solidFill>
          </w14:textFill>
        </w:rPr>
        <w:t>，堆高约3m，总堆放容量约3500m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，满足井场建设表土临时堆场需求。</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（2）土石方</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根据钻前工程设计可知，项目井场平场、设备基础</w:t>
      </w:r>
      <w:r>
        <w:rPr>
          <w:rFonts w:hint="eastAsia"/>
          <w:color w:val="000000" w:themeColor="text1"/>
          <w:highlight w:val="none"/>
          <w14:textFill>
            <w14:solidFill>
              <w14:schemeClr w14:val="tx1"/>
            </w14:solidFill>
          </w14:textFill>
        </w:rPr>
        <w:t>、集输管线</w:t>
      </w:r>
      <w:r>
        <w:rPr>
          <w:color w:val="000000" w:themeColor="text1"/>
          <w:highlight w:val="none"/>
          <w14:textFill>
            <w14:solidFill>
              <w14:schemeClr w14:val="tx1"/>
            </w14:solidFill>
          </w14:textFill>
        </w:rPr>
        <w:t>等土石方总开挖方量</w:t>
      </w:r>
      <w:r>
        <w:rPr>
          <w:rFonts w:hint="eastAsia"/>
          <w:color w:val="000000" w:themeColor="text1"/>
          <w:highlight w:val="none"/>
          <w14:textFill>
            <w14:solidFill>
              <w14:schemeClr w14:val="tx1"/>
            </w14:solidFill>
          </w14:textFill>
        </w:rPr>
        <w:t>12600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，总填方量</w:t>
      </w:r>
      <w:r>
        <w:rPr>
          <w:rFonts w:hint="eastAsia"/>
          <w:color w:val="000000" w:themeColor="text1"/>
          <w:highlight w:val="none"/>
          <w14:textFill>
            <w14:solidFill>
              <w14:schemeClr w14:val="tx1"/>
            </w14:solidFill>
          </w14:textFill>
        </w:rPr>
        <w:t>10200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余</w:t>
      </w:r>
      <w:r>
        <w:rPr>
          <w:color w:val="000000" w:themeColor="text1"/>
          <w:highlight w:val="none"/>
          <w14:textFill>
            <w14:solidFill>
              <w14:schemeClr w14:val="tx1"/>
            </w14:solidFill>
          </w14:textFill>
        </w:rPr>
        <w:t>方约</w:t>
      </w:r>
      <w:r>
        <w:rPr>
          <w:rFonts w:hint="eastAsia"/>
          <w:color w:val="000000" w:themeColor="text1"/>
          <w:highlight w:val="none"/>
          <w14:textFill>
            <w14:solidFill>
              <w14:schemeClr w14:val="tx1"/>
            </w14:solidFill>
          </w14:textFill>
        </w:rPr>
        <w:t>240</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。余方于井场弃土区堆放</w:t>
      </w:r>
      <w:r>
        <w:rPr>
          <w:color w:val="000000" w:themeColor="text1"/>
          <w:highlight w:val="none"/>
          <w14:textFill>
            <w14:solidFill>
              <w14:schemeClr w14:val="tx1"/>
            </w14:solidFill>
          </w14:textFill>
        </w:rPr>
        <w:t>堆场，</w:t>
      </w:r>
      <w:r>
        <w:rPr>
          <w:rFonts w:hint="eastAsia"/>
          <w:bCs/>
          <w:color w:val="000000" w:themeColor="text1"/>
          <w:highlight w:val="none"/>
          <w14:textFill>
            <w14:solidFill>
              <w14:schemeClr w14:val="tx1"/>
            </w14:solidFill>
          </w14:textFill>
        </w:rPr>
        <w:t>弃土堆放区面积2800m</w:t>
      </w:r>
      <w:r>
        <w:rPr>
          <w:rFonts w:hint="eastAsia"/>
          <w:bCs/>
          <w:color w:val="000000" w:themeColor="text1"/>
          <w:highlight w:val="none"/>
          <w:vertAlign w:val="superscript"/>
          <w14:textFill>
            <w14:solidFill>
              <w14:schemeClr w14:val="tx1"/>
            </w14:solidFill>
          </w14:textFill>
        </w:rPr>
        <w:t>2</w:t>
      </w:r>
      <w:r>
        <w:rPr>
          <w:rFonts w:hint="eastAsia"/>
          <w:bCs/>
          <w:color w:val="000000" w:themeColor="text1"/>
          <w:highlight w:val="none"/>
          <w14:textFill>
            <w14:solidFill>
              <w14:schemeClr w14:val="tx1"/>
            </w14:solidFill>
          </w14:textFill>
        </w:rPr>
        <w:t>，堆高约3m，总堆放容量约2800m</w:t>
      </w:r>
      <w:r>
        <w:rPr>
          <w:rFonts w:hint="eastAsia"/>
          <w:bCs/>
          <w:color w:val="000000" w:themeColor="text1"/>
          <w:highlight w:val="none"/>
          <w:vertAlign w:val="superscript"/>
          <w14:textFill>
            <w14:solidFill>
              <w14:schemeClr w14:val="tx1"/>
            </w14:solidFill>
          </w14:textFill>
        </w:rPr>
        <w:t>3</w:t>
      </w:r>
      <w:r>
        <w:rPr>
          <w:rFonts w:hint="eastAsia"/>
          <w:bCs/>
          <w:color w:val="000000" w:themeColor="text1"/>
          <w:highlight w:val="none"/>
          <w14:textFill>
            <w14:solidFill>
              <w14:schemeClr w14:val="tx1"/>
            </w14:solidFill>
          </w14:textFill>
        </w:rPr>
        <w:t>，满足井场建设弃土临时堆场需求</w:t>
      </w:r>
      <w:r>
        <w:rPr>
          <w:rFonts w:hint="eastAsia"/>
          <w:color w:val="000000" w:themeColor="text1"/>
          <w:highlight w:val="none"/>
          <w14:textFill>
            <w14:solidFill>
              <w14:schemeClr w14:val="tx1"/>
            </w14:solidFill>
          </w14:textFill>
        </w:rPr>
        <w:t>；管道工程地面敷设，挖填方很少，平整和压实场地时能做到土石方平衡</w:t>
      </w:r>
      <w:r>
        <w:rPr>
          <w:color w:val="000000" w:themeColor="text1"/>
          <w:highlight w:val="none"/>
          <w14:textFill>
            <w14:solidFill>
              <w14:schemeClr w14:val="tx1"/>
            </w14:solidFill>
          </w14:textFill>
        </w:rPr>
        <w:t>。</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项目土石方平</w:t>
      </w:r>
      <w:r>
        <w:rPr>
          <w:rFonts w:ascii="Times New Roman" w:hAnsi="Times New Roman"/>
          <w:color w:val="000000" w:themeColor="text1"/>
          <w:kern w:val="2"/>
          <w:highlight w:val="none"/>
          <w:lang w:eastAsia="zh-CN"/>
          <w14:textFill>
            <w14:solidFill>
              <w14:schemeClr w14:val="tx1"/>
            </w14:solidFill>
          </w14:textFill>
        </w:rPr>
        <w:t>衡见</w:t>
      </w:r>
      <w:r>
        <w:rPr>
          <w:rFonts w:ascii="Times New Roman" w:hAnsi="Times New Roman"/>
          <w:color w:val="000000" w:themeColor="text1"/>
          <w:kern w:val="2"/>
          <w:highlight w:val="none"/>
          <w:lang w:eastAsia="zh-CN"/>
          <w14:textFill>
            <w14:solidFill>
              <w14:schemeClr w14:val="tx1"/>
            </w14:solidFill>
          </w14:textFill>
        </w:rPr>
        <w:fldChar w:fldCharType="begin"/>
      </w:r>
      <w:r>
        <w:rPr>
          <w:rFonts w:ascii="Times New Roman" w:hAnsi="Times New Roman"/>
          <w:color w:val="000000" w:themeColor="text1"/>
          <w:kern w:val="2"/>
          <w:highlight w:val="none"/>
          <w:lang w:eastAsia="zh-CN"/>
          <w14:textFill>
            <w14:solidFill>
              <w14:schemeClr w14:val="tx1"/>
            </w14:solidFill>
          </w14:textFill>
        </w:rPr>
        <w:instrText xml:space="preserve"> REF _Ref142593419 \h  \* MERGEFORMAT </w:instrText>
      </w:r>
      <w:r>
        <w:rPr>
          <w:rFonts w:ascii="Times New Roman" w:hAnsi="Times New Roman"/>
          <w:color w:val="000000" w:themeColor="text1"/>
          <w:kern w:val="2"/>
          <w:highlight w:val="none"/>
          <w:lang w:eastAsia="zh-CN"/>
          <w14:textFill>
            <w14:solidFill>
              <w14:schemeClr w14:val="tx1"/>
            </w14:solidFill>
          </w14:textFill>
        </w:rPr>
        <w:fldChar w:fldCharType="separate"/>
      </w:r>
      <w:r>
        <w:rPr>
          <w:rFonts w:hint="eastAsia" w:ascii="Times New Roman" w:hAnsi="Times New Roman"/>
          <w:color w:val="000000" w:themeColor="text1"/>
          <w:kern w:val="2"/>
          <w:highlight w:val="none"/>
          <w:lang w:eastAsia="zh-CN"/>
          <w14:textFill>
            <w14:solidFill>
              <w14:schemeClr w14:val="tx1"/>
            </w14:solidFill>
          </w14:textFill>
        </w:rPr>
        <w:t>表</w:t>
      </w:r>
      <w:r>
        <w:rPr>
          <w:rFonts w:ascii="Times New Roman" w:hAnsi="Times New Roman"/>
          <w:color w:val="000000" w:themeColor="text1"/>
          <w:kern w:val="2"/>
          <w:highlight w:val="none"/>
          <w:lang w:eastAsia="zh-CN"/>
          <w14:textFill>
            <w14:solidFill>
              <w14:schemeClr w14:val="tx1"/>
            </w14:solidFill>
          </w14:textFill>
        </w:rPr>
        <w:fldChar w:fldCharType="begin"/>
      </w:r>
      <w:r>
        <w:rPr>
          <w:rFonts w:ascii="Times New Roman" w:hAnsi="Times New Roman"/>
          <w:color w:val="000000" w:themeColor="text1"/>
          <w:kern w:val="2"/>
          <w:highlight w:val="none"/>
          <w:lang w:eastAsia="zh-CN"/>
          <w14:textFill>
            <w14:solidFill>
              <w14:schemeClr w14:val="tx1"/>
            </w14:solidFill>
          </w14:textFill>
        </w:rPr>
        <w:instrText xml:space="preserve"> </w:instrText>
      </w:r>
      <w:r>
        <w:rPr>
          <w:rFonts w:hint="eastAsia" w:ascii="Times New Roman" w:hAnsi="Times New Roman"/>
          <w:color w:val="000000" w:themeColor="text1"/>
          <w:kern w:val="2"/>
          <w:highlight w:val="none"/>
          <w:lang w:eastAsia="zh-CN"/>
          <w14:textFill>
            <w14:solidFill>
              <w14:schemeClr w14:val="tx1"/>
            </w14:solidFill>
          </w14:textFill>
        </w:rPr>
        <w:instrText xml:space="preserve">STYLEREF 2 \s</w:instrText>
      </w:r>
      <w:r>
        <w:rPr>
          <w:rFonts w:ascii="Times New Roman" w:hAnsi="Times New Roman"/>
          <w:color w:val="000000" w:themeColor="text1"/>
          <w:kern w:val="2"/>
          <w:highlight w:val="none"/>
          <w:lang w:eastAsia="zh-CN"/>
          <w14:textFill>
            <w14:solidFill>
              <w14:schemeClr w14:val="tx1"/>
            </w14:solidFill>
          </w14:textFill>
        </w:rPr>
        <w:instrText xml:space="preserve"> </w:instrText>
      </w:r>
      <w:r>
        <w:rPr>
          <w:rFonts w:ascii="Times New Roman" w:hAnsi="Times New Roman"/>
          <w:color w:val="000000" w:themeColor="text1"/>
          <w:kern w:val="2"/>
          <w:highlight w:val="none"/>
          <w:lang w:eastAsia="zh-CN"/>
          <w14:textFill>
            <w14:solidFill>
              <w14:schemeClr w14:val="tx1"/>
            </w14:solidFill>
          </w14:textFill>
        </w:rPr>
        <w:fldChar w:fldCharType="separate"/>
      </w:r>
      <w:r>
        <w:rPr>
          <w:rFonts w:hint="eastAsia" w:ascii="Times New Roman" w:hAnsi="Times New Roman"/>
          <w:color w:val="000000" w:themeColor="text1"/>
          <w:kern w:val="2"/>
          <w:highlight w:val="none"/>
          <w:lang w:eastAsia="zh-CN"/>
          <w14:textFill>
            <w14:solidFill>
              <w14:schemeClr w14:val="tx1"/>
            </w14:solidFill>
          </w14:textFill>
        </w:rPr>
        <w:t>3.2</w:t>
      </w:r>
      <w:r>
        <w:rPr>
          <w:rFonts w:ascii="Times New Roman" w:hAnsi="Times New Roman"/>
          <w:color w:val="000000" w:themeColor="text1"/>
          <w:kern w:val="2"/>
          <w:highlight w:val="none"/>
          <w:lang w:eastAsia="zh-CN"/>
          <w14:textFill>
            <w14:solidFill>
              <w14:schemeClr w14:val="tx1"/>
            </w14:solidFill>
          </w14:textFill>
        </w:rPr>
        <w:fldChar w:fldCharType="end"/>
      </w:r>
      <w:r>
        <w:rPr>
          <w:rFonts w:ascii="Times New Roman" w:hAnsi="Times New Roman"/>
          <w:color w:val="000000" w:themeColor="text1"/>
          <w:kern w:val="2"/>
          <w:highlight w:val="none"/>
          <w:lang w:eastAsia="zh-CN"/>
          <w14:textFill>
            <w14:solidFill>
              <w14:schemeClr w14:val="tx1"/>
            </w14:solidFill>
          </w14:textFill>
        </w:rPr>
        <w:noBreakHyphen/>
      </w:r>
      <w:r>
        <w:rPr>
          <w:rFonts w:hint="eastAsia" w:ascii="Times New Roman" w:hAnsi="Times New Roman"/>
          <w:color w:val="000000" w:themeColor="text1"/>
          <w:kern w:val="2"/>
          <w:highlight w:val="none"/>
          <w:lang w:eastAsia="zh-CN"/>
          <w14:textFill>
            <w14:solidFill>
              <w14:schemeClr w14:val="tx1"/>
            </w14:solidFill>
          </w14:textFill>
        </w:rPr>
        <w:t>1</w:t>
      </w:r>
      <w:r>
        <w:rPr>
          <w:rFonts w:ascii="Times New Roman" w:hAnsi="Times New Roman"/>
          <w:color w:val="000000" w:themeColor="text1"/>
          <w:kern w:val="2"/>
          <w:highlight w:val="none"/>
          <w:lang w:eastAsia="zh-CN"/>
          <w14:textFill>
            <w14:solidFill>
              <w14:schemeClr w14:val="tx1"/>
            </w14:solidFill>
          </w14:textFill>
        </w:rPr>
        <w:fldChar w:fldCharType="end"/>
      </w:r>
      <w:r>
        <w:rPr>
          <w:rFonts w:hint="eastAsia" w:ascii="Times New Roman" w:hAnsi="Times New Roman"/>
          <w:color w:val="000000" w:themeColor="text1"/>
          <w:kern w:val="2"/>
          <w:highlight w:val="none"/>
          <w:lang w:eastAsia="zh-CN"/>
          <w14:textFill>
            <w14:solidFill>
              <w14:schemeClr w14:val="tx1"/>
            </w14:solidFill>
          </w14:textFill>
        </w:rPr>
        <w:t>7</w:t>
      </w:r>
      <w:r>
        <w:rPr>
          <w:rFonts w:ascii="Times New Roman" w:hAnsi="Times New Roman"/>
          <w:color w:val="000000" w:themeColor="text1"/>
          <w:kern w:val="2"/>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53" w:name="_Ref14259341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153"/>
      <w:r>
        <w:rPr>
          <w:rFonts w:hint="eastAsia"/>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本项目土石方平衡一览表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852"/>
        <w:gridCol w:w="873"/>
        <w:gridCol w:w="873"/>
        <w:gridCol w:w="1499"/>
        <w:gridCol w:w="1592"/>
        <w:gridCol w:w="16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挖方</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填方</w:t>
            </w:r>
          </w:p>
        </w:tc>
        <w:tc>
          <w:tcPr>
            <w:tcW w:w="149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借方（调方）</w:t>
            </w:r>
          </w:p>
        </w:tc>
        <w:tc>
          <w:tcPr>
            <w:tcW w:w="159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余方</w:t>
            </w:r>
          </w:p>
        </w:tc>
        <w:tc>
          <w:tcPr>
            <w:tcW w:w="167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pStyle w:val="297"/>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井场工程</w:t>
            </w:r>
          </w:p>
        </w:tc>
        <w:tc>
          <w:tcPr>
            <w:tcW w:w="0" w:type="auto"/>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井场场坪</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11400</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9600</w:t>
            </w:r>
          </w:p>
        </w:tc>
        <w:tc>
          <w:tcPr>
            <w:tcW w:w="149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w:t>
            </w:r>
          </w:p>
        </w:tc>
        <w:tc>
          <w:tcPr>
            <w:tcW w:w="1592"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1800</w:t>
            </w:r>
          </w:p>
        </w:tc>
        <w:tc>
          <w:tcPr>
            <w:tcW w:w="1679" w:type="dxa"/>
            <w:vMerge w:val="restart"/>
            <w:vAlign w:val="center"/>
          </w:tcPr>
          <w:p>
            <w:pPr>
              <w:pStyle w:val="297"/>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余方于井场弃土区堆放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97"/>
              <w:rPr>
                <w:bCs/>
                <w:color w:val="000000" w:themeColor="text1"/>
                <w:highlight w:val="none"/>
                <w14:textFill>
                  <w14:solidFill>
                    <w14:schemeClr w14:val="tx1"/>
                  </w14:solidFill>
                </w14:textFill>
              </w:rPr>
            </w:pPr>
          </w:p>
        </w:tc>
        <w:tc>
          <w:tcPr>
            <w:tcW w:w="0" w:type="auto"/>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设备基础</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1200</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600</w:t>
            </w:r>
          </w:p>
        </w:tc>
        <w:tc>
          <w:tcPr>
            <w:tcW w:w="149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w:t>
            </w:r>
          </w:p>
        </w:tc>
        <w:tc>
          <w:tcPr>
            <w:tcW w:w="1592"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600</w:t>
            </w:r>
          </w:p>
        </w:tc>
        <w:tc>
          <w:tcPr>
            <w:tcW w:w="1679" w:type="dxa"/>
            <w:vMerge w:val="continue"/>
            <w:vAlign w:val="center"/>
          </w:tcPr>
          <w:p>
            <w:pPr>
              <w:pStyle w:val="297"/>
              <w:rPr>
                <w:bCs/>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97"/>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小计</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12600</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10200</w:t>
            </w:r>
          </w:p>
        </w:tc>
        <w:tc>
          <w:tcPr>
            <w:tcW w:w="149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w:t>
            </w:r>
          </w:p>
        </w:tc>
        <w:tc>
          <w:tcPr>
            <w:tcW w:w="1592"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2400</w:t>
            </w:r>
          </w:p>
        </w:tc>
        <w:tc>
          <w:tcPr>
            <w:tcW w:w="1679" w:type="dxa"/>
            <w:vMerge w:val="continue"/>
            <w:vAlign w:val="center"/>
          </w:tcPr>
          <w:p>
            <w:pPr>
              <w:pStyle w:val="297"/>
              <w:rPr>
                <w:bCs/>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97"/>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管道工程</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310</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310</w:t>
            </w:r>
          </w:p>
        </w:tc>
        <w:tc>
          <w:tcPr>
            <w:tcW w:w="149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w:t>
            </w:r>
          </w:p>
        </w:tc>
        <w:tc>
          <w:tcPr>
            <w:tcW w:w="1592"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w:t>
            </w:r>
          </w:p>
        </w:tc>
        <w:tc>
          <w:tcPr>
            <w:tcW w:w="1679" w:type="dxa"/>
            <w:vMerge w:val="continue"/>
            <w:vAlign w:val="center"/>
          </w:tcPr>
          <w:p>
            <w:pPr>
              <w:pStyle w:val="297"/>
              <w:rPr>
                <w:bCs/>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合计</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310</w:t>
            </w:r>
          </w:p>
        </w:tc>
        <w:tc>
          <w:tcPr>
            <w:tcW w:w="873"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310</w:t>
            </w:r>
          </w:p>
        </w:tc>
        <w:tc>
          <w:tcPr>
            <w:tcW w:w="149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w:t>
            </w:r>
          </w:p>
        </w:tc>
        <w:tc>
          <w:tcPr>
            <w:tcW w:w="1592"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w:t>
            </w:r>
          </w:p>
        </w:tc>
        <w:tc>
          <w:tcPr>
            <w:tcW w:w="1679" w:type="dxa"/>
            <w:vMerge w:val="continue"/>
            <w:vAlign w:val="center"/>
          </w:tcPr>
          <w:p>
            <w:pPr>
              <w:pStyle w:val="297"/>
              <w:rPr>
                <w:bCs/>
                <w:color w:val="000000" w:themeColor="text1"/>
                <w:highlight w:val="none"/>
                <w14:textFill>
                  <w14:solidFill>
                    <w14:schemeClr w14:val="tx1"/>
                  </w14:solidFill>
                </w14:textFill>
              </w:rPr>
            </w:pPr>
          </w:p>
        </w:tc>
      </w:tr>
    </w:tbl>
    <w:p>
      <w:pPr>
        <w:pStyle w:val="21"/>
        <w:spacing w:before="120" w:beforeLines="5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从上表可以看出，本项目</w:t>
      </w:r>
      <w:r>
        <w:rPr>
          <w:rFonts w:hint="eastAsia"/>
          <w:color w:val="000000" w:themeColor="text1"/>
          <w:highlight w:val="none"/>
          <w:lang w:eastAsia="zh-CN"/>
          <w14:textFill>
            <w14:solidFill>
              <w14:schemeClr w14:val="tx1"/>
            </w14:solidFill>
          </w14:textFill>
        </w:rPr>
        <w:t>余</w:t>
      </w:r>
      <w:r>
        <w:rPr>
          <w:color w:val="000000" w:themeColor="text1"/>
          <w:highlight w:val="none"/>
          <w:lang w:eastAsia="zh-CN"/>
          <w14:textFill>
            <w14:solidFill>
              <w14:schemeClr w14:val="tx1"/>
            </w14:solidFill>
          </w14:textFill>
        </w:rPr>
        <w:t>方约</w:t>
      </w:r>
      <w:r>
        <w:rPr>
          <w:rFonts w:hint="eastAsia"/>
          <w:color w:val="000000" w:themeColor="text1"/>
          <w:highlight w:val="none"/>
          <w:lang w:eastAsia="zh-CN"/>
          <w14:textFill>
            <w14:solidFill>
              <w14:schemeClr w14:val="tx1"/>
            </w14:solidFill>
          </w14:textFill>
        </w:rPr>
        <w:t>240</w:t>
      </w:r>
      <w:r>
        <w:rPr>
          <w:color w:val="000000" w:themeColor="text1"/>
          <w:highlight w:val="none"/>
          <w:lang w:eastAsia="zh-CN"/>
          <w14:textFill>
            <w14:solidFill>
              <w14:schemeClr w14:val="tx1"/>
            </w14:solidFill>
          </w14:textFill>
        </w:rPr>
        <w:t>0m</w:t>
      </w:r>
      <w:r>
        <w:rPr>
          <w:color w:val="000000" w:themeColor="text1"/>
          <w:highlight w:val="none"/>
          <w:vertAlign w:val="superscript"/>
          <w:lang w:eastAsia="zh-CN"/>
          <w14:textFill>
            <w14:solidFill>
              <w14:schemeClr w14:val="tx1"/>
            </w14:solidFill>
          </w14:textFill>
        </w:rPr>
        <w:t>3</w:t>
      </w:r>
      <w:r>
        <w:rPr>
          <w:rFonts w:ascii="Times New Roman" w:hAnsi="Times New Roman"/>
          <w:color w:val="000000" w:themeColor="text1"/>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余方于井场弃土区堆放</w:t>
      </w:r>
      <w:r>
        <w:rPr>
          <w:color w:val="000000" w:themeColor="text1"/>
          <w:highlight w:val="none"/>
          <w:lang w:eastAsia="zh-CN"/>
          <w14:textFill>
            <w14:solidFill>
              <w14:schemeClr w14:val="tx1"/>
            </w14:solidFill>
          </w14:textFill>
        </w:rPr>
        <w:t>堆场</w:t>
      </w:r>
      <w:r>
        <w:rPr>
          <w:rFonts w:hint="eastAsia"/>
          <w:color w:val="000000" w:themeColor="text1"/>
          <w:highlight w:val="none"/>
          <w:lang w:eastAsia="zh-CN"/>
          <w14:textFill>
            <w14:solidFill>
              <w14:schemeClr w14:val="tx1"/>
            </w14:solidFill>
          </w14:textFill>
        </w:rPr>
        <w:t>堆放；管道工程地面敷设，挖填方很少，平整和压实场地时能做到土石方平衡</w:t>
      </w:r>
      <w:r>
        <w:rPr>
          <w:rFonts w:ascii="Times New Roman" w:hAnsi="Times New Roman"/>
          <w:color w:val="000000" w:themeColor="text1"/>
          <w:highlight w:val="none"/>
          <w:lang w:eastAsia="zh-CN"/>
          <w14:textFill>
            <w14:solidFill>
              <w14:schemeClr w14:val="tx1"/>
            </w14:solidFill>
          </w14:textFill>
        </w:rPr>
        <w:t>。</w:t>
      </w:r>
    </w:p>
    <w:p>
      <w:pPr>
        <w:pStyle w:val="4"/>
        <w:spacing w:before="0" w:beforeLines="0"/>
        <w:ind w:firstLine="480"/>
        <w:rPr>
          <w:color w:val="000000" w:themeColor="text1"/>
          <w:highlight w:val="none"/>
          <w:lang w:eastAsia="zh-CN"/>
          <w14:textFill>
            <w14:solidFill>
              <w14:schemeClr w14:val="tx1"/>
            </w14:solidFill>
          </w14:textFill>
        </w:rPr>
      </w:pPr>
      <w:bookmarkStart w:id="154" w:name="_Toc120173106"/>
      <w:r>
        <w:rPr>
          <w:color w:val="000000" w:themeColor="text1"/>
          <w:highlight w:val="none"/>
          <w:lang w:eastAsia="zh-CN"/>
          <w14:textFill>
            <w14:solidFill>
              <w14:schemeClr w14:val="tx1"/>
            </w14:solidFill>
          </w14:textFill>
        </w:rPr>
        <w:t>劳动定员及工作制度</w:t>
      </w:r>
      <w:bookmarkEnd w:id="154"/>
    </w:p>
    <w:p>
      <w:pPr>
        <w:pStyle w:val="21"/>
        <w:ind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施工期总工期</w:t>
      </w:r>
      <w:r>
        <w:rPr>
          <w:rFonts w:hint="eastAsia" w:ascii="Times New Roman" w:hAnsi="Times New Roman"/>
          <w:color w:val="000000" w:themeColor="text1"/>
          <w:highlight w:val="none"/>
          <w:lang w:eastAsia="zh-CN"/>
          <w14:textFill>
            <w14:solidFill>
              <w14:schemeClr w14:val="tx1"/>
            </w14:solidFill>
          </w14:textFill>
        </w:rPr>
        <w:t>349天，其中钻前工程120天，钻井工程132天</w:t>
      </w:r>
      <w:r>
        <w:rPr>
          <w:rFonts w:ascii="Times New Roman" w:hAnsi="Times New Roman"/>
          <w:color w:val="000000" w:themeColor="text1"/>
          <w:highlight w:val="none"/>
          <w:lang w:eastAsia="zh-CN"/>
          <w14:textFill>
            <w14:solidFill>
              <w14:schemeClr w14:val="tx1"/>
            </w14:solidFill>
          </w14:textFill>
        </w:rPr>
        <w:t>、储层改造工程</w:t>
      </w:r>
      <w:r>
        <w:rPr>
          <w:rFonts w:hint="eastAsia" w:ascii="Times New Roman" w:hAnsi="Times New Roman"/>
          <w:color w:val="000000" w:themeColor="text1"/>
          <w:highlight w:val="none"/>
          <w:lang w:eastAsia="zh-CN"/>
          <w14:textFill>
            <w14:solidFill>
              <w14:schemeClr w14:val="tx1"/>
            </w14:solidFill>
          </w14:textFill>
        </w:rPr>
        <w:t>37天</w:t>
      </w:r>
      <w:r>
        <w:rPr>
          <w:rFonts w:ascii="Times New Roman" w:hAnsi="Times New Roman"/>
          <w:color w:val="000000" w:themeColor="text1"/>
          <w:highlight w:val="none"/>
          <w:lang w:eastAsia="zh-CN"/>
          <w14:textFill>
            <w14:solidFill>
              <w14:schemeClr w14:val="tx1"/>
            </w14:solidFill>
          </w14:textFill>
        </w:rPr>
        <w:t>，地面集输工程</w:t>
      </w:r>
      <w:r>
        <w:rPr>
          <w:rFonts w:hint="eastAsia" w:ascii="Times New Roman" w:hAnsi="Times New Roman"/>
          <w:color w:val="000000" w:themeColor="text1"/>
          <w:highlight w:val="none"/>
          <w:lang w:eastAsia="zh-CN"/>
          <w14:textFill>
            <w14:solidFill>
              <w14:schemeClr w14:val="tx1"/>
            </w14:solidFill>
          </w14:textFill>
        </w:rPr>
        <w:t>6</w:t>
      </w:r>
      <w:r>
        <w:rPr>
          <w:rFonts w:ascii="Times New Roman" w:hAnsi="Times New Roman"/>
          <w:color w:val="000000" w:themeColor="text1"/>
          <w:highlight w:val="none"/>
          <w:lang w:eastAsia="zh-CN"/>
          <w14:textFill>
            <w14:solidFill>
              <w14:schemeClr w14:val="tx1"/>
            </w14:solidFill>
          </w14:textFill>
        </w:rPr>
        <w:t>0天。</w:t>
      </w:r>
    </w:p>
    <w:p>
      <w:pPr>
        <w:pStyle w:val="21"/>
        <w:spacing w:before="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1、钻前工程</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为土建施工，由专业施工单位组织当地民工施工作业为主，高峰时每天施工人员约30人，施工工期约</w:t>
      </w:r>
      <w:r>
        <w:rPr>
          <w:rFonts w:hint="eastAsia" w:ascii="Times New Roman" w:hAnsi="Times New Roman"/>
          <w:color w:val="000000" w:themeColor="text1"/>
          <w:highlight w:val="none"/>
          <w:lang w:eastAsia="zh-CN"/>
          <w14:textFill>
            <w14:solidFill>
              <w14:schemeClr w14:val="tx1"/>
            </w14:solidFill>
          </w14:textFill>
        </w:rPr>
        <w:t>12</w:t>
      </w:r>
      <w:r>
        <w:rPr>
          <w:rFonts w:ascii="Times New Roman" w:hAnsi="Times New Roman"/>
          <w:color w:val="000000" w:themeColor="text1"/>
          <w:highlight w:val="none"/>
          <w:lang w:eastAsia="zh-CN"/>
          <w14:textFill>
            <w14:solidFill>
              <w14:schemeClr w14:val="tx1"/>
            </w14:solidFill>
          </w14:textFill>
        </w:rPr>
        <w:t>0天，白天施工，夜间不作业。</w:t>
      </w:r>
    </w:p>
    <w:p>
      <w:pPr>
        <w:pStyle w:val="21"/>
        <w:spacing w:before="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2、钻井工程</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由专业人员组成，钻井队编制约45人，其中，管理人员有队长、副队长、钻井工程师、地质工程师、泥浆工程师、动力机械师、HSE管理员；下设3个钻井班、一个地质资料组、一个后勤组，外加炊事人员、医疗人员、勤杂人员等。施工工期</w:t>
      </w:r>
      <w:r>
        <w:rPr>
          <w:rFonts w:hint="eastAsia" w:ascii="Times New Roman" w:hAnsi="Times New Roman"/>
          <w:color w:val="000000" w:themeColor="text1"/>
          <w:highlight w:val="none"/>
          <w:lang w:eastAsia="zh-CN"/>
          <w14:textFill>
            <w14:solidFill>
              <w14:schemeClr w14:val="tx1"/>
            </w14:solidFill>
          </w14:textFill>
        </w:rPr>
        <w:t>均为132</w:t>
      </w:r>
      <w:r>
        <w:rPr>
          <w:rFonts w:ascii="Times New Roman" w:hAnsi="Times New Roman"/>
          <w:color w:val="000000" w:themeColor="text1"/>
          <w:highlight w:val="none"/>
          <w:lang w:eastAsia="zh-CN"/>
          <w14:textFill>
            <w14:solidFill>
              <w14:schemeClr w14:val="tx1"/>
            </w14:solidFill>
          </w14:textFill>
        </w:rPr>
        <w:t>天</w:t>
      </w:r>
      <w:r>
        <w:rPr>
          <w:rFonts w:hint="eastAsia" w:ascii="Times New Roman" w:hAnsi="Times New Roman"/>
          <w:color w:val="000000" w:themeColor="text1"/>
          <w:highlight w:val="none"/>
          <w:lang w:eastAsia="zh-CN"/>
          <w14:textFill>
            <w14:solidFill>
              <w14:schemeClr w14:val="tx1"/>
            </w14:solidFill>
          </w14:textFill>
        </w:rPr>
        <w:t>。</w:t>
      </w:r>
    </w:p>
    <w:p>
      <w:pPr>
        <w:pStyle w:val="21"/>
        <w:ind w:firstLine="199" w:firstLineChars="83"/>
        <w:rPr>
          <w:rFonts w:ascii="Times New Roman" w:hAnsi="Times New Roman" w:eastAsia="黑体"/>
          <w:color w:val="000000" w:themeColor="text1"/>
          <w:highlight w:val="none"/>
          <w:lang w:eastAsia="zh-CN"/>
          <w14:textFill>
            <w14:solidFill>
              <w14:schemeClr w14:val="tx1"/>
            </w14:solidFill>
          </w14:textFill>
        </w:rPr>
      </w:pPr>
      <w:r>
        <w:rPr>
          <w:rFonts w:hint="eastAsia" w:ascii="Times New Roman" w:hAnsi="Times New Roman" w:eastAsia="黑体"/>
          <w:color w:val="000000" w:themeColor="text1"/>
          <w:highlight w:val="none"/>
          <w:lang w:eastAsia="zh-CN"/>
          <w14:textFill>
            <w14:solidFill>
              <w14:schemeClr w14:val="tx1"/>
            </w14:solidFill>
          </w14:textFill>
        </w:rPr>
        <w:t>3、储层改造工程</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hint="eastAsia" w:ascii="Times New Roman" w:hAnsi="Times New Roman"/>
          <w:color w:val="000000" w:themeColor="text1"/>
          <w:highlight w:val="none"/>
          <w:lang w:eastAsia="zh-CN"/>
          <w14:textFill>
            <w14:solidFill>
              <w14:schemeClr w14:val="tx1"/>
            </w14:solidFill>
          </w14:textFill>
        </w:rPr>
        <w:t>单井试气压裂队施工人员约40人，施工工期分别为37天，储层改造施工仅在昼间施工，夜间不作业。</w:t>
      </w:r>
    </w:p>
    <w:p>
      <w:pPr>
        <w:pStyle w:val="21"/>
        <w:spacing w:before="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hint="eastAsia" w:ascii="Times New Roman" w:hAnsi="Times New Roman" w:eastAsia="黑体"/>
          <w:color w:val="000000" w:themeColor="text1"/>
          <w:highlight w:val="none"/>
          <w:lang w:eastAsia="zh-CN"/>
          <w14:textFill>
            <w14:solidFill>
              <w14:schemeClr w14:val="tx1"/>
            </w14:solidFill>
          </w14:textFill>
        </w:rPr>
        <w:t>4</w:t>
      </w:r>
      <w:r>
        <w:rPr>
          <w:rFonts w:ascii="Times New Roman" w:hAnsi="Times New Roman" w:eastAsia="黑体"/>
          <w:color w:val="000000" w:themeColor="text1"/>
          <w:highlight w:val="none"/>
          <w:lang w:eastAsia="zh-CN"/>
          <w14:textFill>
            <w14:solidFill>
              <w14:schemeClr w14:val="tx1"/>
            </w14:solidFill>
          </w14:textFill>
        </w:rPr>
        <w:t>、地面工程</w:t>
      </w:r>
    </w:p>
    <w:p>
      <w:pPr>
        <w:pStyle w:val="21"/>
        <w:ind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地面工程高峰施工期约20人，施工工期约</w:t>
      </w:r>
      <w:r>
        <w:rPr>
          <w:rFonts w:hint="eastAsia" w:ascii="Times New Roman" w:hAnsi="Times New Roman"/>
          <w:color w:val="000000" w:themeColor="text1"/>
          <w:highlight w:val="none"/>
          <w:lang w:eastAsia="zh-CN"/>
          <w14:textFill>
            <w14:solidFill>
              <w14:schemeClr w14:val="tx1"/>
            </w14:solidFill>
          </w14:textFill>
        </w:rPr>
        <w:t>6</w:t>
      </w:r>
      <w:r>
        <w:rPr>
          <w:rFonts w:ascii="Times New Roman" w:hAnsi="Times New Roman"/>
          <w:color w:val="000000" w:themeColor="text1"/>
          <w:highlight w:val="none"/>
          <w:lang w:eastAsia="zh-CN"/>
          <w14:textFill>
            <w14:solidFill>
              <w14:schemeClr w14:val="tx1"/>
            </w14:solidFill>
          </w14:textFill>
        </w:rPr>
        <w:t>0天，仅白天施工，夜间不作业。</w:t>
      </w:r>
    </w:p>
    <w:p>
      <w:pPr>
        <w:pStyle w:val="21"/>
        <w:spacing w:before="120" w:beforeLines="5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hint="eastAsia" w:ascii="Times New Roman" w:hAnsi="Times New Roman" w:eastAsia="黑体"/>
          <w:color w:val="000000" w:themeColor="text1"/>
          <w:highlight w:val="none"/>
          <w:lang w:eastAsia="zh-CN"/>
          <w14:textFill>
            <w14:solidFill>
              <w14:schemeClr w14:val="tx1"/>
            </w14:solidFill>
          </w14:textFill>
        </w:rPr>
        <w:t>5</w:t>
      </w:r>
      <w:r>
        <w:rPr>
          <w:rFonts w:ascii="Times New Roman" w:hAnsi="Times New Roman" w:eastAsia="黑体"/>
          <w:color w:val="000000" w:themeColor="text1"/>
          <w:highlight w:val="none"/>
          <w:lang w:eastAsia="zh-CN"/>
          <w14:textFill>
            <w14:solidFill>
              <w14:schemeClr w14:val="tx1"/>
            </w14:solidFill>
          </w14:textFill>
        </w:rPr>
        <w:t>、试采工程</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bookmarkStart w:id="155" w:name="_Hlk88749992"/>
      <w:r>
        <w:rPr>
          <w:rFonts w:hint="eastAsia" w:ascii="Times New Roman" w:hAnsi="Times New Roman"/>
          <w:color w:val="000000" w:themeColor="text1"/>
          <w:highlight w:val="none"/>
          <w:lang w:eastAsia="zh-CN"/>
          <w14:textFill>
            <w14:solidFill>
              <w14:schemeClr w14:val="tx1"/>
            </w14:solidFill>
          </w14:textFill>
        </w:rPr>
        <w:t>大湾408-3井场试采工程不新增劳动定员，依托大湾408井台钻井及试采工程建设的试采站内的人员进行值守</w:t>
      </w:r>
      <w:r>
        <w:rPr>
          <w:rFonts w:ascii="Times New Roman" w:hAnsi="Times New Roman"/>
          <w:color w:val="000000" w:themeColor="text1"/>
          <w:highlight w:val="none"/>
          <w:lang w:eastAsia="zh-CN"/>
          <w14:textFill>
            <w14:solidFill>
              <w14:schemeClr w14:val="tx1"/>
            </w14:solidFill>
          </w14:textFill>
        </w:rPr>
        <w:t>。</w:t>
      </w:r>
      <w:bookmarkEnd w:id="155"/>
    </w:p>
    <w:p>
      <w:pPr>
        <w:pStyle w:val="3"/>
        <w:spacing w:before="0" w:beforeLines="0"/>
        <w:rPr>
          <w:color w:val="000000" w:themeColor="text1"/>
          <w:highlight w:val="none"/>
          <w:lang w:eastAsia="zh-CN"/>
          <w14:textFill>
            <w14:solidFill>
              <w14:schemeClr w14:val="tx1"/>
            </w14:solidFill>
          </w14:textFill>
        </w:rPr>
      </w:pPr>
      <w:bookmarkStart w:id="156" w:name="_Toc30763"/>
      <w:r>
        <w:rPr>
          <w:color w:val="000000" w:themeColor="text1"/>
          <w:highlight w:val="none"/>
          <w:lang w:eastAsia="zh-CN"/>
          <w14:textFill>
            <w14:solidFill>
              <w14:schemeClr w14:val="tx1"/>
            </w14:solidFill>
          </w14:textFill>
        </w:rPr>
        <w:t>建设项目工程分析</w:t>
      </w:r>
      <w:bookmarkEnd w:id="156"/>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本项目包含钻前工程、钻井</w:t>
      </w:r>
      <w:r>
        <w:rPr>
          <w:rFonts w:hint="eastAsia" w:cs="Times New Roman"/>
          <w:color w:val="000000" w:themeColor="text1"/>
          <w:highlight w:val="none"/>
          <w14:textFill>
            <w14:solidFill>
              <w14:schemeClr w14:val="tx1"/>
            </w14:solidFill>
          </w14:textFill>
        </w:rPr>
        <w:t>及储层改造</w:t>
      </w:r>
      <w:r>
        <w:rPr>
          <w:rFonts w:cs="Times New Roman"/>
          <w:color w:val="000000" w:themeColor="text1"/>
          <w:highlight w:val="none"/>
          <w14:textFill>
            <w14:solidFill>
              <w14:schemeClr w14:val="tx1"/>
            </w14:solidFill>
          </w14:textFill>
        </w:rPr>
        <w:t>工程、地面</w:t>
      </w:r>
      <w:r>
        <w:rPr>
          <w:rFonts w:hint="eastAsia" w:cs="Times New Roman"/>
          <w:color w:val="000000" w:themeColor="text1"/>
          <w:highlight w:val="none"/>
          <w14:textFill>
            <w14:solidFill>
              <w14:schemeClr w14:val="tx1"/>
            </w14:solidFill>
          </w14:textFill>
        </w:rPr>
        <w:t>集输</w:t>
      </w:r>
      <w:r>
        <w:rPr>
          <w:rFonts w:cs="Times New Roman"/>
          <w:color w:val="000000" w:themeColor="text1"/>
          <w:highlight w:val="none"/>
          <w14:textFill>
            <w14:solidFill>
              <w14:schemeClr w14:val="tx1"/>
            </w14:solidFill>
          </w14:textFill>
        </w:rPr>
        <w:t>工程及试采工程。本项目充分参考了《陆上钻井作业环境保护推荐作法》的相关要求，并结合项目拟建地周边环境情况和中国石油化工股份有限公司多年的钻井工程经验，各项作业均达到该地区行业推荐作业方案的要求。</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其中施工</w:t>
      </w:r>
      <w:r>
        <w:rPr>
          <w:rFonts w:cs="Times New Roman"/>
          <w:color w:val="000000" w:themeColor="text1"/>
          <w:highlight w:val="none"/>
          <w14:textFill>
            <w14:solidFill>
              <w14:schemeClr w14:val="tx1"/>
            </w14:solidFill>
          </w14:textFill>
        </w:rPr>
        <w:t>过程主要包括钻前工程（井场平整、道路、放喷池建设或修复等）、设备搬运及安装、钻井（固井、录井）、洗井、完井作业、设备搬迁及污染物治理</w:t>
      </w:r>
      <w:r>
        <w:rPr>
          <w:rFonts w:hint="eastAsia" w:cs="Times New Roman"/>
          <w:color w:val="000000" w:themeColor="text1"/>
          <w:highlight w:val="none"/>
          <w14:textFill>
            <w14:solidFill>
              <w14:schemeClr w14:val="tx1"/>
            </w14:solidFill>
          </w14:textFill>
        </w:rPr>
        <w:t>、集数站场及管线建设</w:t>
      </w:r>
      <w:r>
        <w:rPr>
          <w:rFonts w:cs="Times New Roman"/>
          <w:color w:val="000000" w:themeColor="text1"/>
          <w:highlight w:val="none"/>
          <w14:textFill>
            <w14:solidFill>
              <w14:schemeClr w14:val="tx1"/>
            </w14:solidFill>
          </w14:textFill>
        </w:rPr>
        <w:t>等，项目工艺过程见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_Ref142593685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5242560" cy="3129915"/>
            <wp:effectExtent l="0" t="0" r="0" b="952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9139" cy="3151603"/>
                    </a:xfrm>
                    <a:prstGeom prst="rect">
                      <a:avLst/>
                    </a:prstGeom>
                    <a:solidFill>
                      <a:srgbClr val="000000"/>
                    </a:solidFill>
                    <a:ln>
                      <a:noFill/>
                    </a:ln>
                  </pic:spPr>
                </pic:pic>
              </a:graphicData>
            </a:graphic>
          </wp:inline>
        </w:drawing>
      </w:r>
      <w:r>
        <w:rPr>
          <w:color w:val="000000" w:themeColor="text1"/>
          <w:highlight w:val="none"/>
          <w:lang w:eastAsia="zh-CN"/>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margin">
                  <wp:posOffset>2079625</wp:posOffset>
                </wp:positionH>
                <wp:positionV relativeFrom="paragraph">
                  <wp:posOffset>2838450</wp:posOffset>
                </wp:positionV>
                <wp:extent cx="1264920" cy="287020"/>
                <wp:effectExtent l="0" t="0" r="12065" b="17780"/>
                <wp:wrapNone/>
                <wp:docPr id="91924" name="文本框 91924"/>
                <wp:cNvGraphicFramePr/>
                <a:graphic xmlns:a="http://schemas.openxmlformats.org/drawingml/2006/main">
                  <a:graphicData uri="http://schemas.microsoft.com/office/word/2010/wordprocessingShape">
                    <wps:wsp>
                      <wps:cNvSpPr txBox="1"/>
                      <wps:spPr bwMode="auto">
                        <a:xfrm>
                          <a:off x="0" y="0"/>
                          <a:ext cx="1264756" cy="287126"/>
                        </a:xfrm>
                        <a:prstGeom prst="rect">
                          <a:avLst/>
                        </a:prstGeom>
                        <a:solidFill>
                          <a:srgbClr val="FFFFFF"/>
                        </a:solidFill>
                        <a:ln w="9525">
                          <a:solidFill>
                            <a:srgbClr val="000000"/>
                          </a:solidFill>
                          <a:miter lim="800000"/>
                        </a:ln>
                      </wps:spPr>
                      <wps:txbx>
                        <w:txbxContent>
                          <w:p>
                            <w:pPr>
                              <w:ind w:firstLine="0" w:firstLineChars="0"/>
                              <w:jc w:val="center"/>
                              <w:rPr>
                                <w:sz w:val="18"/>
                                <w:szCs w:val="18"/>
                              </w:rPr>
                            </w:pPr>
                            <w:r>
                              <w:rPr>
                                <w:rFonts w:hint="eastAsia"/>
                                <w:sz w:val="18"/>
                                <w:szCs w:val="18"/>
                              </w:rPr>
                              <w:t>试采站运营</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63.75pt;margin-top:223.5pt;height:22.6pt;width:99.6pt;mso-position-horizontal-relative:margin;z-index:251661312;mso-width-relative:page;mso-height-relative:page;" fillcolor="#FFFFFF" filled="t" stroked="t" coordsize="21600,21600" o:gfxdata="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GmPEJ2gAAAAsBAAAPAAAAAAAAAAEAIAAAACIAAABkcnMv&#10;ZG93bnJldi54bWxQSwECFAAUAAAACACHTuJAYeVrGHMCAADxBAAADgAAAAAAAAABACAAAAApAQAA&#10;ZHJzL2Uyb0RvYy54bWxQSwUGAAAAAAYABgBZAQAADgYAAAAA&#10;">
                <v:fill on="t" focussize="0,0"/>
                <v:stroke color="#000000" miterlimit="8" joinstyle="miter"/>
                <v:imagedata o:title=""/>
                <o:lock v:ext="edit" aspectratio="f"/>
                <v:textbox>
                  <w:txbxContent>
                    <w:p>
                      <w:pPr>
                        <w:ind w:firstLine="0" w:firstLineChars="0"/>
                        <w:jc w:val="center"/>
                        <w:rPr>
                          <w:sz w:val="18"/>
                          <w:szCs w:val="18"/>
                        </w:rPr>
                      </w:pPr>
                      <w:r>
                        <w:rPr>
                          <w:rFonts w:hint="eastAsia"/>
                          <w:sz w:val="18"/>
                          <w:szCs w:val="18"/>
                        </w:rPr>
                        <w:t>试采站运营</w:t>
                      </w:r>
                    </w:p>
                  </w:txbxContent>
                </v:textbox>
              </v:shape>
            </w:pict>
          </mc:Fallback>
        </mc:AlternateContent>
      </w:r>
      <w:r>
        <w:rPr>
          <w:color w:val="000000" w:themeColor="text1"/>
          <w:highlight w:val="none"/>
          <w:lang w:eastAsia="zh-CN"/>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margin">
                  <wp:posOffset>2070735</wp:posOffset>
                </wp:positionH>
                <wp:positionV relativeFrom="paragraph">
                  <wp:posOffset>2340610</wp:posOffset>
                </wp:positionV>
                <wp:extent cx="1273810" cy="307975"/>
                <wp:effectExtent l="0" t="0" r="21590" b="16510"/>
                <wp:wrapNone/>
                <wp:docPr id="1826" name="文本框 1826"/>
                <wp:cNvGraphicFramePr/>
                <a:graphic xmlns:a="http://schemas.openxmlformats.org/drawingml/2006/main">
                  <a:graphicData uri="http://schemas.microsoft.com/office/word/2010/wordprocessingShape">
                    <wps:wsp>
                      <wps:cNvSpPr txBox="1"/>
                      <wps:spPr bwMode="auto">
                        <a:xfrm>
                          <a:off x="0" y="0"/>
                          <a:ext cx="1273974" cy="307818"/>
                        </a:xfrm>
                        <a:prstGeom prst="rect">
                          <a:avLst/>
                        </a:prstGeom>
                        <a:solidFill>
                          <a:srgbClr val="FFFFFF"/>
                        </a:solidFill>
                        <a:ln w="9525">
                          <a:solidFill>
                            <a:srgbClr val="000000"/>
                          </a:solidFill>
                          <a:miter lim="800000"/>
                        </a:ln>
                      </wps:spPr>
                      <wps:txbx>
                        <w:txbxContent>
                          <w:p>
                            <w:pPr>
                              <w:ind w:firstLine="0" w:firstLineChars="0"/>
                              <w:jc w:val="center"/>
                              <w:rPr>
                                <w:sz w:val="18"/>
                                <w:szCs w:val="18"/>
                              </w:rPr>
                            </w:pPr>
                            <w:r>
                              <w:rPr>
                                <w:rFonts w:hint="eastAsia"/>
                                <w:sz w:val="18"/>
                                <w:szCs w:val="18"/>
                              </w:rPr>
                              <w:t>试采站建设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63.05pt;margin-top:184.3pt;height:24.25pt;width:100.3pt;mso-position-horizontal-relative:margin;z-index:251660288;mso-width-relative:page;mso-height-relative:page;" fillcolor="#FFFFFF" filled="t" stroked="t" coordsize="21600,21600" o:gfxdata="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Tklm9oAAAALAQAADwAAAAAAAAABACAAAAAiAAAAZHJz&#10;L2Rvd25yZXYueG1sUEsBAhQAFAAAAAgAh07iQCcHmKZ0AgAA7wQAAA4AAAAAAAAAAQAgAAAAKQEA&#10;AGRycy9lMm9Eb2MueG1sUEsFBgAAAAAGAAYAWQEAAA8GAAAAAA==&#10;">
                <v:fill on="t" focussize="0,0"/>
                <v:stroke color="#000000" miterlimit="8" joinstyle="miter"/>
                <v:imagedata o:title=""/>
                <o:lock v:ext="edit" aspectratio="f"/>
                <v:textbox>
                  <w:txbxContent>
                    <w:p>
                      <w:pPr>
                        <w:ind w:firstLine="0" w:firstLineChars="0"/>
                        <w:jc w:val="center"/>
                        <w:rPr>
                          <w:sz w:val="18"/>
                          <w:szCs w:val="18"/>
                        </w:rPr>
                      </w:pPr>
                      <w:r>
                        <w:rPr>
                          <w:rFonts w:hint="eastAsia"/>
                          <w:sz w:val="18"/>
                          <w:szCs w:val="18"/>
                        </w:rPr>
                        <w:t>试采站建设</w:t>
                      </w:r>
                    </w:p>
                  </w:txbxContent>
                </v:textbox>
              </v:shape>
            </w:pict>
          </mc:Fallback>
        </mc:AlternateContent>
      </w:r>
      <w:r>
        <w:rPr>
          <w:color w:val="000000" w:themeColor="text1"/>
          <w:highlight w:val="none"/>
          <w:lang w:eastAsia="zh-CN"/>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margin">
                  <wp:posOffset>3711575</wp:posOffset>
                </wp:positionH>
                <wp:positionV relativeFrom="paragraph">
                  <wp:posOffset>22225</wp:posOffset>
                </wp:positionV>
                <wp:extent cx="1264920" cy="251460"/>
                <wp:effectExtent l="0" t="0" r="0" b="0"/>
                <wp:wrapNone/>
                <wp:docPr id="91925" name="文本框 91925"/>
                <wp:cNvGraphicFramePr/>
                <a:graphic xmlns:a="http://schemas.openxmlformats.org/drawingml/2006/main">
                  <a:graphicData uri="http://schemas.microsoft.com/office/word/2010/wordprocessingShape">
                    <wps:wsp>
                      <wps:cNvSpPr txBox="1"/>
                      <wps:spPr bwMode="auto">
                        <a:xfrm>
                          <a:off x="0" y="0"/>
                          <a:ext cx="1264982" cy="251460"/>
                        </a:xfrm>
                        <a:prstGeom prst="rect">
                          <a:avLst/>
                        </a:prstGeom>
                        <a:solidFill>
                          <a:srgbClr val="FFFFFF"/>
                        </a:solidFill>
                        <a:ln w="9525">
                          <a:noFill/>
                          <a:miter lim="800000"/>
                        </a:ln>
                      </wps:spPr>
                      <wps:txbx>
                        <w:txbxContent>
                          <w:p>
                            <w:pPr>
                              <w:ind w:firstLine="360"/>
                              <w:rPr>
                                <w:sz w:val="18"/>
                                <w:szCs w:val="18"/>
                              </w:rPr>
                            </w:pPr>
                            <w:r>
                              <w:rPr>
                                <w:rFonts w:hint="eastAsia"/>
                                <w:sz w:val="18"/>
                                <w:szCs w:val="18"/>
                              </w:rPr>
                              <w:t>水土流失</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92.25pt;margin-top:1.75pt;height:19.8pt;width:99.6pt;mso-position-horizontal-relative:margin;z-index:251662336;mso-width-relative:page;mso-height-relative:page;" fillcolor="#FFFFFF" filled="t" stroked="f" coordsize="21600,21600" o:gfxdata="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fQTys1wAAAAgBAAAPAAAAAAAAAAEAIAAAACIAAABkcnMvZG93&#10;bnJldi54bWxQSwECFAAUAAAACACHTuJA1AXtMHMCAADIBAAADgAAAAAAAAABACAAAAAmAQAAZHJz&#10;L2Uyb0RvYy54bWxQSwUGAAAAAAYABgBZAQAACwYAAAAA&#10;">
                <v:fill on="t" focussize="0,0"/>
                <v:stroke on="f" miterlimit="8" joinstyle="miter"/>
                <v:imagedata o:title=""/>
                <o:lock v:ext="edit" aspectratio="f"/>
                <v:textbox>
                  <w:txbxContent>
                    <w:p>
                      <w:pPr>
                        <w:ind w:firstLine="360"/>
                        <w:rPr>
                          <w:sz w:val="18"/>
                          <w:szCs w:val="18"/>
                        </w:rPr>
                      </w:pPr>
                      <w:r>
                        <w:rPr>
                          <w:rFonts w:hint="eastAsia"/>
                          <w:sz w:val="18"/>
                          <w:szCs w:val="18"/>
                        </w:rPr>
                        <w:t>水土流失</w:t>
                      </w:r>
                    </w:p>
                  </w:txbxContent>
                </v:textbox>
              </v:shape>
            </w:pict>
          </mc:Fallback>
        </mc:AlternateContent>
      </w:r>
    </w:p>
    <w:p>
      <w:pPr>
        <w:pStyle w:val="165"/>
        <w:rPr>
          <w:b/>
          <w:color w:val="000000" w:themeColor="text1"/>
          <w:szCs w:val="21"/>
          <w:highlight w:val="none"/>
          <w14:textFill>
            <w14:solidFill>
              <w14:schemeClr w14:val="tx1"/>
            </w14:solidFill>
          </w14:textFill>
        </w:rPr>
      </w:pPr>
      <w:bookmarkStart w:id="157" w:name="_Ref142593685"/>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157"/>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项目工艺概况图</w:t>
      </w:r>
    </w:p>
    <w:p>
      <w:pPr>
        <w:pStyle w:val="4"/>
        <w:spacing w:before="120"/>
        <w:ind w:firstLine="480"/>
        <w:rPr>
          <w:b/>
          <w:color w:val="000000" w:themeColor="text1"/>
          <w:highlight w:val="none"/>
          <w:lang w:eastAsia="zh-CN"/>
          <w14:textFill>
            <w14:solidFill>
              <w14:schemeClr w14:val="tx1"/>
            </w14:solidFill>
          </w14:textFill>
        </w:rPr>
      </w:pPr>
      <w:bookmarkStart w:id="158" w:name="3.3.1施工期污染源"/>
      <w:bookmarkEnd w:id="158"/>
      <w:bookmarkStart w:id="159" w:name="_bookmark20"/>
      <w:bookmarkEnd w:id="159"/>
      <w:bookmarkStart w:id="160" w:name="_Toc120173108"/>
      <w:r>
        <w:rPr>
          <w:color w:val="000000" w:themeColor="text1"/>
          <w:highlight w:val="none"/>
          <w:lang w:eastAsia="zh-CN"/>
          <w14:textFill>
            <w14:solidFill>
              <w14:schemeClr w14:val="tx1"/>
            </w14:solidFill>
          </w14:textFill>
        </w:rPr>
        <w:t>施工期工程分析</w:t>
      </w:r>
      <w:bookmarkEnd w:id="160"/>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施工期主要有钻前工程、钻井工程、储层改造</w:t>
      </w:r>
      <w:r>
        <w:rPr>
          <w:rFonts w:hint="eastAsia" w:cs="Times New Roman"/>
          <w:color w:val="000000" w:themeColor="text1"/>
          <w:highlight w:val="none"/>
          <w14:textFill>
            <w14:solidFill>
              <w14:schemeClr w14:val="tx1"/>
            </w14:solidFill>
          </w14:textFill>
        </w:rPr>
        <w:t>工程</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含完井测试</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油气</w:t>
      </w:r>
      <w:r>
        <w:rPr>
          <w:rFonts w:cs="Times New Roman"/>
          <w:color w:val="000000" w:themeColor="text1"/>
          <w:highlight w:val="none"/>
          <w14:textFill>
            <w14:solidFill>
              <w14:schemeClr w14:val="tx1"/>
            </w14:solidFill>
          </w14:textFill>
        </w:rPr>
        <w:t>集输工程（</w:t>
      </w:r>
      <w:r>
        <w:rPr>
          <w:rFonts w:hint="eastAsia" w:cs="Times New Roman"/>
          <w:color w:val="000000" w:themeColor="text1"/>
          <w:highlight w:val="none"/>
          <w14:textFill>
            <w14:solidFill>
              <w14:schemeClr w14:val="tx1"/>
            </w14:solidFill>
          </w14:textFill>
        </w:rPr>
        <w:t>地面集输设施的建设</w:t>
      </w:r>
      <w:r>
        <w:rPr>
          <w:rFonts w:cs="Times New Roman"/>
          <w:color w:val="000000" w:themeColor="text1"/>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钻前工程</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（1）钻前工程工艺流程简述</w:t>
      </w:r>
    </w:p>
    <w:p>
      <w:pPr>
        <w:ind w:firstLine="480"/>
        <w:rPr>
          <w:rFonts w:cs="Times New Roman"/>
          <w:b/>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w:t>
      </w:r>
      <w:r>
        <w:rPr>
          <w:rFonts w:cs="Times New Roman"/>
          <w:color w:val="000000" w:themeColor="text1"/>
          <w:highlight w:val="none"/>
          <w14:textFill>
            <w14:solidFill>
              <w14:schemeClr w14:val="tx1"/>
            </w14:solidFill>
          </w14:textFill>
        </w:rPr>
        <w:t>钻前工程主要新建</w:t>
      </w:r>
      <w:r>
        <w:rPr>
          <w:rFonts w:hint="eastAsia" w:cs="Times New Roman"/>
          <w:color w:val="000000" w:themeColor="text1"/>
          <w:highlight w:val="none"/>
          <w14:textFill>
            <w14:solidFill>
              <w14:schemeClr w14:val="tx1"/>
            </w14:solidFill>
          </w14:textFill>
        </w:rPr>
        <w:t>井场长114m</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宽50m</w:t>
      </w:r>
      <w:r>
        <w:rPr>
          <w:rFonts w:cs="Times New Roman"/>
          <w:color w:val="000000" w:themeColor="text1"/>
          <w:highlight w:val="none"/>
          <w14:textFill>
            <w14:solidFill>
              <w14:schemeClr w14:val="tx1"/>
            </w14:solidFill>
          </w14:textFill>
        </w:rPr>
        <w:t>，新建井架基础、</w:t>
      </w:r>
      <w:r>
        <w:rPr>
          <w:rFonts w:hint="eastAsia" w:cs="Times New Roman"/>
          <w:color w:val="000000" w:themeColor="text1"/>
          <w:highlight w:val="none"/>
          <w14:textFill>
            <w14:solidFill>
              <w14:schemeClr w14:val="tx1"/>
            </w14:solidFill>
          </w14:textFill>
        </w:rPr>
        <w:t>放喷</w:t>
      </w:r>
      <w:r>
        <w:rPr>
          <w:rFonts w:cs="Times New Roman"/>
          <w:color w:val="000000" w:themeColor="text1"/>
          <w:highlight w:val="none"/>
          <w14:textFill>
            <w14:solidFill>
              <w14:schemeClr w14:val="tx1"/>
            </w14:solidFill>
          </w14:textFill>
        </w:rPr>
        <w:t>池、泥浆罐基础、泥浆不落地基础、循环罐基础、储备罐基础、油罐基础、发电机房基础等；此外，</w:t>
      </w:r>
      <w:r>
        <w:rPr>
          <w:rFonts w:cs="Times New Roman"/>
          <w:bCs/>
          <w:color w:val="000000" w:themeColor="text1"/>
          <w:highlight w:val="none"/>
          <w14:textFill>
            <w14:solidFill>
              <w14:schemeClr w14:val="tx1"/>
            </w14:solidFill>
          </w14:textFill>
        </w:rPr>
        <w:t>钻井设备的搬运及安装、井口设备准备、清污分流系统以及活动房布置等，主要为土建施工，由专业施工单位组织当地民工作业。</w:t>
      </w:r>
    </w:p>
    <w:p>
      <w:pPr>
        <w:pStyle w:val="21"/>
        <w:spacing w:before="0"/>
        <w:ind w:left="0" w:firstLine="480"/>
        <w:jc w:val="both"/>
        <w:rPr>
          <w:rFonts w:ascii="Times New Roman" w:hAnsi="Times New Roman"/>
          <w:b/>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钻前工程工艺流程及产污环</w:t>
      </w:r>
      <w:r>
        <w:rPr>
          <w:rFonts w:ascii="Times New Roman" w:hAnsi="Times New Roman"/>
          <w:bCs/>
          <w:color w:val="000000" w:themeColor="text1"/>
          <w:kern w:val="2"/>
          <w:szCs w:val="22"/>
          <w:highlight w:val="none"/>
          <w:lang w:eastAsia="zh-CN"/>
          <w14:textFill>
            <w14:solidFill>
              <w14:schemeClr w14:val="tx1"/>
            </w14:solidFill>
          </w14:textFill>
        </w:rPr>
        <w:t>节如</w:t>
      </w:r>
      <w:r>
        <w:rPr>
          <w:rFonts w:ascii="Times New Roman" w:hAnsi="Times New Roman"/>
          <w:bCs/>
          <w:color w:val="000000" w:themeColor="text1"/>
          <w:kern w:val="2"/>
          <w:szCs w:val="22"/>
          <w:highlight w:val="none"/>
          <w:lang w:eastAsia="zh-CN"/>
          <w14:textFill>
            <w14:solidFill>
              <w14:schemeClr w14:val="tx1"/>
            </w14:solidFill>
          </w14:textFill>
        </w:rPr>
        <w:fldChar w:fldCharType="begin"/>
      </w:r>
      <w:r>
        <w:rPr>
          <w:rFonts w:ascii="Times New Roman" w:hAnsi="Times New Roman"/>
          <w:bCs/>
          <w:color w:val="000000" w:themeColor="text1"/>
          <w:kern w:val="2"/>
          <w:szCs w:val="22"/>
          <w:highlight w:val="none"/>
          <w:lang w:eastAsia="zh-CN"/>
          <w14:textFill>
            <w14:solidFill>
              <w14:schemeClr w14:val="tx1"/>
            </w14:solidFill>
          </w14:textFill>
        </w:rPr>
        <w:instrText xml:space="preserve"> REF _Ref142597391 \h </w:instrText>
      </w:r>
      <w:r>
        <w:rPr>
          <w:rFonts w:ascii="Times New Roman" w:hAnsi="Times New Roman"/>
          <w:bCs/>
          <w:color w:val="000000" w:themeColor="text1"/>
          <w:kern w:val="2"/>
          <w:szCs w:val="2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szCs w:val="22"/>
          <w:highlight w:val="none"/>
          <w:lang w:eastAsia="zh-CN"/>
          <w14:textFill>
            <w14:solidFill>
              <w14:schemeClr w14:val="tx1"/>
            </w14:solidFill>
          </w14:textFill>
        </w:rPr>
        <w:t>图</w:t>
      </w:r>
      <w:r>
        <w:rPr>
          <w:rFonts w:ascii="Times New Roman" w:hAnsi="Times New Roman"/>
          <w:bCs/>
          <w:color w:val="000000" w:themeColor="text1"/>
          <w:kern w:val="2"/>
          <w:szCs w:val="22"/>
          <w:highlight w:val="none"/>
          <w:lang w:eastAsia="zh-CN"/>
          <w14:textFill>
            <w14:solidFill>
              <w14:schemeClr w14:val="tx1"/>
            </w14:solidFill>
          </w14:textFill>
        </w:rPr>
        <w:fldChar w:fldCharType="begin"/>
      </w:r>
      <w:r>
        <w:rPr>
          <w:rFonts w:ascii="Times New Roman" w:hAnsi="Times New Roman"/>
          <w:bCs/>
          <w:color w:val="000000" w:themeColor="text1"/>
          <w:kern w:val="2"/>
          <w:szCs w:val="22"/>
          <w:highlight w:val="none"/>
          <w:lang w:eastAsia="zh-CN"/>
          <w14:textFill>
            <w14:solidFill>
              <w14:schemeClr w14:val="tx1"/>
            </w14:solidFill>
          </w14:textFill>
        </w:rPr>
        <w:instrText xml:space="preserve"> </w:instrText>
      </w:r>
      <w:r>
        <w:rPr>
          <w:rFonts w:hint="eastAsia" w:ascii="Times New Roman" w:hAnsi="Times New Roman"/>
          <w:bCs/>
          <w:color w:val="000000" w:themeColor="text1"/>
          <w:kern w:val="2"/>
          <w:szCs w:val="22"/>
          <w:highlight w:val="none"/>
          <w:lang w:eastAsia="zh-CN"/>
          <w14:textFill>
            <w14:solidFill>
              <w14:schemeClr w14:val="tx1"/>
            </w14:solidFill>
          </w14:textFill>
        </w:rPr>
        <w:instrText xml:space="preserve">STYLEREF 2 \s</w:instrText>
      </w:r>
      <w:r>
        <w:rPr>
          <w:rFonts w:ascii="Times New Roman" w:hAnsi="Times New Roman"/>
          <w:bCs/>
          <w:color w:val="000000" w:themeColor="text1"/>
          <w:kern w:val="2"/>
          <w:szCs w:val="22"/>
          <w:highlight w:val="none"/>
          <w:lang w:eastAsia="zh-CN"/>
          <w14:textFill>
            <w14:solidFill>
              <w14:schemeClr w14:val="tx1"/>
            </w14:solidFill>
          </w14:textFill>
        </w:rPr>
        <w:instrText xml:space="preserve"> </w:instrText>
      </w:r>
      <w:r>
        <w:rPr>
          <w:rFonts w:ascii="Times New Roman" w:hAnsi="Times New Roman"/>
          <w:bCs/>
          <w:color w:val="000000" w:themeColor="text1"/>
          <w:kern w:val="2"/>
          <w:szCs w:val="2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szCs w:val="22"/>
          <w:highlight w:val="none"/>
          <w:lang w:eastAsia="zh-CN"/>
          <w14:textFill>
            <w14:solidFill>
              <w14:schemeClr w14:val="tx1"/>
            </w14:solidFill>
          </w14:textFill>
        </w:rPr>
        <w:t>3.3</w:t>
      </w:r>
      <w:r>
        <w:rPr>
          <w:rFonts w:ascii="Times New Roman" w:hAnsi="Times New Roman"/>
          <w:bCs/>
          <w:color w:val="000000" w:themeColor="text1"/>
          <w:kern w:val="2"/>
          <w:szCs w:val="22"/>
          <w:highlight w:val="none"/>
          <w:lang w:eastAsia="zh-CN"/>
          <w14:textFill>
            <w14:solidFill>
              <w14:schemeClr w14:val="tx1"/>
            </w14:solidFill>
          </w14:textFill>
        </w:rPr>
        <w:fldChar w:fldCharType="end"/>
      </w:r>
      <w:r>
        <w:rPr>
          <w:rFonts w:ascii="Times New Roman" w:hAnsi="Times New Roman"/>
          <w:bCs/>
          <w:color w:val="000000" w:themeColor="text1"/>
          <w:kern w:val="2"/>
          <w:szCs w:val="22"/>
          <w:highlight w:val="none"/>
          <w:lang w:eastAsia="zh-CN"/>
          <w14:textFill>
            <w14:solidFill>
              <w14:schemeClr w14:val="tx1"/>
            </w14:solidFill>
          </w14:textFill>
        </w:rPr>
        <w:noBreakHyphen/>
      </w:r>
      <w:r>
        <w:rPr>
          <w:rFonts w:hint="eastAsia" w:ascii="Times New Roman" w:hAnsi="Times New Roman"/>
          <w:bCs/>
          <w:color w:val="000000" w:themeColor="text1"/>
          <w:kern w:val="2"/>
          <w:szCs w:val="22"/>
          <w:highlight w:val="none"/>
          <w:lang w:eastAsia="zh-CN"/>
          <w14:textFill>
            <w14:solidFill>
              <w14:schemeClr w14:val="tx1"/>
            </w14:solidFill>
          </w14:textFill>
        </w:rPr>
        <w:t>2</w:t>
      </w:r>
      <w:r>
        <w:rPr>
          <w:rFonts w:ascii="Times New Roman" w:hAnsi="Times New Roman"/>
          <w:bCs/>
          <w:color w:val="000000" w:themeColor="text1"/>
          <w:kern w:val="2"/>
          <w:szCs w:val="22"/>
          <w:highlight w:val="none"/>
          <w:lang w:eastAsia="zh-CN"/>
          <w14:textFill>
            <w14:solidFill>
              <w14:schemeClr w14:val="tx1"/>
            </w14:solidFill>
          </w14:textFill>
        </w:rPr>
        <w:fldChar w:fldCharType="end"/>
      </w:r>
      <w:r>
        <w:rPr>
          <w:rFonts w:ascii="Times New Roman" w:hAnsi="Times New Roman"/>
          <w:bCs/>
          <w:color w:val="000000" w:themeColor="text1"/>
          <w:kern w:val="2"/>
          <w:szCs w:val="22"/>
          <w:highlight w:val="none"/>
          <w:lang w:eastAsia="zh-CN"/>
          <w14:textFill>
            <w14:solidFill>
              <w14:schemeClr w14:val="tx1"/>
            </w14:solidFill>
          </w14:textFill>
        </w:rPr>
        <w:t>所示。</w:t>
      </w:r>
    </w:p>
    <w:p>
      <w:pPr>
        <w:pStyle w:val="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20704" behindDoc="0" locked="0" layoutInCell="1" allowOverlap="1">
                <wp:simplePos x="0" y="0"/>
                <wp:positionH relativeFrom="column">
                  <wp:posOffset>4138295</wp:posOffset>
                </wp:positionH>
                <wp:positionV relativeFrom="paragraph">
                  <wp:posOffset>636905</wp:posOffset>
                </wp:positionV>
                <wp:extent cx="299085" cy="178435"/>
                <wp:effectExtent l="3175" t="0" r="2540" b="12065"/>
                <wp:wrapNone/>
                <wp:docPr id="67" name="直接箭头连接符 67"/>
                <wp:cNvGraphicFramePr/>
                <a:graphic xmlns:a="http://schemas.openxmlformats.org/drawingml/2006/main">
                  <a:graphicData uri="http://schemas.microsoft.com/office/word/2010/wordprocessingShape">
                    <wps:wsp>
                      <wps:cNvCnPr/>
                      <wps:spPr>
                        <a:xfrm flipV="1">
                          <a:off x="1841500" y="8761730"/>
                          <a:ext cx="299085" cy="17843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25.85pt;margin-top:50.15pt;height:14.05pt;width:23.55pt;z-index:251720704;mso-width-relative:page;mso-height-relative:page;" filled="f" stroked="t" coordsize="21600,21600" o:gfxdata="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yMzvy2QAA&#10;AAsBAAAPAAAAAAAAAAEAIAAAACIAAABkcnMvZG93bnJldi54bWxQSwECFAAUAAAACACHTuJAtD2v&#10;zx0CAAD6AwAADgAAAAAAAAABACAAAAAoAQAAZHJzL2Uyb0RvYy54bWxQSwUGAAAAAAYABgBZAQAA&#10;twUAAAAA&#10;">
                <v:fill on="f" focussize="0,0"/>
                <v:stroke weight="1pt" color="#000000 [3213]" miterlimit="8" joinstyle="miter" dashstyle="dash"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21728" behindDoc="0" locked="0" layoutInCell="1" allowOverlap="1">
                <wp:simplePos x="0" y="0"/>
                <wp:positionH relativeFrom="column">
                  <wp:posOffset>3991610</wp:posOffset>
                </wp:positionH>
                <wp:positionV relativeFrom="paragraph">
                  <wp:posOffset>363855</wp:posOffset>
                </wp:positionV>
                <wp:extent cx="1510665" cy="297815"/>
                <wp:effectExtent l="0" t="0" r="0" b="0"/>
                <wp:wrapNone/>
                <wp:docPr id="68" name="文本框 68"/>
                <wp:cNvGraphicFramePr/>
                <a:graphic xmlns:a="http://schemas.openxmlformats.org/drawingml/2006/main">
                  <a:graphicData uri="http://schemas.microsoft.com/office/word/2010/wordprocessingShape">
                    <wps:wsp>
                      <wps:cNvSpPr txBox="1"/>
                      <wps:spPr>
                        <a:xfrm>
                          <a:off x="1005205" y="9065260"/>
                          <a:ext cx="1510665" cy="297815"/>
                        </a:xfrm>
                        <a:prstGeom prst="rect">
                          <a:avLst/>
                        </a:prstGeom>
                        <a:noFill/>
                        <a:ln w="9525">
                          <a:noFill/>
                          <a:miter lim="800000"/>
                        </a:ln>
                      </wps:spPr>
                      <wps:txbx>
                        <w:txbxContent>
                          <w:p>
                            <w:pPr>
                              <w:ind w:firstLine="0" w:firstLineChars="0"/>
                              <w:rPr>
                                <w:b/>
                                <w:bCs/>
                                <w:color w:val="808080" w:themeColor="text1" w:themeTint="80"/>
                                <w:sz w:val="20"/>
                                <w:szCs w:val="18"/>
                                <w14:textFill>
                                  <w14:solidFill>
                                    <w14:schemeClr w14:val="tx1">
                                      <w14:lumMod w14:val="50000"/>
                                      <w14:lumOff w14:val="50000"/>
                                    </w14:schemeClr>
                                  </w14:solidFill>
                                </w14:textFill>
                              </w:rPr>
                            </w:pPr>
                            <w:r>
                              <w:rPr>
                                <w:rFonts w:hint="eastAsia"/>
                                <w:b/>
                                <w:bCs/>
                                <w:color w:val="808080" w:themeColor="text1" w:themeTint="80"/>
                                <w:sz w:val="20"/>
                                <w:szCs w:val="18"/>
                                <w14:textFill>
                                  <w14:solidFill>
                                    <w14:schemeClr w14:val="tx1">
                                      <w14:lumMod w14:val="50000"/>
                                      <w14:lumOff w14:val="50000"/>
                                    </w14:schemeClr>
                                  </w14:solidFill>
                                </w14:textFill>
                              </w:rPr>
                              <w:t>生活污水、生活垃圾</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14.3pt;margin-top:28.65pt;height:23.45pt;width:118.95pt;z-index:251721728;mso-width-relative:page;mso-height-relative:page;" filled="f" stroked="f" coordsize="21600,21600" o:gfxdata="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A/iliNcA&#10;AAAKAQAADwAAAAAAAAABACAAAAAiAAAAZHJzL2Rvd25yZXYueG1sUEsBAhQAFAAAAAgAh07iQHcy&#10;rD1ZAgAAlwQAAA4AAAAAAAAAAQAgAAAAJgEAAGRycy9lMm9Eb2MueG1sUEsFBgAAAAAGAAYAWQEA&#10;APEFAAAAAA==&#10;">
                <v:fill on="f" focussize="0,0"/>
                <v:stroke on="f" miterlimit="8" joinstyle="miter"/>
                <v:imagedata o:title=""/>
                <o:lock v:ext="edit" aspectratio="f"/>
                <v:textbox>
                  <w:txbxContent>
                    <w:p>
                      <w:pPr>
                        <w:ind w:firstLine="0" w:firstLineChars="0"/>
                        <w:rPr>
                          <w:b/>
                          <w:bCs/>
                          <w:color w:val="808080" w:themeColor="text1" w:themeTint="80"/>
                          <w:sz w:val="20"/>
                          <w:szCs w:val="18"/>
                          <w14:textFill>
                            <w14:solidFill>
                              <w14:schemeClr w14:val="tx1">
                                <w14:lumMod w14:val="50000"/>
                                <w14:lumOff w14:val="50000"/>
                              </w14:schemeClr>
                            </w14:solidFill>
                          </w14:textFill>
                        </w:rPr>
                      </w:pPr>
                      <w:r>
                        <w:rPr>
                          <w:rFonts w:hint="eastAsia"/>
                          <w:b/>
                          <w:bCs/>
                          <w:color w:val="808080" w:themeColor="text1" w:themeTint="80"/>
                          <w:sz w:val="20"/>
                          <w:szCs w:val="18"/>
                          <w14:textFill>
                            <w14:solidFill>
                              <w14:schemeClr w14:val="tx1">
                                <w14:lumMod w14:val="50000"/>
                                <w14:lumOff w14:val="50000"/>
                              </w14:schemeClr>
                            </w14:solidFill>
                          </w14:textFill>
                        </w:rPr>
                        <w:t>生活污水、生活垃圾</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-31115</wp:posOffset>
                </wp:positionH>
                <wp:positionV relativeFrom="paragraph">
                  <wp:posOffset>819150</wp:posOffset>
                </wp:positionV>
                <wp:extent cx="4220210" cy="663575"/>
                <wp:effectExtent l="6350" t="6350" r="12065" b="6350"/>
                <wp:wrapNone/>
                <wp:docPr id="70" name="矩形 70"/>
                <wp:cNvGraphicFramePr/>
                <a:graphic xmlns:a="http://schemas.openxmlformats.org/drawingml/2006/main">
                  <a:graphicData uri="http://schemas.microsoft.com/office/word/2010/wordprocessingShape">
                    <wps:wsp>
                      <wps:cNvSpPr/>
                      <wps:spPr>
                        <a:xfrm>
                          <a:off x="1111885" y="8051800"/>
                          <a:ext cx="4220210" cy="663575"/>
                        </a:xfrm>
                        <a:prstGeom prst="rect">
                          <a:avLst/>
                        </a:prstGeom>
                        <a:no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5pt;margin-top:64.5pt;height:52.25pt;width:332.3pt;z-index:251722752;v-text-anchor:middle;mso-width-relative:page;mso-height-relative:page;" filled="f" stroked="t" coordsize="21600,21600" o:gfxdata="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K8J0VzYAAAACgEAAA8AAAAAAAAAAQAgAAAAIgAAAGRycy9k&#10;b3ducmV2LnhtbFBLAQIUABQAAAAIAIdO4kCru8gRdAIAANgEAAAOAAAAAAAAAAEAIAAAACcBAABk&#10;cnMvZTJvRG9jLnhtbFBLBQYAAAAABgAGAFkBAAANBgAAAAA=&#10;">
                <v:fill on="f" focussize="0,0"/>
                <v:stroke weight="1pt" color="#000000 [3213]" miterlimit="8" joinstyle="miter" dashstyle="dash"/>
                <v:imagedata o:title=""/>
                <o:lock v:ext="edit" aspectratio="f"/>
              </v:rect>
            </w:pict>
          </mc:Fallback>
        </mc:AlternateContent>
      </w:r>
      <w:r>
        <w:rPr>
          <w:color w:val="000000" w:themeColor="text1"/>
          <w:highlight w:val="none"/>
          <w:lang w:eastAsia="zh-CN"/>
          <w14:textFill>
            <w14:solidFill>
              <w14:schemeClr w14:val="tx1"/>
            </w14:solidFill>
          </w14:textFill>
        </w:rPr>
        <w:drawing>
          <wp:inline distT="0" distB="0" distL="0" distR="0">
            <wp:extent cx="5039995" cy="1786255"/>
            <wp:effectExtent l="0" t="0" r="8255" b="4445"/>
            <wp:docPr id="1622" name="图片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图片 1622"/>
                    <pic:cNvPicPr>
                      <a:picLocks noChangeAspect="1"/>
                    </pic:cNvPicPr>
                  </pic:nvPicPr>
                  <pic:blipFill>
                    <a:blip r:embed="rId19"/>
                    <a:stretch>
                      <a:fillRect/>
                    </a:stretch>
                  </pic:blipFill>
                  <pic:spPr>
                    <a:xfrm>
                      <a:off x="0" y="0"/>
                      <a:ext cx="5039995" cy="1786255"/>
                    </a:xfrm>
                    <a:prstGeom prst="rect">
                      <a:avLst/>
                    </a:prstGeom>
                  </pic:spPr>
                </pic:pic>
              </a:graphicData>
            </a:graphic>
          </wp:inline>
        </w:drawing>
      </w:r>
    </w:p>
    <w:p>
      <w:pPr>
        <w:pStyle w:val="14"/>
        <w:ind w:firstLine="420"/>
        <w:rPr>
          <w:rFonts w:ascii="Times New Roman" w:hAnsi="Times New Roman" w:eastAsia="黑体"/>
          <w:color w:val="000000" w:themeColor="text1"/>
          <w:sz w:val="21"/>
          <w:szCs w:val="28"/>
          <w:highlight w:val="none"/>
          <w14:textFill>
            <w14:solidFill>
              <w14:schemeClr w14:val="tx1"/>
            </w14:solidFill>
          </w14:textFill>
        </w:rPr>
      </w:pPr>
    </w:p>
    <w:p>
      <w:pPr>
        <w:pStyle w:val="14"/>
        <w:ind w:firstLine="420"/>
        <w:rPr>
          <w:rFonts w:ascii="Times New Roman" w:hAnsi="Times New Roman" w:eastAsia="黑体"/>
          <w:color w:val="000000" w:themeColor="text1"/>
          <w:sz w:val="21"/>
          <w:szCs w:val="28"/>
          <w:highlight w:val="none"/>
          <w14:textFill>
            <w14:solidFill>
              <w14:schemeClr w14:val="tx1"/>
            </w14:solidFill>
          </w14:textFill>
        </w:rPr>
      </w:pPr>
      <w:r>
        <w:rPr>
          <w:rFonts w:hint="eastAsia" w:ascii="Times New Roman" w:hAnsi="Times New Roman" w:eastAsia="黑体"/>
          <w:color w:val="000000" w:themeColor="text1"/>
          <w:sz w:val="21"/>
          <w:szCs w:val="28"/>
          <w:highlight w:val="none"/>
          <w14:textFill>
            <w14:solidFill>
              <w14:schemeClr w14:val="tx1"/>
            </w14:solidFill>
          </w14:textFill>
        </w:rPr>
        <w:t xml:space="preserve">图 </w:t>
      </w:r>
      <w:r>
        <w:rPr>
          <w:rFonts w:hint="eastAsia" w:ascii="Times New Roman" w:hAnsi="Times New Roman" w:eastAsia="黑体"/>
          <w:color w:val="000000" w:themeColor="text1"/>
          <w:sz w:val="21"/>
          <w:szCs w:val="28"/>
          <w:highlight w:val="none"/>
          <w14:textFill>
            <w14:solidFill>
              <w14:schemeClr w14:val="tx1"/>
            </w14:solidFill>
          </w14:textFill>
        </w:rPr>
        <w:fldChar w:fldCharType="begin"/>
      </w:r>
      <w:r>
        <w:rPr>
          <w:rFonts w:hint="eastAsia" w:ascii="Times New Roman" w:hAnsi="Times New Roman" w:eastAsia="黑体"/>
          <w:color w:val="000000" w:themeColor="text1"/>
          <w:sz w:val="21"/>
          <w:szCs w:val="28"/>
          <w:highlight w:val="none"/>
          <w14:textFill>
            <w14:solidFill>
              <w14:schemeClr w14:val="tx1"/>
            </w14:solidFill>
          </w14:textFill>
        </w:rPr>
        <w:instrText xml:space="preserve"> STYLEREF 2 \s </w:instrText>
      </w:r>
      <w:r>
        <w:rPr>
          <w:rFonts w:hint="eastAsia" w:ascii="Times New Roman" w:hAnsi="Times New Roman" w:eastAsia="黑体"/>
          <w:color w:val="000000" w:themeColor="text1"/>
          <w:sz w:val="21"/>
          <w:szCs w:val="28"/>
          <w:highlight w:val="none"/>
          <w14:textFill>
            <w14:solidFill>
              <w14:schemeClr w14:val="tx1"/>
            </w14:solidFill>
          </w14:textFill>
        </w:rPr>
        <w:fldChar w:fldCharType="separate"/>
      </w:r>
      <w:r>
        <w:rPr>
          <w:rFonts w:hint="eastAsia" w:ascii="Times New Roman" w:hAnsi="Times New Roman" w:eastAsia="黑体"/>
          <w:color w:val="000000" w:themeColor="text1"/>
          <w:sz w:val="21"/>
          <w:szCs w:val="28"/>
          <w:highlight w:val="none"/>
          <w14:textFill>
            <w14:solidFill>
              <w14:schemeClr w14:val="tx1"/>
            </w14:solidFill>
          </w14:textFill>
        </w:rPr>
        <w:t>3.3</w:t>
      </w:r>
      <w:r>
        <w:rPr>
          <w:rFonts w:hint="eastAsia" w:ascii="Times New Roman" w:hAnsi="Times New Roman" w:eastAsia="黑体"/>
          <w:color w:val="000000" w:themeColor="text1"/>
          <w:sz w:val="21"/>
          <w:szCs w:val="28"/>
          <w:highlight w:val="none"/>
          <w14:textFill>
            <w14:solidFill>
              <w14:schemeClr w14:val="tx1"/>
            </w14:solidFill>
          </w14:textFill>
        </w:rPr>
        <w:fldChar w:fldCharType="end"/>
      </w:r>
      <w:r>
        <w:rPr>
          <w:rFonts w:hint="eastAsia" w:ascii="Times New Roman" w:hAnsi="Times New Roman" w:eastAsia="黑体"/>
          <w:color w:val="000000" w:themeColor="text1"/>
          <w:sz w:val="21"/>
          <w:szCs w:val="28"/>
          <w:highlight w:val="none"/>
          <w14:textFill>
            <w14:solidFill>
              <w14:schemeClr w14:val="tx1"/>
            </w14:solidFill>
          </w14:textFill>
        </w:rPr>
        <w:t>-</w:t>
      </w:r>
      <w:r>
        <w:rPr>
          <w:rFonts w:hint="eastAsia" w:ascii="Times New Roman" w:hAnsi="Times New Roman" w:eastAsia="黑体"/>
          <w:color w:val="000000" w:themeColor="text1"/>
          <w:sz w:val="21"/>
          <w:szCs w:val="28"/>
          <w:highlight w:val="none"/>
          <w14:textFill>
            <w14:solidFill>
              <w14:schemeClr w14:val="tx1"/>
            </w14:solidFill>
          </w14:textFill>
        </w:rPr>
        <w:fldChar w:fldCharType="begin"/>
      </w:r>
      <w:r>
        <w:rPr>
          <w:rFonts w:hint="eastAsia" w:ascii="Times New Roman" w:hAnsi="Times New Roman" w:eastAsia="黑体"/>
          <w:color w:val="000000" w:themeColor="text1"/>
          <w:sz w:val="21"/>
          <w:szCs w:val="28"/>
          <w:highlight w:val="none"/>
          <w14:textFill>
            <w14:solidFill>
              <w14:schemeClr w14:val="tx1"/>
            </w14:solidFill>
          </w14:textFill>
        </w:rPr>
        <w:instrText xml:space="preserve"> SEQ 图 \* ARABIC \s 2 </w:instrText>
      </w:r>
      <w:r>
        <w:rPr>
          <w:rFonts w:hint="eastAsia" w:ascii="Times New Roman" w:hAnsi="Times New Roman" w:eastAsia="黑体"/>
          <w:color w:val="000000" w:themeColor="text1"/>
          <w:sz w:val="21"/>
          <w:szCs w:val="28"/>
          <w:highlight w:val="none"/>
          <w14:textFill>
            <w14:solidFill>
              <w14:schemeClr w14:val="tx1"/>
            </w14:solidFill>
          </w14:textFill>
        </w:rPr>
        <w:fldChar w:fldCharType="separate"/>
      </w:r>
      <w:r>
        <w:rPr>
          <w:rFonts w:hint="eastAsia" w:ascii="Times New Roman" w:hAnsi="Times New Roman" w:eastAsia="黑体"/>
          <w:color w:val="000000" w:themeColor="text1"/>
          <w:sz w:val="21"/>
          <w:szCs w:val="28"/>
          <w:highlight w:val="none"/>
          <w14:textFill>
            <w14:solidFill>
              <w14:schemeClr w14:val="tx1"/>
            </w14:solidFill>
          </w14:textFill>
        </w:rPr>
        <w:t>2</w:t>
      </w:r>
      <w:r>
        <w:rPr>
          <w:rFonts w:hint="eastAsia" w:ascii="Times New Roman" w:hAnsi="Times New Roman" w:eastAsia="黑体"/>
          <w:color w:val="000000" w:themeColor="text1"/>
          <w:sz w:val="21"/>
          <w:szCs w:val="28"/>
          <w:highlight w:val="none"/>
          <w14:textFill>
            <w14:solidFill>
              <w14:schemeClr w14:val="tx1"/>
            </w14:solidFill>
          </w14:textFill>
        </w:rPr>
        <w:fldChar w:fldCharType="end"/>
      </w:r>
      <w:r>
        <w:rPr>
          <w:rFonts w:hint="eastAsia" w:ascii="Times New Roman" w:hAnsi="Times New Roman" w:eastAsia="黑体"/>
          <w:color w:val="000000" w:themeColor="text1"/>
          <w:sz w:val="21"/>
          <w:szCs w:val="28"/>
          <w:highlight w:val="none"/>
          <w14:textFill>
            <w14:solidFill>
              <w14:schemeClr w14:val="tx1"/>
            </w14:solidFill>
          </w14:textFill>
        </w:rPr>
        <w:t xml:space="preserve"> 钻前工程施工过程及主要环境影响示意图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1）道路工程</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进场道路依托大湾</w:t>
      </w:r>
      <w:r>
        <w:rPr>
          <w:rFonts w:hint="eastAsia" w:cs="Times New Roman"/>
          <w:color w:val="000000" w:themeColor="text1"/>
          <w:highlight w:val="none"/>
          <w:lang w:eastAsia="zh-CN"/>
          <w14:textFill>
            <w14:solidFill>
              <w14:schemeClr w14:val="tx1"/>
            </w14:solidFill>
          </w14:textFill>
        </w:rPr>
        <w:t>408试采站</w:t>
      </w:r>
      <w:r>
        <w:rPr>
          <w:rFonts w:hint="eastAsia" w:cs="Times New Roman"/>
          <w:color w:val="000000" w:themeColor="text1"/>
          <w:highlight w:val="none"/>
          <w14:textFill>
            <w14:solidFill>
              <w14:schemeClr w14:val="tx1"/>
            </w14:solidFill>
          </w14:textFill>
        </w:rPr>
        <w:t>已建设进场道路</w:t>
      </w:r>
      <w:r>
        <w:rPr>
          <w:rFonts w:cs="Times New Roman"/>
          <w:color w:val="000000" w:themeColor="text1"/>
          <w:highlight w:val="none"/>
          <w14:textFill>
            <w14:solidFill>
              <w14:schemeClr w14:val="tx1"/>
            </w14:solidFill>
          </w14:textFill>
        </w:rPr>
        <w:t>，道路路基宽度4.5m，路面宽度4.0m，</w:t>
      </w:r>
      <w:r>
        <w:rPr>
          <w:rFonts w:hint="eastAsia" w:cs="Times New Roman"/>
          <w:color w:val="000000" w:themeColor="text1"/>
          <w:highlight w:val="none"/>
          <w14:textFill>
            <w14:solidFill>
              <w14:schemeClr w14:val="tx1"/>
            </w14:solidFill>
          </w14:textFill>
        </w:rPr>
        <w:t>长度约50m</w:t>
      </w:r>
      <w:r>
        <w:rPr>
          <w:rFonts w:cs="Times New Roman"/>
          <w:color w:val="000000" w:themeColor="text1"/>
          <w:highlight w:val="none"/>
          <w14:textFill>
            <w14:solidFill>
              <w14:schemeClr w14:val="tx1"/>
            </w14:solidFill>
          </w14:textFill>
        </w:rPr>
        <w:t>，采用20cm厚6%水泥稳定碎石，新建0.4m宽道路排水沟，采用浆砌石修筑。</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2）井场平整及硬化</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井场平整：按照钻井工程的总平面布置完成场地平整，新建</w:t>
      </w:r>
      <w:r>
        <w:rPr>
          <w:rFonts w:hint="eastAsia" w:cs="Times New Roman"/>
          <w:color w:val="000000" w:themeColor="text1"/>
          <w:highlight w:val="none"/>
          <w14:textFill>
            <w14:solidFill>
              <w14:schemeClr w14:val="tx1"/>
            </w14:solidFill>
          </w14:textFill>
        </w:rPr>
        <w:t>井场长114m</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宽50m</w:t>
      </w:r>
      <w:r>
        <w:rPr>
          <w:rFonts w:cs="Times New Roman"/>
          <w:color w:val="000000" w:themeColor="text1"/>
          <w:highlight w:val="none"/>
          <w14:textFill>
            <w14:solidFill>
              <w14:schemeClr w14:val="tx1"/>
            </w14:solidFill>
          </w14:textFill>
        </w:rPr>
        <w:t>，场地清表0.3m厚。</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硬化区域：除井架基础、方井、厕所不硬化外，其余地方全部硬化，采用C20混凝土硬化，厚度0.2m；</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场基结构基层为压实厚度400mm毛石，面层为压实厚度100mm碎石（已硬化）；</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泥浆车道（长35m×宽3.5m）在基层上浇注200mm厚C20混凝土，泥浆材料台80m</w:t>
      </w:r>
      <w:r>
        <w:rPr>
          <w:rFonts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在基层上浇筑C15混凝土厚200mm，见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_Ref142597382 \h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3</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5039995" cy="1477645"/>
            <wp:effectExtent l="0" t="0" r="8255" b="8255"/>
            <wp:docPr id="141" name="图片 141" descr="井场硬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井场硬化"/>
                    <pic:cNvPicPr>
                      <a:picLocks noChangeAspect="1" noChangeArrowheads="1"/>
                    </pic:cNvPicPr>
                  </pic:nvPicPr>
                  <pic:blipFill>
                    <a:blip r:embed="rId20">
                      <a:extLst>
                        <a:ext uri="{28A0092B-C50C-407E-A947-70E740481C1C}">
                          <a14:useLocalDpi xmlns:a14="http://schemas.microsoft.com/office/drawing/2010/main" val="0"/>
                        </a:ext>
                      </a:extLst>
                    </a:blip>
                    <a:srcRect l="-1540" t="77849" r="2420" b="1460"/>
                    <a:stretch>
                      <a:fillRect/>
                    </a:stretch>
                  </pic:blipFill>
                  <pic:spPr>
                    <a:xfrm>
                      <a:off x="0" y="0"/>
                      <a:ext cx="5039995" cy="1477645"/>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图 </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SEQ 图 \* ARABIC \s 2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井场场基结构图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3）井场建设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本项目井场为新建，井场基础采用C20混凝土基础，基础厚度1200mm，基础置于天然地基持力层上，地基承载力不小于0.15MPa，基础下先浇筑C15垫层厚度100mm，其设计结构图如下</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_Ref10964 \h </w:instrText>
      </w:r>
      <w:r>
        <w:rPr>
          <w:rFonts w:cs="Times New Roman"/>
          <w:color w:val="000000" w:themeColor="text1"/>
          <w:highlight w:val="none"/>
          <w14:textFill>
            <w14:solidFill>
              <w14:schemeClr w14:val="tx1"/>
            </w14:solidFill>
          </w14:textFill>
        </w:rPr>
        <w:fldChar w:fldCharType="separate"/>
      </w:r>
      <w:r>
        <w:rPr>
          <w:rFonts w:hint="eastAsia" w:cs="Times New Roman"/>
          <w:color w:val="000000" w:themeColor="text1"/>
          <w:highlight w:val="none"/>
          <w14:textFill>
            <w14:solidFill>
              <w14:schemeClr w14:val="tx1"/>
            </w14:solidFill>
          </w14:textFill>
        </w:rPr>
        <w:t xml:space="preserve">图 </w:t>
      </w:r>
      <w:r>
        <w:rPr>
          <w:rFonts w:hint="eastAsia" w:cs="Times New Roman"/>
          <w:color w:val="000000" w:themeColor="text1"/>
          <w:highlight w:val="none"/>
          <w14:textFill>
            <w14:solidFill>
              <w14:schemeClr w14:val="tx1"/>
            </w14:solidFill>
          </w14:textFill>
        </w:rPr>
        <w:fldChar w:fldCharType="begin"/>
      </w:r>
      <w:r>
        <w:rPr>
          <w:rFonts w:hint="eastAsia" w:cs="Times New Roman"/>
          <w:color w:val="000000" w:themeColor="text1"/>
          <w:highlight w:val="none"/>
          <w14:textFill>
            <w14:solidFill>
              <w14:schemeClr w14:val="tx1"/>
            </w14:solidFill>
          </w14:textFill>
        </w:rPr>
        <w:instrText xml:space="preserve"> STYLEREF 2 \s </w:instrText>
      </w:r>
      <w:r>
        <w:rPr>
          <w:rFonts w:hint="eastAsia" w:cs="Times New Roman"/>
          <w:color w:val="000000" w:themeColor="text1"/>
          <w:highlight w:val="none"/>
          <w14:textFill>
            <w14:solidFill>
              <w14:schemeClr w14:val="tx1"/>
            </w14:solidFill>
          </w14:textFill>
        </w:rPr>
        <w:fldChar w:fldCharType="separate"/>
      </w:r>
      <w:r>
        <w:rPr>
          <w:rFonts w:hint="eastAsia" w:cs="Times New Roman"/>
          <w:color w:val="000000" w:themeColor="text1"/>
          <w:highlight w:val="none"/>
          <w14:textFill>
            <w14:solidFill>
              <w14:schemeClr w14:val="tx1"/>
            </w14:solidFill>
          </w14:textFill>
        </w:rPr>
        <w:t>3.3</w:t>
      </w:r>
      <w:r>
        <w:rPr>
          <w:rFonts w:hint="eastAsia" w:cs="Times New Roman"/>
          <w:color w:val="000000" w:themeColor="text1"/>
          <w:highlight w:val="none"/>
          <w14:textFill>
            <w14:solidFill>
              <w14:schemeClr w14:val="tx1"/>
            </w14:solidFill>
          </w14:textFill>
        </w:rPr>
        <w:fldChar w:fldCharType="end"/>
      </w:r>
      <w:r>
        <w:rPr>
          <w:rFonts w:hint="eastAsia" w:cs="Times New Roman"/>
          <w:color w:val="000000" w:themeColor="text1"/>
          <w:highlight w:val="none"/>
          <w14:textFill>
            <w14:solidFill>
              <w14:schemeClr w14:val="tx1"/>
            </w14:solidFill>
          </w14:textFill>
        </w:rPr>
        <w:t>-4</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25" o:spt="75" type="#_x0000_t75" style="height:107.05pt;width:194.85pt;" o:ole="t" filled="f" o:preferrelative="t" stroked="f" coordsize="21600,21600">
            <v:path/>
            <v:fill on="f" focussize="0,0"/>
            <v:stroke on="f" joinstyle="miter"/>
            <v:imagedata r:id="rId22" cropleft="32204f" croptop="45407f" cropright="15532f" cropbottom="5124f" o:title=""/>
            <o:lock v:ext="edit" aspectratio="t"/>
            <w10:wrap type="none"/>
            <w10:anchorlock/>
          </v:shape>
          <o:OLEObject Type="Embed" ProgID="AutoCAD.Drawing.18" ShapeID="_x0000_i1025" DrawAspect="Content" ObjectID="_1468075725" r:id="rId21">
            <o:LockedField>false</o:LockedField>
          </o:OLEObject>
        </w:object>
      </w:r>
      <w:r>
        <w:rPr>
          <w:color w:val="000000" w:themeColor="text1"/>
          <w:highlight w:val="none"/>
          <w:lang w:eastAsia="zh-CN"/>
          <w14:textFill>
            <w14:solidFill>
              <w14:schemeClr w14:val="tx1"/>
            </w14:solidFill>
          </w14:textFill>
        </w:rPr>
        <w:drawing>
          <wp:inline distT="0" distB="0" distL="0" distR="0">
            <wp:extent cx="2614930" cy="133477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23" cstate="print">
                      <a:extLst>
                        <a:ext uri="{28A0092B-C50C-407E-A947-70E740481C1C}">
                          <a14:useLocalDpi xmlns:a14="http://schemas.microsoft.com/office/drawing/2010/main" val="0"/>
                        </a:ext>
                      </a:extLst>
                    </a:blip>
                    <a:srcRect l="48778" t="26443" r="20851" b="28958"/>
                    <a:stretch>
                      <a:fillRect/>
                    </a:stretch>
                  </pic:blipFill>
                  <pic:spPr>
                    <a:xfrm>
                      <a:off x="0" y="0"/>
                      <a:ext cx="2639776" cy="1347817"/>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161" w:name="_Ref10964"/>
      <w:r>
        <w:rPr>
          <w:rFonts w:hint="eastAsia"/>
          <w:color w:val="000000" w:themeColor="text1"/>
          <w:highlight w:val="none"/>
          <w14:textFill>
            <w14:solidFill>
              <w14:schemeClr w14:val="tx1"/>
            </w14:solidFill>
          </w14:textFill>
        </w:rPr>
        <w:t xml:space="preserve">图 </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SEQ 图 \* ARABIC \s 2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fldChar w:fldCharType="end"/>
      </w:r>
      <w:bookmarkEnd w:id="161"/>
      <w:r>
        <w:rPr>
          <w:rFonts w:hint="eastAsia"/>
          <w:color w:val="000000" w:themeColor="text1"/>
          <w:highlight w:val="none"/>
          <w14:textFill>
            <w14:solidFill>
              <w14:schemeClr w14:val="tx1"/>
            </w14:solidFill>
          </w14:textFill>
        </w:rPr>
        <w:t>井场基础设计结构图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4）清污分流</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本项目井场采用雨污分流设计，</w:t>
      </w:r>
      <w:r>
        <w:rPr>
          <w:rFonts w:hint="eastAsia" w:cs="Times New Roman"/>
          <w:color w:val="000000" w:themeColor="text1"/>
          <w:highlight w:val="none"/>
          <w14:textFill>
            <w14:solidFill>
              <w14:schemeClr w14:val="tx1"/>
            </w14:solidFill>
          </w14:textFill>
        </w:rPr>
        <w:t>新建</w:t>
      </w:r>
      <w:r>
        <w:rPr>
          <w:rFonts w:hint="eastAsia"/>
          <w:color w:val="000000" w:themeColor="text1"/>
          <w:szCs w:val="21"/>
          <w:highlight w:val="none"/>
          <w14:textFill>
            <w14:solidFill>
              <w14:schemeClr w14:val="tx1"/>
            </w14:solidFill>
          </w14:textFill>
        </w:rPr>
        <w:t>排水沟</w:t>
      </w:r>
      <w:r>
        <w:rPr>
          <w:rFonts w:hint="eastAsia"/>
          <w:color w:val="000000" w:themeColor="text1"/>
          <w:highlight w:val="none"/>
          <w14:textFill>
            <w14:solidFill>
              <w14:schemeClr w14:val="tx1"/>
            </w14:solidFill>
          </w14:textFill>
        </w:rPr>
        <w:t>C30钢筋混凝土盖板排水沟340m，净宽均为0.5m，平均深度0.7m，沟底坡度0.3%。同时</w:t>
      </w:r>
      <w:r>
        <w:rPr>
          <w:rFonts w:cs="Times New Roman"/>
          <w:color w:val="000000" w:themeColor="text1"/>
          <w:highlight w:val="none"/>
          <w14:textFill>
            <w14:solidFill>
              <w14:schemeClr w14:val="tx1"/>
            </w14:solidFill>
          </w14:textFill>
        </w:rPr>
        <w:t>沿设备基础新建0.35m宽环状排污沟350m，放坡坡度i=0.5%。污水沟放坡开始位置可根据现场做适当调整，但必须满足正常放坡和无倒流。为满足钻井期间污水不渗入井场，井场内泥浆循环系统区域和清洁生产操作平台区域设置排污沟，离污水罐或放喷池较近区域设置净空0.5m×0.5m×0.5m的集污坑（共计4个），若场内雨水被污染流入外环沟，则需封闭沟渠由作业队伍从集水坑抽汲至废水罐或放喷池，集污坑体宽度12cm，底板浇筑10cmC15混凝土。井场排水沟结构图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_Ref11046 \h </w:instrText>
      </w:r>
      <w:r>
        <w:rPr>
          <w:rFonts w:cs="Times New Roman"/>
          <w:color w:val="000000" w:themeColor="text1"/>
          <w:highlight w:val="none"/>
          <w14:textFill>
            <w14:solidFill>
              <w14:schemeClr w14:val="tx1"/>
            </w14:solidFill>
          </w14:textFill>
        </w:rPr>
        <w:fldChar w:fldCharType="separate"/>
      </w:r>
      <w:r>
        <w:rPr>
          <w:rFonts w:hint="eastAsia" w:cs="Times New Roman"/>
          <w:color w:val="000000" w:themeColor="text1"/>
          <w:highlight w:val="none"/>
          <w14:textFill>
            <w14:solidFill>
              <w14:schemeClr w14:val="tx1"/>
            </w14:solidFill>
          </w14:textFill>
        </w:rPr>
        <w:t xml:space="preserve">图 </w:t>
      </w:r>
      <w:r>
        <w:rPr>
          <w:rFonts w:hint="eastAsia" w:cs="Times New Roman"/>
          <w:color w:val="000000" w:themeColor="text1"/>
          <w:highlight w:val="none"/>
          <w14:textFill>
            <w14:solidFill>
              <w14:schemeClr w14:val="tx1"/>
            </w14:solidFill>
          </w14:textFill>
        </w:rPr>
        <w:fldChar w:fldCharType="begin"/>
      </w:r>
      <w:r>
        <w:rPr>
          <w:rFonts w:hint="eastAsia" w:cs="Times New Roman"/>
          <w:color w:val="000000" w:themeColor="text1"/>
          <w:highlight w:val="none"/>
          <w14:textFill>
            <w14:solidFill>
              <w14:schemeClr w14:val="tx1"/>
            </w14:solidFill>
          </w14:textFill>
        </w:rPr>
        <w:instrText xml:space="preserve"> STYLEREF 2 \s </w:instrText>
      </w:r>
      <w:r>
        <w:rPr>
          <w:rFonts w:hint="eastAsia" w:cs="Times New Roman"/>
          <w:color w:val="000000" w:themeColor="text1"/>
          <w:highlight w:val="none"/>
          <w14:textFill>
            <w14:solidFill>
              <w14:schemeClr w14:val="tx1"/>
            </w14:solidFill>
          </w14:textFill>
        </w:rPr>
        <w:fldChar w:fldCharType="separate"/>
      </w:r>
      <w:r>
        <w:rPr>
          <w:rFonts w:hint="eastAsia" w:cs="Times New Roman"/>
          <w:color w:val="000000" w:themeColor="text1"/>
          <w:highlight w:val="none"/>
          <w14:textFill>
            <w14:solidFill>
              <w14:schemeClr w14:val="tx1"/>
            </w14:solidFill>
          </w14:textFill>
        </w:rPr>
        <w:t>3.3</w:t>
      </w:r>
      <w:r>
        <w:rPr>
          <w:rFonts w:hint="eastAsia" w:cs="Times New Roman"/>
          <w:color w:val="000000" w:themeColor="text1"/>
          <w:highlight w:val="none"/>
          <w14:textFill>
            <w14:solidFill>
              <w14:schemeClr w14:val="tx1"/>
            </w14:solidFill>
          </w14:textFill>
        </w:rPr>
        <w:fldChar w:fldCharType="end"/>
      </w:r>
      <w:r>
        <w:rPr>
          <w:rFonts w:hint="eastAsia" w:cs="Times New Roman"/>
          <w:color w:val="000000" w:themeColor="text1"/>
          <w:highlight w:val="none"/>
          <w14:textFill>
            <w14:solidFill>
              <w14:schemeClr w14:val="tx1"/>
            </w14:solidFill>
          </w14:textFill>
        </w:rPr>
        <w:t>-5</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keepNext/>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3244215</wp:posOffset>
                </wp:positionH>
                <wp:positionV relativeFrom="paragraph">
                  <wp:posOffset>1135380</wp:posOffset>
                </wp:positionV>
                <wp:extent cx="250825" cy="125095"/>
                <wp:effectExtent l="0" t="0" r="0" b="8255"/>
                <wp:wrapNone/>
                <wp:docPr id="21" name="文本框 21"/>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ln>
                      </wps:spPr>
                      <wps:txbx>
                        <w:txbxContent>
                          <w:p>
                            <w:pPr>
                              <w:ind w:firstLine="360"/>
                              <w:rPr>
                                <w:sz w:val="18"/>
                                <w:szCs w:val="18"/>
                              </w:rPr>
                            </w:pPr>
                            <w:r>
                              <w:rPr>
                                <w:sz w:val="18"/>
                                <w:szCs w:val="18"/>
                              </w:rPr>
                              <w:t>350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55.45pt;margin-top:89.4pt;height:9.85pt;width:19.75pt;z-index:251665408;mso-width-relative:page;mso-height-relative:page;" fillcolor="#FFFFFF" filled="t" stroked="f" coordsize="21600,21600" o:gfxdata="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Ey2x3ZAAAACwEAAA8AAAAAAAAAAQAgAAAAIgAAAGRycy9kb3ducmV2LnhtbFBLAQIU&#10;ABQAAAAIAIdO4kCJ96eJZAIAALEEAAAOAAAAAAAAAAEAIAAAACgBAABkcnMvZTJvRG9jLnhtbFBL&#10;BQYAAAAABgAGAFkBAAD+BQAAAAA=&#10;">
                <v:fill on="t" focussize="0,0"/>
                <v:stroke on="f" miterlimit="8" joinstyle="miter"/>
                <v:imagedata o:title=""/>
                <o:lock v:ext="edit" aspectratio="f"/>
                <v:textbox inset="0mm,0mm,0mm,0mm">
                  <w:txbxContent>
                    <w:p>
                      <w:pPr>
                        <w:ind w:firstLine="360"/>
                        <w:rPr>
                          <w:sz w:val="18"/>
                          <w:szCs w:val="18"/>
                        </w:rPr>
                      </w:pPr>
                      <w:r>
                        <w:rPr>
                          <w:sz w:val="18"/>
                          <w:szCs w:val="18"/>
                        </w:rPr>
                        <w:t>350</w:t>
                      </w:r>
                    </w:p>
                  </w:txbxContent>
                </v:textbox>
              </v:shape>
            </w:pict>
          </mc:Fallback>
        </mc:AlternateContent>
      </w:r>
      <w:r>
        <w:rPr>
          <w:color w:val="000000" w:themeColor="text1"/>
          <w:highlight w:val="none"/>
          <w:lang w:eastAsia="zh-CN"/>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1423035</wp:posOffset>
                </wp:positionH>
                <wp:positionV relativeFrom="paragraph">
                  <wp:posOffset>1157605</wp:posOffset>
                </wp:positionV>
                <wp:extent cx="250825" cy="125095"/>
                <wp:effectExtent l="0" t="0" r="0" b="8255"/>
                <wp:wrapNone/>
                <wp:docPr id="20" name="文本框 20"/>
                <wp:cNvGraphicFramePr/>
                <a:graphic xmlns:a="http://schemas.openxmlformats.org/drawingml/2006/main">
                  <a:graphicData uri="http://schemas.microsoft.com/office/word/2010/wordprocessingShape">
                    <wps:wsp>
                      <wps:cNvSpPr txBox="1"/>
                      <wps:spPr bwMode="auto">
                        <a:xfrm>
                          <a:off x="0" y="0"/>
                          <a:ext cx="250723" cy="125362"/>
                        </a:xfrm>
                        <a:prstGeom prst="rect">
                          <a:avLst/>
                        </a:prstGeom>
                        <a:solidFill>
                          <a:srgbClr val="FFFFFF"/>
                        </a:solidFill>
                        <a:ln w="9525">
                          <a:noFill/>
                          <a:miter lim="800000"/>
                        </a:ln>
                      </wps:spPr>
                      <wps:txbx>
                        <w:txbxContent>
                          <w:p>
                            <w:pPr>
                              <w:ind w:firstLine="300"/>
                              <w:rPr>
                                <w:sz w:val="15"/>
                                <w:szCs w:val="15"/>
                              </w:rPr>
                            </w:pPr>
                            <w:r>
                              <w:rPr>
                                <w:sz w:val="15"/>
                                <w:szCs w:val="15"/>
                              </w:rPr>
                              <w:t>350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2.05pt;margin-top:91.15pt;height:9.85pt;width:19.75pt;z-index:251664384;mso-width-relative:page;mso-height-relative:page;" fillcolor="#FFFFFF" filled="t" stroked="f" coordsize="21600,21600" o:gfxdata="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XO8xjdgAAAALAQAADwAAAAAAAAABACAAAAAiAAAAZHJzL2Rvd25yZXYueG1sUEsBAhQA&#10;FAAAAAgAh07iQGbKdX1kAgAAsQQAAA4AAAAAAAAAAQAgAAAAJwEAAGRycy9lMm9Eb2MueG1sUEsF&#10;BgAAAAAGAAYAWQEAAP0FAAAAAA==&#10;">
                <v:fill on="t" focussize="0,0"/>
                <v:stroke on="f" miterlimit="8" joinstyle="miter"/>
                <v:imagedata o:title=""/>
                <o:lock v:ext="edit" aspectratio="f"/>
                <v:textbox inset="0mm,0mm,0mm,0mm">
                  <w:txbxContent>
                    <w:p>
                      <w:pPr>
                        <w:ind w:firstLine="300"/>
                        <w:rPr>
                          <w:sz w:val="15"/>
                          <w:szCs w:val="15"/>
                        </w:rPr>
                      </w:pPr>
                      <w:r>
                        <w:rPr>
                          <w:sz w:val="15"/>
                          <w:szCs w:val="15"/>
                        </w:rPr>
                        <w:t>350</w:t>
                      </w:r>
                    </w:p>
                  </w:txbxContent>
                </v:textbox>
              </v:shape>
            </w:pict>
          </mc:Fallback>
        </mc:AlternateContent>
      </w:r>
      <w:r>
        <w:rPr>
          <w:color w:val="000000" w:themeColor="text1"/>
          <w:highlight w:val="none"/>
          <w:lang w:eastAsia="zh-CN"/>
          <w14:textFill>
            <w14:solidFill>
              <w14:schemeClr w14:val="tx1"/>
            </w14:solidFill>
          </w14:textFill>
        </w:rPr>
        <w:drawing>
          <wp:inline distT="0" distB="0" distL="0" distR="0">
            <wp:extent cx="2007235" cy="167449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24">
                      <a:extLst>
                        <a:ext uri="{28A0092B-C50C-407E-A947-70E740481C1C}">
                          <a14:useLocalDpi xmlns:a14="http://schemas.microsoft.com/office/drawing/2010/main" val="0"/>
                        </a:ext>
                      </a:extLst>
                    </a:blip>
                    <a:srcRect t="22746" r="60754" b="-15460"/>
                    <a:stretch>
                      <a:fillRect/>
                    </a:stretch>
                  </pic:blipFill>
                  <pic:spPr>
                    <a:xfrm>
                      <a:off x="0" y="0"/>
                      <a:ext cx="2007235" cy="1674495"/>
                    </a:xfrm>
                    <a:prstGeom prst="rect">
                      <a:avLst/>
                    </a:prstGeom>
                    <a:noFill/>
                    <a:ln>
                      <a:noFill/>
                    </a:ln>
                  </pic:spPr>
                </pic:pic>
              </a:graphicData>
            </a:graphic>
          </wp:inline>
        </w:drawing>
      </w:r>
      <w:r>
        <w:rPr>
          <w:color w:val="000000" w:themeColor="text1"/>
          <w:highlight w:val="none"/>
          <w:lang w:eastAsia="zh-CN"/>
          <w14:textFill>
            <w14:solidFill>
              <w14:schemeClr w14:val="tx1"/>
            </w14:solidFill>
          </w14:textFill>
        </w:rPr>
        <w:drawing>
          <wp:inline distT="0" distB="0" distL="0" distR="0">
            <wp:extent cx="2731135" cy="1674495"/>
            <wp:effectExtent l="0" t="0" r="0"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25" cstate="print">
                      <a:extLst>
                        <a:ext uri="{28A0092B-C50C-407E-A947-70E740481C1C}">
                          <a14:useLocalDpi xmlns:a14="http://schemas.microsoft.com/office/drawing/2010/main" val="0"/>
                        </a:ext>
                      </a:extLst>
                    </a:blip>
                    <a:srcRect l="31598" t="43660" r="46407" b="20622"/>
                    <a:stretch>
                      <a:fillRect/>
                    </a:stretch>
                  </pic:blipFill>
                  <pic:spPr>
                    <a:xfrm>
                      <a:off x="0" y="0"/>
                      <a:ext cx="2731135" cy="1674495"/>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162" w:name="_Ref11046"/>
      <w:r>
        <w:rPr>
          <w:rFonts w:hint="eastAsia"/>
          <w:color w:val="000000" w:themeColor="text1"/>
          <w:highlight w:val="none"/>
          <w14:textFill>
            <w14:solidFill>
              <w14:schemeClr w14:val="tx1"/>
            </w14:solidFill>
          </w14:textFill>
        </w:rPr>
        <w:t xml:space="preserve">图 </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SEQ 图 \* ARABIC \s 2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fldChar w:fldCharType="end"/>
      </w:r>
      <w:bookmarkEnd w:id="162"/>
      <w:r>
        <w:rPr>
          <w:rFonts w:hint="eastAsia"/>
          <w:color w:val="000000" w:themeColor="text1"/>
          <w:highlight w:val="none"/>
          <w14:textFill>
            <w14:solidFill>
              <w14:schemeClr w14:val="tx1"/>
            </w14:solidFill>
          </w14:textFill>
        </w:rPr>
        <w:t>井场排水沟结构图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5）清洁生产操作平台区</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清洁生产操作平台区占地面积约310m</w:t>
      </w:r>
      <w:r>
        <w:rPr>
          <w:rFonts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，采用</w:t>
      </w:r>
      <w:r>
        <w:rPr>
          <w:rFonts w:cs="Times New Roman"/>
          <w:bCs/>
          <w:color w:val="000000" w:themeColor="text1"/>
          <w:highlight w:val="none"/>
          <w14:textFill>
            <w14:solidFill>
              <w14:schemeClr w14:val="tx1"/>
            </w14:solidFill>
          </w14:textFill>
        </w:rPr>
        <w:t>10cm厚C25钢筋混凝土垫层+30cmC25钢筋混凝土面层+2cm厚1</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3水泥砂浆抹面+聚乙烯丙纶防渗层。</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设置40m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废水罐4个，20m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岩屑固化罐4个，3m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岩屑收集罐8个，</w:t>
      </w:r>
      <w:r>
        <w:rPr>
          <w:rFonts w:hint="eastAsia" w:cs="Times New Roman"/>
          <w:color w:val="000000" w:themeColor="text1"/>
          <w:highlight w:val="none"/>
          <w14:textFill>
            <w14:solidFill>
              <w14:schemeClr w14:val="tx1"/>
            </w14:solidFill>
          </w14:textFill>
        </w:rPr>
        <w:t>材料区</w:t>
      </w:r>
      <w:r>
        <w:rPr>
          <w:rFonts w:cs="Times New Roman"/>
          <w:color w:val="000000" w:themeColor="text1"/>
          <w:highlight w:val="none"/>
          <w14:textFill>
            <w14:solidFill>
              <w14:schemeClr w14:val="tx1"/>
            </w14:solidFill>
          </w14:textFill>
        </w:rPr>
        <w:t>1处。</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6）放喷池</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利旧放喷池1座，新建放喷池1座，分别位于井场西北侧和东南侧，</w:t>
      </w:r>
      <w:r>
        <w:rPr>
          <w:rFonts w:cs="Times New Roman"/>
          <w:color w:val="000000" w:themeColor="text1"/>
          <w:szCs w:val="24"/>
          <w:highlight w:val="none"/>
          <w14:textFill>
            <w14:solidFill>
              <w14:schemeClr w14:val="tx1"/>
            </w14:solidFill>
          </w14:textFill>
        </w:rPr>
        <w:t>尺寸</w:t>
      </w:r>
      <w:r>
        <w:rPr>
          <w:rFonts w:hint="eastAsia" w:cs="Times New Roman"/>
          <w:color w:val="000000" w:themeColor="text1"/>
          <w:szCs w:val="24"/>
          <w:highlight w:val="none"/>
          <w14:textFill>
            <w14:solidFill>
              <w14:schemeClr w14:val="tx1"/>
            </w14:solidFill>
          </w14:textFill>
        </w:rPr>
        <w:t>均</w:t>
      </w:r>
      <w:r>
        <w:rPr>
          <w:rFonts w:cs="Times New Roman"/>
          <w:color w:val="000000" w:themeColor="text1"/>
          <w:szCs w:val="24"/>
          <w:highlight w:val="none"/>
          <w14:textFill>
            <w14:solidFill>
              <w14:schemeClr w14:val="tx1"/>
            </w14:solidFill>
          </w14:textFill>
        </w:rPr>
        <w:t>为10m×20m×1.5m，容积为300m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，用于测试放喷，池内重点防渗。</w:t>
      </w:r>
      <w:r>
        <w:rPr>
          <w:rFonts w:cs="Times New Roman"/>
          <w:color w:val="000000" w:themeColor="text1"/>
          <w:highlight w:val="none"/>
          <w14:textFill>
            <w14:solidFill>
              <w14:schemeClr w14:val="tx1"/>
            </w14:solidFill>
          </w14:textFill>
        </w:rPr>
        <w:t>放喷管使用双四通、二条放喷管线，放喷池具体结构图见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_Ref11130 \h </w:instrText>
      </w:r>
      <w:r>
        <w:rPr>
          <w:rFonts w:cs="Times New Roman"/>
          <w:color w:val="000000" w:themeColor="text1"/>
          <w:highlight w:val="none"/>
          <w14:textFill>
            <w14:solidFill>
              <w14:schemeClr w14:val="tx1"/>
            </w14:solidFill>
          </w14:textFill>
        </w:rPr>
        <w:fldChar w:fldCharType="separate"/>
      </w:r>
      <w:r>
        <w:rPr>
          <w:rFonts w:hint="eastAsia" w:cs="Times New Roman"/>
          <w:color w:val="000000" w:themeColor="text1"/>
          <w:highlight w:val="none"/>
          <w14:textFill>
            <w14:solidFill>
              <w14:schemeClr w14:val="tx1"/>
            </w14:solidFill>
          </w14:textFill>
        </w:rPr>
        <w:t xml:space="preserve">图 </w:t>
      </w:r>
      <w:r>
        <w:rPr>
          <w:rFonts w:hint="eastAsia" w:cs="Times New Roman"/>
          <w:color w:val="000000" w:themeColor="text1"/>
          <w:highlight w:val="none"/>
          <w14:textFill>
            <w14:solidFill>
              <w14:schemeClr w14:val="tx1"/>
            </w14:solidFill>
          </w14:textFill>
        </w:rPr>
        <w:fldChar w:fldCharType="begin"/>
      </w:r>
      <w:r>
        <w:rPr>
          <w:rFonts w:hint="eastAsia" w:cs="Times New Roman"/>
          <w:color w:val="000000" w:themeColor="text1"/>
          <w:highlight w:val="none"/>
          <w14:textFill>
            <w14:solidFill>
              <w14:schemeClr w14:val="tx1"/>
            </w14:solidFill>
          </w14:textFill>
        </w:rPr>
        <w:instrText xml:space="preserve"> STYLEREF 2 \s </w:instrText>
      </w:r>
      <w:r>
        <w:rPr>
          <w:rFonts w:hint="eastAsia" w:cs="Times New Roman"/>
          <w:color w:val="000000" w:themeColor="text1"/>
          <w:highlight w:val="none"/>
          <w14:textFill>
            <w14:solidFill>
              <w14:schemeClr w14:val="tx1"/>
            </w14:solidFill>
          </w14:textFill>
        </w:rPr>
        <w:fldChar w:fldCharType="separate"/>
      </w:r>
      <w:r>
        <w:rPr>
          <w:rFonts w:hint="eastAsia" w:cs="Times New Roman"/>
          <w:color w:val="000000" w:themeColor="text1"/>
          <w:highlight w:val="none"/>
          <w14:textFill>
            <w14:solidFill>
              <w14:schemeClr w14:val="tx1"/>
            </w14:solidFill>
          </w14:textFill>
        </w:rPr>
        <w:t>3.3</w:t>
      </w:r>
      <w:r>
        <w:rPr>
          <w:rFonts w:hint="eastAsia" w:cs="Times New Roman"/>
          <w:color w:val="000000" w:themeColor="text1"/>
          <w:highlight w:val="none"/>
          <w14:textFill>
            <w14:solidFill>
              <w14:schemeClr w14:val="tx1"/>
            </w14:solidFill>
          </w14:textFill>
        </w:rPr>
        <w:fldChar w:fldCharType="end"/>
      </w:r>
      <w:r>
        <w:rPr>
          <w:rFonts w:hint="eastAsia" w:cs="Times New Roman"/>
          <w:color w:val="000000" w:themeColor="text1"/>
          <w:highlight w:val="none"/>
          <w14:textFill>
            <w14:solidFill>
              <w14:schemeClr w14:val="tx1"/>
            </w14:solidFill>
          </w14:textFill>
        </w:rPr>
        <w:t>-6</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165"/>
        <w:keepNex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object>
          <v:shape id="_x0000_i1026" o:spt="75" type="#_x0000_t75" style="height:172.1pt;width:396.95pt;" o:ole="t" filled="f" o:preferrelative="t" stroked="f" coordsize="21600,21600">
            <v:path/>
            <v:fill on="f" focussize="0,0"/>
            <v:stroke on="f" joinstyle="miter"/>
            <v:imagedata r:id="rId27" o:title=""/>
            <o:lock v:ext="edit" aspectratio="t"/>
            <w10:wrap type="none"/>
            <w10:anchorlock/>
          </v:shape>
          <o:OLEObject Type="Embed" ProgID="Equation.3" ShapeID="_x0000_i1026" DrawAspect="Content" ObjectID="_1468075726" r:id="rId26">
            <o:LockedField>false</o:LockedField>
          </o:OLEObject>
        </w:object>
      </w:r>
      <w:bookmarkStart w:id="163" w:name="_Ref11130"/>
      <w:r>
        <w:rPr>
          <w:rFonts w:hint="eastAsia"/>
          <w:color w:val="000000" w:themeColor="text1"/>
          <w:highlight w:val="none"/>
          <w14:textFill>
            <w14:solidFill>
              <w14:schemeClr w14:val="tx1"/>
            </w14:solidFill>
          </w14:textFill>
        </w:rPr>
        <w:t xml:space="preserve">图 </w:t>
      </w:r>
      <w:bookmarkEnd w:id="163"/>
      <w:r>
        <w:rPr>
          <w:rFonts w:hint="eastAsia"/>
          <w:color w:val="000000" w:themeColor="text1"/>
          <w:highlight w:val="none"/>
          <w14:textFill>
            <w14:solidFill>
              <w14:schemeClr w14:val="tx1"/>
            </w14:solidFill>
          </w14:textFill>
        </w:rPr>
        <w:t xml:space="preserve">图 </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SEQ 图 \* ARABIC \s 2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井场放喷池结构图</w:t>
      </w:r>
    </w:p>
    <w:p>
      <w:pPr>
        <w:overflowPunct w:val="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7）分区防渗</w:t>
      </w:r>
    </w:p>
    <w:p>
      <w:pPr>
        <w:overflowPunct w:val="0"/>
        <w:ind w:firstLine="480"/>
        <w:rPr>
          <w:rFonts w:cs="Times New Roman"/>
          <w:color w:val="000000" w:themeColor="text1"/>
          <w:highlight w:val="none"/>
          <w14:textFill>
            <w14:solidFill>
              <w14:schemeClr w14:val="tx1"/>
            </w14:solidFill>
          </w14:textFill>
        </w:rPr>
      </w:pPr>
      <w:bookmarkStart w:id="164" w:name="_Hlk56241817"/>
      <w:r>
        <w:rPr>
          <w:rFonts w:cs="Times New Roman"/>
          <w:color w:val="000000" w:themeColor="text1"/>
          <w:highlight w:val="none"/>
          <w14:textFill>
            <w14:solidFill>
              <w14:schemeClr w14:val="tx1"/>
            </w14:solidFill>
          </w14:textFill>
        </w:rPr>
        <w:t>本项目井场内除放喷池</w:t>
      </w:r>
      <w:r>
        <w:rPr>
          <w:rFonts w:hint="eastAsia" w:cs="Times New Roman"/>
          <w:color w:val="000000" w:themeColor="text1"/>
          <w:highlight w:val="none"/>
          <w14:textFill>
            <w14:solidFill>
              <w14:schemeClr w14:val="tx1"/>
            </w14:solidFill>
          </w14:textFill>
        </w:rPr>
        <w:t>、清水池</w:t>
      </w:r>
      <w:r>
        <w:rPr>
          <w:rFonts w:cs="Times New Roman"/>
          <w:color w:val="000000" w:themeColor="text1"/>
          <w:highlight w:val="none"/>
          <w14:textFill>
            <w14:solidFill>
              <w14:schemeClr w14:val="tx1"/>
            </w14:solidFill>
          </w14:textFill>
        </w:rPr>
        <w:t>外，主要存水和泥浆设备均为罐体，设置于防渗基础上，四周修建防渗沟，能有效防止废水、泥浆都撒漏进入外环境。</w:t>
      </w:r>
      <w:bookmarkEnd w:id="164"/>
      <w:r>
        <w:rPr>
          <w:rFonts w:hint="eastAsia" w:cs="Times New Roman"/>
          <w:color w:val="000000" w:themeColor="text1"/>
          <w:highlight w:val="none"/>
          <w14:textFill>
            <w14:solidFill>
              <w14:schemeClr w14:val="tx1"/>
            </w14:solidFill>
          </w14:textFill>
        </w:rPr>
        <w:t>场地内</w:t>
      </w:r>
      <w:r>
        <w:rPr>
          <w:rFonts w:cs="Times New Roman"/>
          <w:color w:val="000000" w:themeColor="text1"/>
          <w:szCs w:val="24"/>
          <w:highlight w:val="none"/>
          <w14:textFill>
            <w14:solidFill>
              <w14:schemeClr w14:val="tx1"/>
            </w14:solidFill>
          </w14:textFill>
        </w:rPr>
        <w:t>方井、泥浆循环系统区域、泥浆不落地系统区域（含油桶堆放区）、泥浆储备罐区、循环罐区、柴油罐区、放喷池、危险废物暂存场所等采取重点防渗措施；井架基础、发电机房、钻井固废暂存区、</w:t>
      </w:r>
      <w:r>
        <w:rPr>
          <w:rFonts w:hint="eastAsia" w:cs="Times New Roman"/>
          <w:color w:val="000000" w:themeColor="text1"/>
          <w:szCs w:val="24"/>
          <w:highlight w:val="none"/>
          <w14:textFill>
            <w14:solidFill>
              <w14:schemeClr w14:val="tx1"/>
            </w14:solidFill>
          </w14:textFill>
        </w:rPr>
        <w:t>清水池、</w:t>
      </w:r>
      <w:r>
        <w:rPr>
          <w:rFonts w:cs="Times New Roman"/>
          <w:color w:val="000000" w:themeColor="text1"/>
          <w:szCs w:val="24"/>
          <w:highlight w:val="none"/>
          <w14:textFill>
            <w14:solidFill>
              <w14:schemeClr w14:val="tx1"/>
            </w14:solidFill>
          </w14:textFill>
        </w:rPr>
        <w:t>材料棚、雨、污分流区域以及厕所等区域采取一般防渗措施；其他区域等采取简单防渗措施。</w:t>
      </w:r>
    </w:p>
    <w:p>
      <w:pPr>
        <w:overflowPunct w:val="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8）设备设施的搬运及安装</w:t>
      </w:r>
    </w:p>
    <w:p>
      <w:pPr>
        <w:overflowPunct w:val="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用汽车将钻井设备和泥浆罐、泥浆不落地装置等设施运至进场并安装，通常2</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5天安装完毕。</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（2）钻前工程产污环节分析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1）生态影响</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本项目为新建，施工期</w:t>
      </w:r>
      <w:r>
        <w:rPr>
          <w:rFonts w:hint="eastAsia" w:cs="Times New Roman"/>
          <w:bCs/>
          <w:color w:val="000000" w:themeColor="text1"/>
          <w:szCs w:val="24"/>
          <w:highlight w:val="none"/>
          <w14:textFill>
            <w14:solidFill>
              <w14:schemeClr w14:val="tx1"/>
            </w14:solidFill>
          </w14:textFill>
        </w:rPr>
        <w:t>新增</w:t>
      </w:r>
      <w:r>
        <w:rPr>
          <w:rFonts w:cs="Times New Roman"/>
          <w:bCs/>
          <w:color w:val="000000" w:themeColor="text1"/>
          <w:szCs w:val="24"/>
          <w:highlight w:val="none"/>
          <w14:textFill>
            <w14:solidFill>
              <w14:schemeClr w14:val="tx1"/>
            </w14:solidFill>
          </w14:textFill>
        </w:rPr>
        <w:t>临时占地</w:t>
      </w:r>
      <w:r>
        <w:rPr>
          <w:rFonts w:hint="eastAsia" w:cs="Times New Roman"/>
          <w:bCs/>
          <w:color w:val="000000" w:themeColor="text1"/>
          <w:szCs w:val="24"/>
          <w:highlight w:val="none"/>
          <w14:textFill>
            <w14:solidFill>
              <w14:schemeClr w14:val="tx1"/>
            </w14:solidFill>
          </w14:textFill>
        </w:rPr>
        <w:t>面积小</w:t>
      </w:r>
      <w:r>
        <w:rPr>
          <w:rFonts w:cs="Times New Roman"/>
          <w:bCs/>
          <w:color w:val="000000" w:themeColor="text1"/>
          <w:szCs w:val="24"/>
          <w:highlight w:val="none"/>
          <w14:textFill>
            <w14:solidFill>
              <w14:schemeClr w14:val="tx1"/>
            </w14:solidFill>
          </w14:textFill>
        </w:rPr>
        <w:t>，主要占用</w:t>
      </w:r>
      <w:r>
        <w:rPr>
          <w:rFonts w:hint="eastAsia" w:cs="Times New Roman"/>
          <w:bCs/>
          <w:color w:val="000000" w:themeColor="text1"/>
          <w:szCs w:val="24"/>
          <w:highlight w:val="none"/>
          <w14:textFill>
            <w14:solidFill>
              <w14:schemeClr w14:val="tx1"/>
            </w14:solidFill>
          </w14:textFill>
        </w:rPr>
        <w:t>旱地、水田</w:t>
      </w:r>
      <w:r>
        <w:rPr>
          <w:rFonts w:cs="Times New Roman"/>
          <w:bCs/>
          <w:color w:val="000000" w:themeColor="text1"/>
          <w:szCs w:val="24"/>
          <w:highlight w:val="none"/>
          <w14:textFill>
            <w14:solidFill>
              <w14:schemeClr w14:val="tx1"/>
            </w14:solidFill>
          </w14:textFill>
        </w:rPr>
        <w:t>，改变土地使用功能，将造成地表裸露，形成水土流失。</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2）污染影响</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钻前工程污染物有机械废气和施工扬尘、生活污水、施工噪声和生活垃圾。</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钻井工程</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工程是本项目施工期最主要的施工活动之一，主要包括钻井、固井、完井阶段。钻井工程以网电为动力（备用柴油发电机），通过钻机、转盘，带动钻头切削地层，同时由泥浆泵经钻杆向井内注入高压泥浆，冲刷井底，将切削下的岩屑不断带至地面，整个过程循环进行，直至目的井深；钻井中途需要停钻，以便起下钻具更换钻头、下套管、固井、替换洗井液和检修设备；当钻井钻至目的层位后即可进入完井阶段，完井阶段采用的是衬管完井（备用裸眼），然后再进行压裂作业，以实现储层改造。钻井作业24小时连续作业。</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（1）钻井工程工艺流程简述</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本项目钻井方式为泥浆钻井方式，</w:t>
      </w:r>
      <w:r>
        <w:rPr>
          <w:rFonts w:hint="eastAsia" w:cs="Times New Roman"/>
          <w:color w:val="000000" w:themeColor="text1"/>
          <w:highlight w:val="none"/>
          <w14:textFill>
            <w14:solidFill>
              <w14:schemeClr w14:val="tx1"/>
            </w14:solidFill>
          </w14:textFill>
        </w:rPr>
        <w:t>一开、二开、三开均</w:t>
      </w:r>
      <w:r>
        <w:rPr>
          <w:rFonts w:cs="Times New Roman"/>
          <w:color w:val="000000" w:themeColor="text1"/>
          <w:highlight w:val="none"/>
          <w14:textFill>
            <w14:solidFill>
              <w14:schemeClr w14:val="tx1"/>
            </w14:solidFill>
          </w14:textFill>
        </w:rPr>
        <w:t>采用水基泥浆钻井</w:t>
      </w:r>
      <w:r>
        <w:rPr>
          <w:rFonts w:hint="eastAsia" w:cs="Times New Roman"/>
          <w:color w:val="000000" w:themeColor="text1"/>
          <w:highlight w:val="none"/>
          <w14:textFill>
            <w14:solidFill>
              <w14:schemeClr w14:val="tx1"/>
            </w14:solidFill>
          </w14:textFill>
        </w:rPr>
        <w:t>（仅三开若钻遇特殊地层则采用油基钻井液）</w:t>
      </w:r>
      <w:r>
        <w:rPr>
          <w:rFonts w:cs="Times New Roman"/>
          <w:color w:val="000000" w:themeColor="text1"/>
          <w:highlight w:val="none"/>
          <w14:textFill>
            <w14:solidFill>
              <w14:schemeClr w14:val="tx1"/>
            </w14:solidFill>
          </w14:textFill>
        </w:rPr>
        <w:t>，钻井工艺流程及产污环节见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_Ref142597391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7</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ind w:firstLine="480"/>
        <w:jc w:val="center"/>
        <w:rPr>
          <w:rFonts w:cs="Times New Roman"/>
          <w:color w:val="000000" w:themeColor="text1"/>
          <w:szCs w:val="24"/>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5663565</wp:posOffset>
                </wp:positionH>
                <wp:positionV relativeFrom="paragraph">
                  <wp:posOffset>3060065</wp:posOffset>
                </wp:positionV>
                <wp:extent cx="3105150" cy="1158240"/>
                <wp:effectExtent l="5080" t="4445" r="13970" b="10795"/>
                <wp:wrapNone/>
                <wp:docPr id="95" name="文本框 95"/>
                <wp:cNvGraphicFramePr/>
                <a:graphic xmlns:a="http://schemas.openxmlformats.org/drawingml/2006/main">
                  <a:graphicData uri="http://schemas.microsoft.com/office/word/2010/wordprocessingShape">
                    <wps:wsp>
                      <wps:cNvSpPr txBox="1"/>
                      <wps:spPr bwMode="auto">
                        <a:xfrm>
                          <a:off x="0" y="0"/>
                          <a:ext cx="3105150" cy="1158240"/>
                        </a:xfrm>
                        <a:prstGeom prst="rect">
                          <a:avLst/>
                        </a:prstGeom>
                        <a:solidFill>
                          <a:schemeClr val="accent1">
                            <a:lumMod val="40000"/>
                            <a:lumOff val="60000"/>
                          </a:schemeClr>
                        </a:solidFill>
                        <a:ln w="9525">
                          <a:solidFill>
                            <a:srgbClr val="000000"/>
                          </a:solidFill>
                          <a:miter lim="800000"/>
                        </a:ln>
                      </wps:spPr>
                      <wps:txbx>
                        <w:txbxContent>
                          <w:p>
                            <w:pPr>
                              <w:spacing w:line="240" w:lineRule="auto"/>
                              <w:ind w:firstLine="0" w:firstLineChars="0"/>
                              <w:jc w:val="left"/>
                              <w:rPr>
                                <w:rFonts w:hint="eastAsia" w:ascii="宋体" w:hAnsi="宋体" w:cs="宋体"/>
                                <w:color w:val="000000" w:themeColor="text1"/>
                                <w:sz w:val="21"/>
                                <w:szCs w:val="21"/>
                                <w14:textFill>
                                  <w14:solidFill>
                                    <w14:schemeClr w14:val="tx1"/>
                                  </w14:solidFill>
                                </w14:textFill>
                              </w:rPr>
                            </w:pPr>
                            <w:r>
                              <w:rPr>
                                <w:rFonts w:hint="eastAsia" w:ascii="宋体" w:hAnsi="宋体" w:cs="宋体"/>
                                <w:sz w:val="21"/>
                                <w:szCs w:val="21"/>
                              </w:rPr>
                              <w:t>水基钻井固废：</w:t>
                            </w:r>
                            <w:r>
                              <w:rPr>
                                <w:rFonts w:ascii="宋体" w:hAnsi="宋体" w:cs="宋体"/>
                                <w:color w:val="000000" w:themeColor="text1"/>
                                <w:sz w:val="21"/>
                                <w:szCs w:val="21"/>
                                <w14:textFill>
                                  <w14:solidFill>
                                    <w14:schemeClr w14:val="tx1"/>
                                  </w14:solidFill>
                                </w14:textFill>
                              </w:rPr>
                              <w:t>按照达市环办发〔2021〕24号文件要求，</w:t>
                            </w:r>
                            <w:r>
                              <w:rPr>
                                <w:rFonts w:hint="eastAsia" w:ascii="宋体" w:hAnsi="宋体" w:cs="宋体"/>
                                <w:color w:val="000000" w:themeColor="text1"/>
                                <w:sz w:val="21"/>
                                <w:szCs w:val="21"/>
                                <w14:textFill>
                                  <w14:solidFill>
                                    <w14:schemeClr w14:val="tx1"/>
                                  </w14:solidFill>
                                </w14:textFill>
                              </w:rPr>
                              <w:t>近交给依法取得生态环境部门关于利用和处置相关工业固体废物项目环评批复、具有处理处置相应固体废物能力并配套建设有废气、废水、固废等污染物治理设施的单位进行资源化利用；</w:t>
                            </w:r>
                          </w:p>
                          <w:p>
                            <w:pPr>
                              <w:spacing w:line="240" w:lineRule="auto"/>
                              <w:ind w:firstLine="0" w:firstLineChars="0"/>
                              <w:jc w:val="left"/>
                              <w:rPr>
                                <w:sz w:val="21"/>
                                <w:szCs w:val="21"/>
                              </w:rPr>
                            </w:pPr>
                            <w:r>
                              <w:rPr>
                                <w:rFonts w:hint="eastAsia" w:ascii="宋体" w:hAnsi="宋体" w:cs="宋体"/>
                                <w:sz w:val="21"/>
                                <w:szCs w:val="21"/>
                              </w:rPr>
                              <w:t>油基钻井固废：</w:t>
                            </w:r>
                            <w:r>
                              <w:rPr>
                                <w:rFonts w:hint="eastAsia" w:ascii="宋体" w:hAnsi="宋体" w:cs="宋体"/>
                                <w:color w:val="000000" w:themeColor="text1"/>
                                <w:sz w:val="21"/>
                                <w:szCs w:val="21"/>
                                <w14:textFill>
                                  <w14:solidFill>
                                    <w14:schemeClr w14:val="tx1"/>
                                  </w14:solidFill>
                                </w14:textFill>
                              </w:rPr>
                              <w:t>委托有资质单位处置</w:t>
                            </w:r>
                          </w:p>
                        </w:txbxContent>
                      </wps:txbx>
                      <wps:bodyPr rot="0" spcFirstLastPara="0" vertOverflow="overflow" horzOverflow="overflow" vert="horz" wrap="square" lIns="0" tIns="0" rIns="0" bIns="0" numCol="1" spcCol="0" rtlCol="0" fromWordArt="0" anchor="ctr" anchorCtr="0" forceAA="0" upright="1" compatLnSpc="1">
                        <a:noAutofit/>
                      </wps:bodyPr>
                    </wps:wsp>
                  </a:graphicData>
                </a:graphic>
              </wp:anchor>
            </w:drawing>
          </mc:Choice>
          <mc:Fallback>
            <w:pict>
              <v:shape id="_x0000_s1026" o:spid="_x0000_s1026" o:spt="202" type="#_x0000_t202" style="position:absolute;left:0pt;margin-left:445.95pt;margin-top:240.95pt;height:91.2pt;width:244.5pt;z-index:251666432;v-text-anchor:middle;mso-width-relative:page;mso-height-relative:page;" fillcolor="#B4C7E7 [1300]" filled="t" stroked="t" coordsize="21600,21600" o:gfxdata="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6aRBNtkAAAAMAQAA&#10;DwAAAAAAAAABACAAAAAiAAAAZHJzL2Rvd25yZXYueG1sUEsBAhQAFAAAAAgAh07iQKTj6WmKAgAA&#10;FwUAAA4AAAAAAAAAAQAgAAAAKAEAAGRycy9lMm9Eb2MueG1sUEsFBgAAAAAGAAYAWQEAACQGAAAA&#10;AA==&#10;">
                <v:fill on="t" focussize="0,0"/>
                <v:stroke color="#000000" miterlimit="8" joinstyle="miter"/>
                <v:imagedata o:title=""/>
                <o:lock v:ext="edit" aspectratio="f"/>
                <v:textbox inset="0mm,0mm,0mm,0mm">
                  <w:txbxContent>
                    <w:p>
                      <w:pPr>
                        <w:spacing w:line="240" w:lineRule="auto"/>
                        <w:ind w:firstLine="0" w:firstLineChars="0"/>
                        <w:jc w:val="left"/>
                        <w:rPr>
                          <w:rFonts w:hint="eastAsia" w:ascii="宋体" w:hAnsi="宋体" w:cs="宋体"/>
                          <w:color w:val="000000" w:themeColor="text1"/>
                          <w:sz w:val="21"/>
                          <w:szCs w:val="21"/>
                          <w14:textFill>
                            <w14:solidFill>
                              <w14:schemeClr w14:val="tx1"/>
                            </w14:solidFill>
                          </w14:textFill>
                        </w:rPr>
                      </w:pPr>
                      <w:r>
                        <w:rPr>
                          <w:rFonts w:hint="eastAsia" w:ascii="宋体" w:hAnsi="宋体" w:cs="宋体"/>
                          <w:sz w:val="21"/>
                          <w:szCs w:val="21"/>
                        </w:rPr>
                        <w:t>水基钻井固废：</w:t>
                      </w:r>
                      <w:r>
                        <w:rPr>
                          <w:rFonts w:ascii="宋体" w:hAnsi="宋体" w:cs="宋体"/>
                          <w:color w:val="000000" w:themeColor="text1"/>
                          <w:sz w:val="21"/>
                          <w:szCs w:val="21"/>
                          <w14:textFill>
                            <w14:solidFill>
                              <w14:schemeClr w14:val="tx1"/>
                            </w14:solidFill>
                          </w14:textFill>
                        </w:rPr>
                        <w:t>按照达市环办发〔2021〕24号文件要求，</w:t>
                      </w:r>
                      <w:r>
                        <w:rPr>
                          <w:rFonts w:hint="eastAsia" w:ascii="宋体" w:hAnsi="宋体" w:cs="宋体"/>
                          <w:color w:val="000000" w:themeColor="text1"/>
                          <w:sz w:val="21"/>
                          <w:szCs w:val="21"/>
                          <w14:textFill>
                            <w14:solidFill>
                              <w14:schemeClr w14:val="tx1"/>
                            </w14:solidFill>
                          </w14:textFill>
                        </w:rPr>
                        <w:t>近交给依法取得生态环境部门关于利用和处置相关工业固体废物项目环评批复、具有处理处置相应固体废物能力并配套建设有废气、废水、固废等污染物治理设施的单位进行资源化利用；</w:t>
                      </w:r>
                    </w:p>
                    <w:p>
                      <w:pPr>
                        <w:spacing w:line="240" w:lineRule="auto"/>
                        <w:ind w:firstLine="0" w:firstLineChars="0"/>
                        <w:jc w:val="left"/>
                        <w:rPr>
                          <w:sz w:val="21"/>
                          <w:szCs w:val="21"/>
                        </w:rPr>
                      </w:pPr>
                      <w:r>
                        <w:rPr>
                          <w:rFonts w:hint="eastAsia" w:ascii="宋体" w:hAnsi="宋体" w:cs="宋体"/>
                          <w:sz w:val="21"/>
                          <w:szCs w:val="21"/>
                        </w:rPr>
                        <w:t>油基钻井固废：</w:t>
                      </w:r>
                      <w:r>
                        <w:rPr>
                          <w:rFonts w:hint="eastAsia" w:ascii="宋体" w:hAnsi="宋体" w:cs="宋体"/>
                          <w:color w:val="000000" w:themeColor="text1"/>
                          <w:sz w:val="21"/>
                          <w:szCs w:val="21"/>
                          <w14:textFill>
                            <w14:solidFill>
                              <w14:schemeClr w14:val="tx1"/>
                            </w14:solidFill>
                          </w14:textFill>
                        </w:rPr>
                        <w:t>委托有资质单位处置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4258945</wp:posOffset>
                </wp:positionH>
                <wp:positionV relativeFrom="paragraph">
                  <wp:posOffset>3745865</wp:posOffset>
                </wp:positionV>
                <wp:extent cx="6985" cy="328930"/>
                <wp:effectExtent l="36195" t="0" r="33020" b="6350"/>
                <wp:wrapNone/>
                <wp:docPr id="46" name="直接箭头连接符 46"/>
                <wp:cNvGraphicFramePr/>
                <a:graphic xmlns:a="http://schemas.openxmlformats.org/drawingml/2006/main">
                  <a:graphicData uri="http://schemas.microsoft.com/office/word/2010/wordprocessingShape">
                    <wps:wsp>
                      <wps:cNvCnPr/>
                      <wps:spPr>
                        <a:xfrm flipH="1">
                          <a:off x="5977890" y="4737100"/>
                          <a:ext cx="6985" cy="328930"/>
                        </a:xfrm>
                        <a:prstGeom prst="straightConnector1">
                          <a:avLst/>
                        </a:prstGeom>
                        <a:ln>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35.35pt;margin-top:294.95pt;height:25.9pt;width:0.55pt;z-index:251670528;mso-width-relative:page;mso-height-relative:page;" filled="f" stroked="t" coordsize="21600,21600" o:gfxdata="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TGsDZdgA&#10;AAALAQAADwAAAAAAAAABACAAAAAiAAAAZHJzL2Rvd25yZXYueG1sUEsBAhQAFAAAAAgAh07iQAQH&#10;KV8fAgAA/AMAAA4AAAAAAAAAAQAgAAAAJwEAAGRycy9lMm9Eb2MueG1sUEsFBgAAAAAGAAYAWQEA&#10;ALgFAAAAAA==&#10;">
                <v:fill on="f" focussize="0,0"/>
                <v:stroke weight="1pt" color="#000000 [3213]" miterlimit="8" joinstyle="miter" endarrow="block"/>
                <v:imagedata o:title=""/>
                <o:lock v:ext="edit" aspectratio="f"/>
              </v:shape>
            </w:pict>
          </mc:Fallback>
        </mc:AlternateContent>
      </w:r>
      <w:r>
        <w:rPr>
          <w:color w:val="000000" w:themeColor="text1"/>
          <w:highlight w:val="none"/>
          <w:lang w:eastAsia="zh-CN"/>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3571875</wp:posOffset>
                </wp:positionH>
                <wp:positionV relativeFrom="paragraph">
                  <wp:posOffset>3436620</wp:posOffset>
                </wp:positionV>
                <wp:extent cx="1481455" cy="296545"/>
                <wp:effectExtent l="4445" t="4445" r="19050" b="22860"/>
                <wp:wrapNone/>
                <wp:docPr id="91926" name="文本框 91926"/>
                <wp:cNvGraphicFramePr/>
                <a:graphic xmlns:a="http://schemas.openxmlformats.org/drawingml/2006/main">
                  <a:graphicData uri="http://schemas.microsoft.com/office/word/2010/wordprocessingShape">
                    <wps:wsp>
                      <wps:cNvSpPr txBox="1"/>
                      <wps:spPr bwMode="auto">
                        <a:xfrm>
                          <a:off x="0" y="0"/>
                          <a:ext cx="1481455" cy="296545"/>
                        </a:xfrm>
                        <a:prstGeom prst="rect">
                          <a:avLst/>
                        </a:prstGeom>
                        <a:solidFill>
                          <a:schemeClr val="accent1">
                            <a:lumMod val="40000"/>
                            <a:lumOff val="60000"/>
                          </a:schemeClr>
                        </a:solidFill>
                        <a:ln w="9525">
                          <a:solidFill>
                            <a:srgbClr val="000000"/>
                          </a:solidFill>
                          <a:miter lim="800000"/>
                        </a:ln>
                      </wps:spPr>
                      <wps:txbx>
                        <w:txbxContent>
                          <w:p>
                            <w:pPr>
                              <w:spacing w:line="240" w:lineRule="auto"/>
                              <w:ind w:firstLine="0" w:firstLineChars="0"/>
                              <w:jc w:val="center"/>
                              <w:rPr>
                                <w:sz w:val="21"/>
                                <w:szCs w:val="21"/>
                              </w:rPr>
                            </w:pPr>
                            <w:r>
                              <w:rPr>
                                <w:rFonts w:hint="eastAsia"/>
                                <w:sz w:val="21"/>
                                <w:szCs w:val="21"/>
                              </w:rPr>
                              <w:t>赵家坝污水处理站</w:t>
                            </w:r>
                          </w:p>
                        </w:txbxContent>
                      </wps:txbx>
                      <wps:bodyPr rot="0" spcFirstLastPara="0" vertOverflow="overflow" horzOverflow="overflow" vert="horz" wrap="square" lIns="0" tIns="0" rIns="0" bIns="0" numCol="1" spcCol="0" rtlCol="0" fromWordArt="0" anchor="ctr" anchorCtr="0" forceAA="0" upright="1" compatLnSpc="1">
                        <a:noAutofit/>
                      </wps:bodyPr>
                    </wps:wsp>
                  </a:graphicData>
                </a:graphic>
              </wp:anchor>
            </w:drawing>
          </mc:Choice>
          <mc:Fallback>
            <w:pict>
              <v:shape id="_x0000_s1026" o:spid="_x0000_s1026" o:spt="202" type="#_x0000_t202" style="position:absolute;left:0pt;margin-left:281.25pt;margin-top:270.6pt;height:23.35pt;width:116.65pt;z-index:251663360;v-text-anchor:middle;mso-width-relative:page;mso-height-relative:page;" fillcolor="#B4C7E7 [1300]" filled="t" stroked="t" coordsize="21600,21600" o:gfxdata="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HVl5t7aAAAA&#10;CwEAAA8AAAAAAAAAAQAgAAAAIgAAAGRycy9kb3ducmV2LnhtbFBLAQIUABQAAAAIAIdO4kAmQG0s&#10;jQIAABwFAAAOAAAAAAAAAAEAIAAAACkBAABkcnMvZTJvRG9jLnhtbFBLBQYAAAAABgAGAFkBAAAo&#10;BgAAAAA=&#10;">
                <v:fill on="t" focussize="0,0"/>
                <v:stroke color="#000000" miterlimit="8" joinstyle="miter"/>
                <v:imagedata o:title=""/>
                <o:lock v:ext="edit" aspectratio="f"/>
                <v:textbox inset="0mm,0mm,0mm,0mm">
                  <w:txbxContent>
                    <w:p>
                      <w:pPr>
                        <w:spacing w:line="240" w:lineRule="auto"/>
                        <w:ind w:firstLine="0" w:firstLineChars="0"/>
                        <w:jc w:val="center"/>
                        <w:rPr>
                          <w:sz w:val="21"/>
                          <w:szCs w:val="21"/>
                        </w:rPr>
                      </w:pPr>
                      <w:r>
                        <w:rPr>
                          <w:rFonts w:hint="eastAsia"/>
                          <w:sz w:val="21"/>
                          <w:szCs w:val="21"/>
                        </w:rPr>
                        <w:t>赵家坝污水处理站</w:t>
                      </w:r>
                    </w:p>
                  </w:txbxContent>
                </v:textbox>
              </v:shape>
            </w:pict>
          </mc:Fallback>
        </mc:AlternateContent>
      </w:r>
      <w:r>
        <w:rPr>
          <w:color w:val="000000" w:themeColor="text1"/>
          <w:highlight w:val="none"/>
          <w:lang w:eastAsia="zh-CN"/>
          <w14:textFill>
            <w14:solidFill>
              <w14:schemeClr w14:val="tx1"/>
            </w14:solidFill>
          </w14:textFill>
        </w:rPr>
        <w:drawing>
          <wp:inline distT="0" distB="0" distL="0" distR="0">
            <wp:extent cx="8687435" cy="3858260"/>
            <wp:effectExtent l="0" t="0" r="0" b="8890"/>
            <wp:docPr id="1827" name="图片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图片 18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8707422" cy="3867119"/>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165" w:name="_Ref142597391"/>
      <w:r>
        <w:rPr>
          <w:color w:val="000000" w:themeColor="text1"/>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3506470</wp:posOffset>
                </wp:positionH>
                <wp:positionV relativeFrom="paragraph">
                  <wp:posOffset>222885</wp:posOffset>
                </wp:positionV>
                <wp:extent cx="1492250" cy="295910"/>
                <wp:effectExtent l="4445" t="4445" r="8255" b="23495"/>
                <wp:wrapNone/>
                <wp:docPr id="45" name="文本框 45"/>
                <wp:cNvGraphicFramePr/>
                <a:graphic xmlns:a="http://schemas.openxmlformats.org/drawingml/2006/main">
                  <a:graphicData uri="http://schemas.microsoft.com/office/word/2010/wordprocessingShape">
                    <wps:wsp>
                      <wps:cNvSpPr txBox="1"/>
                      <wps:spPr bwMode="auto">
                        <a:xfrm>
                          <a:off x="0" y="0"/>
                          <a:ext cx="1492250" cy="295910"/>
                        </a:xfrm>
                        <a:prstGeom prst="rect">
                          <a:avLst/>
                        </a:prstGeom>
                        <a:solidFill>
                          <a:schemeClr val="accent1">
                            <a:lumMod val="40000"/>
                            <a:lumOff val="60000"/>
                          </a:schemeClr>
                        </a:solidFill>
                        <a:ln w="9525">
                          <a:solidFill>
                            <a:srgbClr val="000000"/>
                          </a:solidFill>
                          <a:miter lim="800000"/>
                        </a:ln>
                      </wps:spPr>
                      <wps:txbx>
                        <w:txbxContent>
                          <w:p>
                            <w:pPr>
                              <w:spacing w:line="240" w:lineRule="auto"/>
                              <w:ind w:firstLine="0" w:firstLineChars="0"/>
                              <w:jc w:val="center"/>
                              <w:rPr>
                                <w:sz w:val="21"/>
                                <w:szCs w:val="21"/>
                              </w:rPr>
                            </w:pPr>
                            <w:r>
                              <w:rPr>
                                <w:rFonts w:hint="eastAsia"/>
                                <w:sz w:val="21"/>
                                <w:szCs w:val="21"/>
                              </w:rPr>
                              <w:t>普光3井回注站回注</w:t>
                            </w:r>
                          </w:p>
                        </w:txbxContent>
                      </wps:txbx>
                      <wps:bodyPr rot="0" spcFirstLastPara="0" vertOverflow="overflow" horzOverflow="overflow" vert="horz" wrap="square" lIns="0" tIns="0" rIns="0" bIns="0" numCol="1" spcCol="0" rtlCol="0" fromWordArt="0" anchor="ctr" anchorCtr="0" forceAA="0" upright="1" compatLnSpc="1">
                        <a:noAutofit/>
                      </wps:bodyPr>
                    </wps:wsp>
                  </a:graphicData>
                </a:graphic>
              </wp:anchor>
            </w:drawing>
          </mc:Choice>
          <mc:Fallback>
            <w:pict>
              <v:shape id="_x0000_s1026" o:spid="_x0000_s1026" o:spt="202" type="#_x0000_t202" style="position:absolute;left:0pt;margin-left:276.1pt;margin-top:17.55pt;height:23.3pt;width:117.5pt;z-index:251669504;v-text-anchor:middle;mso-width-relative:page;mso-height-relative:page;" fillcolor="#B4C7E7 [1300]" filled="t" stroked="t" coordsize="21600,21600" o:gfxdata="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2C7952AAAAAkBAAAP&#10;AAAAAAAAAAEAIAAAACIAAABkcnMvZG93bnJldi54bWxQSwECFAAUAAAACACHTuJA9bh83ooCAAAW&#10;BQAADgAAAAAAAAABACAAAAAnAQAAZHJzL2Uyb0RvYy54bWxQSwUGAAAAAAYABgBZAQAAIwYAAAAA&#10;">
                <v:fill on="t" focussize="0,0"/>
                <v:stroke color="#000000" miterlimit="8" joinstyle="miter"/>
                <v:imagedata o:title=""/>
                <o:lock v:ext="edit" aspectratio="f"/>
                <v:textbox inset="0mm,0mm,0mm,0mm">
                  <w:txbxContent>
                    <w:p>
                      <w:pPr>
                        <w:spacing w:line="240" w:lineRule="auto"/>
                        <w:ind w:firstLine="0" w:firstLineChars="0"/>
                        <w:jc w:val="center"/>
                        <w:rPr>
                          <w:sz w:val="21"/>
                          <w:szCs w:val="21"/>
                        </w:rPr>
                      </w:pPr>
                      <w:r>
                        <w:rPr>
                          <w:rFonts w:hint="eastAsia"/>
                          <w:sz w:val="21"/>
                          <w:szCs w:val="21"/>
                        </w:rPr>
                        <w:t>普光3井回注站回注</w:t>
                      </w:r>
                    </w:p>
                  </w:txbxContent>
                </v:textbox>
              </v:shape>
            </w:pict>
          </mc:Fallback>
        </mc:AlternateContent>
      </w:r>
    </w:p>
    <w:p>
      <w:pPr>
        <w:pStyle w:val="165"/>
        <w:rPr>
          <w:color w:val="000000" w:themeColor="text1"/>
          <w:highlight w:val="none"/>
          <w14:textFill>
            <w14:solidFill>
              <w14:schemeClr w14:val="tx1"/>
            </w14:solidFill>
          </w14:textFill>
        </w:rPr>
      </w:pPr>
    </w:p>
    <w:p>
      <w:pPr>
        <w:pStyle w:val="165"/>
        <w:rPr>
          <w:color w:val="000000" w:themeColor="text1"/>
          <w:highlight w:val="none"/>
          <w14:textFill>
            <w14:solidFill>
              <w14:schemeClr w14:val="tx1"/>
            </w14:solidFill>
          </w14:textFill>
        </w:rPr>
      </w:pP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bookmarkEnd w:id="165"/>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钻井工程工艺流程及产污环节图</w:t>
      </w:r>
    </w:p>
    <w:p>
      <w:pPr>
        <w:ind w:firstLine="480"/>
        <w:jc w:val="center"/>
        <w:rPr>
          <w:rFonts w:cs="Times New Roman"/>
          <w:color w:val="000000" w:themeColor="text1"/>
          <w:szCs w:val="24"/>
          <w:highlight w:val="none"/>
          <w14:textFill>
            <w14:solidFill>
              <w14:schemeClr w14:val="tx1"/>
            </w14:solidFill>
          </w14:textFill>
        </w:rPr>
        <w:sectPr>
          <w:pgSz w:w="16840" w:h="11910" w:orient="landscape"/>
          <w:pgMar w:top="1800" w:right="1440" w:bottom="1800" w:left="1440" w:header="964" w:footer="964" w:gutter="0"/>
          <w:cols w:space="720" w:num="1"/>
          <w:docGrid w:linePitch="326" w:charSpace="0"/>
        </w:sectPr>
      </w:pP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1）钻井</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工程采用常规钻井工艺，单钻机钻井，钻井工程作业正常情况下以网电为动力，停电等非正常情况下以柴油机为动力，通过钻机、转盘，带动钻杆切削地层，同时用泥浆泵经钻杆向井内注入高压泥浆，冲刷井底，将切削下的岩屑不断带至地面，整个过程循环进行，使井不断加深，直至目的井深。钻井中途会停钻，以起下钻具更换钻头、下套管、固井、替换洗井液、设备检修等。钻井工艺设备组成示意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_Ref142597382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8</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rFonts w:eastAsia="黑体"/>
          <w:color w:val="000000" w:themeColor="text1"/>
          <w:highlight w:val="none"/>
          <w:lang w:eastAsia="zh-CN"/>
          <w14:textFill>
            <w14:solidFill>
              <w14:schemeClr w14:val="tx1"/>
            </w14:solidFill>
          </w14:textFill>
        </w:rPr>
        <w:drawing>
          <wp:inline distT="0" distB="0" distL="0" distR="0">
            <wp:extent cx="3776345" cy="5029835"/>
            <wp:effectExtent l="0" t="0" r="14605" b="18415"/>
            <wp:docPr id="1631" name="图片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 name="图片 1631"/>
                    <pic:cNvPicPr>
                      <a:picLocks noChangeAspect="1" noChangeArrowheads="1"/>
                    </pic:cNvPicPr>
                  </pic:nvPicPr>
                  <pic:blipFill>
                    <a:blip r:embed="rId29">
                      <a:extLst>
                        <a:ext uri="{28A0092B-C50C-407E-A947-70E740481C1C}">
                          <a14:useLocalDpi xmlns:a14="http://schemas.microsoft.com/office/drawing/2010/main" val="0"/>
                        </a:ext>
                      </a:extLst>
                    </a:blip>
                    <a:srcRect l="22397"/>
                    <a:stretch>
                      <a:fillRect/>
                    </a:stretch>
                  </pic:blipFill>
                  <pic:spPr>
                    <a:xfrm>
                      <a:off x="0" y="0"/>
                      <a:ext cx="3776345" cy="5029835"/>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166" w:name="_Ref142597382"/>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bookmarkEnd w:id="16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钻井工艺设备组成示意图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2）钻井液循环系统</w:t>
      </w:r>
    </w:p>
    <w:p>
      <w:pPr>
        <w:ind w:firstLine="480"/>
        <w:rPr>
          <w:rFonts w:cs="Times New Roman"/>
          <w:color w:val="000000" w:themeColor="text1"/>
          <w:highlight w:val="none"/>
          <w14:textFill>
            <w14:solidFill>
              <w14:schemeClr w14:val="tx1"/>
            </w14:solidFill>
          </w14:textFill>
        </w:rPr>
      </w:pPr>
      <w:bookmarkStart w:id="167" w:name="_Hlk90917264"/>
      <w:r>
        <w:rPr>
          <w:rFonts w:cs="Times New Roman"/>
          <w:color w:val="000000" w:themeColor="text1"/>
          <w:highlight w:val="none"/>
          <w14:textFill>
            <w14:solidFill>
              <w14:schemeClr w14:val="tx1"/>
            </w14:solidFill>
          </w14:textFill>
        </w:rPr>
        <w:t>钻井泥浆系统是钻井工程的核心部分，钻井泥浆分为可生物降解、水基、油基三种，清洁性能依次减弱。本工程采用的钻井泥浆为水基钻井泥浆</w:t>
      </w:r>
      <w:r>
        <w:rPr>
          <w:rFonts w:hint="eastAsia" w:cs="Times New Roman"/>
          <w:color w:val="000000" w:themeColor="text1"/>
          <w:highlight w:val="none"/>
          <w14:textFill>
            <w14:solidFill>
              <w14:schemeClr w14:val="tx1"/>
            </w14:solidFill>
          </w14:textFill>
        </w:rPr>
        <w:t>（仅三</w:t>
      </w:r>
      <w:r>
        <w:rPr>
          <w:rFonts w:cs="Times New Roman"/>
          <w:color w:val="000000" w:themeColor="text1"/>
          <w:highlight w:val="none"/>
          <w14:textFill>
            <w14:solidFill>
              <w14:schemeClr w14:val="tx1"/>
            </w14:solidFill>
          </w14:textFill>
        </w:rPr>
        <w:t>开段会转为油基钻井</w:t>
      </w:r>
      <w:r>
        <w:rPr>
          <w:rFonts w:hint="eastAsia" w:cs="Times New Roman"/>
          <w:color w:val="000000" w:themeColor="text1"/>
          <w:highlight w:val="none"/>
          <w14:textFill>
            <w14:solidFill>
              <w14:schemeClr w14:val="tx1"/>
            </w14:solidFill>
          </w14:textFill>
        </w:rPr>
        <w:t>），不</w:t>
      </w:r>
      <w:r>
        <w:rPr>
          <w:rFonts w:cs="Times New Roman"/>
          <w:color w:val="000000" w:themeColor="text1"/>
          <w:highlight w:val="none"/>
          <w14:textFill>
            <w14:solidFill>
              <w14:schemeClr w14:val="tx1"/>
            </w14:solidFill>
          </w14:textFill>
        </w:rPr>
        <w:t>含重金属物质。泥浆循环系统主要包括钻井液振动筛、真空除气器、除砂器、除泥器，除砂除泥一体机、液气分离器、搅拌器、砂泵、泥浆罐等石油钻井固控设备及成套泥浆循环系统，泥浆循环系统，适用于油井、水井钻探中泥浆循环作业。箱体外壳均用钢板压制成型，外形美观，强度高。</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钻井泥浆泵经钻杆向井内注入高压钻井泥浆，通过钻头挤入井底，冲刷井底，将钻头切削下的岩屑不断地带至地面，通过泥浆循环系统实现泥浆与岩屑的分离，回收泥浆进入泥浆罐再利用。</w:t>
      </w:r>
      <w:bookmarkStart w:id="168" w:name="_Hlk150183604"/>
      <w:r>
        <w:rPr>
          <w:rFonts w:hint="eastAsia" w:cs="Times New Roman"/>
          <w:color w:val="000000" w:themeColor="text1"/>
          <w:highlight w:val="none"/>
          <w14:textFill>
            <w14:solidFill>
              <w14:schemeClr w14:val="tx1"/>
            </w14:solidFill>
          </w14:textFill>
        </w:rPr>
        <w:t>本项目钻井方式选用水基钻井液体系，导管</w:t>
      </w:r>
      <w:r>
        <w:rPr>
          <w:rFonts w:hint="eastAsia" w:cs="Times New Roman"/>
          <w:color w:val="000000" w:themeColor="text1"/>
          <w:kern w:val="0"/>
          <w:szCs w:val="20"/>
          <w:highlight w:val="none"/>
          <w:lang w:eastAsia="zh-CN"/>
          <w14:textFill>
            <w14:solidFill>
              <w14:schemeClr w14:val="tx1"/>
            </w14:solidFill>
          </w14:textFill>
        </w:rPr>
        <w:t>采用***钻进</w:t>
      </w:r>
      <w:r>
        <w:rPr>
          <w:rFonts w:hint="eastAsia" w:cs="Times New Roman"/>
          <w:color w:val="000000" w:themeColor="text1"/>
          <w:highlight w:val="none"/>
          <w14:textFill>
            <w14:solidFill>
              <w14:schemeClr w14:val="tx1"/>
            </w14:solidFill>
          </w14:textFill>
        </w:rPr>
        <w:t>，一开采用</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钻井液体系</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二开采用</w:t>
      </w:r>
      <w:r>
        <w:rPr>
          <w:rFonts w:hint="eastAsia" w:cs="Times New Roman"/>
          <w:color w:val="000000" w:themeColor="text1"/>
          <w:highlight w:val="none"/>
          <w:lang w:eastAsia="zh-CN"/>
          <w14:textFill>
            <w14:solidFill>
              <w14:schemeClr w14:val="tx1"/>
            </w14:solidFill>
          </w14:textFill>
        </w:rPr>
        <w:t>******</w:t>
      </w:r>
      <w:r>
        <w:rPr>
          <w:rFonts w:cs="Times New Roman"/>
          <w:color w:val="000000" w:themeColor="text1"/>
          <w:highlight w:val="none"/>
          <w14:textFill>
            <w14:solidFill>
              <w14:schemeClr w14:val="tx1"/>
            </w14:solidFill>
          </w14:textFill>
        </w:rPr>
        <w:t>，</w:t>
      </w:r>
      <w:bookmarkEnd w:id="168"/>
      <w:r>
        <w:rPr>
          <w:rFonts w:hint="eastAsia" w:cs="Times New Roman"/>
          <w:color w:val="000000" w:themeColor="text1"/>
          <w:highlight w:val="none"/>
          <w14:textFill>
            <w14:solidFill>
              <w14:schemeClr w14:val="tx1"/>
            </w14:solidFill>
          </w14:textFill>
        </w:rPr>
        <w:t>三开采用</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钻井液（若三开钻遇特地层，则采用油基钻井液）</w:t>
      </w:r>
      <w:r>
        <w:rPr>
          <w:rFonts w:cs="Times New Roman"/>
          <w:color w:val="000000" w:themeColor="text1"/>
          <w:highlight w:val="none"/>
          <w14:textFill>
            <w14:solidFill>
              <w14:schemeClr w14:val="tx1"/>
            </w14:solidFill>
          </w14:textFill>
        </w:rPr>
        <w:t>，有利于降低作业成本，减少对地层污染。钻井过程严格按照中国石油化工股份有限公司中原油田普光分公司钻井作业指导书进行，强化泥浆的循环利用率。完井后泥浆循环系统中产生的合格泥浆暂存在泥浆储备罐内，用于区域内其他井水基泥浆配置。钻井过程中产生的废弃泥浆通过现场泥浆不落地工艺进行固液分离，回收上清液用于泥浆配置，剩余废水定期由罐车拉运至</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highlight w:val="none"/>
          <w14:textFill>
            <w14:solidFill>
              <w14:schemeClr w14:val="tx1"/>
            </w14:solidFill>
          </w14:textFill>
        </w:rPr>
        <w:t>管输至</w:t>
      </w:r>
      <w:r>
        <w:rPr>
          <w:rFonts w:hint="eastAsia" w:cs="Times New Roman"/>
          <w:color w:val="000000" w:themeColor="text1"/>
          <w:highlight w:val="none"/>
          <w14:textFill>
            <w14:solidFill>
              <w14:schemeClr w14:val="tx1"/>
            </w14:solidFill>
          </w14:textFill>
        </w:rPr>
        <w:t>普光3井回注站</w:t>
      </w:r>
      <w:r>
        <w:rPr>
          <w:rFonts w:cs="Times New Roman"/>
          <w:color w:val="000000" w:themeColor="text1"/>
          <w:highlight w:val="none"/>
          <w14:textFill>
            <w14:solidFill>
              <w14:schemeClr w14:val="tx1"/>
            </w14:solidFill>
          </w14:textFill>
        </w:rPr>
        <w:t>回注，不外排；水基钻井固废及时就近交给依法取得生态环境部门关于利用和处置相关工业固体废物项目环评批复、具有处理处置相应固体废物能力并配套建设有废气、废水、固废等污染物治理设施的单位进行资源化利用。</w:t>
      </w:r>
      <w:r>
        <w:rPr>
          <w:rFonts w:hint="eastAsia" w:cs="Times New Roman"/>
          <w:color w:val="000000" w:themeColor="text1"/>
          <w:highlight w:val="none"/>
          <w14:textFill>
            <w14:solidFill>
              <w14:schemeClr w14:val="tx1"/>
            </w14:solidFill>
          </w14:textFill>
        </w:rPr>
        <w:t>三开采用油基泥浆钻井后，对钻井固废暂存区进行改造防渗处理，</w:t>
      </w:r>
      <w:r>
        <w:rPr>
          <w:rFonts w:cs="Times New Roman"/>
          <w:color w:val="000000" w:themeColor="text1"/>
          <w:highlight w:val="none"/>
          <w14:textFill>
            <w14:solidFill>
              <w14:schemeClr w14:val="tx1"/>
            </w14:solidFill>
          </w14:textFill>
        </w:rPr>
        <w:t>危险废物暂存场所</w:t>
      </w:r>
      <w:r>
        <w:rPr>
          <w:rFonts w:hint="eastAsia" w:cs="Times New Roman"/>
          <w:color w:val="000000" w:themeColor="text1"/>
          <w:highlight w:val="none"/>
          <w14:textFill>
            <w14:solidFill>
              <w14:schemeClr w14:val="tx1"/>
            </w14:solidFill>
          </w14:textFill>
        </w:rPr>
        <w:t>面积不小于</w:t>
      </w:r>
      <w:r>
        <w:rPr>
          <w:rFonts w:cs="Times New Roman"/>
          <w:color w:val="000000" w:themeColor="text1"/>
          <w:highlight w:val="none"/>
          <w14:textFill>
            <w14:solidFill>
              <w14:schemeClr w14:val="tx1"/>
            </w14:solidFill>
          </w14:textFill>
        </w:rPr>
        <w:t>60m</w:t>
      </w:r>
      <w:r>
        <w:rPr>
          <w:rFonts w:cs="Times New Roman"/>
          <w:color w:val="000000" w:themeColor="text1"/>
          <w:highlight w:val="none"/>
          <w:vertAlign w:val="superscript"/>
          <w14:textFill>
            <w14:solidFill>
              <w14:schemeClr w14:val="tx1"/>
            </w14:solidFill>
          </w14:textFill>
        </w:rPr>
        <w:t>2</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油基钻井废泥浆、岩屑暂存于新建的60m</w:t>
      </w:r>
      <w:r>
        <w:rPr>
          <w:rFonts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危险废物暂存场所（采取必要的防风、防晒、防雨、防漏、防渗、防腐以及其他环境污染防治措施，不得露天堆放危险废物），泥浆和油基钻井岩屑</w:t>
      </w:r>
      <w:r>
        <w:rPr>
          <w:rFonts w:hint="eastAsia" w:cs="Times New Roman"/>
          <w:color w:val="000000" w:themeColor="text1"/>
          <w:highlight w:val="none"/>
          <w14:textFill>
            <w14:solidFill>
              <w14:schemeClr w14:val="tx1"/>
            </w14:solidFill>
          </w14:textFill>
        </w:rPr>
        <w:t>及时</w:t>
      </w:r>
      <w:r>
        <w:rPr>
          <w:rFonts w:cs="Times New Roman"/>
          <w:color w:val="000000" w:themeColor="text1"/>
          <w:highlight w:val="none"/>
          <w14:textFill>
            <w14:solidFill>
              <w14:schemeClr w14:val="tx1"/>
            </w14:solidFill>
          </w14:textFill>
        </w:rPr>
        <w:t>交由有资质的单位处置。</w:t>
      </w:r>
      <w:bookmarkEnd w:id="167"/>
      <w:r>
        <w:rPr>
          <w:rFonts w:hint="eastAsia" w:cs="Times New Roman"/>
          <w:color w:val="000000" w:themeColor="text1"/>
          <w:highlight w:val="none"/>
          <w14:textFill>
            <w14:solidFill>
              <w14:schemeClr w14:val="tx1"/>
            </w14:solidFill>
          </w14:textFill>
        </w:rPr>
        <w:t>本次环评要求，</w:t>
      </w:r>
      <w:r>
        <w:rPr>
          <w:rFonts w:cs="Times New Roman"/>
          <w:color w:val="000000" w:themeColor="text1"/>
          <w:highlight w:val="none"/>
          <w14:textFill>
            <w14:solidFill>
              <w14:schemeClr w14:val="tx1"/>
            </w14:solidFill>
          </w14:textFill>
        </w:rPr>
        <w:t>危险废物暂存场所</w:t>
      </w:r>
      <w:r>
        <w:rPr>
          <w:rFonts w:hint="eastAsia" w:cs="Times New Roman"/>
          <w:color w:val="000000" w:themeColor="text1"/>
          <w:highlight w:val="none"/>
          <w14:textFill>
            <w14:solidFill>
              <w14:schemeClr w14:val="tx1"/>
            </w14:solidFill>
          </w14:textFill>
        </w:rPr>
        <w:t>应按照</w:t>
      </w:r>
      <w:r>
        <w:rPr>
          <w:rFonts w:hint="eastAsia"/>
          <w:bCs/>
          <w:color w:val="000000" w:themeColor="text1"/>
          <w:highlight w:val="none"/>
          <w14:textFill>
            <w14:solidFill>
              <w14:schemeClr w14:val="tx1"/>
            </w14:solidFill>
          </w14:textFill>
        </w:rPr>
        <w:t>《危险废物贮存污染控制标准》（GB18597-2023）中贮存场进行建设管理，在</w:t>
      </w:r>
      <w:r>
        <w:rPr>
          <w:rFonts w:cs="Times New Roman"/>
          <w:color w:val="000000" w:themeColor="text1"/>
          <w:highlight w:val="none"/>
          <w14:textFill>
            <w14:solidFill>
              <w14:schemeClr w14:val="tx1"/>
            </w14:solidFill>
          </w14:textFill>
        </w:rPr>
        <w:t>危险废物暂存场所</w:t>
      </w:r>
      <w:r>
        <w:rPr>
          <w:rFonts w:hint="eastAsia" w:cs="Times New Roman"/>
          <w:color w:val="000000" w:themeColor="text1"/>
          <w:highlight w:val="none"/>
          <w14:textFill>
            <w14:solidFill>
              <w14:schemeClr w14:val="tx1"/>
            </w14:solidFill>
          </w14:textFill>
        </w:rPr>
        <w:t>建成后方可开始使用油基泥浆钻井。</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w:t>
      </w:r>
      <w:r>
        <w:rPr>
          <w:rFonts w:hint="eastAsia" w:cs="Times New Roman"/>
          <w:color w:val="000000" w:themeColor="text1"/>
          <w:highlight w:val="none"/>
          <w14:textFill>
            <w14:solidFill>
              <w14:schemeClr w14:val="tx1"/>
            </w14:solidFill>
          </w14:textFill>
        </w:rPr>
        <w:t>清洁化操作工艺</w:t>
      </w:r>
    </w:p>
    <w:p>
      <w:pPr>
        <w:ind w:firstLine="480"/>
        <w:rPr>
          <w:rFonts w:cs="Times New Roman"/>
          <w:color w:val="000000" w:themeColor="text1"/>
          <w:highlight w:val="none"/>
          <w14:textFill>
            <w14:solidFill>
              <w14:schemeClr w14:val="tx1"/>
            </w14:solidFill>
          </w14:textFill>
        </w:rPr>
      </w:pPr>
      <w:bookmarkStart w:id="169" w:name="_Hlk107412190"/>
      <w:r>
        <w:rPr>
          <w:rFonts w:hint="eastAsia" w:cs="Times New Roman"/>
          <w:color w:val="000000" w:themeColor="text1"/>
          <w:highlight w:val="none"/>
          <w14:textFill>
            <w14:solidFill>
              <w14:schemeClr w14:val="tx1"/>
            </w14:solidFill>
          </w14:textFill>
        </w:rPr>
        <w:t>由于钻井工程按照清洁化生产方案组织钻井施工，实施的清洁生产分为收集、处理系统两部分，主要对钻井过程产生的废泥浆及岩屑实时处理、设备冲洗废水实时处理和场地雨水收集处理排放，</w:t>
      </w:r>
      <w:r>
        <w:rPr>
          <w:rFonts w:cs="Times New Roman"/>
          <w:color w:val="000000" w:themeColor="text1"/>
          <w:highlight w:val="none"/>
          <w14:textFill>
            <w14:solidFill>
              <w14:schemeClr w14:val="tx1"/>
            </w14:solidFill>
          </w14:textFill>
        </w:rPr>
        <w:t>随钻不落地处置工艺流程图</w:t>
      </w:r>
      <w:bookmarkEnd w:id="169"/>
      <w:r>
        <w:rPr>
          <w:rFonts w:cs="Times New Roman"/>
          <w:color w:val="000000" w:themeColor="text1"/>
          <w:highlight w:val="none"/>
          <w14:textFill>
            <w14:solidFill>
              <w14:schemeClr w14:val="tx1"/>
            </w14:solidFill>
          </w14:textFill>
        </w:rPr>
        <w:t>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_Ref142906909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9</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4951095" cy="2962910"/>
            <wp:effectExtent l="0" t="0" r="1905" b="889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0"/>
                    <a:stretch>
                      <a:fillRect/>
                    </a:stretch>
                  </pic:blipFill>
                  <pic:spPr>
                    <a:xfrm>
                      <a:off x="0" y="0"/>
                      <a:ext cx="4954187" cy="2964762"/>
                    </a:xfrm>
                    <a:prstGeom prst="rect">
                      <a:avLst/>
                    </a:prstGeom>
                  </pic:spPr>
                </pic:pic>
              </a:graphicData>
            </a:graphic>
          </wp:inline>
        </w:drawing>
      </w:r>
    </w:p>
    <w:p>
      <w:pPr>
        <w:pStyle w:val="165"/>
        <w:rPr>
          <w:color w:val="000000" w:themeColor="text1"/>
          <w:highlight w:val="none"/>
          <w14:textFill>
            <w14:solidFill>
              <w14:schemeClr w14:val="tx1"/>
            </w14:solidFill>
          </w14:textFill>
        </w:rPr>
      </w:pPr>
      <w:bookmarkStart w:id="170" w:name="_Ref142906909"/>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bookmarkEnd w:id="17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随钻不落地处置工艺（清洁化操作）流程图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随钻不落地处理工艺含泥浆不落地装置一套，占地面积310m</w:t>
      </w:r>
      <w:r>
        <w:rPr>
          <w:rFonts w:hint="eastAsia"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。主要包含40m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废水罐4个；20m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岩屑固化罐4个；3m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岩屑收集罐8个；</w:t>
      </w:r>
      <w:r>
        <w:rPr>
          <w:rFonts w:hint="eastAsia" w:cs="Times New Roman"/>
          <w:color w:val="000000" w:themeColor="text1"/>
          <w:highlight w:val="none"/>
          <w14:textFill>
            <w14:solidFill>
              <w14:schemeClr w14:val="tx1"/>
            </w14:solidFill>
          </w14:textFill>
        </w:rPr>
        <w:t>材料</w:t>
      </w:r>
      <w:r>
        <w:rPr>
          <w:rFonts w:cs="Times New Roman"/>
          <w:color w:val="000000" w:themeColor="text1"/>
          <w:highlight w:val="none"/>
          <w14:textFill>
            <w14:solidFill>
              <w14:schemeClr w14:val="tx1"/>
            </w14:solidFill>
          </w14:textFill>
        </w:rPr>
        <w:t>区。</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①泥浆循环及岩屑处理清洁生产方案</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在清水及水基泥浆钻井过程中，仅泥浆参与钻井循环带动钻头不断钻进地层，井下岩屑也随钻井泥浆一并返排地面，返排泥浆经钻井泥浆循环系统自带的振动筛分、除砂分离后分离成三部分：</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A可循环利用钻井泥浆：直接再次进入泥浆循环系统，重复利用于钻井作业，减少钻井泥浆的调配量；</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B废泥浆：泥浆循环系统分离产生的废泥浆（失效泥浆），通过螺旋输送装置输送进收集罐，收集后叉车转运至井场旁的清洁生产操作平台再次进行脱水处理，脱水产生的废水经固化操作平台内的废水处理罐混凝沉淀处理后，上清液重复利用于钻井泥浆现场调配生产用水，下部沉淀污泥和脱水后的泥浆由叉车转运至固化罐进行固化后，就近交给依法取得生态环境部门关于利用和处置相关工业固体废物项目环评批复、具有处理处置相应固体废物能力并配套建设有废气、废水、固废等污染物治理设施的单位进行资源化利用；</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C钻井岩屑：振动筛分分离产生的岩屑由螺旋输送装置输送进岩屑收集罐，收集后叉车转运至井场旁的清洁生产操作平台固化罐进行固化。岩屑经固化罐进行固化后，前期水基钻井产生的水基岩屑就近交给依法取得生态环境部门关于利用和处置相关工业固体废物项目环评批复、具有处理处置相应固体废物能力并配套建设有废气、废水、固废等污染物治理设施的单位进行资源化利用。油基泥浆钻井过程中，油基泥浆钻井阶段产生的含油岩屑经振动筛分离产生的岩屑由钢体收集桶收集后叉车转运至清洁生产操作平台内的岩屑存放区采用岩屑罐（钢体罐）暂存，定期交由有危废处理资质单位处理。</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水基泥浆、岩屑固化工艺：泥浆、岩屑通过机械设备进行脱水。固化剂包括传统固化剂、聚合氯化铝、石灰等不含Fe、Mg离子的碱性药剂。固液分离后含水率小于等于60%的固相转运至岩屑堆放区暂存，定期就近交给依法取得生态环境部门关于利用和处置相关工业固体废物项目环评批复、具有处理处置相应固体废物能力并配套建设有废气、废水、固废等污染物治理设施的单位进行资源化利用，含水率高于60%的部分则再次进行固化处理，直至含水率降低至60%以下。固化预处理使用一般水基钻屑固化剂，处置过程中应控制Ca离子的掺入，包括硅酸盐水泥或含Ca离子为主的固化剂，使用此类药剂时，其与水基钻屑质量比应控制在4%以内。分离出的液相导入其它暂存罐收集，达到回用要求的液相抽至井队配浆罐回用，达不到回用要求的液相暂存于暂存罐，外运处置。钻井废弃物通过上述脱水工艺处理后，固相含水率≤60%，转运外委处置。</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②油基泥浆循环及岩屑处理清洁生产方案</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油基钻井作业：本项目三开采用</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钻井液（若三开钻遇特地层，则采用油基钻井液）钻井，钻井过程中以钻井液作为载体将岩屑带至地面，返排钻井液与岩屑混合物经钻井液循环处理系统固液分离实现钻井液的循环利用，分离的固相（钻井岩屑）进入油基钻井液清洁化生产随钻处理系统处理。油基钻井液清洁化生产随钻处理系统由收集油基钻井液钻井污染物清洁生产随钻处理系统单元、输送装置（螺旋输送机）、脱油装置（油基岩屑和废弃油基钻井泥浆甩干机1套）三部分组成，实现对油基岩屑和废弃油基钻井泥浆和钻井废水等污染物的随钻处理。</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清洁生产随钻处理系统工艺步骤：钻井液循环处理系统分离的油基钻井岩屑（振动筛和除砂器、除泥器分离的岩屑）收集后通过螺旋输送机送入油基岩屑和废弃油基钻井泥浆甩干机处理，甩干后的干岩屑通过岩屑收集罐和储存罐收集，暂存在清洁化操作平台，及时交有资质单位外运处置，甩干机分离后的液体钻井液进入钻井液循环系统重新用于钻井。</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清洁生产随钻处理系统分离后的油基岩屑和废弃油基钻井泥浆，转移至清洁化操作平台岩屑堆放区（按危废贮存场地采取防渗、防扩散、防流失措施）暂存，及时交由危废处置资质单位妥善处置。</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4）测井、取心、录井</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测井是把利用电、磁、声、热、核等物理原理制造的各种测井仪器，由测井电缆下入井内，使地面电测仪可沿着井筒连续记录随深度变化的各种参数。通过表示这类参数的曲线，来识别地下的岩层，如油、气、水层、煤层、金属矿床等。</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取心是在钻井过程中使用特殊的取心工具把地下岩石成块地取到地面上来，这种成块的岩石叫做岩心，通过它可以测定岩石的各种性质，直观地研究地下构造和岩石沉积环境，了解其中的流体性质等。</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录井是根据</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"http://baike.baidu.com/view/1231512.htm" \t "_blank" </w:instrText>
      </w:r>
      <w:r>
        <w:rPr>
          <w:color w:val="000000" w:themeColor="text1"/>
          <w:highlight w:val="none"/>
          <w14:textFill>
            <w14:solidFill>
              <w14:schemeClr w14:val="tx1"/>
            </w14:solidFill>
          </w14:textFill>
        </w:rPr>
        <w:fldChar w:fldCharType="separate"/>
      </w:r>
      <w:r>
        <w:rPr>
          <w:rFonts w:cs="Times New Roman"/>
          <w:color w:val="000000" w:themeColor="text1"/>
          <w:szCs w:val="24"/>
          <w:highlight w:val="none"/>
          <w14:textFill>
            <w14:solidFill>
              <w14:schemeClr w14:val="tx1"/>
            </w14:solidFill>
          </w14:textFill>
        </w:rPr>
        <w:t>测井</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数据、现场录井数据及综合分析化验数据进行岩性解释、归位，确定含油、气、水产状。</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测井、取心、录井主要就是取样分析地质等情况，该过程基本不涉及污染物。</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5）固井作业</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固井是钻井达到预定深度后，下入套管并注入水泥浆，封固套管和井壁之间的环形空间的作业。固井的主要目的是封隔疏松的易塌、易漏地层；封隔油、气、水层，防止互相窜漏。固井作业的主要设备有水泥车、下灰罐车、混合漏斗和其他附属设备等。</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固井是钻井过程中的重要作业，最上面的固井是</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"http://baike.baidu.com/view/2376304.htm" \t "_blank" </w:instrText>
      </w:r>
      <w:r>
        <w:rPr>
          <w:color w:val="000000" w:themeColor="text1"/>
          <w:highlight w:val="none"/>
          <w14:textFill>
            <w14:solidFill>
              <w14:schemeClr w14:val="tx1"/>
            </w14:solidFill>
          </w14:textFill>
        </w:rPr>
        <w:fldChar w:fldCharType="separate"/>
      </w:r>
      <w:r>
        <w:rPr>
          <w:rFonts w:cs="Times New Roman"/>
          <w:color w:val="000000" w:themeColor="text1"/>
          <w:szCs w:val="24"/>
          <w:highlight w:val="none"/>
          <w14:textFill>
            <w14:solidFill>
              <w14:schemeClr w14:val="tx1"/>
            </w14:solidFill>
          </w14:textFill>
        </w:rPr>
        <w:t>表层套管</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固井，它起的是</w:t>
      </w:r>
      <w:r>
        <w:rPr>
          <w:rFonts w:ascii="宋体" w:hAnsi="宋体" w:cs="Times New Roman"/>
          <w:color w:val="000000" w:themeColor="text1"/>
          <w:szCs w:val="24"/>
          <w:highlight w:val="none"/>
          <w14:textFill>
            <w14:solidFill>
              <w14:schemeClr w14:val="tx1"/>
            </w14:solidFill>
          </w14:textFill>
        </w:rPr>
        <w:t>“泥浆通路，油气门户”</w:t>
      </w:r>
      <w:r>
        <w:rPr>
          <w:rFonts w:cs="Times New Roman"/>
          <w:color w:val="000000" w:themeColor="text1"/>
          <w:szCs w:val="24"/>
          <w:highlight w:val="none"/>
          <w14:textFill>
            <w14:solidFill>
              <w14:schemeClr w14:val="tx1"/>
            </w14:solidFill>
          </w14:textFill>
        </w:rPr>
        <w:t>的作用。在下一次开钻之前，表层套管上要装防喷器预防井喷。防喷器之上要装泥浆导管，是</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"http://baike.baidu.com/view/94622.htm" \t "_blank" </w:instrText>
      </w:r>
      <w:r>
        <w:rPr>
          <w:color w:val="000000" w:themeColor="text1"/>
          <w:highlight w:val="none"/>
          <w14:textFill>
            <w14:solidFill>
              <w14:schemeClr w14:val="tx1"/>
            </w14:solidFill>
          </w14:textFill>
        </w:rPr>
        <w:fldChar w:fldCharType="separate"/>
      </w:r>
      <w:r>
        <w:rPr>
          <w:rFonts w:cs="Times New Roman"/>
          <w:color w:val="000000" w:themeColor="text1"/>
          <w:szCs w:val="24"/>
          <w:highlight w:val="none"/>
          <w14:textFill>
            <w14:solidFill>
              <w14:schemeClr w14:val="tx1"/>
            </w14:solidFill>
          </w14:textFill>
        </w:rPr>
        <w:t>钻井液</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返回泥浆池的通路。钻井过程中往往要下技术套管固井，它</w:t>
      </w:r>
      <w:r>
        <w:rPr>
          <w:rFonts w:hint="eastAsia" w:ascii="宋体" w:hAnsi="宋体" w:cs="宋体"/>
          <w:color w:val="000000" w:themeColor="text1"/>
          <w:szCs w:val="24"/>
          <w:highlight w:val="none"/>
          <w14:textFill>
            <w14:solidFill>
              <w14:schemeClr w14:val="tx1"/>
            </w14:solidFill>
          </w14:textFill>
        </w:rPr>
        <w:t>起的是“巩固后方，安全探路”的作用。和公路的隧道、煤矿中的巷道一样，钻井过程中也会遇到井塌、高压和不稳定的地层，同时也是为了在向前“探路”中遇险有个退路，起到“救助”的作用</w:t>
      </w:r>
      <w:r>
        <w:rPr>
          <w:rFonts w:cs="Times New Roman"/>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固井主要是注入水泥，基本无污染物产生，固井过程分为三步如下：</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下套管：套管有不同的尺寸和钢级。根据用途、地层预测压力和套管下入深度设计套管的强度，确定套管的使用壁厚，钢级和丝扣类型。套管与钻杆不同，是一次性下入的管材，没有加厚部分，长度没有严格规定。为保证固井质量和顺利地下入套管，要做套管柱的结构设计。</w:t>
      </w:r>
      <w:bookmarkStart w:id="171" w:name="4_2"/>
      <w:bookmarkEnd w:id="171"/>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注水泥：是套管下入井后的关键工序，其作用是将套管和井壁的环形空间封固起来，以封隔油气水层，使套管成为油气通向井中的通道。</w:t>
      </w:r>
      <w:bookmarkStart w:id="172" w:name="4_3"/>
      <w:bookmarkEnd w:id="172"/>
      <w:bookmarkStart w:id="173" w:name="4_5"/>
      <w:bookmarkEnd w:id="173"/>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井口安装和套管试压，下套管注水泥之后，在水泥凝固期间就要安装井口。表层套管的顶端要安套管头的壳体。各层套管的顶端都挂在套管头内，套管头主要用来支撑技术套管和油层套管的重量，这对</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HYPERLINK "http://baike.baidu.com/view/2326697.htm" \t "_blank" </w:instrText>
      </w:r>
      <w:r>
        <w:rPr>
          <w:color w:val="000000" w:themeColor="text1"/>
          <w:highlight w:val="none"/>
          <w14:textFill>
            <w14:solidFill>
              <w14:schemeClr w14:val="tx1"/>
            </w14:solidFill>
          </w14:textFill>
        </w:rPr>
        <w:fldChar w:fldCharType="separate"/>
      </w:r>
      <w:r>
        <w:rPr>
          <w:rFonts w:cs="Times New Roman"/>
          <w:color w:val="000000" w:themeColor="text1"/>
          <w:szCs w:val="24"/>
          <w:highlight w:val="none"/>
          <w14:textFill>
            <w14:solidFill>
              <w14:schemeClr w14:val="tx1"/>
            </w14:solidFill>
          </w14:textFill>
        </w:rPr>
        <w:t>固井水泥</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未返至地面尤为重要。套管头还用来密封套管间的环形空间，防止压力互窜。套管头还是防喷器、油管头的过渡连接。陆地上使用的套管头上还有两个侧口，可以进行补挤水泥、监控井况、注平衡液等作业。</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套管试压是检查固井质量的重要组成部分。安装好套管头和接好防喷器及防喷管线后，要做套管头密封的耐压力检查，和与防喷器联接的密封试压。探套管内水泥塞后要做套管柱的压力检验，钻穿套管鞋5～10m后（表层套管）要做地层压裂试验。固井后要用声波检测固井质量。固井质量的全部指标合格后，才能进入到下一个作业程序。</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（2）钻完井工程产污环节分析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钻井期间主要的环境影响因素是备用柴油机运行产生的废气，钻井、起下钻和固井作业等产生的钻井废水，机械设备运转时产生的噪声，以及钻井固废</w:t>
      </w:r>
      <w:r>
        <w:rPr>
          <w:rFonts w:hint="eastAsia" w:cs="Times New Roman"/>
          <w:bCs/>
          <w:color w:val="000000" w:themeColor="text1"/>
          <w:szCs w:val="24"/>
          <w:highlight w:val="none"/>
          <w14:textFill>
            <w14:solidFill>
              <w14:schemeClr w14:val="tx1"/>
            </w14:solidFill>
          </w14:textFill>
        </w:rPr>
        <w:t>（含钻井岩屑）</w:t>
      </w:r>
      <w:r>
        <w:rPr>
          <w:rFonts w:cs="Times New Roman"/>
          <w:bCs/>
          <w:color w:val="000000" w:themeColor="text1"/>
          <w:szCs w:val="24"/>
          <w:highlight w:val="none"/>
          <w14:textFill>
            <w14:solidFill>
              <w14:schemeClr w14:val="tx1"/>
            </w14:solidFill>
          </w14:textFill>
        </w:rPr>
        <w:t>、废弃泥浆、废油</w:t>
      </w:r>
      <w:r>
        <w:rPr>
          <w:rFonts w:hint="eastAsia" w:cs="Times New Roman"/>
          <w:bCs/>
          <w:color w:val="000000" w:themeColor="text1"/>
          <w:szCs w:val="24"/>
          <w:highlight w:val="none"/>
          <w14:textFill>
            <w14:solidFill>
              <w14:schemeClr w14:val="tx1"/>
            </w14:solidFill>
          </w14:textFill>
        </w:rPr>
        <w:t>、废含油手套和抹布</w:t>
      </w:r>
      <w:r>
        <w:rPr>
          <w:rFonts w:cs="Times New Roman"/>
          <w:bCs/>
          <w:color w:val="000000" w:themeColor="text1"/>
          <w:szCs w:val="24"/>
          <w:highlight w:val="none"/>
          <w14:textFill>
            <w14:solidFill>
              <w14:schemeClr w14:val="tx1"/>
            </w14:solidFill>
          </w14:textFill>
        </w:rPr>
        <w:t>等固体废物。</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储层改造工程</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w:t>
      </w:r>
      <w:r>
        <w:rPr>
          <w:rFonts w:hint="eastAsia" w:cs="Times New Roman"/>
          <w:b/>
          <w:bCs/>
          <w:color w:val="000000" w:themeColor="text1"/>
          <w:highlight w:val="none"/>
          <w14:textFill>
            <w14:solidFill>
              <w14:schemeClr w14:val="tx1"/>
            </w14:solidFill>
          </w14:textFill>
        </w:rPr>
        <w:t>储层改造</w:t>
      </w:r>
      <w:r>
        <w:rPr>
          <w:rFonts w:cs="Times New Roman"/>
          <w:b/>
          <w:bCs/>
          <w:color w:val="000000" w:themeColor="text1"/>
          <w:highlight w:val="none"/>
          <w14:textFill>
            <w14:solidFill>
              <w14:schemeClr w14:val="tx1"/>
            </w14:solidFill>
          </w14:textFill>
        </w:rPr>
        <w:t>工程工艺流程简述</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本项目完钻后</w:t>
      </w:r>
      <w:r>
        <w:rPr>
          <w:rFonts w:hint="eastAsia" w:cs="Times New Roman"/>
          <w:color w:val="000000" w:themeColor="text1"/>
          <w:szCs w:val="24"/>
          <w:highlight w:val="none"/>
          <w14:textFill>
            <w14:solidFill>
              <w14:schemeClr w14:val="tx1"/>
            </w14:solidFill>
          </w14:textFill>
        </w:rPr>
        <w:t>进行</w:t>
      </w:r>
      <w:r>
        <w:rPr>
          <w:rFonts w:cs="Times New Roman"/>
          <w:color w:val="000000" w:themeColor="text1"/>
          <w:szCs w:val="24"/>
          <w:highlight w:val="none"/>
          <w14:textFill>
            <w14:solidFill>
              <w14:schemeClr w14:val="tx1"/>
            </w14:solidFill>
          </w14:textFill>
        </w:rPr>
        <w:t>完井测试，按照本项目钻井设计，钻井中途不测试，仅在钻至目的层时测试放喷求产。完井作业包括洗井、射孔、压裂、测试放喷等过程。其中酸化压裂和测试放喷是最主要工序，也是主要产生污染物排放的工艺环节。</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洗井作业</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当钻至目的层后，首先是进行洗井作业，采用碱水进行洗井作业，洗井作业首先在井筒内下入洗井管柱，洗井液由井筒注入清洗井壁，清洗后通过位于井底的返液口经洗井管柱返回地面。该环节的主要污染物为返回地面的洗井废水。</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射孔作业</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洗井</w:t>
      </w:r>
      <w:r>
        <w:rPr>
          <w:rFonts w:cs="Times New Roman"/>
          <w:color w:val="000000" w:themeColor="text1"/>
          <w:szCs w:val="24"/>
          <w:highlight w:val="none"/>
          <w14:textFill>
            <w14:solidFill>
              <w14:schemeClr w14:val="tx1"/>
            </w14:solidFill>
          </w14:textFill>
        </w:rPr>
        <w:t>作业完成后，将进行射孔作业，射孔完井是指下入油层套管封固产层后再用射孔弹将套管、水泥环、部分产层射穿，形成油气流通通道。射穿产层后油气井的生产能力受产层压力、产层性质和射孔参数及质量影响。</w:t>
      </w:r>
      <w:r>
        <w:rPr>
          <w:color w:val="000000" w:themeColor="text1"/>
          <w:highlight w:val="none"/>
          <w14:textFill>
            <w14:solidFill>
              <w14:schemeClr w14:val="tx1"/>
            </w14:solidFill>
          </w14:textFill>
        </w:rPr>
        <w:t>首段设计采用连续油管射孔，后续采用泵送桥塞+电缆射孔联作工艺。</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下完井管柱</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连油扫塞后，采用不压井作业模式，带压下入生产管柱。</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④</w:t>
      </w:r>
      <w:r>
        <w:rPr>
          <w:rFonts w:cs="Times New Roman"/>
          <w:color w:val="000000" w:themeColor="text1"/>
          <w:szCs w:val="24"/>
          <w:highlight w:val="none"/>
          <w14:textFill>
            <w14:solidFill>
              <w14:schemeClr w14:val="tx1"/>
            </w14:solidFill>
          </w14:textFill>
        </w:rPr>
        <w:t>压裂作业</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压裂是指在井筒中形成高压迫使地层形成裂缝的施工过程。本项目采</w:t>
      </w:r>
      <w:r>
        <w:rPr>
          <w:rFonts w:hint="eastAsia" w:ascii="宋体" w:hAnsi="宋体" w:cs="宋体"/>
          <w:color w:val="000000" w:themeColor="text1"/>
          <w:szCs w:val="24"/>
          <w:highlight w:val="none"/>
          <w14:textFill>
            <w14:solidFill>
              <w14:schemeClr w14:val="tx1"/>
            </w14:solidFill>
          </w14:textFill>
        </w:rPr>
        <w:t>用桥塞分段、套管注入体积压裂工艺</w:t>
      </w:r>
      <w:r>
        <w:rPr>
          <w:rFonts w:cs="Times New Roman"/>
          <w:color w:val="000000" w:themeColor="text1"/>
          <w:szCs w:val="24"/>
          <w:highlight w:val="none"/>
          <w14:textFill>
            <w14:solidFill>
              <w14:schemeClr w14:val="tx1"/>
            </w14:solidFill>
          </w14:textFill>
        </w:rPr>
        <w:t>模式，形成具有一定几何尺寸和导流能力的人工裂缝，以达到增产的目的。</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压裂作业在白天进行，压裂液泵入时间约2</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3小时，参与作业的压裂车8台（4用4备），压裂液的主要原料是清水、稀盐酸及一些外加剂如硼砂等。受压力作用，压裂过程会产生压裂返排液，返排周期为3天～5天。</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该环节产生的污染物主要为压裂作业设备产生的噪声及返排出的压裂液。压裂作业过程及压裂液使用流程见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_Ref142597368 \h  \* MERGEFORMAT </w:instrText>
      </w:r>
      <w:r>
        <w:rPr>
          <w:rFonts w:cs="Times New Roman"/>
          <w:color w:val="000000" w:themeColor="text1"/>
          <w:szCs w:val="24"/>
          <w:highlight w:val="none"/>
          <w14:textFill>
            <w14:solidFill>
              <w14:schemeClr w14:val="tx1"/>
            </w14:solidFill>
          </w14:textFill>
        </w:rPr>
        <w:fldChar w:fldCharType="separate"/>
      </w:r>
      <w:r>
        <w:rPr>
          <w:rFonts w:cs="Times New Roman"/>
          <w:color w:val="000000" w:themeColor="text1"/>
          <w:szCs w:val="24"/>
          <w:highlight w:val="none"/>
          <w14:textFill>
            <w14:solidFill>
              <w14:schemeClr w14:val="tx1"/>
            </w14:solidFill>
          </w14:textFill>
        </w:rPr>
        <w:t>图</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STYLEREF</w:instrText>
      </w:r>
      <w:r>
        <w:rPr>
          <w:rFonts w:hint="eastAsia"/>
          <w:color w:val="000000" w:themeColor="text1"/>
          <w:highlight w:val="none"/>
          <w14:textFill>
            <w14:solidFill>
              <w14:schemeClr w14:val="tx1"/>
            </w14:solidFill>
          </w14:textFill>
        </w:rPr>
        <w:instrText xml:space="preserve">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10</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5045710" cy="1852295"/>
            <wp:effectExtent l="0" t="0" r="2540" b="0"/>
            <wp:docPr id="1623" name="图片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图片 16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055575" cy="1856060"/>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174" w:name="_Ref142597368"/>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bookmarkEnd w:id="174"/>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压裂作业示意图</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rFonts w:cs="Times New Roman"/>
          <w:color w:val="000000" w:themeColor="text1"/>
          <w:highlight w:val="none"/>
          <w14:textFill>
            <w14:solidFill>
              <w14:schemeClr w14:val="tx1"/>
            </w14:solidFill>
          </w14:textFill>
        </w:rPr>
        <w:t>测试放喷</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天然气测试放喷前需换装井口接测试管线，井内天然气经该管线，通过专用产量测试仪器测定天然气产量及气质。为了测试安全和减轻对环境的污染，点火烧掉测试放喷的天然气，测试放喷燃烧筒一般为高度1m的地面火炬，</w:t>
      </w:r>
      <w:r>
        <w:rPr>
          <w:rFonts w:hint="eastAsia" w:cs="Times New Roman"/>
          <w:color w:val="000000" w:themeColor="text1"/>
          <w:highlight w:val="none"/>
          <w14:textFill>
            <w14:solidFill>
              <w14:schemeClr w14:val="tx1"/>
            </w14:solidFill>
          </w14:textFill>
        </w:rPr>
        <w:t>放喷池</w:t>
      </w:r>
      <w:r>
        <w:rPr>
          <w:rFonts w:cs="Times New Roman"/>
          <w:color w:val="000000" w:themeColor="text1"/>
          <w:highlight w:val="none"/>
          <w14:textFill>
            <w14:solidFill>
              <w14:schemeClr w14:val="tx1"/>
            </w14:solidFill>
          </w14:textFill>
        </w:rPr>
        <w:t>内放喷，</w:t>
      </w:r>
      <w:r>
        <w:rPr>
          <w:rFonts w:hint="eastAsia" w:cs="Times New Roman"/>
          <w:color w:val="000000" w:themeColor="text1"/>
          <w:highlight w:val="none"/>
          <w14:textFill>
            <w14:solidFill>
              <w14:schemeClr w14:val="tx1"/>
            </w14:solidFill>
          </w14:textFill>
        </w:rPr>
        <w:t>放喷池</w:t>
      </w:r>
      <w:r>
        <w:rPr>
          <w:rFonts w:cs="Times New Roman"/>
          <w:color w:val="000000" w:themeColor="text1"/>
          <w:highlight w:val="none"/>
          <w14:textFill>
            <w14:solidFill>
              <w14:schemeClr w14:val="tx1"/>
            </w14:solidFill>
          </w14:textFill>
        </w:rPr>
        <w:t>设有耐火砖挡墙减轻热辐射影响。出于安全操作和有利于燃烧废气污染物大气扩散考虑，测试放喷一般在白天进行。</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⑥</w:t>
      </w:r>
      <w:r>
        <w:rPr>
          <w:rFonts w:cs="Times New Roman"/>
          <w:color w:val="000000" w:themeColor="text1"/>
          <w:highlight w:val="none"/>
          <w14:textFill>
            <w14:solidFill>
              <w14:schemeClr w14:val="tx1"/>
            </w14:solidFill>
          </w14:textFill>
        </w:rPr>
        <w:t>完井搬迁及恢复</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测试结果若表明气井有工业试采的价值，则在井口装上采气装置</w:t>
      </w:r>
      <w:r>
        <w:rPr>
          <w:rFonts w:hint="eastAsia" w:cs="Times New Roman"/>
          <w:color w:val="000000" w:themeColor="text1"/>
          <w:highlight w:val="none"/>
          <w14:textFill>
            <w14:solidFill>
              <w14:schemeClr w14:val="tx1"/>
            </w14:solidFill>
          </w14:textFill>
        </w:rPr>
        <w:t>试</w:t>
      </w:r>
      <w:r>
        <w:rPr>
          <w:rFonts w:cs="Times New Roman"/>
          <w:color w:val="000000" w:themeColor="text1"/>
          <w:highlight w:val="none"/>
          <w14:textFill>
            <w14:solidFill>
              <w14:schemeClr w14:val="tx1"/>
            </w14:solidFill>
          </w14:textFill>
        </w:rPr>
        <w:t>采气，其余设备将拆除搬迁，对基础进行拆除，场地进行平整，并对井场废弃物进行无害化治理。若不产天然气或所产气量无工业试采价值且确定无后续开发计划后，则将井口用水泥封固后搬迁。</w:t>
      </w:r>
      <w:r>
        <w:rPr>
          <w:rFonts w:hint="eastAsia" w:cs="Times New Roman"/>
          <w:color w:val="000000" w:themeColor="text1"/>
          <w:highlight w:val="none"/>
          <w14:textFill>
            <w14:solidFill>
              <w14:schemeClr w14:val="tx1"/>
            </w14:solidFill>
          </w14:textFill>
        </w:rPr>
        <w:t>在</w:t>
      </w:r>
      <w:r>
        <w:rPr>
          <w:rFonts w:cs="Times New Roman"/>
          <w:color w:val="000000" w:themeColor="text1"/>
          <w:highlight w:val="none"/>
          <w14:textFill>
            <w14:solidFill>
              <w14:schemeClr w14:val="tx1"/>
            </w14:solidFill>
          </w14:textFill>
        </w:rPr>
        <w:t>搬迁前钻后污染物应得到妥善处理，做到工完、料净、场地清，放弃的井场应尽可能地恢复其原来的土地利用状况或者按土地承包人的意愿转换土地用途。此过程对环境基本无影响。</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建设单位依法办理环保手续并按照钻井井场环保标准进行验收，验收合格方可交井，并对后续可能出现的环保问题负责。</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w:t>
      </w:r>
      <w:r>
        <w:rPr>
          <w:rFonts w:hint="eastAsia" w:cs="Times New Roman"/>
          <w:b/>
          <w:color w:val="000000" w:themeColor="text1"/>
          <w:szCs w:val="24"/>
          <w:highlight w:val="none"/>
          <w14:textFill>
            <w14:solidFill>
              <w14:schemeClr w14:val="tx1"/>
            </w14:solidFill>
          </w14:textFill>
        </w:rPr>
        <w:t>储层改造工程产污环节分析</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储层改造工程</w:t>
      </w:r>
      <w:r>
        <w:rPr>
          <w:rFonts w:cs="Times New Roman"/>
          <w:bCs/>
          <w:color w:val="000000" w:themeColor="text1"/>
          <w:szCs w:val="24"/>
          <w:highlight w:val="none"/>
          <w14:textFill>
            <w14:solidFill>
              <w14:schemeClr w14:val="tx1"/>
            </w14:solidFill>
          </w14:textFill>
        </w:rPr>
        <w:t>主要污染为压裂过程中会产生噪声、施工人员生活垃圾和生活污水，测试放喷阶段的污染物主要是压裂返排液、</w:t>
      </w:r>
      <w:r>
        <w:rPr>
          <w:rFonts w:hint="eastAsia" w:cs="Times New Roman"/>
          <w:bCs/>
          <w:color w:val="000000" w:themeColor="text1"/>
          <w:szCs w:val="24"/>
          <w:highlight w:val="none"/>
          <w14:textFill>
            <w14:solidFill>
              <w14:schemeClr w14:val="tx1"/>
            </w14:solidFill>
          </w14:textFill>
        </w:rPr>
        <w:t>洗井废水、</w:t>
      </w:r>
      <w:r>
        <w:rPr>
          <w:rFonts w:cs="Times New Roman"/>
          <w:bCs/>
          <w:color w:val="000000" w:themeColor="text1"/>
          <w:szCs w:val="24"/>
          <w:highlight w:val="none"/>
          <w14:textFill>
            <w14:solidFill>
              <w14:schemeClr w14:val="tx1"/>
            </w14:solidFill>
          </w14:textFill>
        </w:rPr>
        <w:t>天然气点火产生的废气、气流噪声以及热辐射影响。</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油气集输工程</w:t>
      </w:r>
    </w:p>
    <w:p>
      <w:pPr>
        <w:ind w:firstLine="482"/>
        <w:rPr>
          <w:rFonts w:cs="Times New Roman"/>
          <w:b/>
          <w:bCs/>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1、试采站建设</w:t>
      </w:r>
    </w:p>
    <w:p>
      <w:pPr>
        <w:ind w:firstLine="480"/>
        <w:rPr>
          <w:rFonts w:cs="Times New Roman"/>
          <w:bCs/>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w:t>
      </w:r>
      <w:r>
        <w:rPr>
          <w:rFonts w:cs="Times New Roman"/>
          <w:color w:val="000000" w:themeColor="text1"/>
          <w:szCs w:val="24"/>
          <w:highlight w:val="none"/>
          <w14:textFill>
            <w14:solidFill>
              <w14:schemeClr w14:val="tx1"/>
            </w14:solidFill>
          </w14:textFill>
        </w:rPr>
        <w:t>完毕后，通过测试并获得天然气产量后，</w:t>
      </w:r>
      <w:r>
        <w:rPr>
          <w:rFonts w:hint="eastAsia"/>
          <w:color w:val="000000" w:themeColor="text1"/>
          <w:highlight w:val="none"/>
          <w14:textFill>
            <w14:solidFill>
              <w14:schemeClr w14:val="tx1"/>
            </w14:solidFill>
          </w14:textFill>
        </w:rPr>
        <w:t>本次</w:t>
      </w:r>
      <w:r>
        <w:rPr>
          <w:rFonts w:hint="eastAsia" w:cs="Times New Roman"/>
          <w:color w:val="000000" w:themeColor="text1"/>
          <w:szCs w:val="24"/>
          <w:highlight w:val="none"/>
          <w14:textFill>
            <w14:solidFill>
              <w14:schemeClr w14:val="tx1"/>
            </w14:solidFill>
          </w14:textFill>
        </w:rPr>
        <w:t>新建大湾408-3井场试采站1座，采气树来气经</w:t>
      </w:r>
      <w:r>
        <w:rPr>
          <w:rFonts w:hint="eastAsia"/>
          <w:color w:val="000000" w:themeColor="text1"/>
          <w:highlight w:val="none"/>
          <w14:textFill>
            <w14:solidFill>
              <w14:schemeClr w14:val="tx1"/>
            </w14:solidFill>
          </w14:textFill>
        </w:rPr>
        <w:t>站采用除砂、加热节流、单井气液计量、气液两相分离、三甘醇脱水、原料</w:t>
      </w:r>
      <w:r>
        <w:rPr>
          <w:color w:val="000000" w:themeColor="text1"/>
          <w:highlight w:val="none"/>
          <w14:textFill>
            <w14:solidFill>
              <w14:schemeClr w14:val="tx1"/>
            </w14:solidFill>
          </w14:textFill>
        </w:rPr>
        <w:t>，实现气井产物</w:t>
      </w:r>
      <w:r>
        <w:rPr>
          <w:rFonts w:hint="eastAsia"/>
          <w:color w:val="000000" w:themeColor="text1"/>
          <w:highlight w:val="none"/>
          <w14:textFill>
            <w14:solidFill>
              <w14:schemeClr w14:val="tx1"/>
            </w14:solidFill>
          </w14:textFill>
        </w:rPr>
        <w:t>分离、</w:t>
      </w:r>
      <w:r>
        <w:rPr>
          <w:color w:val="000000" w:themeColor="text1"/>
          <w:highlight w:val="none"/>
          <w14:textFill>
            <w14:solidFill>
              <w14:schemeClr w14:val="tx1"/>
            </w14:solidFill>
          </w14:textFill>
        </w:rPr>
        <w:t>计量及天然气外输和污水等进行分类回收处置功能</w:t>
      </w:r>
      <w:r>
        <w:rPr>
          <w:rFonts w:hint="eastAsia"/>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配套建设自控、电力、结构等设施</w:t>
      </w:r>
      <w:r>
        <w:rPr>
          <w:rFonts w:hint="eastAsia"/>
          <w:color w:val="000000" w:themeColor="text1"/>
          <w:highlight w:val="none"/>
          <w14:textFill>
            <w14:solidFill>
              <w14:schemeClr w14:val="tx1"/>
            </w14:solidFill>
          </w14:textFill>
        </w:rPr>
        <w:t>。</w:t>
      </w:r>
    </w:p>
    <w:p>
      <w:pPr>
        <w:ind w:firstLine="482"/>
        <w:rPr>
          <w:rFonts w:cs="Times New Roman"/>
          <w:bCs/>
          <w:color w:val="000000" w:themeColor="text1"/>
          <w:szCs w:val="24"/>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（1）站场工程工艺流程简述</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试采站站场工程施工工艺如下：场地平整→基础施工→设备安装→地面恢复。施工过程中先采用推土机、挖掘机对场地进行平整，修建（维修）截排水沟，然后对场地进行夯实，敷设管道等。最后采用石子、碎石等对场地进行硬化，安装集气设备。本项目</w:t>
      </w:r>
      <w:r>
        <w:rPr>
          <w:rFonts w:hint="eastAsia" w:cs="Times New Roman"/>
          <w:bCs/>
          <w:color w:val="000000" w:themeColor="text1"/>
          <w:szCs w:val="24"/>
          <w:highlight w:val="none"/>
          <w14:textFill>
            <w14:solidFill>
              <w14:schemeClr w14:val="tx1"/>
            </w14:solidFill>
          </w14:textFill>
        </w:rPr>
        <w:t>试采井站</w:t>
      </w:r>
      <w:r>
        <w:rPr>
          <w:rFonts w:cs="Times New Roman"/>
          <w:bCs/>
          <w:color w:val="000000" w:themeColor="text1"/>
          <w:szCs w:val="24"/>
          <w:highlight w:val="none"/>
          <w14:textFill>
            <w14:solidFill>
              <w14:schemeClr w14:val="tx1"/>
            </w14:solidFill>
          </w14:textFill>
        </w:rPr>
        <w:t>依托</w:t>
      </w:r>
      <w:r>
        <w:rPr>
          <w:rFonts w:hint="eastAsia" w:cs="Times New Roman"/>
          <w:bCs/>
          <w:color w:val="000000" w:themeColor="text1"/>
          <w:szCs w:val="24"/>
          <w:highlight w:val="none"/>
          <w14:textFill>
            <w14:solidFill>
              <w14:schemeClr w14:val="tx1"/>
            </w14:solidFill>
          </w14:textFill>
        </w:rPr>
        <w:t>施工期已建设的钻井井场建设</w:t>
      </w:r>
      <w:r>
        <w:rPr>
          <w:rFonts w:cs="Times New Roman"/>
          <w:bCs/>
          <w:color w:val="000000" w:themeColor="text1"/>
          <w:szCs w:val="24"/>
          <w:highlight w:val="none"/>
          <w14:textFill>
            <w14:solidFill>
              <w14:schemeClr w14:val="tx1"/>
            </w14:solidFill>
          </w14:textFill>
        </w:rPr>
        <w:t>，场地均已平整，只需进行设备安装。</w:t>
      </w:r>
    </w:p>
    <w:p>
      <w:pPr>
        <w:pStyle w:val="52"/>
        <w:ind w:firstLine="0" w:firstLineChars="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19700" cy="1706880"/>
            <wp:effectExtent l="0" t="0" r="0" b="762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32"/>
                    <a:stretch>
                      <a:fillRect/>
                    </a:stretch>
                  </pic:blipFill>
                  <pic:spPr>
                    <a:xfrm>
                      <a:off x="0" y="0"/>
                      <a:ext cx="5220000" cy="1707324"/>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井站施工期工艺流程</w:t>
      </w:r>
      <w:r>
        <w:rPr>
          <w:rFonts w:hint="eastAsia"/>
          <w:color w:val="000000" w:themeColor="text1"/>
          <w:highlight w:val="none"/>
          <w14:textFill>
            <w14:solidFill>
              <w14:schemeClr w14:val="tx1"/>
            </w14:solidFill>
          </w14:textFill>
        </w:rPr>
        <w:t>及产污节点</w:t>
      </w:r>
      <w:r>
        <w:rPr>
          <w:color w:val="000000" w:themeColor="text1"/>
          <w:highlight w:val="none"/>
          <w14:textFill>
            <w14:solidFill>
              <w14:schemeClr w14:val="tx1"/>
            </w14:solidFill>
          </w14:textFill>
        </w:rPr>
        <w:t>图</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（2）站场工程产污环节分析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站场建设过程产生扬尘、机械设备噪声、施工队生活污水、混凝土搅拌废水、生活垃圾及建筑垃圾</w:t>
      </w:r>
      <w:r>
        <w:rPr>
          <w:rFonts w:hint="eastAsia" w:cs="Times New Roman"/>
          <w:bCs/>
          <w:color w:val="000000" w:themeColor="text1"/>
          <w:szCs w:val="24"/>
          <w:highlight w:val="none"/>
          <w14:textFill>
            <w14:solidFill>
              <w14:schemeClr w14:val="tx1"/>
            </w14:solidFill>
          </w14:textFill>
        </w:rPr>
        <w:t>、废弃焊条和废材料桶</w:t>
      </w:r>
      <w:r>
        <w:rPr>
          <w:rFonts w:cs="Times New Roman"/>
          <w:bCs/>
          <w:color w:val="000000" w:themeColor="text1"/>
          <w:szCs w:val="24"/>
          <w:highlight w:val="none"/>
          <w14:textFill>
            <w14:solidFill>
              <w14:schemeClr w14:val="tx1"/>
            </w14:solidFill>
          </w14:textFill>
        </w:rPr>
        <w:t>等。这些污染贯穿整个施工过程，但站场部分施工量小，施工时间较短，污染物产生量少。</w:t>
      </w:r>
    </w:p>
    <w:p>
      <w:pPr>
        <w:ind w:firstLine="482"/>
        <w:rPr>
          <w:rFonts w:cs="Times New Roman"/>
          <w:b/>
          <w:bCs/>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2、集输管线</w:t>
      </w:r>
    </w:p>
    <w:p>
      <w:pPr>
        <w:ind w:firstLine="480"/>
        <w:rPr>
          <w:rFonts w:cs="Times New Roman"/>
          <w:b/>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本项目将新建</w:t>
      </w:r>
      <w:r>
        <w:rPr>
          <w:rFonts w:hint="eastAsia" w:cs="Times New Roman"/>
          <w:color w:val="000000" w:themeColor="text1"/>
          <w:szCs w:val="24"/>
          <w:highlight w:val="none"/>
          <w14:textFill>
            <w14:solidFill>
              <w14:schemeClr w14:val="tx1"/>
            </w14:solidFill>
          </w14:textFill>
        </w:rPr>
        <w:t>大湾408-3井场试采站</w:t>
      </w:r>
      <w:r>
        <w:rPr>
          <w:rFonts w:hint="eastAsia"/>
          <w:color w:val="000000" w:themeColor="text1"/>
          <w:highlight w:val="none"/>
          <w14:textFill>
            <w14:solidFill>
              <w14:schemeClr w14:val="tx1"/>
            </w14:solidFill>
          </w14:textFill>
        </w:rPr>
        <w:t>至大湾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输气管线1条，管道长度200m，管线规格DN65，材质为L360QS（GB/T9711），设计压力12.5MPa，埋深1.2m</w:t>
      </w:r>
      <w:r>
        <w:rPr>
          <w:rFonts w:hint="eastAsia" w:cs="Times New Roman"/>
          <w:color w:val="000000" w:themeColor="text1"/>
          <w:szCs w:val="32"/>
          <w:highlight w:val="none"/>
          <w14:textFill>
            <w14:solidFill>
              <w14:schemeClr w14:val="tx1"/>
            </w14:solidFill>
          </w14:textFill>
        </w:rPr>
        <w:t>。</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（1）集输管线施工流程及产污节点</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本项目管线距离短，仅为井场至试采站的较短集输管道，管线沿途无河流、公路等穿越。因此，集输管线沿途不设置施工便道、施工场地等，也不必单独设置堆管场、穿越施工场地等。</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本工程管线施工首先进行作业线路、场地的清理，</w:t>
      </w:r>
      <w:r>
        <w:rPr>
          <w:rFonts w:hint="eastAsia" w:cs="Times New Roman"/>
          <w:color w:val="000000" w:themeColor="text1"/>
          <w:highlight w:val="none"/>
          <w14:textFill>
            <w14:solidFill>
              <w14:schemeClr w14:val="tx1"/>
            </w14:solidFill>
          </w14:textFill>
        </w:rPr>
        <w:t>本项目管线主要沿现有道路铺设</w:t>
      </w:r>
      <w:r>
        <w:rPr>
          <w:rFonts w:cs="Times New Roman"/>
          <w:color w:val="000000" w:themeColor="text1"/>
          <w:highlight w:val="none"/>
          <w14:textFill>
            <w14:solidFill>
              <w14:schemeClr w14:val="tx1"/>
            </w14:solidFill>
          </w14:textFill>
        </w:rPr>
        <w:t>，按照施工规范，将运至施工现场的钢管进行焊接、接口防腐，然后</w:t>
      </w:r>
      <w:r>
        <w:rPr>
          <w:rFonts w:hint="eastAsia" w:cs="Times New Roman"/>
          <w:color w:val="000000" w:themeColor="text1"/>
          <w:highlight w:val="none"/>
          <w14:textFill>
            <w14:solidFill>
              <w14:schemeClr w14:val="tx1"/>
            </w14:solidFill>
          </w14:textFill>
        </w:rPr>
        <w:t>沿地面铺设</w:t>
      </w:r>
      <w:r>
        <w:rPr>
          <w:rFonts w:cs="Times New Roman"/>
          <w:color w:val="000000" w:themeColor="text1"/>
          <w:highlight w:val="none"/>
          <w14:textFill>
            <w14:solidFill>
              <w14:schemeClr w14:val="tx1"/>
            </w14:solidFill>
          </w14:textFill>
        </w:rPr>
        <w:t>，然后对管道进行试压，清理作业现场，恢复地貌、恢复植被。管线施工作业流程及产污节点见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_Ref139747095 \h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12</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4934585" cy="4363720"/>
            <wp:effectExtent l="0" t="0" r="8890" b="8255"/>
            <wp:docPr id="137000946" name="图片 13700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00946" name="图片 1370009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4934585" cy="4363720"/>
                    </a:xfrm>
                    <a:prstGeom prst="rect">
                      <a:avLst/>
                    </a:prstGeom>
                    <a:noFill/>
                    <a:ln>
                      <a:noFill/>
                    </a:ln>
                  </pic:spPr>
                </pic:pic>
              </a:graphicData>
            </a:graphic>
          </wp:inline>
        </w:drawing>
      </w:r>
      <w:r>
        <w:rPr>
          <w:color w:val="000000" w:themeColor="text1"/>
          <w:highlight w:val="none"/>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906145</wp:posOffset>
                </wp:positionH>
                <wp:positionV relativeFrom="paragraph">
                  <wp:posOffset>732155</wp:posOffset>
                </wp:positionV>
                <wp:extent cx="740410" cy="0"/>
                <wp:effectExtent l="0" t="50800" r="2540" b="53975"/>
                <wp:wrapNone/>
                <wp:docPr id="272" name="直接箭头连接符 272"/>
                <wp:cNvGraphicFramePr/>
                <a:graphic xmlns:a="http://schemas.openxmlformats.org/drawingml/2006/main">
                  <a:graphicData uri="http://schemas.microsoft.com/office/word/2010/wordprocessingShape">
                    <wps:wsp>
                      <wps:cNvCnPr/>
                      <wps:spPr>
                        <a:xfrm flipH="1">
                          <a:off x="2049145" y="1605915"/>
                          <a:ext cx="740410" cy="0"/>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1.35pt;margin-top:57.65pt;height:0pt;width:58.3pt;z-index:251752448;mso-width-relative:page;mso-height-relative:page;" filled="f" stroked="t" coordsize="21600,21600" o:gfxdata="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JxStaHVAAAACwEA&#10;AA8AAAAAAAAAAQAgAAAAIgAAAGRycy9kb3ducmV2LnhtbFBLAQIUABQAAAAIAIdO4kB3GgOMHQIA&#10;APcDAAAOAAAAAAAAAAEAIAAAACQBAABkcnMvZTJvRG9jLnhtbFBLBQYAAAAABgAGAFkBAACzBQAA&#10;AAA=&#10;">
                <v:fill on="f" focussize="0,0"/>
                <v:stroke weight="1pt" color="#FF0000 [3204]" miterlimit="8" joinstyle="miter" dashstyle="dash"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4023360</wp:posOffset>
                </wp:positionH>
                <wp:positionV relativeFrom="paragraph">
                  <wp:posOffset>643890</wp:posOffset>
                </wp:positionV>
                <wp:extent cx="0" cy="645795"/>
                <wp:effectExtent l="6350" t="0" r="12700" b="1905"/>
                <wp:wrapNone/>
                <wp:docPr id="274" name="直接连接符 274"/>
                <wp:cNvGraphicFramePr/>
                <a:graphic xmlns:a="http://schemas.openxmlformats.org/drawingml/2006/main">
                  <a:graphicData uri="http://schemas.microsoft.com/office/word/2010/wordprocessingShape">
                    <wps:wsp>
                      <wps:cNvCnPr/>
                      <wps:spPr>
                        <a:xfrm>
                          <a:off x="5181600" y="1558290"/>
                          <a:ext cx="0" cy="645795"/>
                        </a:xfrm>
                        <a:prstGeom prst="line">
                          <a:avLst/>
                        </a:prstGeom>
                        <a:ln>
                          <a:solidFill>
                            <a:srgbClr val="FF0000"/>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16.8pt;margin-top:50.7pt;height:50.85pt;width:0pt;z-index:251754496;mso-width-relative:page;mso-height-relative:page;" filled="f" stroked="t" coordsize="21600,21600" o:gfxdata="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m+9UzVAAAACwEAAA8AAAAAAAAAAQAgAAAAIgAAAGRycy9kb3ducmV2LnhtbFBLAQIU&#10;ABQAAAAIAIdO4kAW7ZUL9gEAAMADAAAOAAAAAAAAAAEAIAAAACQBAABkcnMvZTJvRG9jLnhtbFBL&#10;BQYAAAAABgAGAFkBAACMBQAAAAA=&#10;">
                <v:fill on="f" focussize="0,0"/>
                <v:stroke weight="1pt" color="#FF0000 [3204]" miterlimit="8" joinstyle="miter" dashstyle="dash"/>
                <v:imagedata o:title=""/>
                <o:lock v:ext="edit" aspectratio="f"/>
              </v:lin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3176270</wp:posOffset>
                </wp:positionH>
                <wp:positionV relativeFrom="paragraph">
                  <wp:posOffset>633095</wp:posOffset>
                </wp:positionV>
                <wp:extent cx="841375" cy="5715"/>
                <wp:effectExtent l="0" t="6350" r="6350" b="6985"/>
                <wp:wrapNone/>
                <wp:docPr id="273" name="直接连接符 273"/>
                <wp:cNvGraphicFramePr/>
                <a:graphic xmlns:a="http://schemas.openxmlformats.org/drawingml/2006/main">
                  <a:graphicData uri="http://schemas.microsoft.com/office/word/2010/wordprocessingShape">
                    <wps:wsp>
                      <wps:cNvCnPr/>
                      <wps:spPr>
                        <a:xfrm>
                          <a:off x="3848100" y="1907540"/>
                          <a:ext cx="841375" cy="5715"/>
                        </a:xfrm>
                        <a:prstGeom prst="line">
                          <a:avLst/>
                        </a:prstGeom>
                        <a:ln>
                          <a:solidFill>
                            <a:srgbClr val="FF0000"/>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50.1pt;margin-top:49.85pt;height:0.45pt;width:66.25pt;z-index:251753472;mso-width-relative:page;mso-height-relative:page;" filled="f" stroked="t" coordsize="21600,21600" o:gfxdata="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Qa8OhNUAAAAKAQAADwAAAAAAAAABACAAAAAiAAAAZHJzL2Rvd25yZXYueG1sUEsB&#10;AhQAFAAAAAgAh07iQBsRQkj4AQAAwwMAAA4AAAAAAAAAAQAgAAAAJAEAAGRycy9lMm9Eb2MueG1s&#10;UEsFBgAAAAAGAAYAWQEAAI4FAAAAAA==&#10;">
                <v:fill on="f" focussize="0,0"/>
                <v:stroke weight="1pt" color="#FF0000 [3204]" miterlimit="8" joinstyle="miter" dashstyle="dash"/>
                <v:imagedata o:title=""/>
                <o:lock v:ext="edit" aspectratio="f"/>
              </v:lin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1646555</wp:posOffset>
                </wp:positionH>
                <wp:positionV relativeFrom="paragraph">
                  <wp:posOffset>548640</wp:posOffset>
                </wp:positionV>
                <wp:extent cx="1497965" cy="285750"/>
                <wp:effectExtent l="4445" t="4445" r="12065" b="5080"/>
                <wp:wrapNone/>
                <wp:docPr id="271" name="文本框 271"/>
                <wp:cNvGraphicFramePr/>
                <a:graphic xmlns:a="http://schemas.openxmlformats.org/drawingml/2006/main">
                  <a:graphicData uri="http://schemas.microsoft.com/office/word/2010/wordprocessingShape">
                    <wps:wsp>
                      <wps:cNvSpPr txBox="1"/>
                      <wps:spPr>
                        <a:xfrm>
                          <a:off x="2789555" y="1235710"/>
                          <a:ext cx="1497965" cy="285750"/>
                        </a:xfrm>
                        <a:prstGeom prst="rect">
                          <a:avLst/>
                        </a:prstGeom>
                        <a:solidFill>
                          <a:srgbClr val="FFFFFF"/>
                        </a:solidFill>
                        <a:ln w="9525">
                          <a:solidFill>
                            <a:srgbClr val="000000"/>
                          </a:solidFill>
                          <a:miter lim="800000"/>
                        </a:ln>
                      </wps:spPr>
                      <wps:txbx>
                        <w:txbxContent>
                          <w:p>
                            <w:pPr>
                              <w:ind w:firstLine="0" w:firstLineChars="0"/>
                              <w:jc w:val="center"/>
                            </w:pPr>
                            <w:r>
                              <w:rPr>
                                <w:rFonts w:hint="eastAsia"/>
                                <w:sz w:val="20"/>
                                <w:szCs w:val="20"/>
                              </w:rPr>
                              <w:t>运输管道、布设管道</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29.65pt;margin-top:43.2pt;height:22.5pt;width:117.95pt;z-index:251751424;mso-width-relative:page;mso-height-relative:page;" fillcolor="#FFFFFF" filled="t" stroked="t" coordsize="21600,21600" o:gfxdata="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UDTcp9gAAAAKAQAADwAAAAAAAAABACAAAAAiAAAAZHJz&#10;L2Rvd25yZXYueG1sUEsBAhQAFAAAAAgAh07iQDPZgf92AgAA6wQAAA4AAAAAAAAAAQAgAAAAJwEA&#10;AGRycy9lMm9Eb2MueG1sUEsFBgAAAAAGAAYAWQEAAA8GAAAAAA==&#10;">
                <v:fill on="t" focussize="0,0"/>
                <v:stroke color="#000000" miterlimit="8" joinstyle="miter"/>
                <v:imagedata o:title=""/>
                <o:lock v:ext="edit" aspectratio="f"/>
                <v:textbox>
                  <w:txbxContent>
                    <w:p>
                      <w:pPr>
                        <w:ind w:firstLine="0" w:firstLineChars="0"/>
                        <w:jc w:val="center"/>
                      </w:pPr>
                      <w:r>
                        <w:rPr>
                          <w:rFonts w:hint="eastAsia"/>
                          <w:sz w:val="20"/>
                          <w:szCs w:val="20"/>
                        </w:rPr>
                        <w:t>运输管道、布设管道</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2371725</wp:posOffset>
                </wp:positionH>
                <wp:positionV relativeFrom="paragraph">
                  <wp:posOffset>897890</wp:posOffset>
                </wp:positionV>
                <wp:extent cx="0" cy="444500"/>
                <wp:effectExtent l="50800" t="0" r="53975" b="3175"/>
                <wp:wrapNone/>
                <wp:docPr id="270" name="直接箭头连接符 270"/>
                <wp:cNvGraphicFramePr/>
                <a:graphic xmlns:a="http://schemas.openxmlformats.org/drawingml/2006/main">
                  <a:graphicData uri="http://schemas.microsoft.com/office/word/2010/wordprocessingShape">
                    <wps:wsp>
                      <wps:cNvCnPr/>
                      <wps:spPr>
                        <a:xfrm>
                          <a:off x="5472430" y="3733165"/>
                          <a:ext cx="0" cy="44450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86.75pt;margin-top:70.7pt;height:35pt;width:0pt;z-index:251750400;mso-width-relative:page;mso-height-relative:page;" filled="f" stroked="t" coordsize="21600,21600" o:gfxdata="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kDBrdcAAAALAQAADwAAAAAAAAAB&#10;ACAAAAAiAAAAZHJzL2Rvd25yZXYueG1sUEsBAhQAFAAAAAgAh07iQGlTL5gRAgAA7gMAAA4AAAAA&#10;AAAAAQAgAAAAJgEAAGRycy9lMm9Eb2MueG1sUEsFBgAAAAAGAAYAWQEAAKkFAAAAAA==&#10;">
                <v:fill on="f" focussize="0,0"/>
                <v:stroke weight="1pt" color="#000000 [3213]"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2043430</wp:posOffset>
                </wp:positionH>
                <wp:positionV relativeFrom="paragraph">
                  <wp:posOffset>683895</wp:posOffset>
                </wp:positionV>
                <wp:extent cx="2317750" cy="561340"/>
                <wp:effectExtent l="0" t="0" r="6350" b="635"/>
                <wp:wrapNone/>
                <wp:docPr id="268" name="矩形 268"/>
                <wp:cNvGraphicFramePr/>
                <a:graphic xmlns:a="http://schemas.openxmlformats.org/drawingml/2006/main">
                  <a:graphicData uri="http://schemas.microsoft.com/office/word/2010/wordprocessingShape">
                    <wps:wsp>
                      <wps:cNvSpPr/>
                      <wps:spPr>
                        <a:xfrm>
                          <a:off x="3186430" y="1598295"/>
                          <a:ext cx="2317750" cy="56134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0.9pt;margin-top:53.85pt;height:44.2pt;width:182.5pt;z-index:251749376;v-text-anchor:middle;mso-width-relative:page;mso-height-relative:page;" fillcolor="#FFFFFF [3212]" filled="t" stroked="f" coordsize="21600,21600" o:gfxdata="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PIFYPZAAAACwEAAA8AAAAAAAAAAQAgAAAAIgAA&#10;AGRycy9kb3ducmV2LnhtbFBLAQIUABQAAAAIAIdO4kCIJ80IeQIAANsEAAAOAAAAAAAAAAEAIAAA&#10;ACgBAABkcnMvZTJvRG9jLnhtbFBLBQYAAAAABgAGAFkBAAATBgAAAAA=&#10;">
                <v:fill on="t" focussize="0,0"/>
                <v:stroke on="f" weight="1pt" miterlimit="8" joinstyle="miter"/>
                <v:imagedata o:title=""/>
                <o:lock v:ext="edit" aspectratio="f"/>
              </v:rect>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1001395</wp:posOffset>
                </wp:positionH>
                <wp:positionV relativeFrom="paragraph">
                  <wp:posOffset>-62230</wp:posOffset>
                </wp:positionV>
                <wp:extent cx="3407410" cy="1063625"/>
                <wp:effectExtent l="6350" t="6350" r="15240" b="6350"/>
                <wp:wrapNone/>
                <wp:docPr id="267" name="矩形 267"/>
                <wp:cNvGraphicFramePr/>
                <a:graphic xmlns:a="http://schemas.openxmlformats.org/drawingml/2006/main">
                  <a:graphicData uri="http://schemas.microsoft.com/office/word/2010/wordprocessingShape">
                    <wps:wsp>
                      <wps:cNvSpPr/>
                      <wps:spPr>
                        <a:xfrm>
                          <a:off x="2144395" y="852170"/>
                          <a:ext cx="3407410" cy="1063625"/>
                        </a:xfrm>
                        <a:prstGeom prst="rect">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85pt;margin-top:-4.9pt;height:83.75pt;width:268.3pt;z-index:251748352;v-text-anchor:middle;mso-width-relative:page;mso-height-relative:page;" fillcolor="#FFFFFF [3212]" filled="t" stroked="t" coordsize="21600,21600" o:gfxdata="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LPMWPrXAAAACgEAAA8AAAAAAAAAAQAgAAAAIgAAAGRy&#10;cy9kb3ducmV2LnhtbFBLAQIUABQAAAAIAIdO4kCiivo5eAIAAAQFAAAOAAAAAAAAAAEAIAAAACYB&#10;AABkcnMvZTJvRG9jLnhtbFBLBQYAAAAABgAGAFkBAAAQBgAAAAA=&#10;">
                <v:fill on="t" focussize="0,0"/>
                <v:stroke weight="1pt" color="#FFFFFF [3212]" miterlimit="8" joinstyle="miter"/>
                <v:imagedata o:title=""/>
                <o:lock v:ext="edit" aspectratio="f"/>
              </v:rect>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1706880</wp:posOffset>
                </wp:positionH>
                <wp:positionV relativeFrom="paragraph">
                  <wp:posOffset>1298575</wp:posOffset>
                </wp:positionV>
                <wp:extent cx="1262380" cy="422910"/>
                <wp:effectExtent l="4445" t="4445" r="9525" b="10795"/>
                <wp:wrapNone/>
                <wp:docPr id="232" name="文本框 232"/>
                <wp:cNvGraphicFramePr/>
                <a:graphic xmlns:a="http://schemas.openxmlformats.org/drawingml/2006/main">
                  <a:graphicData uri="http://schemas.microsoft.com/office/word/2010/wordprocessingShape">
                    <wps:wsp>
                      <wps:cNvSpPr txBox="1"/>
                      <wps:spPr>
                        <a:xfrm>
                          <a:off x="2802890" y="2218690"/>
                          <a:ext cx="1262380" cy="42291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20"/>
                                <w:szCs w:val="20"/>
                              </w:rPr>
                            </w:pPr>
                            <w:r>
                              <w:rPr>
                                <w:rFonts w:hint="eastAsia"/>
                                <w:sz w:val="20"/>
                                <w:szCs w:val="20"/>
                              </w:rPr>
                              <w:t>管线占地平整、</w:t>
                            </w:r>
                          </w:p>
                          <w:p>
                            <w:pPr>
                              <w:spacing w:line="240" w:lineRule="auto"/>
                              <w:ind w:firstLine="0" w:firstLineChars="0"/>
                              <w:jc w:val="center"/>
                              <w:rPr>
                                <w:sz w:val="20"/>
                                <w:szCs w:val="20"/>
                              </w:rPr>
                            </w:pPr>
                            <w:r>
                              <w:rPr>
                                <w:rFonts w:hint="eastAsia"/>
                                <w:sz w:val="20"/>
                                <w:szCs w:val="20"/>
                              </w:rPr>
                              <w:t>压实</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4.4pt;margin-top:102.25pt;height:33.3pt;width:99.4pt;z-index:251713536;mso-width-relative:page;mso-height-relative:page;" fillcolor="#FFFFFF" filled="t" stroked="t" coordsize="21600,21600" o:gfxdata="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2JMafNoAAAALAQAADwAAAAAAAAABACAAAAAiAAAAZHJz&#10;L2Rvd25yZXYueG1sUEsBAhQAFAAAAAgAh07iQNlkWEN0AgAA6wQAAA4AAAAAAAAAAQAgAAAAKQEA&#10;AGRycy9lMm9Eb2MueG1sUEsFBgAAAAAGAAYAWQEAAA8GAAAAAA==&#10;">
                <v:fill on="t" focussize="0,0"/>
                <v:stroke color="#000000" miterlimit="8" joinstyle="miter"/>
                <v:imagedata o:title=""/>
                <o:lock v:ext="edit" aspectratio="f"/>
                <v:textbox>
                  <w:txbxContent>
                    <w:p>
                      <w:pPr>
                        <w:spacing w:line="240" w:lineRule="auto"/>
                        <w:ind w:firstLine="0" w:firstLineChars="0"/>
                        <w:jc w:val="center"/>
                        <w:rPr>
                          <w:sz w:val="20"/>
                          <w:szCs w:val="20"/>
                        </w:rPr>
                      </w:pPr>
                      <w:r>
                        <w:rPr>
                          <w:rFonts w:hint="eastAsia"/>
                          <w:sz w:val="20"/>
                          <w:szCs w:val="20"/>
                        </w:rPr>
                        <w:t>管线占地平整、</w:t>
                      </w:r>
                    </w:p>
                    <w:p>
                      <w:pPr>
                        <w:spacing w:line="240" w:lineRule="auto"/>
                        <w:ind w:firstLine="0" w:firstLineChars="0"/>
                        <w:jc w:val="center"/>
                        <w:rPr>
                          <w:sz w:val="20"/>
                          <w:szCs w:val="20"/>
                        </w:rPr>
                      </w:pPr>
                      <w:r>
                        <w:rPr>
                          <w:rFonts w:hint="eastAsia"/>
                          <w:sz w:val="20"/>
                          <w:szCs w:val="20"/>
                        </w:rPr>
                        <w:t>压实</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1160145</wp:posOffset>
                </wp:positionH>
                <wp:positionV relativeFrom="paragraph">
                  <wp:posOffset>1459230</wp:posOffset>
                </wp:positionV>
                <wp:extent cx="499745" cy="0"/>
                <wp:effectExtent l="0" t="6350" r="5080" b="7620"/>
                <wp:wrapNone/>
                <wp:docPr id="234" name="直接连接符 234"/>
                <wp:cNvGraphicFramePr/>
                <a:graphic xmlns:a="http://schemas.openxmlformats.org/drawingml/2006/main">
                  <a:graphicData uri="http://schemas.microsoft.com/office/word/2010/wordprocessingShape">
                    <wps:wsp>
                      <wps:cNvCnPr/>
                      <wps:spPr>
                        <a:xfrm flipH="1">
                          <a:off x="0" y="0"/>
                          <a:ext cx="499745" cy="0"/>
                        </a:xfrm>
                        <a:prstGeom prst="line">
                          <a:avLst/>
                        </a:prstGeom>
                        <a:ln>
                          <a:solidFill>
                            <a:srgbClr val="FF0000"/>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91.35pt;margin-top:114.9pt;height:0pt;width:39.35pt;z-index:251715584;mso-width-relative:page;mso-height-relative:page;" filled="f" stroked="t" coordsize="21600,21600" o:gfxdata="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Ww89NNYAAAALAQAADwAAAAAAAAABACAAAAAiAAAAZHJzL2Rvd25yZXYueG1sUEsBAhQAFAAA&#10;AAgAh07iQDwsOyTxAQAAvgMAAA4AAAAAAAAAAQAgAAAAJQEAAGRycy9lMm9Eb2MueG1sUEsFBgAA&#10;AAAGAAYAWQEAAIgFAAAAAA==&#10;">
                <v:fill on="f" focussize="0,0"/>
                <v:stroke weight="1pt" color="#FF0000 [3204]" miterlimit="8" joinstyle="miter" dashstyle="dash"/>
                <v:imagedata o:title=""/>
                <o:lock v:ext="edit" aspectratio="f"/>
              </v:lin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3017520</wp:posOffset>
                </wp:positionH>
                <wp:positionV relativeFrom="paragraph">
                  <wp:posOffset>1459230</wp:posOffset>
                </wp:positionV>
                <wp:extent cx="785495" cy="0"/>
                <wp:effectExtent l="0" t="6350" r="5080" b="7620"/>
                <wp:wrapNone/>
                <wp:docPr id="233" name="直接连接符 233"/>
                <wp:cNvGraphicFramePr/>
                <a:graphic xmlns:a="http://schemas.openxmlformats.org/drawingml/2006/main">
                  <a:graphicData uri="http://schemas.microsoft.com/office/word/2010/wordprocessingShape">
                    <wps:wsp>
                      <wps:cNvCnPr/>
                      <wps:spPr>
                        <a:xfrm flipH="1">
                          <a:off x="4065270" y="2373630"/>
                          <a:ext cx="785495" cy="0"/>
                        </a:xfrm>
                        <a:prstGeom prst="line">
                          <a:avLst/>
                        </a:prstGeom>
                        <a:ln>
                          <a:solidFill>
                            <a:srgbClr val="FF0000"/>
                          </a:solidFill>
                          <a:prstDash val="dash"/>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37.6pt;margin-top:114.9pt;height:0pt;width:61.85pt;z-index:251714560;mso-width-relative:page;mso-height-relative:page;" filled="f" stroked="t" coordsize="21600,21600" o:gfxdata="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fZQiR1wAAAAsBAAAPAAAAAAAAAAEAIAAAACIAAABkcnMvZG93bnJl&#10;di54bWxQSwECFAAUAAAACACHTuJAZAv28/4BAADKAwAADgAAAAAAAAABACAAAAAmAQAAZHJzL2Uy&#10;b0RvYy54bWxQSwUGAAAAAAYABgBZAQAAlgUAAAAA&#10;">
                <v:fill on="f" focussize="0,0"/>
                <v:stroke weight="1pt" color="#FF0000 [3204]" miterlimit="8" joinstyle="miter" dashstyle="dash"/>
                <v:imagedata o:title=""/>
                <o:lock v:ext="edit" aspectratio="f"/>
              </v:lin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1142365</wp:posOffset>
                </wp:positionH>
                <wp:positionV relativeFrom="paragraph">
                  <wp:posOffset>1185545</wp:posOffset>
                </wp:positionV>
                <wp:extent cx="2619375" cy="672465"/>
                <wp:effectExtent l="0" t="0" r="0" b="3810"/>
                <wp:wrapNone/>
                <wp:docPr id="231" name="文本框 231"/>
                <wp:cNvGraphicFramePr/>
                <a:graphic xmlns:a="http://schemas.openxmlformats.org/drawingml/2006/main">
                  <a:graphicData uri="http://schemas.microsoft.com/office/word/2010/wordprocessingShape">
                    <wps:wsp>
                      <wps:cNvSpPr txBox="1"/>
                      <wps:spPr>
                        <a:xfrm>
                          <a:off x="2285365" y="2099945"/>
                          <a:ext cx="2619375" cy="672465"/>
                        </a:xfrm>
                        <a:prstGeom prst="rect">
                          <a:avLst/>
                        </a:prstGeom>
                        <a:solidFill>
                          <a:srgbClr val="FFFFFF"/>
                        </a:solidFill>
                        <a:ln w="9525">
                          <a:noFill/>
                          <a:miter lim="800000"/>
                        </a:ln>
                      </wps:spPr>
                      <wps:txbx>
                        <w:txbxContent>
                          <w:p>
                            <w:pPr>
                              <w:ind w:firstLine="480"/>
                            </w:pP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89.95pt;margin-top:93.35pt;height:52.95pt;width:206.25pt;z-index:251712512;mso-width-relative:page;mso-height-relative:page;" fillcolor="#FFFFFF" filled="t" stroked="f" coordsize="21600,21600" o:gfxdata="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DlM4TYAAAACwEAAA8AAAAAAAAAAQAgAAAAIgAAAGRycy9kb3du&#10;cmV2LnhtbFBLAQIUABQAAAAIAIdO4kA06fN5cQIAAMIEAAAOAAAAAAAAAAEAIAAAACcBAABkcnMv&#10;ZTJvRG9jLnhtbFBLBQYAAAAABgAGAFkBAAAKBgAAAAA=&#10;">
                <v:fill on="t" focussize="0,0"/>
                <v:stroke on="f" miterlimit="8" joinstyle="miter"/>
                <v:imagedata o:title=""/>
                <o:lock v:ext="edit" aspectratio="f"/>
                <v:textbox>
                  <w:txbxContent>
                    <w:p>
                      <w:pPr>
                        <w:ind w:firstLine="480"/>
                      </w:pP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1160780</wp:posOffset>
                </wp:positionH>
                <wp:positionV relativeFrom="paragraph">
                  <wp:posOffset>1348740</wp:posOffset>
                </wp:positionV>
                <wp:extent cx="980440" cy="219075"/>
                <wp:effectExtent l="4445" t="5080" r="5715" b="4445"/>
                <wp:wrapNone/>
                <wp:docPr id="71" name="文本框 71"/>
                <wp:cNvGraphicFramePr/>
                <a:graphic xmlns:a="http://schemas.openxmlformats.org/drawingml/2006/main">
                  <a:graphicData uri="http://schemas.microsoft.com/office/word/2010/wordprocessingShape">
                    <wps:wsp>
                      <wps:cNvSpPr txBox="1"/>
                      <wps:spPr>
                        <a:xfrm>
                          <a:off x="2426970" y="2272665"/>
                          <a:ext cx="980440" cy="21907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rFonts w:hint="eastAsia" w:ascii="宋体" w:hAnsi="宋体" w:cs="宋体"/>
                                <w:color w:val="000000" w:themeColor="text1"/>
                                <w:sz w:val="16"/>
                                <w:szCs w:val="1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ascii="宋体" w:hAnsi="宋体" w:cs="宋体"/>
                                <w:color w:val="000000" w:themeColor="text1"/>
                                <w:sz w:val="16"/>
                                <w:szCs w:val="1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管线占地平整、压实</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91.4pt;margin-top:106.2pt;height:17.25pt;width:77.2pt;z-index:251710464;mso-width-relative:page;mso-height-relative:page;" fillcolor="#FFFFFF" filled="t" stroked="t" coordsize="21600,21600" o:gfxdata="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Sm5kltoAAAALAQAADwAAAAAAAAABACAAAAAiAAAAZHJzL2Rvd25y&#10;ZXYueG1sUEsBAhQAFAAAAAgAh07iQIcCbZRuAgAA4AQAAA4AAAAAAAAAAQAgAAAAKQEAAGRycy9l&#10;Mm9Eb2MueG1sUEsFBgAAAAAGAAYAWQEAAAkGAAAAAA==&#10;">
                <v:fill on="t" focussize="0,0"/>
                <v:stroke color="#000000" miterlimit="8" joinstyle="miter"/>
                <v:imagedata o:title=""/>
                <o:lock v:ext="edit" aspectratio="f"/>
                <v:textbox inset="0mm,1.27mm,0mm,1.27mm">
                  <w:txbxContent>
                    <w:p>
                      <w:pPr>
                        <w:spacing w:line="240" w:lineRule="auto"/>
                        <w:ind w:firstLine="0" w:firstLineChars="0"/>
                        <w:jc w:val="center"/>
                        <w:rPr>
                          <w:rFonts w:hint="eastAsia" w:ascii="宋体" w:hAnsi="宋体" w:cs="宋体"/>
                          <w:color w:val="000000" w:themeColor="text1"/>
                          <w:sz w:val="16"/>
                          <w:szCs w:val="1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ascii="宋体" w:hAnsi="宋体" w:cs="宋体"/>
                          <w:color w:val="000000" w:themeColor="text1"/>
                          <w:sz w:val="16"/>
                          <w:szCs w:val="1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管线占地平整、压实</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1693545</wp:posOffset>
                </wp:positionH>
                <wp:positionV relativeFrom="paragraph">
                  <wp:posOffset>2539365</wp:posOffset>
                </wp:positionV>
                <wp:extent cx="1342390" cy="219075"/>
                <wp:effectExtent l="4445" t="5080" r="5715" b="4445"/>
                <wp:wrapNone/>
                <wp:docPr id="161" name="文本框 161"/>
                <wp:cNvGraphicFramePr/>
                <a:graphic xmlns:a="http://schemas.openxmlformats.org/drawingml/2006/main">
                  <a:graphicData uri="http://schemas.microsoft.com/office/word/2010/wordprocessingShape">
                    <wps:wsp>
                      <wps:cNvSpPr txBox="1"/>
                      <wps:spPr>
                        <a:xfrm>
                          <a:off x="0" y="0"/>
                          <a:ext cx="1342390" cy="21907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rFonts w:hint="eastAsia" w:ascii="宋体" w:hAnsi="宋体" w:cs="宋体"/>
                                <w:color w:val="000000" w:themeColor="text1"/>
                                <w:sz w:val="16"/>
                                <w:szCs w:val="1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ascii="宋体" w:hAnsi="宋体" w:cs="宋体"/>
                                <w:color w:val="000000" w:themeColor="text1"/>
                                <w:sz w:val="16"/>
                                <w:szCs w:val="1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管道铺设</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3.35pt;margin-top:199.95pt;height:17.25pt;width:105.7pt;z-index:251711488;mso-width-relative:page;mso-height-relative:page;" fillcolor="#FFFFFF" filled="t" stroked="t" coordsize="21600,21600" o:gfxdata="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hxgh6twAAAALAQAADwAAAAAAAAABACAAAAAiAAAAZHJzL2Rvd25yZXYueG1sUEsB&#10;AhQAFAAAAAgAh07iQGx6X1ZjAgAA1wQAAA4AAAAAAAAAAQAgAAAAKwEAAGRycy9lMm9Eb2MueG1s&#10;UEsFBgAAAAAGAAYAWQEAAAAGAAAAAA==&#10;">
                <v:fill on="t" focussize="0,0"/>
                <v:stroke color="#000000" miterlimit="8" joinstyle="miter"/>
                <v:imagedata o:title=""/>
                <o:lock v:ext="edit" aspectratio="f"/>
                <v:textbox inset="0mm,1.27mm,0mm,1.27mm">
                  <w:txbxContent>
                    <w:p>
                      <w:pPr>
                        <w:spacing w:line="240" w:lineRule="auto"/>
                        <w:ind w:firstLine="0" w:firstLineChars="0"/>
                        <w:jc w:val="center"/>
                        <w:rPr>
                          <w:rFonts w:hint="eastAsia" w:ascii="宋体" w:hAnsi="宋体" w:cs="宋体"/>
                          <w:color w:val="000000" w:themeColor="text1"/>
                          <w:sz w:val="16"/>
                          <w:szCs w:val="1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ascii="宋体" w:hAnsi="宋体" w:cs="宋体"/>
                          <w:color w:val="000000" w:themeColor="text1"/>
                          <w:sz w:val="16"/>
                          <w:szCs w:val="16"/>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管道铺设</w:t>
                      </w:r>
                    </w:p>
                  </w:txbxContent>
                </v:textbox>
              </v:shape>
            </w:pict>
          </mc:Fallback>
        </mc:AlternateContent>
      </w:r>
    </w:p>
    <w:p>
      <w:pPr>
        <w:pStyle w:val="165"/>
        <w:rPr>
          <w:color w:val="000000" w:themeColor="text1"/>
          <w:highlight w:val="none"/>
          <w14:textFill>
            <w14:solidFill>
              <w14:schemeClr w14:val="tx1"/>
            </w14:solidFill>
          </w14:textFill>
        </w:rPr>
      </w:pPr>
      <w:bookmarkStart w:id="175" w:name="_Ref139747095"/>
      <w:r>
        <w:rPr>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图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bookmarkEnd w:id="175"/>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地面</w:t>
      </w:r>
      <w:r>
        <w:rPr>
          <w:color w:val="000000" w:themeColor="text1"/>
          <w:highlight w:val="none"/>
          <w14:textFill>
            <w14:solidFill>
              <w14:schemeClr w14:val="tx1"/>
            </w14:solidFill>
          </w14:textFill>
        </w:rPr>
        <w:t>管线施工作业流程及产污节点图</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1）敷设形式</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由于本项目管线距离很短，仅在试采期临时使用，采用地下敷设方式</w:t>
      </w:r>
      <w:r>
        <w:rPr>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本工程山区地段一般达不到弹性敷设的条件，应采用热煨弯头改变管道走向</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试采结束后，根据实际情况若要继续开采，则输气管线按照《输气管道工程设计规范》（GB50251）等要求完善建设方式。</w:t>
      </w:r>
    </w:p>
    <w:p>
      <w:pPr>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）施工方案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本项目的施工方式以人工为主，机械为辅。尽量地利用机械进行运管、堆管、抬管、吊管、组焊等。</w:t>
      </w:r>
    </w:p>
    <w:p>
      <w:pPr>
        <w:ind w:firstLine="482"/>
        <w:rPr>
          <w:b/>
          <w:bCs/>
          <w:color w:val="000000" w:themeColor="text1"/>
          <w:highlight w:val="none"/>
          <w14:textFill>
            <w14:solidFill>
              <w14:schemeClr w14:val="tx1"/>
            </w14:solidFill>
          </w14:textFill>
        </w:rPr>
      </w:pPr>
      <w:r>
        <w:rPr>
          <w:rFonts w:hint="eastAsia" w:ascii="宋体" w:hAnsi="宋体"/>
          <w:b/>
          <w:bCs/>
          <w:color w:val="000000" w:themeColor="text1"/>
          <w:highlight w:val="none"/>
          <w14:textFill>
            <w14:solidFill>
              <w14:schemeClr w14:val="tx1"/>
            </w14:solidFill>
          </w14:textFill>
        </w:rPr>
        <w:t>①</w:t>
      </w:r>
      <w:r>
        <w:rPr>
          <w:b/>
          <w:bCs/>
          <w:color w:val="000000" w:themeColor="text1"/>
          <w:highlight w:val="none"/>
          <w14:textFill>
            <w14:solidFill>
              <w14:schemeClr w14:val="tx1"/>
            </w14:solidFill>
          </w14:textFill>
        </w:rPr>
        <w:t>施工作业带</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管道施工前，首先要对施工作业带进行清理和平整，以便施工人员、车辆和机械通行，然后才能进行</w:t>
      </w:r>
      <w:r>
        <w:rPr>
          <w:rFonts w:hint="eastAsia" w:cs="Times New Roman"/>
          <w:color w:val="000000" w:themeColor="text1"/>
          <w:highlight w:val="none"/>
          <w14:textFill>
            <w14:solidFill>
              <w14:schemeClr w14:val="tx1"/>
            </w14:solidFill>
          </w14:textFill>
        </w:rPr>
        <w:t>管线沿线平整和压实</w:t>
      </w:r>
      <w:r>
        <w:rPr>
          <w:rFonts w:cs="Times New Roman"/>
          <w:color w:val="000000" w:themeColor="text1"/>
          <w:highlight w:val="none"/>
          <w14:textFill>
            <w14:solidFill>
              <w14:schemeClr w14:val="tx1"/>
            </w14:solidFill>
          </w14:textFill>
        </w:rPr>
        <w:t>作业。本工程沿线所经地区主要为低山、丘陵区，管线基本</w:t>
      </w:r>
      <w:r>
        <w:rPr>
          <w:rFonts w:hint="eastAsia" w:cs="Times New Roman"/>
          <w:color w:val="000000" w:themeColor="text1"/>
          <w:highlight w:val="none"/>
          <w14:textFill>
            <w14:solidFill>
              <w14:schemeClr w14:val="tx1"/>
            </w14:solidFill>
          </w14:textFill>
        </w:rPr>
        <w:t>沿道路两侧</w:t>
      </w:r>
      <w:r>
        <w:rPr>
          <w:rFonts w:cs="Times New Roman"/>
          <w:color w:val="000000" w:themeColor="text1"/>
          <w:highlight w:val="none"/>
          <w14:textFill>
            <w14:solidFill>
              <w14:schemeClr w14:val="tx1"/>
            </w14:solidFill>
          </w14:textFill>
        </w:rPr>
        <w:t>穿行于旱地、经济作物等区域，管道通过经济作物区时，为减少管道施工对经济作物的损坏，施工作业带宽度应尽量缩窄，宜采用沟下组焊方式减小施工作业带宽度，</w:t>
      </w:r>
      <w:r>
        <w:rPr>
          <w:rFonts w:hint="eastAsia" w:cs="Times New Roman"/>
          <w:color w:val="000000" w:themeColor="text1"/>
          <w:highlight w:val="none"/>
          <w14:textFill>
            <w14:solidFill>
              <w14:schemeClr w14:val="tx1"/>
            </w14:solidFill>
          </w14:textFill>
        </w:rPr>
        <w:t>本项目管道长度较短，</w:t>
      </w:r>
      <w:r>
        <w:rPr>
          <w:rFonts w:cs="Times New Roman"/>
          <w:color w:val="000000" w:themeColor="text1"/>
          <w:highlight w:val="none"/>
          <w14:textFill>
            <w14:solidFill>
              <w14:schemeClr w14:val="tx1"/>
            </w14:solidFill>
          </w14:textFill>
        </w:rPr>
        <w:t>施工作业按有关法规对管道施工作业带只进行临时性使用土地，施工完毕后应立即还耕复种，并恢复原地貌。</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清理施工作业带对生态环境的影响主要表现为：在施工作业带范围内，</w:t>
      </w:r>
      <w:r>
        <w:rPr>
          <w:rFonts w:hint="eastAsia" w:cs="Times New Roman"/>
          <w:color w:val="000000" w:themeColor="text1"/>
          <w:highlight w:val="none"/>
          <w14:textFill>
            <w14:solidFill>
              <w14:schemeClr w14:val="tx1"/>
            </w14:solidFill>
          </w14:textFill>
        </w:rPr>
        <w:t>主要采用人工</w:t>
      </w:r>
      <w:r>
        <w:rPr>
          <w:rFonts w:cs="Times New Roman"/>
          <w:color w:val="000000" w:themeColor="text1"/>
          <w:highlight w:val="none"/>
          <w14:textFill>
            <w14:solidFill>
              <w14:schemeClr w14:val="tx1"/>
            </w14:solidFill>
          </w14:textFill>
        </w:rPr>
        <w:t>进行扫线清理时，不但会破坏施工作业带范围内的</w:t>
      </w:r>
      <w:r>
        <w:rPr>
          <w:rFonts w:hint="eastAsia" w:cs="Times New Roman"/>
          <w:color w:val="000000" w:themeColor="text1"/>
          <w:highlight w:val="none"/>
          <w14:textFill>
            <w14:solidFill>
              <w14:schemeClr w14:val="tx1"/>
            </w14:solidFill>
          </w14:textFill>
        </w:rPr>
        <w:t>植被</w:t>
      </w:r>
      <w:r>
        <w:rPr>
          <w:rFonts w:cs="Times New Roman"/>
          <w:color w:val="000000" w:themeColor="text1"/>
          <w:highlight w:val="none"/>
          <w14:textFill>
            <w14:solidFill>
              <w14:schemeClr w14:val="tx1"/>
            </w14:solidFill>
          </w14:textFill>
        </w:rPr>
        <w:t>，而且还会对土壤造成扰动，使土壤的结构、组成及理化特性等发生变化，进而影响农作物的生长，造成农业生产减产。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施工中采用后退式扫线作业，整个施工作业带范围内的土壤和植被会受到扰动或破坏，尤其是在</w:t>
      </w:r>
      <w:r>
        <w:rPr>
          <w:rFonts w:hint="eastAsia"/>
          <w:color w:val="000000" w:themeColor="text1"/>
          <w:highlight w:val="none"/>
          <w14:textFill>
            <w14:solidFill>
              <w14:schemeClr w14:val="tx1"/>
            </w14:solidFill>
          </w14:textFill>
        </w:rPr>
        <w:t>管线</w:t>
      </w:r>
      <w:r>
        <w:rPr>
          <w:color w:val="000000" w:themeColor="text1"/>
          <w:highlight w:val="none"/>
          <w14:textFill>
            <w14:solidFill>
              <w14:schemeClr w14:val="tx1"/>
            </w14:solidFill>
          </w14:textFill>
        </w:rPr>
        <w:t>两侧4m范围内的植被破坏严重；</w:t>
      </w:r>
      <w:r>
        <w:rPr>
          <w:rFonts w:hint="eastAsia"/>
          <w:color w:val="000000" w:themeColor="text1"/>
          <w:highlight w:val="none"/>
          <w14:textFill>
            <w14:solidFill>
              <w14:schemeClr w14:val="tx1"/>
            </w14:solidFill>
          </w14:textFill>
        </w:rPr>
        <w:t>同时管线区临时占地的压实作业将</w:t>
      </w:r>
      <w:r>
        <w:rPr>
          <w:color w:val="000000" w:themeColor="text1"/>
          <w:highlight w:val="none"/>
          <w14:textFill>
            <w14:solidFill>
              <w14:schemeClr w14:val="tx1"/>
            </w14:solidFill>
          </w14:textFill>
        </w:rPr>
        <w:t>造成的土壤的结构、组成及理化特性等发生变化，进而影响土壤的侵蚀状况、植被的恢复、农作物的生长发育等。</w:t>
      </w:r>
    </w:p>
    <w:p>
      <w:pPr>
        <w:ind w:firstLine="482"/>
        <w:rPr>
          <w:b/>
          <w:bCs/>
          <w:color w:val="000000" w:themeColor="text1"/>
          <w:highlight w:val="none"/>
          <w14:textFill>
            <w14:solidFill>
              <w14:schemeClr w14:val="tx1"/>
            </w14:solidFill>
          </w14:textFill>
        </w:rPr>
      </w:pPr>
      <w:r>
        <w:rPr>
          <w:rFonts w:hint="eastAsia" w:ascii="宋体" w:hAnsi="宋体"/>
          <w:b/>
          <w:bCs/>
          <w:color w:val="000000" w:themeColor="text1"/>
          <w:highlight w:val="none"/>
          <w14:textFill>
            <w14:solidFill>
              <w14:schemeClr w14:val="tx1"/>
            </w14:solidFill>
          </w14:textFill>
        </w:rPr>
        <w:t>②管线沿线平整和压实</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本工程管道</w:t>
      </w:r>
      <w:r>
        <w:rPr>
          <w:rFonts w:hint="eastAsia" w:cs="Times New Roman"/>
          <w:color w:val="000000" w:themeColor="text1"/>
          <w:highlight w:val="none"/>
          <w14:textFill>
            <w14:solidFill>
              <w14:schemeClr w14:val="tx1"/>
            </w14:solidFill>
          </w14:textFill>
        </w:rPr>
        <w:t>沿线平整和压实</w:t>
      </w:r>
      <w:r>
        <w:rPr>
          <w:rFonts w:cs="Times New Roman"/>
          <w:color w:val="000000" w:themeColor="text1"/>
          <w:highlight w:val="none"/>
          <w14:textFill>
            <w14:solidFill>
              <w14:schemeClr w14:val="tx1"/>
            </w14:solidFill>
          </w14:textFill>
        </w:rPr>
        <w:t>施工采用机械与人工相结合的方法</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由于本项目集输管线通过的地区主要为二、三级地区，</w:t>
      </w:r>
      <w:r>
        <w:rPr>
          <w:rFonts w:hint="eastAsia" w:cs="Times New Roman"/>
          <w:color w:val="000000" w:themeColor="text1"/>
          <w:highlight w:val="none"/>
          <w14:textFill>
            <w14:solidFill>
              <w14:schemeClr w14:val="tx1"/>
            </w14:solidFill>
          </w14:textFill>
        </w:rPr>
        <w:t>主要沿道路两侧敷设</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占地平整压实以人工为主、</w:t>
      </w:r>
      <w:r>
        <w:rPr>
          <w:rFonts w:cs="Times New Roman"/>
          <w:color w:val="000000" w:themeColor="text1"/>
          <w:highlight w:val="none"/>
          <w14:textFill>
            <w14:solidFill>
              <w14:schemeClr w14:val="tx1"/>
            </w14:solidFill>
          </w14:textFill>
        </w:rPr>
        <w:t>机械为辅。</w:t>
      </w:r>
      <w:r>
        <w:rPr>
          <w:rFonts w:hint="eastAsia" w:cs="Times New Roman"/>
          <w:color w:val="000000" w:themeColor="text1"/>
          <w:highlight w:val="none"/>
          <w14:textFill>
            <w14:solidFill>
              <w14:schemeClr w14:val="tx1"/>
            </w14:solidFill>
          </w14:textFill>
        </w:rPr>
        <w:t>管线沿线占地不进行表土剥离，应尽量对沿线占地压实处理，确保管线沿线基础稳定</w:t>
      </w:r>
      <w:r>
        <w:rPr>
          <w:rFonts w:cs="Times New Roman"/>
          <w:color w:val="000000" w:themeColor="text1"/>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③</w:t>
      </w:r>
      <w:r>
        <w:rPr>
          <w:b/>
          <w:bCs/>
          <w:color w:val="000000" w:themeColor="text1"/>
          <w:highlight w:val="none"/>
          <w14:textFill>
            <w14:solidFill>
              <w14:schemeClr w14:val="tx1"/>
            </w14:solidFill>
          </w14:textFill>
        </w:rPr>
        <w:t>管道焊接</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采用氩电联焊。一般管段采用沟上焊接，大中型沟溪等施工困难地段管段采用沟下焊接。若环境温度低于-5℃时，应采取有效的措施以防止焊缝冷速过快，环境湿度应小于90%RH，若环境风速大于5m/s，应采取有效防风措施。焊接工艺按照《钢质管道焊接及验收》（GB/T 31032-2014）、《油气长输管道工程施工及验收规范》（GB50369-2014）等相关规定、规范要求执行。</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所有管道环焊缝均应进行100%射线检测，在热处理完成后应进行100%超声检测，对于不能进行超声检测的环焊缝，可选用射线、磁粉、渗透检测方法之一代替。热处理前后的角焊缝应进行100%磁粉或100%渗透检测。</w:t>
      </w:r>
    </w:p>
    <w:p>
      <w:pPr>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④管线</w:t>
      </w:r>
      <w:r>
        <w:rPr>
          <w:b/>
          <w:bCs/>
          <w:color w:val="000000" w:themeColor="text1"/>
          <w:highlight w:val="none"/>
          <w14:textFill>
            <w14:solidFill>
              <w14:schemeClr w14:val="tx1"/>
            </w14:solidFill>
          </w14:textFill>
        </w:rPr>
        <w:t>综合布置</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输气管道工程设计规范》（GB50251-2015），同沟敷设的并行管道，间距应满足施工及维护需求且嘴角净距不应小于0.5m，输气管道与其他管道交叉时，垂直净距不应小于0.3m，当小于0.3m时，两管间交叉处应设置坚固的绝缘隔离物，交叉点两侧各延伸10m以上的管段，应确保管道防腐层无缺陷。</w:t>
      </w:r>
      <w:r>
        <w:rPr>
          <w:rFonts w:hint="eastAsia" w:cs="Times New Roman"/>
          <w:color w:val="000000" w:themeColor="text1"/>
          <w:highlight w:val="none"/>
          <w14:textFill>
            <w14:solidFill>
              <w14:schemeClr w14:val="tx1"/>
            </w14:solidFill>
          </w14:textFill>
        </w:rPr>
        <w:t>本项目输气管道与输水管道严格按照</w:t>
      </w:r>
      <w:r>
        <w:rPr>
          <w:rFonts w:cs="Times New Roman"/>
          <w:color w:val="000000" w:themeColor="text1"/>
          <w:highlight w:val="none"/>
          <w14:textFill>
            <w14:solidFill>
              <w14:schemeClr w14:val="tx1"/>
            </w14:solidFill>
          </w14:textFill>
        </w:rPr>
        <w:t>《输气管道工程设计规范》（GB50251-2015）</w:t>
      </w:r>
      <w:r>
        <w:rPr>
          <w:rFonts w:hint="eastAsia" w:cs="Times New Roman"/>
          <w:color w:val="000000" w:themeColor="text1"/>
          <w:highlight w:val="none"/>
          <w14:textFill>
            <w14:solidFill>
              <w14:schemeClr w14:val="tx1"/>
            </w14:solidFill>
          </w14:textFill>
        </w:rPr>
        <w:t>布置，间距不小于0.5m。</w:t>
      </w:r>
    </w:p>
    <w:p>
      <w:pPr>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⑤</w:t>
      </w:r>
      <w:r>
        <w:rPr>
          <w:b/>
          <w:bCs/>
          <w:color w:val="000000" w:themeColor="text1"/>
          <w:highlight w:val="none"/>
          <w14:textFill>
            <w14:solidFill>
              <w14:schemeClr w14:val="tx1"/>
            </w14:solidFill>
          </w14:textFill>
        </w:rPr>
        <w:t>清管、试压、干燥、置换</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本项目管线的清管、试压及干燥等需严格按照</w:t>
      </w:r>
      <w:r>
        <w:rPr>
          <w:rFonts w:hint="eastAsia" w:cs="Times New Roman"/>
          <w:color w:val="000000" w:themeColor="text1"/>
          <w:highlight w:val="none"/>
          <w14:textFill>
            <w14:solidFill>
              <w14:schemeClr w14:val="tx1"/>
            </w14:solidFill>
          </w14:textFill>
        </w:rPr>
        <w:t>相关工程设计规范和</w:t>
      </w:r>
      <w:r>
        <w:rPr>
          <w:rFonts w:cs="Times New Roman"/>
          <w:color w:val="000000" w:themeColor="text1"/>
          <w:highlight w:val="none"/>
          <w14:textFill>
            <w14:solidFill>
              <w14:schemeClr w14:val="tx1"/>
            </w14:solidFill>
          </w14:textFill>
        </w:rPr>
        <w:t>要求执行。</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管道投产前清管、测径、试压的一般程序：管段清管→管段测径→管段试压→管段连头→站间管段清管、测径。</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管道应在下沟后进行清管、测径和试压。清管排放口不得设在人口居住稠密区、公共设施集中区。清管排放应符合环保要求。</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为了确保试压的安全，采用清水进行强度试压。水压试验的供水水源洁净、无腐蚀性。管道沿线的试压</w:t>
      </w:r>
      <w:r>
        <w:rPr>
          <w:rFonts w:hint="eastAsia" w:cs="Times New Roman"/>
          <w:color w:val="000000" w:themeColor="text1"/>
          <w:highlight w:val="none"/>
          <w14:textFill>
            <w14:solidFill>
              <w14:schemeClr w14:val="tx1"/>
            </w14:solidFill>
          </w14:textFill>
        </w:rPr>
        <w:t>应</w:t>
      </w:r>
      <w:r>
        <w:rPr>
          <w:rFonts w:cs="Times New Roman"/>
          <w:color w:val="000000" w:themeColor="text1"/>
          <w:highlight w:val="none"/>
          <w14:textFill>
            <w14:solidFill>
              <w14:schemeClr w14:val="tx1"/>
            </w14:solidFill>
          </w14:textFill>
        </w:rPr>
        <w:t>根据地形、管道沿线的地区等级划分、水源等条件而综合确定。试压前施工单位应制定相应试压施工方案和应急预案，作好相应安全试压准备工作，报建设单位和监理单位批准后进行。</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a.管道清管</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管道安装完毕后，采用清管球（器）进行清管，清管介质采用压缩空气，吹扫时设立吹扫口，吹扫口应在放散条件好的开阔地带，末端固定，吹扫口流速＞20m/s，直到管内无污物排出为合格。</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分段清管应设临时清管器收发装置，清管器接收装置应选择在地势较高且50m范围内没有建筑物和人口分布的区域内，并应设警示标志。清管选用复合式清管器，清管球充水后直径过盈量应为管内径的5%</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8%。清管时的最大压力不得超过管材最小屈服强度的30%。清管器应适用于管线弯管的曲率半径。</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b.管道试压</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吹扫结束后，必须对新安装管线设备进行强度试验和严密性试验，站外管道应执行《油气田集输管道施工规范》（GB50819-2013）中的有关规定。施工期管线试压分段进行，为节约用水，避免水资源的浪费，部分试压用水过滤后可重复使用。</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c.干燥</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本项目工程选用干空气干燥法对管道进行干燥。采用干空气干燥法可在管道末端配置水露点分析仪，干燥后排出气体水露点应连续4小时比管道输送条件下最低环境温度低5℃、变化幅度不大于3℃为合格。</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管道干燥结束后，如果没有立即投入运行，宜充入干燥氮气，保持内压大于0.12~0.15MPa（绝压）干燥状态下的密封，防止外界湿气</w:t>
      </w:r>
      <w:r>
        <w:rPr>
          <w:rFonts w:hint="eastAsia" w:cs="Times New Roman"/>
          <w:color w:val="000000" w:themeColor="text1"/>
          <w:highlight w:val="none"/>
          <w14:textFill>
            <w14:solidFill>
              <w14:schemeClr w14:val="tx1"/>
            </w14:solidFill>
          </w14:textFill>
        </w:rPr>
        <w:t>重</w:t>
      </w:r>
      <w:r>
        <w:rPr>
          <w:rFonts w:cs="Times New Roman"/>
          <w:color w:val="000000" w:themeColor="text1"/>
          <w:highlight w:val="none"/>
          <w14:textFill>
            <w14:solidFill>
              <w14:schemeClr w14:val="tx1"/>
            </w14:solidFill>
          </w14:textFill>
        </w:rPr>
        <w:t>新进入管道，否则应重新进行干燥。</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d.置换</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管道内空气的置换在强度试验、严密性试压、吹扫清管、干燥合格后进行。应采用低压氮气或其他无腐蚀、无毒害性的惰性气体作为介质，站间进行全线置换。氮气注入被置换管道的温度不应低于5</w:t>
      </w:r>
      <w:r>
        <w:rPr>
          <w:rFonts w:cs="Times New Roman"/>
          <w:color w:val="000000" w:themeColor="text1"/>
          <w:highlight w:val="none"/>
          <w:lang w:eastAsia="ja-JP"/>
          <w14:textFill>
            <w14:solidFill>
              <w14:schemeClr w14:val="tx1"/>
            </w14:solidFill>
          </w14:textFill>
        </w:rPr>
        <w:t>℃</w:t>
      </w:r>
      <w:r>
        <w:rPr>
          <w:rFonts w:cs="Times New Roman"/>
          <w:color w:val="000000" w:themeColor="text1"/>
          <w:highlight w:val="none"/>
          <w14:textFill>
            <w14:solidFill>
              <w14:schemeClr w14:val="tx1"/>
            </w14:solidFill>
          </w14:textFill>
        </w:rPr>
        <w:t>，置换过程中管道内气体流速不应大于5m/s，同时，置换管道末端、阀室及站场应配备气体含量检测设备，当置换管道末端放空管口气体含氧量不大于2%，并持续不小于5min即可认为置换合格。</w:t>
      </w:r>
    </w:p>
    <w:p>
      <w:pPr>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⑦</w:t>
      </w:r>
      <w:r>
        <w:rPr>
          <w:b/>
          <w:bCs/>
          <w:color w:val="000000" w:themeColor="text1"/>
          <w:highlight w:val="none"/>
          <w14:textFill>
            <w14:solidFill>
              <w14:schemeClr w14:val="tx1"/>
            </w14:solidFill>
          </w14:textFill>
        </w:rPr>
        <w:t>投运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管道管理单位应根据《天然气管道运行规范》（SY/T5922-2012）相关规定制定投运方案及相应的安全应急预案，经相关部门审查通过后实施。</w:t>
      </w:r>
    </w:p>
    <w:p>
      <w:pPr>
        <w:ind w:firstLine="482"/>
        <w:rPr>
          <w:rFonts w:cs="Times New Roman"/>
          <w:b/>
          <w:bCs/>
          <w:color w:val="000000" w:themeColor="text1"/>
          <w:kern w:val="0"/>
          <w:szCs w:val="20"/>
          <w:highlight w:val="none"/>
          <w14:textFill>
            <w14:solidFill>
              <w14:schemeClr w14:val="tx1"/>
            </w14:solidFill>
          </w14:textFill>
        </w:rPr>
      </w:pPr>
      <w:r>
        <w:rPr>
          <w:rFonts w:cs="Times New Roman"/>
          <w:b/>
          <w:bCs/>
          <w:color w:val="000000" w:themeColor="text1"/>
          <w:kern w:val="0"/>
          <w:szCs w:val="20"/>
          <w:highlight w:val="none"/>
          <w14:textFill>
            <w14:solidFill>
              <w14:schemeClr w14:val="tx1"/>
            </w14:solidFill>
          </w14:textFill>
        </w:rPr>
        <w:t>清管、探伤、试压合格及氮气置换完成后进行集输工程，本项目</w:t>
      </w:r>
      <w:r>
        <w:rPr>
          <w:rFonts w:hint="eastAsia" w:cs="Times New Roman"/>
          <w:b/>
          <w:bCs/>
          <w:color w:val="000000" w:themeColor="text1"/>
          <w:kern w:val="0"/>
          <w:szCs w:val="20"/>
          <w:highlight w:val="none"/>
          <w14:textFill>
            <w14:solidFill>
              <w14:schemeClr w14:val="tx1"/>
            </w14:solidFill>
          </w14:textFill>
        </w:rPr>
        <w:t>管线</w:t>
      </w:r>
      <w:r>
        <w:rPr>
          <w:rFonts w:cs="Times New Roman"/>
          <w:b/>
          <w:bCs/>
          <w:color w:val="000000" w:themeColor="text1"/>
          <w:kern w:val="0"/>
          <w:szCs w:val="20"/>
          <w:highlight w:val="none"/>
          <w14:textFill>
            <w14:solidFill>
              <w14:schemeClr w14:val="tx1"/>
            </w14:solidFill>
          </w14:textFill>
        </w:rPr>
        <w:t>施工期间不设施工营地。</w:t>
      </w:r>
      <w:r>
        <w:rPr>
          <w:rFonts w:hint="eastAsia" w:cs="Times New Roman"/>
          <w:b/>
          <w:bCs/>
          <w:color w:val="000000" w:themeColor="text1"/>
          <w:kern w:val="0"/>
          <w:szCs w:val="20"/>
          <w:highlight w:val="none"/>
          <w14:textFill>
            <w14:solidFill>
              <w14:schemeClr w14:val="tx1"/>
            </w14:solidFill>
          </w14:textFill>
        </w:rPr>
        <w:t>其中</w:t>
      </w:r>
      <w:r>
        <w:rPr>
          <w:rFonts w:cs="Times New Roman"/>
          <w:b/>
          <w:bCs/>
          <w:color w:val="000000" w:themeColor="text1"/>
          <w:kern w:val="0"/>
          <w:szCs w:val="20"/>
          <w:highlight w:val="none"/>
          <w14:textFill>
            <w14:solidFill>
              <w14:schemeClr w14:val="tx1"/>
            </w14:solidFill>
          </w14:textFill>
        </w:rPr>
        <w:t>采用的X射线探伤不属于本次评价内容，按照相关要求另行完善环保手续</w:t>
      </w:r>
      <w:r>
        <w:rPr>
          <w:rFonts w:hint="eastAsia" w:cs="Times New Roman"/>
          <w:b/>
          <w:bCs/>
          <w:color w:val="000000" w:themeColor="text1"/>
          <w:kern w:val="0"/>
          <w:szCs w:val="20"/>
          <w:highlight w:val="none"/>
          <w14:textFill>
            <w14:solidFill>
              <w14:schemeClr w14:val="tx1"/>
            </w14:solidFill>
          </w14:textFill>
        </w:rPr>
        <w:t>。</w:t>
      </w:r>
    </w:p>
    <w:p>
      <w:pPr>
        <w:pStyle w:val="4"/>
        <w:spacing w:before="0" w:beforeLines="0"/>
        <w:ind w:firstLine="480"/>
        <w:rPr>
          <w:b/>
          <w:color w:val="000000" w:themeColor="text1"/>
          <w:highlight w:val="none"/>
          <w:lang w:eastAsia="zh-CN"/>
          <w14:textFill>
            <w14:solidFill>
              <w14:schemeClr w14:val="tx1"/>
            </w14:solidFill>
          </w14:textFill>
        </w:rPr>
      </w:pPr>
      <w:bookmarkStart w:id="176" w:name="3.3.2营运期污染源"/>
      <w:bookmarkEnd w:id="176"/>
      <w:bookmarkStart w:id="177" w:name="_Toc120173109"/>
      <w:r>
        <w:rPr>
          <w:color w:val="000000" w:themeColor="text1"/>
          <w:highlight w:val="none"/>
          <w:lang w:eastAsia="zh-CN"/>
          <w14:textFill>
            <w14:solidFill>
              <w14:schemeClr w14:val="tx1"/>
            </w14:solidFill>
          </w14:textFill>
        </w:rPr>
        <w:t>试采期工程分析</w:t>
      </w:r>
      <w:bookmarkEnd w:id="177"/>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如钻井完毕并通过测试获得天然气，则进行地面建设工程，</w:t>
      </w:r>
      <w:r>
        <w:rPr>
          <w:bCs/>
          <w:color w:val="000000" w:themeColor="text1"/>
          <w:szCs w:val="24"/>
          <w:highlight w:val="none"/>
          <w14:textFill>
            <w14:solidFill>
              <w14:schemeClr w14:val="tx1"/>
            </w14:solidFill>
          </w14:textFill>
        </w:rPr>
        <w:t>本项目</w:t>
      </w:r>
      <w:r>
        <w:rPr>
          <w:rFonts w:hint="eastAsia"/>
          <w:bCs/>
          <w:color w:val="000000" w:themeColor="text1"/>
          <w:szCs w:val="24"/>
          <w:highlight w:val="none"/>
          <w14:textFill>
            <w14:solidFill>
              <w14:schemeClr w14:val="tx1"/>
            </w14:solidFill>
          </w14:textFill>
        </w:rPr>
        <w:t>将进行试采生产</w:t>
      </w:r>
      <w:r>
        <w:rPr>
          <w:bCs/>
          <w:color w:val="000000" w:themeColor="text1"/>
          <w:szCs w:val="24"/>
          <w:highlight w:val="none"/>
          <w14:textFill>
            <w14:solidFill>
              <w14:schemeClr w14:val="tx1"/>
            </w14:solidFill>
          </w14:textFill>
        </w:rPr>
        <w:t>，若无工业产能且无后续开发计划，则井口采用水泥浆封井，井口焊上钢板和阀门，井站</w:t>
      </w:r>
      <w:r>
        <w:rPr>
          <w:rFonts w:hint="eastAsia"/>
          <w:bCs/>
          <w:color w:val="000000" w:themeColor="text1"/>
          <w:szCs w:val="24"/>
          <w:highlight w:val="none"/>
          <w14:textFill>
            <w14:solidFill>
              <w14:schemeClr w14:val="tx1"/>
            </w14:solidFill>
          </w14:textFill>
        </w:rPr>
        <w:t>其他装置</w:t>
      </w:r>
      <w:r>
        <w:rPr>
          <w:bCs/>
          <w:color w:val="000000" w:themeColor="text1"/>
          <w:szCs w:val="24"/>
          <w:highlight w:val="none"/>
          <w14:textFill>
            <w14:solidFill>
              <w14:schemeClr w14:val="tx1"/>
            </w14:solidFill>
          </w14:textFill>
        </w:rPr>
        <w:t>、房屋搬迁，井口设立标志。</w:t>
      </w:r>
    </w:p>
    <w:p>
      <w:pPr>
        <w:numPr>
          <w:ilvl w:val="0"/>
          <w:numId w:val="10"/>
        </w:numPr>
        <w:ind w:firstLine="480"/>
        <w:rPr>
          <w:rFonts w:eastAsia="黑体"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73952" behindDoc="0" locked="0" layoutInCell="1" allowOverlap="1">
                <wp:simplePos x="0" y="0"/>
                <wp:positionH relativeFrom="column">
                  <wp:posOffset>-311150</wp:posOffset>
                </wp:positionH>
                <wp:positionV relativeFrom="paragraph">
                  <wp:posOffset>264795</wp:posOffset>
                </wp:positionV>
                <wp:extent cx="1539240" cy="2137410"/>
                <wp:effectExtent l="6350" t="6350" r="6985" b="8890"/>
                <wp:wrapNone/>
                <wp:docPr id="314" name="矩形 314"/>
                <wp:cNvGraphicFramePr/>
                <a:graphic xmlns:a="http://schemas.openxmlformats.org/drawingml/2006/main">
                  <a:graphicData uri="http://schemas.microsoft.com/office/word/2010/wordprocessingShape">
                    <wps:wsp>
                      <wps:cNvSpPr/>
                      <wps:spPr>
                        <a:xfrm>
                          <a:off x="0" y="0"/>
                          <a:ext cx="1539240" cy="2137410"/>
                        </a:xfrm>
                        <a:prstGeom prst="rect">
                          <a:avLst/>
                        </a:prstGeom>
                        <a:noFill/>
                        <a:ln>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5pt;margin-top:20.85pt;height:168.3pt;width:121.2pt;z-index:251773952;v-text-anchor:middle;mso-width-relative:page;mso-height-relative:page;" filled="f" stroked="t" coordsize="21600,21600" o:gfxdata="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gHkKmdkAAAAKAQAADwAAAAAAAAABACAAAAAiAAAAZHJzL2Rvd25yZXYu&#10;eG1sUEsBAhQAFAAAAAgAh07iQNCH32xsAgAA0gQAAA4AAAAAAAAAAQAgAAAAKAEAAGRycy9lMm9E&#10;b2MueG1sUEsFBgAAAAAGAAYAWQEAAAYGAAAAAA==&#10;">
                <v:fill on="f" focussize="0,0"/>
                <v:stroke weight="1pt" color="#000000 [3213]" miterlimit="8" joinstyle="miter" dashstyle="dashDot"/>
                <v:imagedata o:title=""/>
                <o:lock v:ext="edit" aspectratio="f"/>
              </v:rect>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71904" behindDoc="0" locked="0" layoutInCell="1" allowOverlap="1">
                <wp:simplePos x="0" y="0"/>
                <wp:positionH relativeFrom="column">
                  <wp:posOffset>1466850</wp:posOffset>
                </wp:positionH>
                <wp:positionV relativeFrom="paragraph">
                  <wp:posOffset>254635</wp:posOffset>
                </wp:positionV>
                <wp:extent cx="3613785" cy="2147570"/>
                <wp:effectExtent l="6350" t="6350" r="8890" b="8255"/>
                <wp:wrapNone/>
                <wp:docPr id="312" name="矩形 312"/>
                <wp:cNvGraphicFramePr/>
                <a:graphic xmlns:a="http://schemas.openxmlformats.org/drawingml/2006/main">
                  <a:graphicData uri="http://schemas.microsoft.com/office/word/2010/wordprocessingShape">
                    <wps:wsp>
                      <wps:cNvSpPr/>
                      <wps:spPr>
                        <a:xfrm>
                          <a:off x="2504440" y="7240270"/>
                          <a:ext cx="3613785" cy="2147570"/>
                        </a:xfrm>
                        <a:prstGeom prst="rect">
                          <a:avLst/>
                        </a:prstGeom>
                        <a:noFill/>
                        <a:ln>
                          <a:solidFill>
                            <a:schemeClr val="tx1"/>
                          </a:solidFill>
                          <a:prstDash val="dashDot"/>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5.5pt;margin-top:20.05pt;height:169.1pt;width:284.55pt;z-index:251771904;v-text-anchor:middle;mso-width-relative:page;mso-height-relative:page;" filled="f" stroked="t" coordsize="21600,21600" o:gfxdata="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&#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gCkMZ2AAAAAoBAAAPAAAAAAAAAAEAIAAAACIAAABk&#10;cnMvZG93bnJldi54bWxQSwECFAAUAAAACACHTuJAPiIAt3gCAADeBAAADgAAAAAAAAABACAAAAAn&#10;AQAAZHJzL2Uyb0RvYy54bWxQSwUGAAAAAAYABgBZAQAAEQYAAAAA&#10;">
                <v:fill on="f" focussize="0,0"/>
                <v:stroke weight="1pt" color="#000000 [3213]" miterlimit="8" joinstyle="miter" dashstyle="dashDot"/>
                <v:imagedata o:title=""/>
                <o:lock v:ext="edit" aspectratio="f"/>
              </v:rect>
            </w:pict>
          </mc:Fallback>
        </mc:AlternateContent>
      </w:r>
      <w:r>
        <w:rPr>
          <w:rFonts w:eastAsia="黑体" w:cs="Times New Roman"/>
          <w:color w:val="000000" w:themeColor="text1"/>
          <w:highlight w:val="none"/>
          <w14:textFill>
            <w14:solidFill>
              <w14:schemeClr w14:val="tx1"/>
            </w14:solidFill>
          </w14:textFill>
        </w:rPr>
        <w:t>采气试采工艺流程</w:t>
      </w:r>
    </w:p>
    <w:p>
      <w:pPr>
        <w:ind w:firstLine="0" w:firstLineChars="0"/>
        <w:rPr>
          <w:rFonts w:eastAsia="黑体"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77024" behindDoc="0" locked="0" layoutInCell="1" allowOverlap="1">
                <wp:simplePos x="0" y="0"/>
                <wp:positionH relativeFrom="column">
                  <wp:posOffset>1901825</wp:posOffset>
                </wp:positionH>
                <wp:positionV relativeFrom="paragraph">
                  <wp:posOffset>36830</wp:posOffset>
                </wp:positionV>
                <wp:extent cx="760730" cy="266065"/>
                <wp:effectExtent l="4445" t="4445" r="6350" b="5715"/>
                <wp:wrapNone/>
                <wp:docPr id="317" name="文本框 317"/>
                <wp:cNvGraphicFramePr/>
                <a:graphic xmlns:a="http://schemas.openxmlformats.org/drawingml/2006/main">
                  <a:graphicData uri="http://schemas.microsoft.com/office/word/2010/wordprocessingShape">
                    <wps:wsp>
                      <wps:cNvSpPr txBox="1"/>
                      <wps:spPr>
                        <a:xfrm>
                          <a:off x="0" y="0"/>
                          <a:ext cx="760730" cy="266065"/>
                        </a:xfrm>
                        <a:prstGeom prst="rect">
                          <a:avLst/>
                        </a:prstGeom>
                        <a:noFill/>
                        <a:ln w="9525">
                          <a:solidFill>
                            <a:schemeClr val="tx1"/>
                          </a:solidFill>
                          <a:miter lim="800000"/>
                        </a:ln>
                      </wps:spPr>
                      <wps:txbx>
                        <w:txbxContent>
                          <w:p>
                            <w:pPr>
                              <w:spacing w:line="240" w:lineRule="auto"/>
                              <w:ind w:firstLine="0" w:firstLineChars="0"/>
                              <w:jc w:val="center"/>
                              <w:rPr>
                                <w:sz w:val="15"/>
                                <w:szCs w:val="15"/>
                              </w:rPr>
                            </w:pPr>
                            <w:r>
                              <w:rPr>
                                <w:rFonts w:hint="eastAsia"/>
                                <w:sz w:val="15"/>
                                <w:szCs w:val="15"/>
                              </w:rPr>
                              <w:t>放空系统</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49.75pt;margin-top:2.9pt;height:20.95pt;width:59.9pt;z-index:251777024;mso-width-relative:page;mso-height-relative:page;" filled="f" stroked="t" coordsize="21600,21600" o:gfxdata="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RA9baNYAAAAIAQAADwAAAAAAAAABACAAAAAiAAAAZHJzL2Rvd25yZXYueG1sUEsBAhQAFAAA&#10;AAgAh07iQE8iB/FjAgAAtQQAAA4AAAAAAAAAAQAgAAAAJQEAAGRycy9lMm9Eb2MueG1sUEsFBgAA&#10;AAAGAAYAWQEAAPoFAAAAAA==&#10;">
                <v:fill on="f" focussize="0,0"/>
                <v:stroke color="#000000 [3213]" miterlimit="8" joinstyle="miter"/>
                <v:imagedata o:title=""/>
                <o:lock v:ext="edit" aspectratio="f"/>
                <v:textbox>
                  <w:txbxContent>
                    <w:p>
                      <w:pPr>
                        <w:spacing w:line="240" w:lineRule="auto"/>
                        <w:ind w:firstLine="0" w:firstLineChars="0"/>
                        <w:jc w:val="center"/>
                        <w:rPr>
                          <w:sz w:val="15"/>
                          <w:szCs w:val="15"/>
                        </w:rPr>
                      </w:pPr>
                      <w:r>
                        <w:rPr>
                          <w:rFonts w:hint="eastAsia"/>
                          <w:sz w:val="15"/>
                          <w:szCs w:val="15"/>
                        </w:rPr>
                        <w:t>放空系统</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76000" behindDoc="0" locked="0" layoutInCell="1" allowOverlap="1">
                <wp:simplePos x="0" y="0"/>
                <wp:positionH relativeFrom="column">
                  <wp:posOffset>2250440</wp:posOffset>
                </wp:positionH>
                <wp:positionV relativeFrom="paragraph">
                  <wp:posOffset>254000</wp:posOffset>
                </wp:positionV>
                <wp:extent cx="0" cy="322580"/>
                <wp:effectExtent l="50800" t="0" r="53975" b="1270"/>
                <wp:wrapNone/>
                <wp:docPr id="316" name="直接箭头连接符 316"/>
                <wp:cNvGraphicFramePr/>
                <a:graphic xmlns:a="http://schemas.openxmlformats.org/drawingml/2006/main">
                  <a:graphicData uri="http://schemas.microsoft.com/office/word/2010/wordprocessingShape">
                    <wps:wsp>
                      <wps:cNvCnPr/>
                      <wps:spPr>
                        <a:xfrm flipV="1">
                          <a:off x="3393440" y="7097395"/>
                          <a:ext cx="0" cy="322580"/>
                        </a:xfrm>
                        <a:prstGeom prst="straightConnector1">
                          <a:avLst/>
                        </a:prstGeom>
                        <a:ln>
                          <a:solidFill>
                            <a:srgbClr val="FFC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7.2pt;margin-top:20pt;height:25.4pt;width:0pt;z-index:251776000;mso-width-relative:page;mso-height-relative:page;" filled="f" stroked="t" coordsize="21600,21600" o:gfxdata="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81EVtQAAAAJAQAA&#10;DwAAAAAAAAABACAAAAAiAAAAZHJzL2Rvd25yZXYueG1sUEsBAhQAFAAAAAgAh07iQBSh29QdAgAA&#10;+AMAAA4AAAAAAAAAAQAgAAAAIwEAAGRycy9lMm9Eb2MueG1sUEsFBgAAAAAGAAYAWQEAALIFAAAA&#10;AA==&#10;">
                <v:fill on="f" focussize="0,0"/>
                <v:stroke weight="1pt" color="#FFC000 [3204]"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72928" behindDoc="0" locked="0" layoutInCell="1" allowOverlap="1">
                <wp:simplePos x="0" y="0"/>
                <wp:positionH relativeFrom="column">
                  <wp:posOffset>4002405</wp:posOffset>
                </wp:positionH>
                <wp:positionV relativeFrom="paragraph">
                  <wp:posOffset>15875</wp:posOffset>
                </wp:positionV>
                <wp:extent cx="1041400" cy="328930"/>
                <wp:effectExtent l="0" t="0" r="0" b="0"/>
                <wp:wrapNone/>
                <wp:docPr id="313" name="文本框 313"/>
                <wp:cNvGraphicFramePr/>
                <a:graphic xmlns:a="http://schemas.openxmlformats.org/drawingml/2006/main">
                  <a:graphicData uri="http://schemas.microsoft.com/office/word/2010/wordprocessingShape">
                    <wps:wsp>
                      <wps:cNvSpPr txBox="1"/>
                      <wps:spPr>
                        <a:xfrm>
                          <a:off x="0" y="0"/>
                          <a:ext cx="1041400" cy="328930"/>
                        </a:xfrm>
                        <a:prstGeom prst="rect">
                          <a:avLst/>
                        </a:prstGeom>
                        <a:noFill/>
                        <a:ln w="9525">
                          <a:noFill/>
                          <a:miter lim="800000"/>
                        </a:ln>
                      </wps:spPr>
                      <wps:txbx>
                        <w:txbxContent>
                          <w:p>
                            <w:pPr>
                              <w:spacing w:line="240" w:lineRule="auto"/>
                              <w:ind w:firstLine="0" w:firstLineChars="0"/>
                              <w:jc w:val="center"/>
                              <w:rPr>
                                <w:sz w:val="15"/>
                                <w:szCs w:val="15"/>
                              </w:rPr>
                            </w:pPr>
                            <w:r>
                              <w:rPr>
                                <w:rFonts w:hint="eastAsia"/>
                                <w:sz w:val="15"/>
                                <w:szCs w:val="15"/>
                                <w:highlight w:val="yellow"/>
                              </w:rPr>
                              <w:t>此虚线内为依托大湾408集气站内设施</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15.15pt;margin-top:1.25pt;height:25.9pt;width:82pt;z-index:251772928;mso-width-relative:page;mso-height-relative:page;" filled="f" stroked="f" coordsize="21600,21600" o:gfxdata="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ExYsLWAAAACAEAAA8A&#10;AAAAAAAAAQAgAAAAIgAAAGRycy9kb3ducmV2LnhtbFBLAQIUABQAAAAIAIdO4kAbvrzGUgIAAI0E&#10;AAAOAAAAAAAAAAEAIAAAACUBAABkcnMvZTJvRG9jLnhtbFBLBQYAAAAABgAGAFkBAADpBQAAAAA=&#10;">
                <v:fill on="f" focussize="0,0"/>
                <v:stroke on="f" miterlimit="8" joinstyle="miter"/>
                <v:imagedata o:title=""/>
                <o:lock v:ext="edit" aspectratio="f"/>
                <v:textbox>
                  <w:txbxContent>
                    <w:p>
                      <w:pPr>
                        <w:spacing w:line="240" w:lineRule="auto"/>
                        <w:ind w:firstLine="0" w:firstLineChars="0"/>
                        <w:jc w:val="center"/>
                        <w:rPr>
                          <w:sz w:val="15"/>
                          <w:szCs w:val="15"/>
                        </w:rPr>
                      </w:pPr>
                      <w:r>
                        <w:rPr>
                          <w:rFonts w:hint="eastAsia"/>
                          <w:sz w:val="15"/>
                          <w:szCs w:val="15"/>
                          <w:highlight w:val="yellow"/>
                        </w:rPr>
                        <w:t>此虚线内为依托大湾408集气站内设施</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74976" behindDoc="0" locked="0" layoutInCell="1" allowOverlap="1">
                <wp:simplePos x="0" y="0"/>
                <wp:positionH relativeFrom="column">
                  <wp:posOffset>-310515</wp:posOffset>
                </wp:positionH>
                <wp:positionV relativeFrom="paragraph">
                  <wp:posOffset>46990</wp:posOffset>
                </wp:positionV>
                <wp:extent cx="1041400" cy="328930"/>
                <wp:effectExtent l="0" t="0" r="0" b="0"/>
                <wp:wrapNone/>
                <wp:docPr id="315" name="文本框 315"/>
                <wp:cNvGraphicFramePr/>
                <a:graphic xmlns:a="http://schemas.openxmlformats.org/drawingml/2006/main">
                  <a:graphicData uri="http://schemas.microsoft.com/office/word/2010/wordprocessingShape">
                    <wps:wsp>
                      <wps:cNvSpPr txBox="1"/>
                      <wps:spPr>
                        <a:xfrm>
                          <a:off x="0" y="0"/>
                          <a:ext cx="1041400" cy="328930"/>
                        </a:xfrm>
                        <a:prstGeom prst="rect">
                          <a:avLst/>
                        </a:prstGeom>
                        <a:noFill/>
                        <a:ln w="9525">
                          <a:noFill/>
                          <a:miter lim="800000"/>
                        </a:ln>
                      </wps:spPr>
                      <wps:txbx>
                        <w:txbxContent>
                          <w:p>
                            <w:pPr>
                              <w:spacing w:line="240" w:lineRule="auto"/>
                              <w:ind w:firstLine="0" w:firstLineChars="0"/>
                              <w:jc w:val="center"/>
                              <w:rPr>
                                <w:sz w:val="15"/>
                                <w:szCs w:val="15"/>
                              </w:rPr>
                            </w:pPr>
                            <w:r>
                              <w:rPr>
                                <w:rFonts w:hint="eastAsia"/>
                                <w:sz w:val="15"/>
                                <w:szCs w:val="15"/>
                                <w:highlight w:val="yellow"/>
                              </w:rPr>
                              <w:t>此虚线内为依托大湾408-3采气站内设施</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4.45pt;margin-top:3.7pt;height:25.9pt;width:82pt;z-index:251774976;mso-width-relative:page;mso-height-relative:page;" filled="f" stroked="f" coordsize="21600,21600" o:gfxdata="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A36g/fWAAAACAEAAA8A&#10;AAAAAAAAAQAgAAAAIgAAAGRycy9kb3ducmV2LnhtbFBLAQIUABQAAAAIAIdO4kDPmSCXUgIAAI0E&#10;AAAOAAAAAAAAAAEAIAAAACUBAABkcnMvZTJvRG9jLnhtbFBLBQYAAAAABgAGAFkBAADpBQAAAAA=&#10;">
                <v:fill on="f" focussize="0,0"/>
                <v:stroke on="f" miterlimit="8" joinstyle="miter"/>
                <v:imagedata o:title=""/>
                <o:lock v:ext="edit" aspectratio="f"/>
                <v:textbox>
                  <w:txbxContent>
                    <w:p>
                      <w:pPr>
                        <w:spacing w:line="240" w:lineRule="auto"/>
                        <w:ind w:firstLine="0" w:firstLineChars="0"/>
                        <w:jc w:val="center"/>
                        <w:rPr>
                          <w:sz w:val="15"/>
                          <w:szCs w:val="15"/>
                        </w:rPr>
                      </w:pPr>
                      <w:r>
                        <w:rPr>
                          <w:rFonts w:hint="eastAsia"/>
                          <w:sz w:val="15"/>
                          <w:szCs w:val="15"/>
                          <w:highlight w:val="yellow"/>
                        </w:rPr>
                        <w:t>此虚线内为依托大湾408-3采气站内设施</w:t>
                      </w:r>
                    </w:p>
                  </w:txbxContent>
                </v:textbox>
              </v:shape>
            </w:pict>
          </mc:Fallback>
        </mc:AlternateContent>
      </w:r>
    </w:p>
    <w:p>
      <w:pPr>
        <w:ind w:firstLine="0" w:firstLineChars="0"/>
        <w:rPr>
          <w:rFonts w:eastAsia="黑体"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70880" behindDoc="0" locked="0" layoutInCell="1" allowOverlap="1">
                <wp:simplePos x="0" y="0"/>
                <wp:positionH relativeFrom="column">
                  <wp:posOffset>3769360</wp:posOffset>
                </wp:positionH>
                <wp:positionV relativeFrom="paragraph">
                  <wp:posOffset>149860</wp:posOffset>
                </wp:positionV>
                <wp:extent cx="862330" cy="312420"/>
                <wp:effectExtent l="0" t="0" r="0" b="0"/>
                <wp:wrapNone/>
                <wp:docPr id="311" name="文本框 311"/>
                <wp:cNvGraphicFramePr/>
                <a:graphic xmlns:a="http://schemas.openxmlformats.org/drawingml/2006/main">
                  <a:graphicData uri="http://schemas.microsoft.com/office/word/2010/wordprocessingShape">
                    <wps:wsp>
                      <wps:cNvSpPr txBox="1"/>
                      <wps:spPr>
                        <a:xfrm>
                          <a:off x="0" y="0"/>
                          <a:ext cx="862330" cy="312420"/>
                        </a:xfrm>
                        <a:prstGeom prst="rect">
                          <a:avLst/>
                        </a:prstGeom>
                        <a:noFill/>
                        <a:ln w="9525">
                          <a:noFill/>
                          <a:miter lim="800000"/>
                        </a:ln>
                      </wps:spPr>
                      <wps:txbx>
                        <w:txbxContent>
                          <w:p>
                            <w:pPr>
                              <w:spacing w:line="240" w:lineRule="auto"/>
                              <w:ind w:firstLine="0" w:firstLineChars="0"/>
                              <w:jc w:val="center"/>
                              <w:rPr>
                                <w:sz w:val="15"/>
                                <w:szCs w:val="15"/>
                              </w:rPr>
                            </w:pPr>
                            <w:r>
                              <w:rPr>
                                <w:rFonts w:hint="eastAsia"/>
                                <w:sz w:val="15"/>
                                <w:szCs w:val="15"/>
                              </w:rPr>
                              <w:t>污水装车外运</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96.8pt;margin-top:11.8pt;height:24.6pt;width:67.9pt;z-index:251770880;mso-width-relative:page;mso-height-relative:page;" filled="f" stroked="f" coordsize="21600,21600" o:gfxdata="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QpJCk1gAAAAkBAAAPAAAA&#10;AAAAAAEAIAAAACIAAABkcnMvZG93bnJldi54bWxQSwECFAAUAAAACACHTuJAUI47WVACAACMBAAA&#10;DgAAAAAAAAABACAAAAAlAQAAZHJzL2Uyb0RvYy54bWxQSwUGAAAAAAYABgBZAQAA5wUAAAAA&#10;">
                <v:fill on="f" focussize="0,0"/>
                <v:stroke on="f" miterlimit="8" joinstyle="miter"/>
                <v:imagedata o:title=""/>
                <o:lock v:ext="edit" aspectratio="f"/>
                <v:textbox>
                  <w:txbxContent>
                    <w:p>
                      <w:pPr>
                        <w:spacing w:line="240" w:lineRule="auto"/>
                        <w:ind w:firstLine="0" w:firstLineChars="0"/>
                        <w:jc w:val="center"/>
                        <w:rPr>
                          <w:sz w:val="15"/>
                          <w:szCs w:val="15"/>
                        </w:rPr>
                      </w:pPr>
                      <w:r>
                        <w:rPr>
                          <w:rFonts w:hint="eastAsia"/>
                          <w:sz w:val="15"/>
                          <w:szCs w:val="15"/>
                        </w:rPr>
                        <w:t>污水装车外运</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78048" behindDoc="0" locked="0" layoutInCell="1" allowOverlap="1">
                <wp:simplePos x="0" y="0"/>
                <wp:positionH relativeFrom="column">
                  <wp:posOffset>2097405</wp:posOffset>
                </wp:positionH>
                <wp:positionV relativeFrom="paragraph">
                  <wp:posOffset>107315</wp:posOffset>
                </wp:positionV>
                <wp:extent cx="1041400" cy="328930"/>
                <wp:effectExtent l="0" t="0" r="0" b="0"/>
                <wp:wrapNone/>
                <wp:docPr id="318" name="文本框 318"/>
                <wp:cNvGraphicFramePr/>
                <a:graphic xmlns:a="http://schemas.openxmlformats.org/drawingml/2006/main">
                  <a:graphicData uri="http://schemas.microsoft.com/office/word/2010/wordprocessingShape">
                    <wps:wsp>
                      <wps:cNvSpPr txBox="1"/>
                      <wps:spPr>
                        <a:xfrm>
                          <a:off x="0" y="0"/>
                          <a:ext cx="1041400" cy="328930"/>
                        </a:xfrm>
                        <a:prstGeom prst="rect">
                          <a:avLst/>
                        </a:prstGeom>
                        <a:noFill/>
                        <a:ln w="9525">
                          <a:noFill/>
                          <a:miter lim="800000"/>
                        </a:ln>
                      </wps:spPr>
                      <wps:txbx>
                        <w:txbxContent>
                          <w:p>
                            <w:pPr>
                              <w:spacing w:line="240" w:lineRule="auto"/>
                              <w:ind w:firstLine="0" w:firstLineChars="0"/>
                              <w:jc w:val="center"/>
                              <w:rPr>
                                <w:sz w:val="15"/>
                                <w:szCs w:val="15"/>
                              </w:rPr>
                            </w:pPr>
                            <w:r>
                              <w:rPr>
                                <w:rFonts w:hint="eastAsia"/>
                                <w:sz w:val="15"/>
                                <w:szCs w:val="15"/>
                              </w:rPr>
                              <w:t>事故放空</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65.15pt;margin-top:8.45pt;height:25.9pt;width:82pt;z-index:251778048;mso-width-relative:page;mso-height-relative:page;" filled="f" stroked="f" coordsize="21600,21600" o:gfxdata="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OT75HWAAAACQEAAA8A&#10;AAAAAAAAAQAgAAAAIgAAAGRycy9kb3ducmV2LnhtbFBLAQIUABQAAAAIAIdO4kD+2o2aUgIAAI0E&#10;AAAOAAAAAAAAAAEAIAAAACUBAABkcnMvZTJvRG9jLnhtbFBLBQYAAAAABgAGAFkBAADpBQAAAAA=&#10;">
                <v:fill on="f" focussize="0,0"/>
                <v:stroke on="f" miterlimit="8" joinstyle="miter"/>
                <v:imagedata o:title=""/>
                <o:lock v:ext="edit" aspectratio="f"/>
                <v:textbox>
                  <w:txbxContent>
                    <w:p>
                      <w:pPr>
                        <w:spacing w:line="240" w:lineRule="auto"/>
                        <w:ind w:firstLine="0" w:firstLineChars="0"/>
                        <w:jc w:val="center"/>
                        <w:rPr>
                          <w:sz w:val="15"/>
                          <w:szCs w:val="15"/>
                        </w:rPr>
                      </w:pPr>
                      <w:r>
                        <w:rPr>
                          <w:rFonts w:hint="eastAsia"/>
                          <w:sz w:val="15"/>
                          <w:szCs w:val="15"/>
                        </w:rPr>
                        <w:t>事故放空</w:t>
                      </w:r>
                    </w:p>
                  </w:txbxContent>
                </v:textbox>
              </v:shape>
            </w:pict>
          </mc:Fallback>
        </mc:AlternateContent>
      </w:r>
    </w:p>
    <w:p>
      <w:pPr>
        <w:ind w:firstLine="0" w:firstLineChars="0"/>
        <w:rPr>
          <w:rFonts w:eastAsia="黑体"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1498600</wp:posOffset>
                </wp:positionH>
                <wp:positionV relativeFrom="paragraph">
                  <wp:posOffset>83185</wp:posOffset>
                </wp:positionV>
                <wp:extent cx="957580" cy="239395"/>
                <wp:effectExtent l="4445" t="5080" r="9525" b="12700"/>
                <wp:wrapNone/>
                <wp:docPr id="284" name="文本框 284"/>
                <wp:cNvGraphicFramePr/>
                <a:graphic xmlns:a="http://schemas.openxmlformats.org/drawingml/2006/main">
                  <a:graphicData uri="http://schemas.microsoft.com/office/word/2010/wordprocessingShape">
                    <wps:wsp>
                      <wps:cNvSpPr txBox="1"/>
                      <wps:spPr>
                        <a:xfrm>
                          <a:off x="0" y="0"/>
                          <a:ext cx="957580" cy="2393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5"/>
                                <w:szCs w:val="15"/>
                              </w:rPr>
                            </w:pPr>
                            <w:r>
                              <w:rPr>
                                <w:rFonts w:hint="eastAsia"/>
                                <w:sz w:val="15"/>
                                <w:szCs w:val="15"/>
                              </w:rPr>
                              <w:t>临时分酸分离器</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8pt;margin-top:6.55pt;height:18.85pt;width:75.4pt;z-index:251761664;mso-width-relative:page;mso-height-relative:page;" fillcolor="#FFFFFF" filled="t" stroked="t" coordsize="21600,21600" o:gfxdata="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MAlN7NgAAAAJAQAADwAAAAAAAAABACAAAAAiAAAAZHJzL2Rvd25yZXYueG1sUEsB&#10;AhQAFAAAAAgAh07iQHVTQKtnAgAA3gQAAA4AAAAAAAAAAQAgAAAAJwEAAGRycy9lMm9Eb2MueG1s&#10;UEsFBgAAAAAGAAYAWQEAAAAGAAAAAA==&#10;">
                <v:fill on="t" focussize="0,0"/>
                <v:stroke color="#000000" miterlimit="8" joinstyle="miter"/>
                <v:imagedata o:title=""/>
                <o:lock v:ext="edit" aspectratio="f"/>
                <v:textbox>
                  <w:txbxContent>
                    <w:p>
                      <w:pPr>
                        <w:spacing w:line="240" w:lineRule="auto"/>
                        <w:ind w:firstLine="0" w:firstLineChars="0"/>
                        <w:jc w:val="center"/>
                        <w:rPr>
                          <w:sz w:val="15"/>
                          <w:szCs w:val="15"/>
                        </w:rPr>
                      </w:pPr>
                      <w:r>
                        <w:rPr>
                          <w:rFonts w:hint="eastAsia"/>
                          <w:sz w:val="15"/>
                          <w:szCs w:val="15"/>
                        </w:rPr>
                        <w:t>临时分酸分离器</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69856" behindDoc="0" locked="0" layoutInCell="1" allowOverlap="1">
                <wp:simplePos x="0" y="0"/>
                <wp:positionH relativeFrom="column">
                  <wp:posOffset>3684905</wp:posOffset>
                </wp:positionH>
                <wp:positionV relativeFrom="paragraph">
                  <wp:posOffset>213995</wp:posOffset>
                </wp:positionV>
                <wp:extent cx="466090" cy="4445"/>
                <wp:effectExtent l="0" t="46990" r="635" b="53340"/>
                <wp:wrapNone/>
                <wp:docPr id="310" name="直接箭头连接符 310"/>
                <wp:cNvGraphicFramePr/>
                <a:graphic xmlns:a="http://schemas.openxmlformats.org/drawingml/2006/main">
                  <a:graphicData uri="http://schemas.microsoft.com/office/word/2010/wordprocessingShape">
                    <wps:wsp>
                      <wps:cNvCnPr/>
                      <wps:spPr>
                        <a:xfrm>
                          <a:off x="0" y="0"/>
                          <a:ext cx="466090" cy="4445"/>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90.15pt;margin-top:16.85pt;height:0.35pt;width:36.7pt;z-index:251769856;mso-width-relative:page;mso-height-relative:page;" filled="f" stroked="t" coordsize="21600,21600" o:gfxdata="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2PJmQdcAAAAJAQAADwAAAAAAAAABACAAAAAi&#10;AAAAZHJzL2Rvd25yZXYueG1sUEsBAhQAFAAAAAgAh07iQMZ3unsLAgAA5QMAAA4AAAAAAAAAAQAg&#10;AAAAJgEAAGRycy9lMm9Eb2MueG1sUEsFBgAAAAAGAAYAWQEAAKMFAAAAAA==&#10;">
                <v:fill on="f" focussize="0,0"/>
                <v:stroke weight="1pt" color="#00B050 [3204]"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2435860</wp:posOffset>
                </wp:positionH>
                <wp:positionV relativeFrom="paragraph">
                  <wp:posOffset>203200</wp:posOffset>
                </wp:positionV>
                <wp:extent cx="466090" cy="4445"/>
                <wp:effectExtent l="0" t="46990" r="635" b="53340"/>
                <wp:wrapNone/>
                <wp:docPr id="309" name="直接箭头连接符 309"/>
                <wp:cNvGraphicFramePr/>
                <a:graphic xmlns:a="http://schemas.openxmlformats.org/drawingml/2006/main">
                  <a:graphicData uri="http://schemas.microsoft.com/office/word/2010/wordprocessingShape">
                    <wps:wsp>
                      <wps:cNvCnPr/>
                      <wps:spPr>
                        <a:xfrm>
                          <a:off x="3578860" y="7572375"/>
                          <a:ext cx="466090" cy="4445"/>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1.8pt;margin-top:16pt;height:0.35pt;width:36.7pt;z-index:251768832;mso-width-relative:page;mso-height-relative:page;" filled="f" stroked="t" coordsize="21600,21600" o:gfxdata="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QM7QH1gAAAAkBAAAP&#10;AAAAAAAAAAEAIAAAACIAAABkcnMvZG93bnJldi54bWxQSwECFAAUAAAACACHTuJA0RNs8BoCAADx&#10;AwAADgAAAAAAAAABACAAAAAlAQAAZHJzL2Uyb0RvYy54bWxQSwUGAAAAAAYABgBZAQAAsQUAAAAA&#10;">
                <v:fill on="f" focussize="0,0"/>
                <v:stroke weight="1pt" color="#00B050 [3204]"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2901950</wp:posOffset>
                </wp:positionH>
                <wp:positionV relativeFrom="paragraph">
                  <wp:posOffset>98425</wp:posOffset>
                </wp:positionV>
                <wp:extent cx="760730" cy="217805"/>
                <wp:effectExtent l="4445" t="4445" r="6350" b="6350"/>
                <wp:wrapNone/>
                <wp:docPr id="283" name="文本框 283"/>
                <wp:cNvGraphicFramePr/>
                <a:graphic xmlns:a="http://schemas.openxmlformats.org/drawingml/2006/main">
                  <a:graphicData uri="http://schemas.microsoft.com/office/word/2010/wordprocessingShape">
                    <wps:wsp>
                      <wps:cNvSpPr txBox="1"/>
                      <wps:spPr>
                        <a:xfrm>
                          <a:off x="0" y="0"/>
                          <a:ext cx="760730" cy="21780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5"/>
                                <w:szCs w:val="15"/>
                                <w:highlight w:val="none"/>
                              </w:rPr>
                            </w:pPr>
                            <w:r>
                              <w:rPr>
                                <w:rFonts w:hint="eastAsia"/>
                                <w:sz w:val="15"/>
                                <w:szCs w:val="15"/>
                                <w:highlight w:val="none"/>
                              </w:rPr>
                              <w:t>酸液缓冲罐</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28.5pt;margin-top:7.75pt;height:17.15pt;width:59.9pt;z-index:251760640;mso-width-relative:page;mso-height-relative:page;" fillcolor="#FFFFFF" filled="t" stroked="t" coordsize="21600,21600" o:gfxdata="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qNdAbYAAAACQEAAA8AAAAAAAAAAQAgAAAAIgAAAGRycy9kb3ducmV2LnhtbFBL&#10;AQIUABQAAAAIAIdO4kBxDk8raAIAAN4EAAAOAAAAAAAAAAEAIAAAACcBAABkcnMvZTJvRG9jLnht&#10;bFBLBQYAAAAABgAGAFkBAAABBgAAAAA=&#10;">
                <v:fill on="t" focussize="0,0"/>
                <v:stroke color="#000000" miterlimit="8" joinstyle="miter"/>
                <v:imagedata o:title=""/>
                <o:lock v:ext="edit" aspectratio="f"/>
                <v:textbox>
                  <w:txbxContent>
                    <w:p>
                      <w:pPr>
                        <w:spacing w:line="240" w:lineRule="auto"/>
                        <w:ind w:firstLine="0" w:firstLineChars="0"/>
                        <w:jc w:val="center"/>
                        <w:rPr>
                          <w:sz w:val="15"/>
                          <w:szCs w:val="15"/>
                          <w:highlight w:val="none"/>
                        </w:rPr>
                      </w:pPr>
                      <w:r>
                        <w:rPr>
                          <w:rFonts w:hint="eastAsia"/>
                          <w:sz w:val="15"/>
                          <w:szCs w:val="15"/>
                          <w:highlight w:val="none"/>
                        </w:rPr>
                        <w:t>酸液缓冲罐</w:t>
                      </w:r>
                    </w:p>
                  </w:txbxContent>
                </v:textbox>
              </v:shape>
            </w:pict>
          </mc:Fallback>
        </mc:AlternateContent>
      </w:r>
    </w:p>
    <w:p>
      <w:pPr>
        <w:ind w:firstLine="0" w:firstLineChars="0"/>
        <w:rPr>
          <w:rFonts w:eastAsia="黑体"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67808" behindDoc="0" locked="0" layoutInCell="1" allowOverlap="1">
                <wp:simplePos x="0" y="0"/>
                <wp:positionH relativeFrom="column">
                  <wp:posOffset>2022475</wp:posOffset>
                </wp:positionH>
                <wp:positionV relativeFrom="paragraph">
                  <wp:posOffset>68580</wp:posOffset>
                </wp:positionV>
                <wp:extent cx="0" cy="687705"/>
                <wp:effectExtent l="50800" t="0" r="53975" b="7620"/>
                <wp:wrapNone/>
                <wp:docPr id="308" name="直接箭头连接符 308"/>
                <wp:cNvGraphicFramePr/>
                <a:graphic xmlns:a="http://schemas.openxmlformats.org/drawingml/2006/main">
                  <a:graphicData uri="http://schemas.microsoft.com/office/word/2010/wordprocessingShape">
                    <wps:wsp>
                      <wps:cNvCnPr/>
                      <wps:spPr>
                        <a:xfrm>
                          <a:off x="3165475" y="7700645"/>
                          <a:ext cx="0" cy="687705"/>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59.25pt;margin-top:5.4pt;height:54.15pt;width:0pt;z-index:251767808;mso-width-relative:page;mso-height-relative:page;" filled="f" stroked="t" coordsize="21600,21600" o:gfxdata="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kXTOI1QAAAAoBAAAPAAAAAAAA&#10;AAEAIAAAACIAAABkcnMvZG93bnJldi54bWxQSwECFAAUAAAACACHTuJAm01U8xUCAADuAwAADgAA&#10;AAAAAAABACAAAAAkAQAAZHJzL2Uyb0RvYy54bWxQSwUGAAAAAAYABgBZAQAAqwUAAAAA&#10;">
                <v:fill on="f" focussize="0,0"/>
                <v:stroke weight="1pt" color="#00B050 [3204]"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66784" behindDoc="0" locked="0" layoutInCell="1" allowOverlap="1">
                <wp:simplePos x="0" y="0"/>
                <wp:positionH relativeFrom="column">
                  <wp:posOffset>1752600</wp:posOffset>
                </wp:positionH>
                <wp:positionV relativeFrom="paragraph">
                  <wp:posOffset>78740</wp:posOffset>
                </wp:positionV>
                <wp:extent cx="0" cy="698500"/>
                <wp:effectExtent l="50800" t="0" r="53975" b="6350"/>
                <wp:wrapNone/>
                <wp:docPr id="307" name="直接箭头连接符 307"/>
                <wp:cNvGraphicFramePr/>
                <a:graphic xmlns:a="http://schemas.openxmlformats.org/drawingml/2006/main">
                  <a:graphicData uri="http://schemas.microsoft.com/office/word/2010/wordprocessingShape">
                    <wps:wsp>
                      <wps:cNvCnPr/>
                      <wps:spPr>
                        <a:xfrm flipV="1">
                          <a:off x="2895600" y="7710805"/>
                          <a:ext cx="0" cy="698500"/>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38pt;margin-top:6.2pt;height:55pt;width:0pt;z-index:251766784;mso-width-relative:page;mso-height-relative:page;" filled="f" stroked="t" coordsize="21600,21600" o:gfxdata="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2mT49IAAAAKAQAADwAA&#10;AAAAAAABACAAAAAiAAAAZHJzL2Rvd25yZXYueG1sUEsBAhQAFAAAAAgAh07iQNiuOe0cAgAA+AMA&#10;AA4AAAAAAAAAAQAgAAAAIQEAAGRycy9lMm9Eb2MueG1sUEsFBgAAAAAGAAYAWQEAAK8FAAAAAA==&#10;">
                <v:fill on="f" focussize="0,0"/>
                <v:stroke weight="1pt" color="#00B050 [3204]" miterlimit="8" joinstyle="miter" endarrow="open"/>
                <v:imagedata o:title=""/>
                <o:lock v:ext="edit" aspectratio="f"/>
              </v:shape>
            </w:pict>
          </mc:Fallback>
        </mc:AlternateContent>
      </w:r>
    </w:p>
    <w:p>
      <w:pPr>
        <w:ind w:firstLine="0" w:firstLineChars="0"/>
        <w:rPr>
          <w:rFonts w:eastAsia="黑体" w:cs="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62688" behindDoc="0" locked="0" layoutInCell="1" allowOverlap="1">
                <wp:simplePos x="0" y="0"/>
                <wp:positionH relativeFrom="column">
                  <wp:posOffset>3854450</wp:posOffset>
                </wp:positionH>
                <wp:positionV relativeFrom="paragraph">
                  <wp:posOffset>408305</wp:posOffset>
                </wp:positionV>
                <wp:extent cx="719455" cy="238760"/>
                <wp:effectExtent l="4445" t="4445" r="9525" b="13970"/>
                <wp:wrapNone/>
                <wp:docPr id="285" name="文本框 285"/>
                <wp:cNvGraphicFramePr/>
                <a:graphic xmlns:a="http://schemas.openxmlformats.org/drawingml/2006/main">
                  <a:graphicData uri="http://schemas.microsoft.com/office/word/2010/wordprocessingShape">
                    <wps:wsp>
                      <wps:cNvSpPr txBox="1"/>
                      <wps:spPr>
                        <a:xfrm>
                          <a:off x="0" y="0"/>
                          <a:ext cx="719455" cy="23876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5"/>
                                <w:szCs w:val="15"/>
                              </w:rPr>
                            </w:pPr>
                            <w:r>
                              <w:rPr>
                                <w:rFonts w:hint="eastAsia"/>
                                <w:sz w:val="15"/>
                                <w:szCs w:val="15"/>
                              </w:rPr>
                              <w:t>计量分离器</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03.5pt;margin-top:32.15pt;height:18.8pt;width:56.65pt;z-index:251762688;mso-width-relative:page;mso-height-relative:page;" fillcolor="#FFFFFF" filled="t" stroked="t" coordsize="21600,21600" o:gfxdata="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z8jm3YAAAACgEAAA8AAAAAAAAAAQAgAAAAIgAAAGRycy9kb3ducmV2Lnht&#10;bFBLAQIUABQAAAAIAIdO4kDcvLEvawIAAN4EAAAOAAAAAAAAAAEAIAAAACcBAABkcnMvZTJvRG9j&#10;LnhtbFBLBQYAAAAABgAGAFkBAAAEBgAAAAA=&#10;">
                <v:fill on="t" focussize="0,0"/>
                <v:stroke color="#000000" miterlimit="8" joinstyle="miter"/>
                <v:imagedata o:title=""/>
                <o:lock v:ext="edit" aspectratio="f"/>
                <v:textbox>
                  <w:txbxContent>
                    <w:p>
                      <w:pPr>
                        <w:spacing w:line="240" w:lineRule="auto"/>
                        <w:ind w:firstLine="0" w:firstLineChars="0"/>
                        <w:jc w:val="center"/>
                        <w:rPr>
                          <w:sz w:val="15"/>
                          <w:szCs w:val="15"/>
                        </w:rPr>
                      </w:pPr>
                      <w:r>
                        <w:rPr>
                          <w:rFonts w:hint="eastAsia"/>
                          <w:sz w:val="15"/>
                          <w:szCs w:val="15"/>
                        </w:rPr>
                        <w:t>计量分离器</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65760" behindDoc="0" locked="0" layoutInCell="1" allowOverlap="1">
                <wp:simplePos x="0" y="0"/>
                <wp:positionH relativeFrom="column">
                  <wp:posOffset>3223895</wp:posOffset>
                </wp:positionH>
                <wp:positionV relativeFrom="paragraph">
                  <wp:posOffset>520065</wp:posOffset>
                </wp:positionV>
                <wp:extent cx="603250" cy="0"/>
                <wp:effectExtent l="0" t="50800" r="6350" b="53975"/>
                <wp:wrapNone/>
                <wp:docPr id="298" name="直接箭头连接符 298"/>
                <wp:cNvGraphicFramePr/>
                <a:graphic xmlns:a="http://schemas.openxmlformats.org/drawingml/2006/main">
                  <a:graphicData uri="http://schemas.microsoft.com/office/word/2010/wordprocessingShape">
                    <wps:wsp>
                      <wps:cNvCnPr/>
                      <wps:spPr>
                        <a:xfrm>
                          <a:off x="4366895" y="8415020"/>
                          <a:ext cx="603250" cy="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53.85pt;margin-top:40.95pt;height:0pt;width:47.5pt;z-index:251765760;mso-width-relative:page;mso-height-relative:page;" filled="f" stroked="t" coordsize="21600,21600" o:gfxdata="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Hf9xlLVAAAACQEAAA8AAAAAAAAA&#10;AQAgAAAAIgAAAGRycy9kb3ducmV2LnhtbFBLAQIUABQAAAAIAIdO4kAIFWBnFAIAAO4DAAAOAAAA&#10;AAAAAAEAIAAAACQBAABkcnMvZTJvRG9jLnhtbFBLBQYAAAAABgAGAFkBAACqBQAAAAA=&#10;">
                <v:fill on="f" focussize="0,0"/>
                <v:stroke weight="1pt" color="#000000 [3213]"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63712" behindDoc="0" locked="0" layoutInCell="1" allowOverlap="1">
                <wp:simplePos x="0" y="0"/>
                <wp:positionH relativeFrom="column">
                  <wp:posOffset>4214495</wp:posOffset>
                </wp:positionH>
                <wp:positionV relativeFrom="paragraph">
                  <wp:posOffset>647065</wp:posOffset>
                </wp:positionV>
                <wp:extent cx="0" cy="555625"/>
                <wp:effectExtent l="50800" t="0" r="53975" b="6350"/>
                <wp:wrapNone/>
                <wp:docPr id="286" name="直接箭头连接符 286"/>
                <wp:cNvGraphicFramePr/>
                <a:graphic xmlns:a="http://schemas.openxmlformats.org/drawingml/2006/main">
                  <a:graphicData uri="http://schemas.microsoft.com/office/word/2010/wordprocessingShape">
                    <wps:wsp>
                      <wps:cNvCnPr/>
                      <wps:spPr>
                        <a:xfrm>
                          <a:off x="5384165" y="8557895"/>
                          <a:ext cx="0" cy="55562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31.85pt;margin-top:50.95pt;height:43.75pt;width:0pt;z-index:251763712;mso-width-relative:page;mso-height-relative:page;" filled="f" stroked="t" coordsize="21600,21600" o:gfxdata="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ZeB31gAAAAsBAAAPAAAAAAAA&#10;AAEAIAAAACIAAABkcnMvZG93bnJldi54bWxQSwECFAAUAAAACACHTuJAmrjGKhQCAADuAwAADgAA&#10;AAAAAAABACAAAAAlAQAAZHJzL2Uyb0RvYy54bWxQSwUGAAAAAAYABgBZAQAAqwUAAAAA&#10;">
                <v:fill on="f" focussize="0,0"/>
                <v:stroke weight="1pt" color="#000000 [3213]"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2477770</wp:posOffset>
                </wp:positionH>
                <wp:positionV relativeFrom="paragraph">
                  <wp:posOffset>393065</wp:posOffset>
                </wp:positionV>
                <wp:extent cx="746125" cy="254000"/>
                <wp:effectExtent l="4445" t="4445" r="11430" b="8255"/>
                <wp:wrapNone/>
                <wp:docPr id="282" name="文本框 282"/>
                <wp:cNvGraphicFramePr/>
                <a:graphic xmlns:a="http://schemas.openxmlformats.org/drawingml/2006/main">
                  <a:graphicData uri="http://schemas.microsoft.com/office/word/2010/wordprocessingShape">
                    <wps:wsp>
                      <wps:cNvSpPr txBox="1"/>
                      <wps:spPr>
                        <a:xfrm>
                          <a:off x="0" y="0"/>
                          <a:ext cx="746125" cy="25400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5"/>
                                <w:szCs w:val="15"/>
                              </w:rPr>
                            </w:pPr>
                            <w:r>
                              <w:rPr>
                                <w:rFonts w:hint="eastAsia"/>
                                <w:sz w:val="15"/>
                                <w:szCs w:val="15"/>
                              </w:rPr>
                              <w:t>水套加热炉</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95.1pt;margin-top:30.95pt;height:20pt;width:58.75pt;z-index:251759616;mso-width-relative:page;mso-height-relative:page;" fillcolor="#FFFFFF" filled="t" stroked="t" coordsize="21600,21600" o:gfxdata="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dAktL2QAAAAoBAAAPAAAAAAAAAAEAIAAAACIAAABkcnMvZG93bnJldi54bWxQ&#10;SwECFAAUAAAACACHTuJA22et+mgCAADeBAAADgAAAAAAAAABACAAAAAoAQAAZHJzL2Uyb0RvYy54&#10;bWxQSwUGAAAAAAYABgBZAQAAAgYAAAAA&#10;">
                <v:fill on="t" focussize="0,0"/>
                <v:stroke color="#000000" miterlimit="8" joinstyle="miter"/>
                <v:imagedata o:title=""/>
                <o:lock v:ext="edit" aspectratio="f"/>
                <v:textbox>
                  <w:txbxContent>
                    <w:p>
                      <w:pPr>
                        <w:spacing w:line="240" w:lineRule="auto"/>
                        <w:ind w:firstLine="0" w:firstLineChars="0"/>
                        <w:jc w:val="center"/>
                        <w:rPr>
                          <w:sz w:val="15"/>
                          <w:szCs w:val="15"/>
                        </w:rPr>
                      </w:pPr>
                      <w:r>
                        <w:rPr>
                          <w:rFonts w:hint="eastAsia"/>
                          <w:sz w:val="15"/>
                          <w:szCs w:val="15"/>
                        </w:rPr>
                        <w:t>水套加热炉</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826770</wp:posOffset>
                </wp:positionH>
                <wp:positionV relativeFrom="paragraph">
                  <wp:posOffset>520065</wp:posOffset>
                </wp:positionV>
                <wp:extent cx="1645920" cy="0"/>
                <wp:effectExtent l="0" t="50800" r="1905" b="53975"/>
                <wp:wrapNone/>
                <wp:docPr id="281" name="直接箭头连接符 281"/>
                <wp:cNvGraphicFramePr/>
                <a:graphic xmlns:a="http://schemas.openxmlformats.org/drawingml/2006/main">
                  <a:graphicData uri="http://schemas.microsoft.com/office/word/2010/wordprocessingShape">
                    <wps:wsp>
                      <wps:cNvCnPr/>
                      <wps:spPr>
                        <a:xfrm>
                          <a:off x="1969770" y="8415020"/>
                          <a:ext cx="1645920" cy="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65.1pt;margin-top:40.95pt;height:0pt;width:129.6pt;z-index:251758592;mso-width-relative:page;mso-height-relative:page;" filled="f" stroked="t" coordsize="21600,21600" o:gfxdata="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dHlst1QAAAAkBAAAPAAAAAAAAAAEA&#10;IAAAACIAAABkcnMvZG93bnJldi54bWxQSwECFAAUAAAACACHTuJAWfX0wRICAADvAwAADgAAAAAA&#10;AAABACAAAAAkAQAAZHJzL2Uyb0RvYy54bWxQSwUGAAAAAAYABgBZAQAAqAUAAAAA&#10;">
                <v:fill on="f" focussize="0,0"/>
                <v:stroke weight="1pt" color="#000000 [3213]"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-162560</wp:posOffset>
                </wp:positionH>
                <wp:positionV relativeFrom="paragraph">
                  <wp:posOffset>323850</wp:posOffset>
                </wp:positionV>
                <wp:extent cx="989330" cy="391795"/>
                <wp:effectExtent l="4445" t="5080" r="6350" b="12700"/>
                <wp:wrapNone/>
                <wp:docPr id="277" name="文本框 277"/>
                <wp:cNvGraphicFramePr/>
                <a:graphic xmlns:a="http://schemas.openxmlformats.org/drawingml/2006/main">
                  <a:graphicData uri="http://schemas.microsoft.com/office/word/2010/wordprocessingShape">
                    <wps:wsp>
                      <wps:cNvSpPr txBox="1"/>
                      <wps:spPr>
                        <a:xfrm>
                          <a:off x="980440" y="8218805"/>
                          <a:ext cx="989330" cy="391795"/>
                        </a:xfrm>
                        <a:prstGeom prst="rect">
                          <a:avLst/>
                        </a:prstGeom>
                        <a:solidFill>
                          <a:srgbClr val="FFFFFF"/>
                        </a:solidFill>
                        <a:ln w="9525">
                          <a:solidFill>
                            <a:srgbClr val="000000"/>
                          </a:solidFill>
                          <a:miter lim="800000"/>
                        </a:ln>
                      </wps:spPr>
                      <wps:txbx>
                        <w:txbxContent>
                          <w:p>
                            <w:pPr>
                              <w:spacing w:line="240" w:lineRule="auto"/>
                              <w:ind w:firstLine="0" w:firstLineChars="0"/>
                              <w:rPr>
                                <w:sz w:val="15"/>
                                <w:szCs w:val="15"/>
                              </w:rPr>
                            </w:pPr>
                            <w:r>
                              <w:rPr>
                                <w:rFonts w:hint="eastAsia"/>
                                <w:sz w:val="15"/>
                                <w:szCs w:val="15"/>
                              </w:rPr>
                              <w:t>大湾408-3井采气树（一级节流）</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2.8pt;margin-top:25.5pt;height:30.85pt;width:77.9pt;z-index:251755520;mso-width-relative:page;mso-height-relative:page;" fillcolor="#FFFFFF" filled="t" stroked="t" coordsize="21600,21600" o:gfxdata="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4j4MLaAAAACgEAAA8AAAAAAAAAAQAgAAAAIgAAAGRycy9k&#10;b3ducmV2LnhtbFBLAQIUABQAAAAIAIdO4kADlk7qcgIAAOkEAAAOAAAAAAAAAAEAIAAAACkBAABk&#10;cnMvZTJvRG9jLnhtbFBLBQYAAAAABgAGAFkBAAANBgAAAAA=&#10;">
                <v:fill on="t" focussize="0,0"/>
                <v:stroke color="#000000" miterlimit="8" joinstyle="miter"/>
                <v:imagedata o:title=""/>
                <o:lock v:ext="edit" aspectratio="f"/>
                <v:textbox>
                  <w:txbxContent>
                    <w:p>
                      <w:pPr>
                        <w:spacing w:line="240" w:lineRule="auto"/>
                        <w:ind w:firstLine="0" w:firstLineChars="0"/>
                        <w:rPr>
                          <w:sz w:val="15"/>
                          <w:szCs w:val="15"/>
                        </w:rPr>
                      </w:pPr>
                      <w:r>
                        <w:rPr>
                          <w:rFonts w:hint="eastAsia"/>
                          <w:sz w:val="15"/>
                          <w:szCs w:val="15"/>
                        </w:rPr>
                        <w:t>大湾408-3井采气树（一级节流）</w:t>
                      </w:r>
                    </w:p>
                  </w:txbxContent>
                </v:textbox>
              </v:shape>
            </w:pict>
          </mc:Fallback>
        </mc:AlternateContent>
      </w:r>
    </w:p>
    <w:p>
      <w:pPr>
        <w:ind w:firstLine="480"/>
        <w:rPr>
          <w:color w:val="000000" w:themeColor="text1"/>
          <w:highlight w:val="none"/>
          <w14:textFill>
            <w14:solidFill>
              <w14:schemeClr w14:val="tx1"/>
            </w14:solidFill>
          </w14:textFill>
        </w:rPr>
      </w:pP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1498600</wp:posOffset>
                </wp:positionH>
                <wp:positionV relativeFrom="paragraph">
                  <wp:posOffset>166370</wp:posOffset>
                </wp:positionV>
                <wp:extent cx="730885" cy="329565"/>
                <wp:effectExtent l="4445" t="4445" r="7620" b="8890"/>
                <wp:wrapNone/>
                <wp:docPr id="278" name="文本框 278"/>
                <wp:cNvGraphicFramePr/>
                <a:graphic xmlns:a="http://schemas.openxmlformats.org/drawingml/2006/main">
                  <a:graphicData uri="http://schemas.microsoft.com/office/word/2010/wordprocessingShape">
                    <wps:wsp>
                      <wps:cNvSpPr txBox="1"/>
                      <wps:spPr>
                        <a:xfrm>
                          <a:off x="0" y="0"/>
                          <a:ext cx="730885" cy="32956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5"/>
                                <w:szCs w:val="15"/>
                              </w:rPr>
                            </w:pPr>
                            <w:r>
                              <w:rPr>
                                <w:rFonts w:hint="eastAsia"/>
                                <w:sz w:val="15"/>
                                <w:szCs w:val="15"/>
                              </w:rPr>
                              <w:t>乙二醇加注撬</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8pt;margin-top:13.1pt;height:25.95pt;width:57.55pt;z-index:251756544;mso-width-relative:page;mso-height-relative:page;" fillcolor="#FFFFFF" filled="t" stroked="t" coordsize="21600,21600" o:gfxdata="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1DkIvtkAAAAJAQAADwAAAAAAAAABACAAAAAiAAAAZHJzL2Rvd25yZXYueG1s&#10;UEsBAhQAFAAAAAgAh07iQI/hWvZpAgAA3gQAAA4AAAAAAAAAAQAgAAAAKAEAAGRycy9lMm9Eb2Mu&#10;eG1sUEsFBgAAAAAGAAYAWQEAAAMGAAAAAA==&#10;">
                <v:fill on="t" focussize="0,0"/>
                <v:stroke color="#000000" miterlimit="8" joinstyle="miter"/>
                <v:imagedata o:title=""/>
                <o:lock v:ext="edit" aspectratio="f"/>
                <v:textbox>
                  <w:txbxContent>
                    <w:p>
                      <w:pPr>
                        <w:spacing w:line="240" w:lineRule="auto"/>
                        <w:ind w:firstLine="0" w:firstLineChars="0"/>
                        <w:jc w:val="center"/>
                        <w:rPr>
                          <w:sz w:val="15"/>
                          <w:szCs w:val="15"/>
                        </w:rPr>
                      </w:pPr>
                      <w:r>
                        <w:rPr>
                          <w:rFonts w:hint="eastAsia"/>
                          <w:sz w:val="15"/>
                          <w:szCs w:val="15"/>
                        </w:rPr>
                        <w:t>乙二醇加注撬</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64736" behindDoc="0" locked="0" layoutInCell="1" allowOverlap="1">
                <wp:simplePos x="0" y="0"/>
                <wp:positionH relativeFrom="column">
                  <wp:posOffset>4203065</wp:posOffset>
                </wp:positionH>
                <wp:positionV relativeFrom="paragraph">
                  <wp:posOffset>194945</wp:posOffset>
                </wp:positionV>
                <wp:extent cx="808355" cy="333375"/>
                <wp:effectExtent l="0" t="0" r="0" b="0"/>
                <wp:wrapNone/>
                <wp:docPr id="287" name="文本框 287"/>
                <wp:cNvGraphicFramePr/>
                <a:graphic xmlns:a="http://schemas.openxmlformats.org/drawingml/2006/main">
                  <a:graphicData uri="http://schemas.microsoft.com/office/word/2010/wordprocessingShape">
                    <wps:wsp>
                      <wps:cNvSpPr txBox="1"/>
                      <wps:spPr>
                        <a:xfrm>
                          <a:off x="0" y="0"/>
                          <a:ext cx="808355" cy="333375"/>
                        </a:xfrm>
                        <a:prstGeom prst="rect">
                          <a:avLst/>
                        </a:prstGeom>
                        <a:noFill/>
                        <a:ln w="9525">
                          <a:noFill/>
                          <a:miter lim="800000"/>
                        </a:ln>
                      </wps:spPr>
                      <wps:txbx>
                        <w:txbxContent>
                          <w:p>
                            <w:pPr>
                              <w:spacing w:line="240" w:lineRule="auto"/>
                              <w:ind w:firstLine="0" w:firstLineChars="0"/>
                              <w:jc w:val="center"/>
                              <w:rPr>
                                <w:sz w:val="15"/>
                                <w:szCs w:val="15"/>
                              </w:rPr>
                            </w:pPr>
                            <w:r>
                              <w:rPr>
                                <w:rFonts w:hint="eastAsia"/>
                                <w:sz w:val="15"/>
                                <w:szCs w:val="15"/>
                              </w:rPr>
                              <w:t>外输管线至大湾403站</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30.95pt;margin-top:15.35pt;height:26.25pt;width:63.65pt;z-index:251764736;mso-width-relative:page;mso-height-relative:page;" filled="f" stroked="f" coordsize="21600,21600" o:gfxdata="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QR58dcAAAAJAQAADwAAAAAA&#10;AAABACAAAAAiAAAAZHJzL2Rvd25yZXYueG1sUEsBAhQAFAAAAAgAh07iQOyp3cpNAgAAjAQAAA4A&#10;AAAAAAAAAQAgAAAAJgEAAGRycy9lMm9Eb2MueG1sUEsFBgAAAAAGAAYAWQEAAOUFAAAAAA==&#10;">
                <v:fill on="f" focussize="0,0"/>
                <v:stroke on="f" miterlimit="8" joinstyle="miter"/>
                <v:imagedata o:title=""/>
                <o:lock v:ext="edit" aspectratio="f"/>
                <v:textbox>
                  <w:txbxContent>
                    <w:p>
                      <w:pPr>
                        <w:spacing w:line="240" w:lineRule="auto"/>
                        <w:ind w:firstLine="0" w:firstLineChars="0"/>
                        <w:jc w:val="center"/>
                        <w:rPr>
                          <w:sz w:val="15"/>
                          <w:szCs w:val="15"/>
                        </w:rPr>
                      </w:pPr>
                      <w:r>
                        <w:rPr>
                          <w:rFonts w:hint="eastAsia"/>
                          <w:sz w:val="15"/>
                          <w:szCs w:val="15"/>
                        </w:rPr>
                        <w:t>外输管线至大湾403站</w:t>
                      </w:r>
                    </w:p>
                  </w:txbxContent>
                </v:textbox>
              </v:shape>
            </w:pict>
          </mc:Fallback>
        </mc:AlternateContent>
      </w:r>
    </w:p>
    <w:p>
      <w:pPr>
        <w:pStyle w:val="608"/>
        <w:jc w:val="both"/>
        <w:rPr>
          <w:rStyle w:val="166"/>
          <w:rFonts w:ascii="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1558925</wp:posOffset>
                </wp:positionH>
                <wp:positionV relativeFrom="paragraph">
                  <wp:posOffset>-274955</wp:posOffset>
                </wp:positionV>
                <wp:extent cx="3175" cy="196850"/>
                <wp:effectExtent l="49530" t="0" r="52070" b="3175"/>
                <wp:wrapNone/>
                <wp:docPr id="280" name="直接箭头连接符 280"/>
                <wp:cNvGraphicFramePr/>
                <a:graphic xmlns:a="http://schemas.openxmlformats.org/drawingml/2006/main">
                  <a:graphicData uri="http://schemas.microsoft.com/office/word/2010/wordprocessingShape">
                    <wps:wsp>
                      <wps:cNvCnPr/>
                      <wps:spPr>
                        <a:xfrm flipH="1" flipV="1">
                          <a:off x="2520315" y="7684770"/>
                          <a:ext cx="3175" cy="19685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22.75pt;margin-top:-21.65pt;height:15.5pt;width:0.25pt;z-index:251757568;mso-width-relative:page;mso-height-relative:page;" filled="f" stroked="t" coordsize="21600,21600" o:gfxdata="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CPk+69sAAAALAQAADwAAAAAAAAABACAAAAAiAAAAZHJzL2Rvd25yZXYueG1sUEsBAhQAFAAA&#10;AAgAh07iQHyoTkslAgAABQQAAA4AAAAAAAAAAQAgAAAAKgEAAGRycy9lMm9Eb2MueG1sUEsFBgAA&#10;AAAGAAYAWQEAAMEFAAAAAA==&#10;">
                <v:fill on="f" focussize="0,0"/>
                <v:stroke weight="1pt" color="#4472C4 [3204]" miterlimit="8" joinstyle="miter" endarrow="open"/>
                <v:imagedata o:title=""/>
                <o:lock v:ext="edit" aspectratio="f"/>
              </v:shape>
            </w:pict>
          </mc:Fallback>
        </mc:AlternateContent>
      </w:r>
    </w:p>
    <w:p>
      <w:pPr>
        <w:pStyle w:val="608"/>
        <w:rPr>
          <w:color w:val="000000" w:themeColor="text1"/>
          <w:highlight w:val="none"/>
          <w14:textFill>
            <w14:solidFill>
              <w14:schemeClr w14:val="tx1"/>
            </w14:solidFill>
          </w14:textFill>
        </w:rPr>
      </w:pPr>
      <w:r>
        <w:rPr>
          <w:rStyle w:val="166"/>
          <w:rFonts w:ascii="Times New Roman"/>
          <w:color w:val="000000" w:themeColor="text1"/>
          <w:highlight w:val="none"/>
          <w14:textFill>
            <w14:solidFill>
              <w14:schemeClr w14:val="tx1"/>
            </w14:solidFill>
          </w14:textFill>
        </w:rPr>
        <w:t>图</w:t>
      </w:r>
      <w:r>
        <w:rPr>
          <w:rStyle w:val="166"/>
          <w:rFonts w:ascii="Times New Roman"/>
          <w:color w:val="000000" w:themeColor="text1"/>
          <w:highlight w:val="none"/>
          <w14:textFill>
            <w14:solidFill>
              <w14:schemeClr w14:val="tx1"/>
            </w14:solidFill>
          </w14:textFill>
        </w:rPr>
        <w:fldChar w:fldCharType="begin"/>
      </w:r>
      <w:r>
        <w:rPr>
          <w:rStyle w:val="166"/>
          <w:rFonts w:ascii="Times New Roman"/>
          <w:color w:val="000000" w:themeColor="text1"/>
          <w:highlight w:val="none"/>
          <w14:textFill>
            <w14:solidFill>
              <w14:schemeClr w14:val="tx1"/>
            </w14:solidFill>
          </w14:textFill>
        </w:rPr>
        <w:instrText xml:space="preserve"> STYLEREF 2 \s </w:instrText>
      </w:r>
      <w:r>
        <w:rPr>
          <w:rStyle w:val="166"/>
          <w:rFonts w:ascii="Times New Roman"/>
          <w:color w:val="000000" w:themeColor="text1"/>
          <w:highlight w:val="none"/>
          <w14:textFill>
            <w14:solidFill>
              <w14:schemeClr w14:val="tx1"/>
            </w14:solidFill>
          </w14:textFill>
        </w:rPr>
        <w:fldChar w:fldCharType="separate"/>
      </w:r>
      <w:r>
        <w:rPr>
          <w:rStyle w:val="166"/>
          <w:rFonts w:ascii="Times New Roman"/>
          <w:color w:val="000000" w:themeColor="text1"/>
          <w:highlight w:val="none"/>
          <w14:textFill>
            <w14:solidFill>
              <w14:schemeClr w14:val="tx1"/>
            </w14:solidFill>
          </w14:textFill>
        </w:rPr>
        <w:t>3.3</w:t>
      </w:r>
      <w:r>
        <w:rPr>
          <w:rStyle w:val="166"/>
          <w:rFonts w:ascii="Times New Roman"/>
          <w:color w:val="000000" w:themeColor="text1"/>
          <w:highlight w:val="none"/>
          <w14:textFill>
            <w14:solidFill>
              <w14:schemeClr w14:val="tx1"/>
            </w14:solidFill>
          </w14:textFill>
        </w:rPr>
        <w:fldChar w:fldCharType="end"/>
      </w:r>
      <w:r>
        <w:rPr>
          <w:rStyle w:val="166"/>
          <w:rFonts w:ascii="Times New Roman"/>
          <w:color w:val="000000" w:themeColor="text1"/>
          <w:highlight w:val="none"/>
          <w14:textFill>
            <w14:solidFill>
              <w14:schemeClr w14:val="tx1"/>
            </w14:solidFill>
          </w14:textFill>
        </w:rPr>
        <w:noBreakHyphen/>
      </w:r>
      <w:r>
        <w:rPr>
          <w:rStyle w:val="166"/>
          <w:rFonts w:ascii="Times New Roman"/>
          <w:color w:val="000000" w:themeColor="text1"/>
          <w:highlight w:val="none"/>
          <w14:textFill>
            <w14:solidFill>
              <w14:schemeClr w14:val="tx1"/>
            </w14:solidFill>
          </w14:textFill>
        </w:rPr>
        <w:fldChar w:fldCharType="begin"/>
      </w:r>
      <w:r>
        <w:rPr>
          <w:rStyle w:val="166"/>
          <w:rFonts w:ascii="Times New Roman"/>
          <w:color w:val="000000" w:themeColor="text1"/>
          <w:highlight w:val="none"/>
          <w14:textFill>
            <w14:solidFill>
              <w14:schemeClr w14:val="tx1"/>
            </w14:solidFill>
          </w14:textFill>
        </w:rPr>
        <w:instrText xml:space="preserve"> SEQ 图 \* ARABIC \s 2 </w:instrText>
      </w:r>
      <w:r>
        <w:rPr>
          <w:rStyle w:val="166"/>
          <w:rFonts w:ascii="Times New Roman"/>
          <w:color w:val="000000" w:themeColor="text1"/>
          <w:highlight w:val="none"/>
          <w14:textFill>
            <w14:solidFill>
              <w14:schemeClr w14:val="tx1"/>
            </w14:solidFill>
          </w14:textFill>
        </w:rPr>
        <w:fldChar w:fldCharType="separate"/>
      </w:r>
      <w:r>
        <w:rPr>
          <w:rStyle w:val="166"/>
          <w:rFonts w:ascii="Times New Roman"/>
          <w:color w:val="000000" w:themeColor="text1"/>
          <w:highlight w:val="none"/>
          <w14:textFill>
            <w14:solidFill>
              <w14:schemeClr w14:val="tx1"/>
            </w14:solidFill>
          </w14:textFill>
        </w:rPr>
        <w:t>9</w:t>
      </w:r>
      <w:r>
        <w:rPr>
          <w:rStyle w:val="166"/>
          <w:rFonts w:ascii="Times New Roman"/>
          <w:color w:val="000000" w:themeColor="text1"/>
          <w:highlight w:val="none"/>
          <w14:textFill>
            <w14:solidFill>
              <w14:schemeClr w14:val="tx1"/>
            </w14:solidFill>
          </w14:textFill>
        </w:rPr>
        <w:fldChar w:fldCharType="end"/>
      </w:r>
      <w:r>
        <w:rPr>
          <w:rStyle w:val="166"/>
          <w:rFonts w:ascii="Times New Roman"/>
          <w:color w:val="000000" w:themeColor="text1"/>
          <w:highlight w:val="none"/>
          <w14:textFill>
            <w14:solidFill>
              <w14:schemeClr w14:val="tx1"/>
            </w14:solidFill>
          </w14:textFill>
        </w:rPr>
        <w:t xml:space="preserve"> 试采期工</w:t>
      </w:r>
      <w:r>
        <w:rPr>
          <w:rFonts w:ascii="Times New Roman"/>
          <w:color w:val="000000" w:themeColor="text1"/>
          <w:highlight w:val="none"/>
          <w14:textFill>
            <w14:solidFill>
              <w14:schemeClr w14:val="tx1"/>
            </w14:solidFill>
          </w14:textFill>
        </w:rPr>
        <w:t>艺流</w:t>
      </w:r>
      <w:r>
        <w:rPr>
          <w:rFonts w:hint="eastAsia"/>
          <w:color w:val="000000" w:themeColor="text1"/>
          <w:highlight w:val="none"/>
          <w14:textFill>
            <w14:solidFill>
              <w14:schemeClr w14:val="tx1"/>
            </w14:solidFill>
          </w14:textFill>
        </w:rPr>
        <w:t>程及产污节点图</w:t>
      </w:r>
    </w:p>
    <w:p>
      <w:pPr>
        <w:ind w:firstLine="480"/>
        <w:rPr>
          <w:rFonts w:eastAsia="黑体" w:cs="Times New Roman"/>
          <w:color w:val="000000" w:themeColor="text1"/>
          <w:highlight w:val="none"/>
          <w14:textFill>
            <w14:solidFill>
              <w14:schemeClr w14:val="tx1"/>
            </w14:solidFill>
          </w14:textFill>
        </w:rPr>
      </w:pPr>
    </w:p>
    <w:p>
      <w:pPr>
        <w:rPr>
          <w:rFonts w:cs="Times New Roman"/>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工艺流程描述：</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本工程采用</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全湿气加热保温</w:t>
      </w:r>
      <w:r>
        <w:rPr>
          <w:rFonts w:hint="eastAsia"/>
          <w:color w:val="000000" w:themeColor="text1"/>
          <w:highlight w:val="none"/>
          <w14:textFill>
            <w14:solidFill>
              <w14:schemeClr w14:val="tx1"/>
            </w14:solidFill>
          </w14:textFill>
        </w:rPr>
        <w:t>分</w:t>
      </w:r>
      <w:r>
        <w:rPr>
          <w:color w:val="000000" w:themeColor="text1"/>
          <w:highlight w:val="none"/>
          <w14:textFill>
            <w14:solidFill>
              <w14:schemeClr w14:val="tx1"/>
            </w14:solidFill>
          </w14:textFill>
        </w:rPr>
        <w:t>输工艺</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，总体沿用</w:t>
      </w:r>
      <w:r>
        <w:rPr>
          <w:rFonts w:hint="eastAsia"/>
          <w:color w:val="000000" w:themeColor="text1"/>
          <w:highlight w:val="none"/>
          <w14:textFill>
            <w14:solidFill>
              <w14:schemeClr w14:val="tx1"/>
            </w14:solidFill>
          </w14:textFill>
        </w:rPr>
        <w:t>毛坝气藏</w:t>
      </w:r>
      <w:r>
        <w:rPr>
          <w:color w:val="000000" w:themeColor="text1"/>
          <w:highlight w:val="none"/>
          <w14:textFill>
            <w14:solidFill>
              <w14:schemeClr w14:val="tx1"/>
            </w14:solidFill>
          </w14:textFill>
        </w:rPr>
        <w:t>标准化工艺流程</w:t>
      </w:r>
      <w:r>
        <w:rPr>
          <w:rFonts w:hint="eastAsia"/>
          <w:color w:val="000000" w:themeColor="text1"/>
          <w:highlight w:val="none"/>
          <w14:textFill>
            <w14:solidFill>
              <w14:schemeClr w14:val="tx1"/>
            </w14:solidFill>
          </w14:textFill>
        </w:rPr>
        <w:t>。本工程气井通过依托大湾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的分酸分离器、加热炉进行分离、节流加热，而后通过计量分离后外输</w:t>
      </w:r>
      <w:r>
        <w:rPr>
          <w:rFonts w:cs="Times New Roman"/>
          <w:bCs/>
          <w:color w:val="000000" w:themeColor="text1"/>
          <w:szCs w:val="24"/>
          <w:highlight w:val="none"/>
          <w14:textFill>
            <w14:solidFill>
              <w14:schemeClr w14:val="tx1"/>
            </w14:solidFill>
          </w14:textFill>
        </w:rPr>
        <w:t>。站内设临时分酸分离器，分出的酸液排放至火炬分液罐，定期拉运处理。</w:t>
      </w:r>
    </w:p>
    <w:p>
      <w:pPr>
        <w:ind w:left="0" w:leftChars="0" w:firstLine="482" w:firstLineChars="200"/>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加热节流描述如下：</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1）水套加热炉设置</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了满足站内及站外管道设计压力要求，井口天然气须经过多级节流，在节流过程中为了防止形成水合物，本工程采取加热措施，保证天然气的集输温度始终高于水合物形成温度3℃以上。同时考虑到非正常工况下防止水合物生成或者在形成水合物情况下及时解堵，还</w:t>
      </w:r>
      <w:r>
        <w:rPr>
          <w:rFonts w:hint="eastAsia"/>
          <w:color w:val="000000" w:themeColor="text1"/>
          <w:highlight w:val="none"/>
          <w:lang w:val="en-US" w:eastAsia="zh-CN"/>
          <w14:textFill>
            <w14:solidFill>
              <w14:schemeClr w14:val="tx1"/>
            </w14:solidFill>
          </w14:textFill>
        </w:rPr>
        <w:t>需要依托大湾408试采站内</w:t>
      </w:r>
      <w:r>
        <w:rPr>
          <w:color w:val="000000" w:themeColor="text1"/>
          <w:highlight w:val="none"/>
          <w14:textFill>
            <w14:solidFill>
              <w14:schemeClr w14:val="tx1"/>
            </w14:solidFill>
          </w14:textFill>
        </w:rPr>
        <w:t>乙二醇加注装置。</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2）计算选型</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根据总体集输方案要求，结合区块内天然气组成、井口温度、压力条件以及外输温度要求，采用</w:t>
      </w:r>
      <w:r>
        <w:rPr>
          <w:rFonts w:hint="eastAsia" w:cs="Times New Roman"/>
          <w:color w:val="000000" w:themeColor="text1"/>
          <w:szCs w:val="24"/>
          <w:highlight w:val="none"/>
          <w14:textFill>
            <w14:solidFill>
              <w14:schemeClr w14:val="tx1"/>
            </w14:solidFill>
          </w14:textFill>
        </w:rPr>
        <w:t>设计单位</w:t>
      </w:r>
      <w:r>
        <w:rPr>
          <w:rFonts w:cs="Times New Roman"/>
          <w:color w:val="000000" w:themeColor="text1"/>
          <w:szCs w:val="24"/>
          <w:highlight w:val="none"/>
          <w14:textFill>
            <w14:solidFill>
              <w14:schemeClr w14:val="tx1"/>
            </w14:solidFill>
          </w14:textFill>
        </w:rPr>
        <w:t>Hysys模拟计算，考虑一定的设计余量后，确定本工程采用</w:t>
      </w:r>
      <w:r>
        <w:rPr>
          <w:rFonts w:hint="eastAsia" w:cs="Times New Roman"/>
          <w:color w:val="000000" w:themeColor="text1"/>
          <w:szCs w:val="24"/>
          <w:highlight w:val="none"/>
          <w14:textFill>
            <w14:solidFill>
              <w14:schemeClr w14:val="tx1"/>
            </w14:solidFill>
          </w14:textFill>
        </w:rPr>
        <w:t>二级</w:t>
      </w:r>
      <w:r>
        <w:rPr>
          <w:rFonts w:cs="Times New Roman"/>
          <w:color w:val="000000" w:themeColor="text1"/>
          <w:szCs w:val="24"/>
          <w:highlight w:val="none"/>
          <w14:textFill>
            <w14:solidFill>
              <w14:schemeClr w14:val="tx1"/>
            </w14:solidFill>
          </w14:textFill>
        </w:rPr>
        <w:t>节流</w:t>
      </w:r>
      <w:r>
        <w:rPr>
          <w:rFonts w:hint="eastAsia" w:cs="Times New Roman"/>
          <w:color w:val="000000" w:themeColor="text1"/>
          <w:szCs w:val="24"/>
          <w:highlight w:val="none"/>
          <w14:textFill>
            <w14:solidFill>
              <w14:schemeClr w14:val="tx1"/>
            </w14:solidFill>
          </w14:textFill>
        </w:rPr>
        <w:t>、一次加热</w:t>
      </w:r>
      <w:r>
        <w:rPr>
          <w:rFonts w:cs="Times New Roman"/>
          <w:color w:val="000000" w:themeColor="text1"/>
          <w:szCs w:val="24"/>
          <w:highlight w:val="none"/>
          <w14:textFill>
            <w14:solidFill>
              <w14:schemeClr w14:val="tx1"/>
            </w14:solidFill>
          </w14:textFill>
        </w:rPr>
        <w:t>模式</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根据开发数据和实际生产情况</w:t>
      </w:r>
      <w:r>
        <w:rPr>
          <w:rFonts w:hint="eastAsia" w:cs="Times New Roman"/>
          <w:color w:val="000000" w:themeColor="text1"/>
          <w:szCs w:val="24"/>
          <w:highlight w:val="none"/>
          <w14:textFill>
            <w14:solidFill>
              <w14:schemeClr w14:val="tx1"/>
            </w14:solidFill>
          </w14:textFill>
        </w:rPr>
        <w:t>，通过大湾</w:t>
      </w:r>
      <w:r>
        <w:rPr>
          <w:rFonts w:hint="eastAsia" w:cs="Times New Roman"/>
          <w:color w:val="000000" w:themeColor="text1"/>
          <w:szCs w:val="24"/>
          <w:highlight w:val="none"/>
          <w:lang w:eastAsia="zh-CN"/>
          <w14:textFill>
            <w14:solidFill>
              <w14:schemeClr w14:val="tx1"/>
            </w14:solidFill>
          </w14:textFill>
        </w:rPr>
        <w:t>408试采站</w:t>
      </w:r>
      <w:r>
        <w:rPr>
          <w:rFonts w:hint="eastAsia" w:cs="Times New Roman"/>
          <w:color w:val="000000" w:themeColor="text1"/>
          <w:szCs w:val="24"/>
          <w:highlight w:val="none"/>
          <w14:textFill>
            <w14:solidFill>
              <w14:schemeClr w14:val="tx1"/>
            </w14:solidFill>
          </w14:textFill>
        </w:rPr>
        <w:t>内已建设施可满足加热需求</w:t>
      </w:r>
      <w:r>
        <w:rPr>
          <w:rFonts w:cs="Times New Roman"/>
          <w:color w:val="000000" w:themeColor="text1"/>
          <w:szCs w:val="24"/>
          <w:highlight w:val="none"/>
          <w14:textFill>
            <w14:solidFill>
              <w14:schemeClr w14:val="tx1"/>
            </w14:solidFill>
          </w14:textFill>
        </w:rPr>
        <w:t>。</w:t>
      </w:r>
    </w:p>
    <w:p>
      <w:pPr>
        <w:ind w:firstLine="482" w:firstLineChars="200"/>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分酸工艺流程描述如下：</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为防止酸化压裂液返排对地面试采管道造成腐蚀，在工艺流程中设计了临时分酸分离器，此分离器分出的气田水直接进入火炬分液罐，暂存一定量后直接用密闭罐车拉运至赵家坝污水处理站处理达到《气田水回注方法》（SY/T 6596-2016）中注入水基本要求后管输至普光</w:t>
      </w:r>
      <w:r>
        <w:rPr>
          <w:rFonts w:hint="eastAsia" w:cs="Times New Roman"/>
          <w:bCs/>
          <w:color w:val="000000" w:themeColor="text1"/>
          <w:szCs w:val="24"/>
          <w:highlight w:val="none"/>
          <w14:textFill>
            <w14:solidFill>
              <w14:schemeClr w14:val="tx1"/>
            </w14:solidFill>
          </w14:textFill>
        </w:rPr>
        <w:t>3</w:t>
      </w:r>
      <w:r>
        <w:rPr>
          <w:rFonts w:cs="Times New Roman"/>
          <w:bCs/>
          <w:color w:val="000000" w:themeColor="text1"/>
          <w:szCs w:val="24"/>
          <w:highlight w:val="none"/>
          <w14:textFill>
            <w14:solidFill>
              <w14:schemeClr w14:val="tx1"/>
            </w14:solidFill>
          </w14:textFill>
        </w:rPr>
        <w:t>井回注站回注处理，不外排。</w:t>
      </w:r>
    </w:p>
    <w:p>
      <w:pPr>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14:textFill>
            <w14:solidFill>
              <w14:schemeClr w14:val="tx1"/>
            </w14:solidFill>
          </w14:textFill>
        </w:rPr>
        <w:t>2、</w:t>
      </w:r>
      <w:r>
        <w:rPr>
          <w:rFonts w:eastAsia="黑体" w:cs="Times New Roman"/>
          <w:color w:val="000000" w:themeColor="text1"/>
          <w:highlight w:val="none"/>
          <w14:textFill>
            <w14:solidFill>
              <w14:schemeClr w14:val="tx1"/>
            </w14:solidFill>
          </w14:textFill>
        </w:rPr>
        <w:t>试采</w:t>
      </w:r>
      <w:r>
        <w:rPr>
          <w:rFonts w:hint="eastAsia" w:eastAsia="黑体" w:cs="Times New Roman"/>
          <w:color w:val="000000" w:themeColor="text1"/>
          <w:highlight w:val="none"/>
          <w14:textFill>
            <w14:solidFill>
              <w14:schemeClr w14:val="tx1"/>
            </w14:solidFill>
          </w14:textFill>
        </w:rPr>
        <w:t>生产期</w:t>
      </w:r>
      <w:r>
        <w:rPr>
          <w:rFonts w:eastAsia="黑体" w:cs="Times New Roman"/>
          <w:color w:val="000000" w:themeColor="text1"/>
          <w:highlight w:val="none"/>
          <w14:textFill>
            <w14:solidFill>
              <w14:schemeClr w14:val="tx1"/>
            </w14:solidFill>
          </w14:textFill>
        </w:rPr>
        <w:t>产污环节</w:t>
      </w:r>
    </w:p>
    <w:p>
      <w:pPr>
        <w:ind w:firstLine="480"/>
        <w:rPr>
          <w:rFonts w:cs="Times New Roman"/>
          <w:color w:val="000000" w:themeColor="text1"/>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大湾408-3井场</w:t>
      </w:r>
      <w:r>
        <w:rPr>
          <w:rFonts w:cs="Times New Roman"/>
          <w:bCs/>
          <w:color w:val="000000" w:themeColor="text1"/>
          <w:szCs w:val="24"/>
          <w:highlight w:val="none"/>
          <w14:textFill>
            <w14:solidFill>
              <w14:schemeClr w14:val="tx1"/>
            </w14:solidFill>
          </w14:textFill>
        </w:rPr>
        <w:t>正常生产时主要产生气田水以及设备检修废水，</w:t>
      </w:r>
      <w:r>
        <w:rPr>
          <w:rFonts w:hint="eastAsia" w:cs="Times New Roman"/>
          <w:bCs/>
          <w:color w:val="000000" w:themeColor="text1"/>
          <w:szCs w:val="24"/>
          <w:highlight w:val="none"/>
          <w14:textFill>
            <w14:solidFill>
              <w14:schemeClr w14:val="tx1"/>
            </w14:solidFill>
          </w14:textFill>
        </w:rPr>
        <w:t>采出水</w:t>
      </w:r>
      <w:r>
        <w:rPr>
          <w:rFonts w:cs="Times New Roman"/>
          <w:bCs/>
          <w:color w:val="000000" w:themeColor="text1"/>
          <w:szCs w:val="24"/>
          <w:highlight w:val="none"/>
          <w14:textFill>
            <w14:solidFill>
              <w14:schemeClr w14:val="tx1"/>
            </w14:solidFill>
          </w14:textFill>
        </w:rPr>
        <w:t>水为工艺装置分离器分离出的天然气中的游离水，设备检修废水为装置设备检修产生的废水。采气井场放散系统会产生燃烧废气；</w:t>
      </w:r>
      <w:r>
        <w:rPr>
          <w:rFonts w:hint="eastAsia" w:cs="Times New Roman"/>
          <w:bCs/>
          <w:color w:val="000000" w:themeColor="text1"/>
          <w:szCs w:val="24"/>
          <w:highlight w:val="none"/>
          <w14:textFill>
            <w14:solidFill>
              <w14:schemeClr w14:val="tx1"/>
            </w14:solidFill>
          </w14:textFill>
        </w:rPr>
        <w:t>试采</w:t>
      </w:r>
      <w:r>
        <w:rPr>
          <w:rFonts w:cs="Times New Roman"/>
          <w:bCs/>
          <w:color w:val="000000" w:themeColor="text1"/>
          <w:szCs w:val="24"/>
          <w:highlight w:val="none"/>
          <w14:textFill>
            <w14:solidFill>
              <w14:schemeClr w14:val="tx1"/>
            </w14:solidFill>
          </w14:textFill>
        </w:rPr>
        <w:t>站设备运行时产生设备噪声；工作人员产生的生活污水和生活垃圾</w:t>
      </w:r>
      <w:r>
        <w:rPr>
          <w:rFonts w:cs="Times New Roman"/>
          <w:color w:val="000000" w:themeColor="text1"/>
          <w:highlight w:val="none"/>
          <w14:textFill>
            <w14:solidFill>
              <w14:schemeClr w14:val="tx1"/>
            </w14:solidFill>
          </w14:textFill>
        </w:rPr>
        <w:t>。</w:t>
      </w:r>
    </w:p>
    <w:p>
      <w:pPr>
        <w:pStyle w:val="95"/>
        <w:keepNext/>
        <w:rPr>
          <w:color w:val="000000" w:themeColor="text1"/>
          <w:highlight w:val="none"/>
          <w:lang w:eastAsia="zh-CN"/>
          <w14:textFill>
            <w14:solidFill>
              <w14:schemeClr w14:val="tx1"/>
            </w14:solidFill>
          </w14:textFill>
        </w:rPr>
      </w:pP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1335405</wp:posOffset>
                </wp:positionH>
                <wp:positionV relativeFrom="paragraph">
                  <wp:posOffset>76200</wp:posOffset>
                </wp:positionV>
                <wp:extent cx="1399540" cy="264795"/>
                <wp:effectExtent l="4445" t="5080" r="5715" b="6350"/>
                <wp:wrapNone/>
                <wp:docPr id="83" name="文本框 83"/>
                <wp:cNvGraphicFramePr/>
                <a:graphic xmlns:a="http://schemas.openxmlformats.org/drawingml/2006/main">
                  <a:graphicData uri="http://schemas.microsoft.com/office/word/2010/wordprocessingShape">
                    <wps:wsp>
                      <wps:cNvSpPr txBox="1"/>
                      <wps:spPr>
                        <a:xfrm>
                          <a:off x="3322320" y="1009015"/>
                          <a:ext cx="1399540" cy="2647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大湾408-3井来气</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05.15pt;margin-top:6pt;height:20.85pt;width:110.2pt;z-index:251681792;mso-width-relative:page;mso-height-relative:page;" fillcolor="#FFFFFF" filled="t" stroked="t" coordsize="21600,21600" o:gfxdata="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HeABftgAAAAJAQAADwAAAAAAAAABACAAAAAiAAAAZHJzL2Rvd25y&#10;ZXYueG1sUEsBAhQAFAAAAAgAh07iQAE6aUhwAgAA4QQAAA4AAAAAAAAAAQAgAAAAJwEAAGRycy9l&#10;Mm9Eb2MueG1sUEsFBgAAAAAGAAYAWQEAAAkGAAAAAA==&#10;">
                <v:fill on="t" focussize="0,0"/>
                <v:stroke color="#000000" miterlimit="8" joinstyle="miter"/>
                <v:imagedata o:title=""/>
                <o:lock v:ext="edit" aspectratio="f"/>
                <v:textbox inset="0mm,1.27mm,0mm,1.27mm">
                  <w:txbxContent>
                    <w:p>
                      <w:pPr>
                        <w:spacing w:line="240" w:lineRule="auto"/>
                        <w:ind w:firstLine="0" w:firstLineChars="0"/>
                        <w:jc w:val="center"/>
                        <w:rPr>
                          <w:sz w:val="18"/>
                          <w:szCs w:val="18"/>
                        </w:rPr>
                      </w:pPr>
                      <w:r>
                        <w:rPr>
                          <w:rFonts w:hint="eastAsia"/>
                          <w:sz w:val="18"/>
                          <w:szCs w:val="18"/>
                        </w:rPr>
                        <w:t>大湾408-3井来气</w:t>
                      </w:r>
                    </w:p>
                  </w:txbxContent>
                </v:textbox>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2035175</wp:posOffset>
                </wp:positionH>
                <wp:positionV relativeFrom="paragraph">
                  <wp:posOffset>129540</wp:posOffset>
                </wp:positionV>
                <wp:extent cx="4445" cy="423545"/>
                <wp:effectExtent l="34290" t="0" r="37465" b="14605"/>
                <wp:wrapNone/>
                <wp:docPr id="84" name="直接箭头连接符 84"/>
                <wp:cNvGraphicFramePr/>
                <a:graphic xmlns:a="http://schemas.openxmlformats.org/drawingml/2006/main">
                  <a:graphicData uri="http://schemas.microsoft.com/office/word/2010/wordprocessingShape">
                    <wps:wsp>
                      <wps:cNvCnPr/>
                      <wps:spPr>
                        <a:xfrm>
                          <a:off x="3783330" y="1315720"/>
                          <a:ext cx="4445" cy="423545"/>
                        </a:xfrm>
                        <a:prstGeom prst="straightConnector1">
                          <a:avLst/>
                        </a:prstGeom>
                        <a:ln>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60.25pt;margin-top:10.2pt;height:33.35pt;width:0.35pt;z-index:251682816;mso-width-relative:page;mso-height-relative:page;" filled="f" stroked="t" coordsize="21600,21600" o:gfxdata="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dwuMtgAAAAJAQAADwAA&#10;AAAAAAABACAAAAAiAAAAZHJzL2Rvd25yZXYueG1sUEsBAhQAFAAAAAgAh07iQPXtE3wWAgAA8gMA&#10;AA4AAAAAAAAAAQAgAAAAJwEAAGRycy9lMm9Eb2MueG1sUEsFBgAAAAAGAAYAWQEAAK8FAAAAAA==&#10;">
                <v:fill on="f" focussize="0,0"/>
                <v:stroke weight="1pt" color="#000000 [3213]" miterlimit="8" joinstyle="miter" endarrow="block"/>
                <v:imagedata o:title=""/>
                <o:lock v:ext="edit" aspectratio="f"/>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2867660</wp:posOffset>
                </wp:positionH>
                <wp:positionV relativeFrom="paragraph">
                  <wp:posOffset>153670</wp:posOffset>
                </wp:positionV>
                <wp:extent cx="772795" cy="264795"/>
                <wp:effectExtent l="0" t="0" r="8255" b="1905"/>
                <wp:wrapNone/>
                <wp:docPr id="97" name="文本框 97"/>
                <wp:cNvGraphicFramePr/>
                <a:graphic xmlns:a="http://schemas.openxmlformats.org/drawingml/2006/main">
                  <a:graphicData uri="http://schemas.microsoft.com/office/word/2010/wordprocessingShape">
                    <wps:wsp>
                      <wps:cNvSpPr txBox="1"/>
                      <wps:spPr>
                        <a:xfrm>
                          <a:off x="0" y="0"/>
                          <a:ext cx="772795" cy="264795"/>
                        </a:xfrm>
                        <a:prstGeom prst="rect">
                          <a:avLst/>
                        </a:prstGeom>
                        <a:solidFill>
                          <a:srgbClr val="FFFFFF"/>
                        </a:solidFill>
                        <a:ln w="9525">
                          <a:noFill/>
                          <a:miter lim="800000"/>
                        </a:ln>
                      </wps:spPr>
                      <wps:txbx>
                        <w:txbxContent>
                          <w:p>
                            <w:pPr>
                              <w:spacing w:line="240" w:lineRule="auto"/>
                              <w:ind w:firstLine="0" w:firstLineChars="0"/>
                              <w:jc w:val="lef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25.8pt;margin-top:12.1pt;height:20.85pt;width:60.85pt;z-index:251692032;mso-width-relative:page;mso-height-relative:page;" fillcolor="#FFFFFF" filled="t" stroked="f" coordsize="21600,21600" o:gfxdata="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Ed80b2gAAAAkBAAAPAAAAAAAAAAEAIAAAACIAAABkcnMvZG93bnJldi54bWxQSwECFAAUAAAA&#10;CACHTuJA62CzsF4CAACrBAAADgAAAAAAAAABACAAAAApAQAAZHJzL2Uyb0RvYy54bWxQSwUGAAAA&#10;AAYABgBZAQAA+QUAAAAA&#10;">
                <v:fill on="t" focussize="0,0"/>
                <v:stroke on="f" miterlimit="8" joinstyle="miter"/>
                <v:imagedata o:title=""/>
                <o:lock v:ext="edit" aspectratio="f"/>
                <v:textbox inset="0mm,1.27mm,0mm,1.27mm">
                  <w:txbxContent>
                    <w:p>
                      <w:pPr>
                        <w:spacing w:line="240" w:lineRule="auto"/>
                        <w:ind w:firstLine="0" w:firstLineChars="0"/>
                        <w:jc w:val="lef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w:t>
                      </w:r>
                    </w:p>
                  </w:txbxContent>
                </v:textbox>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86240" behindDoc="0" locked="0" layoutInCell="1" allowOverlap="1">
                <wp:simplePos x="0" y="0"/>
                <wp:positionH relativeFrom="column">
                  <wp:posOffset>-394335</wp:posOffset>
                </wp:positionH>
                <wp:positionV relativeFrom="paragraph">
                  <wp:posOffset>67945</wp:posOffset>
                </wp:positionV>
                <wp:extent cx="5562600" cy="2474595"/>
                <wp:effectExtent l="6350" t="6350" r="12700" b="14605"/>
                <wp:wrapNone/>
                <wp:docPr id="222" name="任意多边形 222"/>
                <wp:cNvGraphicFramePr/>
                <a:graphic xmlns:a="http://schemas.openxmlformats.org/drawingml/2006/main">
                  <a:graphicData uri="http://schemas.microsoft.com/office/word/2010/wordprocessingShape">
                    <wps:wsp>
                      <wps:cNvSpPr/>
                      <wps:spPr>
                        <a:xfrm>
                          <a:off x="748665" y="1828800"/>
                          <a:ext cx="5562600" cy="2474595"/>
                        </a:xfrm>
                        <a:custGeom>
                          <a:avLst/>
                          <a:gdLst>
                            <a:gd name="connisteX0" fmla="*/ 88900 w 5562600"/>
                            <a:gd name="connsiteY0" fmla="*/ 296545 h 2474595"/>
                            <a:gd name="connisteX1" fmla="*/ 156845 w 5562600"/>
                            <a:gd name="connsiteY1" fmla="*/ 293370 h 2474595"/>
                            <a:gd name="connisteX2" fmla="*/ 1749425 w 5562600"/>
                            <a:gd name="connsiteY2" fmla="*/ 293370 h 2474595"/>
                            <a:gd name="connisteX3" fmla="*/ 1749425 w 5562600"/>
                            <a:gd name="connsiteY3" fmla="*/ 401955 h 2474595"/>
                            <a:gd name="connisteX4" fmla="*/ 4457065 w 5562600"/>
                            <a:gd name="connsiteY4" fmla="*/ 401955 h 2474595"/>
                            <a:gd name="connisteX5" fmla="*/ 4457065 w 5562600"/>
                            <a:gd name="connsiteY5" fmla="*/ 0 h 2474595"/>
                            <a:gd name="connisteX6" fmla="*/ 5562600 w 5562600"/>
                            <a:gd name="connsiteY6" fmla="*/ 0 h 2474595"/>
                            <a:gd name="connisteX7" fmla="*/ 5562600 w 5562600"/>
                            <a:gd name="connsiteY7" fmla="*/ 2474595 h 2474595"/>
                            <a:gd name="connisteX8" fmla="*/ 521335 w 5562600"/>
                            <a:gd name="connsiteY8" fmla="*/ 2474595 h 2474595"/>
                            <a:gd name="connisteX9" fmla="*/ 521335 w 5562600"/>
                            <a:gd name="connsiteY9" fmla="*/ 899795 h 2474595"/>
                            <a:gd name="connisteX10" fmla="*/ 0 w 5562600"/>
                            <a:gd name="connsiteY10" fmla="*/ 899795 h 2474595"/>
                            <a:gd name="connisteX11" fmla="*/ 0 w 5562600"/>
                            <a:gd name="connsiteY11" fmla="*/ 290830 h 2474595"/>
                            <a:gd name="connisteX12" fmla="*/ 88900 w 5562600"/>
                            <a:gd name="connsiteY12" fmla="*/ 296545 h 24745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5562600" h="2474595">
                              <a:moveTo>
                                <a:pt x="88900" y="296545"/>
                              </a:moveTo>
                              <a:lnTo>
                                <a:pt x="156845" y="293370"/>
                              </a:lnTo>
                              <a:lnTo>
                                <a:pt x="1749425" y="293370"/>
                              </a:lnTo>
                              <a:lnTo>
                                <a:pt x="1749425" y="401955"/>
                              </a:lnTo>
                              <a:lnTo>
                                <a:pt x="4457065" y="401955"/>
                              </a:lnTo>
                              <a:lnTo>
                                <a:pt x="4457065" y="0"/>
                              </a:lnTo>
                              <a:lnTo>
                                <a:pt x="5562600" y="0"/>
                              </a:lnTo>
                              <a:lnTo>
                                <a:pt x="5562600" y="2474595"/>
                              </a:lnTo>
                              <a:lnTo>
                                <a:pt x="521335" y="2474595"/>
                              </a:lnTo>
                              <a:lnTo>
                                <a:pt x="521335" y="899795"/>
                              </a:lnTo>
                              <a:lnTo>
                                <a:pt x="0" y="899795"/>
                              </a:lnTo>
                              <a:lnTo>
                                <a:pt x="0" y="290830"/>
                              </a:lnTo>
                              <a:lnTo>
                                <a:pt x="88900" y="296545"/>
                              </a:lnTo>
                              <a:close/>
                            </a:path>
                          </a:pathLst>
                        </a:custGeom>
                        <a:noFill/>
                        <a:ln>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1.05pt;margin-top:5.35pt;height:194.85pt;width:438pt;z-index:251786240;mso-width-relative:page;mso-height-relative:page;" filled="f" stroked="t" coordsize="5562600,2474595" o:gfxdata="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TjGE69YAAAAKAQAADwAAAAAAAAABACAAAAAiAAAAZHJzL2Rvd25yZXYueG1sUEsBAhQA&#10;FAAAAAgAh07iQM1mgan1AwAAAg8AAA4AAAAAAAAAAQAgAAAAJQEAAGRycy9lMm9Eb2MueG1sUEsF&#10;BgAAAAAGAAYAWQEAAIwHAAAAAA==&#10;" path="m88900,296545l156845,293370,1749425,293370,1749425,401955,4457065,401955,4457065,0,5562600,0,5562600,2474595,521335,2474595,521335,899795,0,899795,0,290830,88900,296545xe">
                <v:path o:connectlocs="88900,296545;156845,293370;1749425,293370;1749425,401955;4457065,401955;4457065,0;5562600,0;5562600,2474595;521335,2474595;521335,899795;0,899795;0,290830;88900,296545" o:connectangles="0,0,0,0,0,0,0,0,0,0,0,0,0"/>
                <v:fill on="f" focussize="0,0"/>
                <v:stroke weight="1pt" color="#000000 [3213]" miterlimit="8" joinstyle="miter" dashstyle="dash"/>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1481455</wp:posOffset>
                </wp:positionH>
                <wp:positionV relativeFrom="paragraph">
                  <wp:posOffset>121920</wp:posOffset>
                </wp:positionV>
                <wp:extent cx="1047115" cy="264795"/>
                <wp:effectExtent l="4445" t="5080" r="15240" b="15875"/>
                <wp:wrapNone/>
                <wp:docPr id="85" name="文本框 85"/>
                <wp:cNvGraphicFramePr/>
                <a:graphic xmlns:a="http://schemas.openxmlformats.org/drawingml/2006/main">
                  <a:graphicData uri="http://schemas.microsoft.com/office/word/2010/wordprocessingShape">
                    <wps:wsp>
                      <wps:cNvSpPr txBox="1"/>
                      <wps:spPr>
                        <a:xfrm>
                          <a:off x="0" y="0"/>
                          <a:ext cx="1047115" cy="2647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采气树一级节流</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6.65pt;margin-top:9.6pt;height:20.85pt;width:82.45pt;z-index:251683840;mso-width-relative:page;mso-height-relative:page;" fillcolor="#FFFFFF" filled="t" stroked="t" coordsize="21600,21600" o:gfxdata="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gtXVtgAAAAJAQAADwAAAAAAAAABACAAAAAiAAAAZHJzL2Rvd25yZXYueG1sUEsBAhQA&#10;FAAAAAgAh07iQE65vGdkAgAA1QQAAA4AAAAAAAAAAQAgAAAAJwEAAGRycy9lMm9Eb2MueG1sUEsF&#10;BgAAAAAGAAYAWQEAAP0FAAAAAA==&#10;">
                <v:fill on="t" focussize="0,0"/>
                <v:stroke color="#000000" miterlimit="8" joinstyle="miter"/>
                <v:imagedata o:title=""/>
                <o:lock v:ext="edit" aspectratio="f"/>
                <v:textbox inset="0mm,1.27mm,0mm,1.27mm">
                  <w:txbxContent>
                    <w:p>
                      <w:pPr>
                        <w:spacing w:line="240" w:lineRule="auto"/>
                        <w:ind w:firstLine="0" w:firstLineChars="0"/>
                        <w:jc w:val="center"/>
                        <w:rPr>
                          <w:sz w:val="18"/>
                          <w:szCs w:val="18"/>
                        </w:rPr>
                      </w:pPr>
                      <w:r>
                        <w:rPr>
                          <w:rFonts w:hint="eastAsia"/>
                          <w:sz w:val="18"/>
                          <w:szCs w:val="18"/>
                        </w:rPr>
                        <w:t>采气树一级节流</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4560570</wp:posOffset>
                </wp:positionH>
                <wp:positionV relativeFrom="paragraph">
                  <wp:posOffset>37465</wp:posOffset>
                </wp:positionV>
                <wp:extent cx="676275" cy="438785"/>
                <wp:effectExtent l="0" t="0" r="0" b="8890"/>
                <wp:wrapNone/>
                <wp:docPr id="251" name="文本框 251"/>
                <wp:cNvGraphicFramePr/>
                <a:graphic xmlns:a="http://schemas.openxmlformats.org/drawingml/2006/main">
                  <a:graphicData uri="http://schemas.microsoft.com/office/word/2010/wordprocessingShape">
                    <wps:wsp>
                      <wps:cNvSpPr txBox="1"/>
                      <wps:spPr>
                        <a:xfrm>
                          <a:off x="0" y="0"/>
                          <a:ext cx="676275" cy="438785"/>
                        </a:xfrm>
                        <a:prstGeom prst="rect">
                          <a:avLst/>
                        </a:prstGeom>
                        <a:noFill/>
                        <a:ln w="9525">
                          <a:noFill/>
                          <a:miter lim="800000"/>
                        </a:ln>
                      </wps:spPr>
                      <wps:txbx>
                        <w:txbxContent>
                          <w:p>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燃烧废气、噪声</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59.1pt;margin-top:2.95pt;height:34.55pt;width:53.25pt;z-index:251717632;mso-width-relative:page;mso-height-relative:page;" filled="f" stroked="f" coordsize="21600,21600" o:gfxdata="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4MeU32QAAAAgBAAAPAAAA&#10;AAAAAAEAIAAAACIAAABkcnMvZG93bnJldi54bWxQSwECFAAUAAAACACHTuJAxPjCoU0CAACEBAAA&#10;DgAAAAAAAAABACAAAAAoAQAAZHJzL2Uyb0RvYy54bWxQSwUGAAAAAAYABgBZAQAA5wUAAAAA&#10;">
                <v:fill on="f" focussize="0,0"/>
                <v:stroke on="f" miterlimit="8" joinstyle="miter"/>
                <v:imagedata o:title=""/>
                <o:lock v:ext="edit" aspectratio="f"/>
                <v:textbox inset="0mm,1.27mm,0mm,1.27mm">
                  <w:txbxContent>
                    <w:p>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燃烧废气、噪声</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2528570</wp:posOffset>
                </wp:positionH>
                <wp:positionV relativeFrom="paragraph">
                  <wp:posOffset>82550</wp:posOffset>
                </wp:positionV>
                <wp:extent cx="329565" cy="172085"/>
                <wp:effectExtent l="0" t="48260" r="13335" b="8255"/>
                <wp:wrapNone/>
                <wp:docPr id="96" name="曲线连接符 96"/>
                <wp:cNvGraphicFramePr/>
                <a:graphic xmlns:a="http://schemas.openxmlformats.org/drawingml/2006/main">
                  <a:graphicData uri="http://schemas.microsoft.com/office/word/2010/wordprocessingShape">
                    <wps:wsp>
                      <wps:cNvCnPr/>
                      <wps:spPr>
                        <a:xfrm flipV="1">
                          <a:off x="4295775" y="1636395"/>
                          <a:ext cx="329565" cy="172085"/>
                        </a:xfrm>
                        <a:prstGeom prst="curvedConnector3">
                          <a:avLst>
                            <a:gd name="adj1" fmla="val 50096"/>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199.1pt;margin-top:6.5pt;height:13.55pt;width:25.95pt;z-index:251691008;mso-width-relative:page;mso-height-relative:page;" filled="f" stroked="t" coordsize="21600,21600" o:gfxdata="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R+3tQ1QAAAAkBAAAPAAAAAAAAAAEAIAAAACIAAABkcnMvZG93bnJldi54bWxQSwEC&#10;FAAUAAAACACHTuJA/Xs2vTACAAAgBAAADgAAAAAAAAABACAAAAAkAQAAZHJzL2Uyb0RvYy54bWxQ&#10;SwUGAAAAAAYABgBZAQAAxgUAAAAA&#10;" adj="10821">
                <v:fill on="f" focussize="0,0"/>
                <v:stroke weight="1pt" color="#4472C4 [3204]" miterlimit="8" joinstyle="miter" endarrow="open"/>
                <v:imagedata o:title=""/>
                <o:lock v:ext="edit" aspectratio="f"/>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4443730</wp:posOffset>
                </wp:positionH>
                <wp:positionV relativeFrom="paragraph">
                  <wp:posOffset>130810</wp:posOffset>
                </wp:positionV>
                <wp:extent cx="329565" cy="172085"/>
                <wp:effectExtent l="0" t="48260" r="3810" b="8255"/>
                <wp:wrapNone/>
                <wp:docPr id="252" name="曲线连接符 252"/>
                <wp:cNvGraphicFramePr/>
                <a:graphic xmlns:a="http://schemas.openxmlformats.org/drawingml/2006/main">
                  <a:graphicData uri="http://schemas.microsoft.com/office/word/2010/wordprocessingShape">
                    <wps:wsp>
                      <wps:cNvCnPr/>
                      <wps:spPr>
                        <a:xfrm flipV="1">
                          <a:off x="0" y="0"/>
                          <a:ext cx="329565" cy="172085"/>
                        </a:xfrm>
                        <a:prstGeom prst="curvedConnector3">
                          <a:avLst>
                            <a:gd name="adj1" fmla="val 50096"/>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349.9pt;margin-top:10.3pt;height:13.55pt;width:25.95pt;z-index:251716608;mso-width-relative:page;mso-height-relative:page;" filled="f" stroked="t" coordsize="21600,21600" o:gfxdata="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Bpv1h1gAAAAkBAAAPAAAAAAAAAAEAIAAAACIAAABkcnMvZG93bnJldi54bWxQSwECFAAUAAAA&#10;CACHTuJAjk2ZMikCAAAWBAAADgAAAAAAAAABACAAAAAlAQAAZHJzL2Uyb0RvYy54bWxQSwUGAAAA&#10;AAYABgBZAQAAwAUAAAAA&#10;" adj="10821">
                <v:fill on="f" focussize="0,0"/>
                <v:stroke weight="1pt" color="#4472C4 [3204]"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2004695</wp:posOffset>
                </wp:positionH>
                <wp:positionV relativeFrom="paragraph">
                  <wp:posOffset>207010</wp:posOffset>
                </wp:positionV>
                <wp:extent cx="4445" cy="423545"/>
                <wp:effectExtent l="34290" t="0" r="37465" b="14605"/>
                <wp:wrapNone/>
                <wp:docPr id="86" name="直接箭头连接符 86"/>
                <wp:cNvGraphicFramePr/>
                <a:graphic xmlns:a="http://schemas.openxmlformats.org/drawingml/2006/main">
                  <a:graphicData uri="http://schemas.microsoft.com/office/word/2010/wordprocessingShape">
                    <wps:wsp>
                      <wps:cNvCnPr/>
                      <wps:spPr>
                        <a:xfrm>
                          <a:off x="0" y="0"/>
                          <a:ext cx="4445" cy="423545"/>
                        </a:xfrm>
                        <a:prstGeom prst="straightConnector1">
                          <a:avLst/>
                        </a:prstGeom>
                        <a:ln>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57.85pt;margin-top:16.3pt;height:33.35pt;width:0.35pt;z-index:251684864;mso-width-relative:page;mso-height-relative:page;" filled="f" stroked="t" coordsize="21600,21600" o:gfxdata="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V8j7v2AAAAAkBAAAPAAAAAAAAAAEAIAAAACIA&#10;AABkcnMvZG93bnJldi54bWxQSwECFAAUAAAACACHTuJAXF/MaQkCAADmAwAADgAAAAAAAAABACAA&#10;AAAnAQAAZHJzL2Uyb0RvYy54bWxQSwUGAAAAAAYABgBZAQAAogUAAAAA&#10;">
                <v:fill on="f" focussize="0,0"/>
                <v:stroke weight="1pt" color="#000000 [3213]" miterlimit="8" joinstyle="miter" endarrow="block"/>
                <v:imagedata o:title=""/>
                <o:lock v:ext="edit" aspectratio="f"/>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79072" behindDoc="0" locked="0" layoutInCell="1" allowOverlap="1">
                <wp:simplePos x="0" y="0"/>
                <wp:positionH relativeFrom="column">
                  <wp:posOffset>-241300</wp:posOffset>
                </wp:positionH>
                <wp:positionV relativeFrom="paragraph">
                  <wp:posOffset>1905</wp:posOffset>
                </wp:positionV>
                <wp:extent cx="1399540" cy="264795"/>
                <wp:effectExtent l="4445" t="5080" r="5715" b="6350"/>
                <wp:wrapNone/>
                <wp:docPr id="320" name="文本框 320"/>
                <wp:cNvGraphicFramePr/>
                <a:graphic xmlns:a="http://schemas.openxmlformats.org/drawingml/2006/main">
                  <a:graphicData uri="http://schemas.microsoft.com/office/word/2010/wordprocessingShape">
                    <wps:wsp>
                      <wps:cNvSpPr txBox="1"/>
                      <wps:spPr>
                        <a:xfrm>
                          <a:off x="0" y="0"/>
                          <a:ext cx="1399540" cy="2647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乙二醇加注</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9pt;margin-top:0.15pt;height:20.85pt;width:110.2pt;z-index:251779072;mso-width-relative:page;mso-height-relative:page;" fillcolor="#FFFFFF" filled="t" stroked="t" coordsize="21600,21600" o:gfxdata="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L7Z1k1wAAAAcBAAAPAAAAAAAAAAEAIAAAACIAAABkcnMvZG93bnJldi54bWxQSwECFAAU&#10;AAAACACHTuJA5JGgh2QCAADXBAAADgAAAAAAAAABACAAAAAmAQAAZHJzL2Uyb0RvYy54bWxQSwUG&#10;AAAAAAYABgBZAQAA/AUAAAAA&#10;">
                <v:fill on="t" focussize="0,0"/>
                <v:stroke color="#000000" miterlimit="8" joinstyle="miter"/>
                <v:imagedata o:title=""/>
                <o:lock v:ext="edit" aspectratio="f"/>
                <v:textbox inset="0mm,1.27mm,0mm,1.27mm">
                  <w:txbxContent>
                    <w:p>
                      <w:pPr>
                        <w:spacing w:line="240" w:lineRule="auto"/>
                        <w:ind w:firstLine="0" w:firstLineChars="0"/>
                        <w:jc w:val="center"/>
                        <w:rPr>
                          <w:sz w:val="18"/>
                          <w:szCs w:val="18"/>
                        </w:rPr>
                      </w:pPr>
                      <w:r>
                        <w:rPr>
                          <w:rFonts w:hint="eastAsia"/>
                          <w:sz w:val="18"/>
                          <w:szCs w:val="18"/>
                        </w:rPr>
                        <w:t>乙二醇加注</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4148455</wp:posOffset>
                </wp:positionH>
                <wp:positionV relativeFrom="paragraph">
                  <wp:posOffset>111125</wp:posOffset>
                </wp:positionV>
                <wp:extent cx="857885" cy="264795"/>
                <wp:effectExtent l="4445" t="5080" r="13970" b="15875"/>
                <wp:wrapNone/>
                <wp:docPr id="128" name="文本框 128"/>
                <wp:cNvGraphicFramePr/>
                <a:graphic xmlns:a="http://schemas.openxmlformats.org/drawingml/2006/main">
                  <a:graphicData uri="http://schemas.microsoft.com/office/word/2010/wordprocessingShape">
                    <wps:wsp>
                      <wps:cNvSpPr txBox="1"/>
                      <wps:spPr>
                        <a:xfrm>
                          <a:off x="0" y="0"/>
                          <a:ext cx="857885" cy="2647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放空火炬</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26.65pt;margin-top:8.75pt;height:20.85pt;width:67.55pt;z-index:251706368;mso-width-relative:page;mso-height-relative:page;" fillcolor="#FFFFFF" filled="t" stroked="t" coordsize="21600,21600" o:gfxdata="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i3NawNkAAAAJAQAADwAAAAAAAAABACAAAAAiAAAAZHJzL2Rvd25yZXYueG1sUEsBAhQA&#10;FAAAAAgAh07iQAjREZNjAgAA1gQAAA4AAAAAAAAAAQAgAAAAKAEAAGRycy9lMm9Eb2MueG1sUEsF&#10;BgAAAAAGAAYAWQEAAP0FAAAAAA==&#10;">
                <v:fill on="t" focussize="0,0"/>
                <v:stroke color="#000000" miterlimit="8" joinstyle="miter"/>
                <v:imagedata o:title=""/>
                <o:lock v:ext="edit" aspectratio="f"/>
                <v:textbox inset="0mm,1.27mm,0mm,1.27mm">
                  <w:txbxContent>
                    <w:p>
                      <w:pPr>
                        <w:spacing w:line="240" w:lineRule="auto"/>
                        <w:ind w:firstLine="0" w:firstLineChars="0"/>
                        <w:jc w:val="center"/>
                        <w:rPr>
                          <w:sz w:val="18"/>
                          <w:szCs w:val="18"/>
                        </w:rPr>
                      </w:pPr>
                      <w:r>
                        <w:rPr>
                          <w:rFonts w:hint="eastAsia"/>
                          <w:sz w:val="18"/>
                          <w:szCs w:val="18"/>
                        </w:rPr>
                        <w:t>放空火炬</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80096" behindDoc="0" locked="0" layoutInCell="1" allowOverlap="1">
                <wp:simplePos x="0" y="0"/>
                <wp:positionH relativeFrom="column">
                  <wp:posOffset>1158240</wp:posOffset>
                </wp:positionH>
                <wp:positionV relativeFrom="paragraph">
                  <wp:posOffset>134620</wp:posOffset>
                </wp:positionV>
                <wp:extent cx="854075" cy="0"/>
                <wp:effectExtent l="0" t="50800" r="3175" b="53975"/>
                <wp:wrapNone/>
                <wp:docPr id="321" name="直接箭头连接符 321"/>
                <wp:cNvGraphicFramePr/>
                <a:graphic xmlns:a="http://schemas.openxmlformats.org/drawingml/2006/main">
                  <a:graphicData uri="http://schemas.microsoft.com/office/word/2010/wordprocessingShape">
                    <wps:wsp>
                      <wps:cNvCnPr/>
                      <wps:spPr>
                        <a:xfrm>
                          <a:off x="2925445" y="2323465"/>
                          <a:ext cx="854075" cy="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1.2pt;margin-top:10.6pt;height:0pt;width:67.25pt;z-index:251780096;mso-width-relative:page;mso-height-relative:page;" filled="f" stroked="t" coordsize="21600,21600" o:gfxdata="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hFj039YAAAAJAQAADwAA&#10;AAAAAAABACAAAAAiAAAAZHJzL2Rvd25yZXYueG1sUEsBAhQAFAAAAAgAh07iQEcldfsYAgAA7gMA&#10;AA4AAAAAAAAAAQAgAAAAJQEAAGRycy9lMm9Eb2MueG1sUEsFBgAAAAAGAAYAWQEAAK8FAAAAAA==&#10;">
                <v:fill on="f" focussize="0,0"/>
                <v:stroke weight="1pt" color="#4472C4 [3204]" miterlimit="8" joinstyle="miter" endarrow="open"/>
                <v:imagedata o:title=""/>
                <o:lock v:ext="edit" aspectratio="f"/>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3853180</wp:posOffset>
                </wp:positionH>
                <wp:positionV relativeFrom="paragraph">
                  <wp:posOffset>85090</wp:posOffset>
                </wp:positionV>
                <wp:extent cx="274320" cy="462915"/>
                <wp:effectExtent l="5715" t="0" r="5715" b="13335"/>
                <wp:wrapNone/>
                <wp:docPr id="132" name="直接箭头连接符 132"/>
                <wp:cNvGraphicFramePr/>
                <a:graphic xmlns:a="http://schemas.openxmlformats.org/drawingml/2006/main">
                  <a:graphicData uri="http://schemas.microsoft.com/office/word/2010/wordprocessingShape">
                    <wps:wsp>
                      <wps:cNvCnPr/>
                      <wps:spPr>
                        <a:xfrm flipV="1">
                          <a:off x="5366385" y="5215890"/>
                          <a:ext cx="274320" cy="46291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3.4pt;margin-top:6.7pt;height:36.45pt;width:21.6pt;z-index:251707392;mso-width-relative:page;mso-height-relative:page;" filled="f" stroked="t" coordsize="21600,21600" o:gfxdata="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HnMGD&#10;1wAAAAkBAAAPAAAAAAAAAAEAIAAAACIAAABkcnMvZG93bnJldi54bWxQSwECFAAUAAAACACHTuJA&#10;T+KTqCICAAD9AwAADgAAAAAAAAABACAAAAAmAQAAZHJzL2Uyb0RvYy54bWxQSwUGAAAAAAYABgBZ&#10;AQAAugUAAAAA&#10;">
                <v:fill on="f" focussize="0,0"/>
                <v:stroke weight="1pt" color="#4472C4 [3204]"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2496820</wp:posOffset>
                </wp:positionH>
                <wp:positionV relativeFrom="paragraph">
                  <wp:posOffset>199390</wp:posOffset>
                </wp:positionV>
                <wp:extent cx="329565" cy="172085"/>
                <wp:effectExtent l="0" t="48260" r="13335" b="8255"/>
                <wp:wrapNone/>
                <wp:docPr id="98" name="曲线连接符 98"/>
                <wp:cNvGraphicFramePr/>
                <a:graphic xmlns:a="http://schemas.openxmlformats.org/drawingml/2006/main">
                  <a:graphicData uri="http://schemas.microsoft.com/office/word/2010/wordprocessingShape">
                    <wps:wsp>
                      <wps:cNvCnPr/>
                      <wps:spPr>
                        <a:xfrm flipV="1">
                          <a:off x="0" y="0"/>
                          <a:ext cx="329565" cy="172085"/>
                        </a:xfrm>
                        <a:prstGeom prst="curvedConnector3">
                          <a:avLst>
                            <a:gd name="adj1" fmla="val 50096"/>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196.6pt;margin-top:15.7pt;height:13.55pt;width:25.95pt;z-index:251693056;mso-width-relative:page;mso-height-relative:page;" filled="f" stroked="t" coordsize="21600,21600" o:gfxdata="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N0fve1wAAAAkBAAAPAAAAAAAAAAEAIAAAACIAAABkcnMvZG93bnJldi54bWxQSwECFAAUAAAA&#10;CACHTuJAJUtFEygCAAAUBAAADgAAAAAAAAABACAAAAAmAQAAZHJzL2Uyb0RvYy54bWxQSwUGAAAA&#10;AAYABgBZAQAAwAUAAAAA&#10;" adj="10821">
                <v:fill on="f" focussize="0,0"/>
                <v:stroke weight="1pt" color="#4472C4 [3204]"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2835910</wp:posOffset>
                </wp:positionH>
                <wp:positionV relativeFrom="paragraph">
                  <wp:posOffset>68580</wp:posOffset>
                </wp:positionV>
                <wp:extent cx="652145" cy="468630"/>
                <wp:effectExtent l="0" t="0" r="5080" b="7620"/>
                <wp:wrapNone/>
                <wp:docPr id="99" name="文本框 99"/>
                <wp:cNvGraphicFramePr/>
                <a:graphic xmlns:a="http://schemas.openxmlformats.org/drawingml/2006/main">
                  <a:graphicData uri="http://schemas.microsoft.com/office/word/2010/wordprocessingShape">
                    <wps:wsp>
                      <wps:cNvSpPr txBox="1"/>
                      <wps:spPr>
                        <a:xfrm>
                          <a:off x="0" y="0"/>
                          <a:ext cx="652145" cy="468630"/>
                        </a:xfrm>
                        <a:prstGeom prst="rect">
                          <a:avLst/>
                        </a:prstGeom>
                        <a:solidFill>
                          <a:srgbClr val="FFFFFF"/>
                        </a:solidFill>
                        <a:ln w="9525">
                          <a:noFill/>
                          <a:miter lim="800000"/>
                        </a:ln>
                      </wps:spPr>
                      <wps:txbx>
                        <w:txbxContent>
                          <w:p>
                            <w:pPr>
                              <w:spacing w:line="240" w:lineRule="auto"/>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燃烧废气、噪声</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23.3pt;margin-top:5.4pt;height:36.9pt;width:51.35pt;z-index:251694080;mso-width-relative:page;mso-height-relative:page;" fillcolor="#FFFFFF" filled="t" stroked="f" coordsize="21600,21600" o:gfxdata="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qpdETYAAAACQEAAA8AAAAAAAAAAQAgAAAAIgAAAGRycy9kb3ducmV2LnhtbFBLAQIUABQA&#10;AAAIAIdO4kBZhnk6YgIAAKsEAAAOAAAAAAAAAAEAIAAAACcBAABkcnMvZTJvRG9jLnhtbFBLBQYA&#10;AAAABgAGAFkBAAD7BQAAAAA=&#10;">
                <v:fill on="t" focussize="0,0"/>
                <v:stroke on="f" miterlimit="8" joinstyle="miter"/>
                <v:imagedata o:title=""/>
                <o:lock v:ext="edit" aspectratio="f"/>
                <v:textbox inset="0mm,1.27mm,0mm,1.27mm">
                  <w:txbxContent>
                    <w:p>
                      <w:pPr>
                        <w:spacing w:line="240" w:lineRule="auto"/>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燃烧废气、噪声</w:t>
                      </w:r>
                    </w:p>
                  </w:txbxContent>
                </v:textbox>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4032885</wp:posOffset>
                </wp:positionH>
                <wp:positionV relativeFrom="paragraph">
                  <wp:posOffset>85725</wp:posOffset>
                </wp:positionV>
                <wp:extent cx="622300" cy="264795"/>
                <wp:effectExtent l="0" t="0" r="6350" b="1905"/>
                <wp:wrapNone/>
                <wp:docPr id="133" name="文本框 133"/>
                <wp:cNvGraphicFramePr/>
                <a:graphic xmlns:a="http://schemas.openxmlformats.org/drawingml/2006/main">
                  <a:graphicData uri="http://schemas.microsoft.com/office/word/2010/wordprocessingShape">
                    <wps:wsp>
                      <wps:cNvSpPr txBox="1"/>
                      <wps:spPr>
                        <a:xfrm>
                          <a:off x="0" y="0"/>
                          <a:ext cx="622300" cy="264795"/>
                        </a:xfrm>
                        <a:prstGeom prst="rect">
                          <a:avLst/>
                        </a:prstGeom>
                        <a:solidFill>
                          <a:srgbClr val="FFFFFF"/>
                        </a:solidFill>
                        <a:ln w="9525">
                          <a:noFill/>
                          <a:miter lim="800000"/>
                        </a:ln>
                      </wps:spPr>
                      <wps:txbx>
                        <w:txbxContent>
                          <w:p>
                            <w:pPr>
                              <w:spacing w:line="240" w:lineRule="auto"/>
                              <w:ind w:firstLine="0" w:firstLineChars="0"/>
                              <w:jc w:val="lef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放空天然气</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17.55pt;margin-top:6.75pt;height:20.85pt;width:49pt;z-index:251708416;mso-width-relative:page;mso-height-relative:page;" fillcolor="#FFFFFF" filled="t" stroked="f" coordsize="21600,21600" o:gfxdata="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l/dwh2AAAAAkBAAAPAAAAAAAAAAEAIAAAACIAAABkcnMvZG93bnJldi54bWxQSwECFAAUAAAA&#10;CACHTuJAoVuPJmACAACtBAAADgAAAAAAAAABACAAAAAnAQAAZHJzL2Uyb0RvYy54bWxQSwUGAAAA&#10;AAYABgBZAQAA+QUAAAAA&#10;">
                <v:fill on="t" focussize="0,0"/>
                <v:stroke on="f" miterlimit="8" joinstyle="miter"/>
                <v:imagedata o:title=""/>
                <o:lock v:ext="edit" aspectratio="f"/>
                <v:textbox inset="0mm,1.27mm,0mm,1.27mm">
                  <w:txbxContent>
                    <w:p>
                      <w:pPr>
                        <w:spacing w:line="240" w:lineRule="auto"/>
                        <w:ind w:firstLine="0" w:firstLineChars="0"/>
                        <w:jc w:val="lef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放空天然气</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1450340</wp:posOffset>
                </wp:positionH>
                <wp:positionV relativeFrom="paragraph">
                  <wp:posOffset>4445</wp:posOffset>
                </wp:positionV>
                <wp:extent cx="1047115" cy="264795"/>
                <wp:effectExtent l="4445" t="5080" r="15240" b="15875"/>
                <wp:wrapNone/>
                <wp:docPr id="87" name="文本框 87"/>
                <wp:cNvGraphicFramePr/>
                <a:graphic xmlns:a="http://schemas.openxmlformats.org/drawingml/2006/main">
                  <a:graphicData uri="http://schemas.microsoft.com/office/word/2010/wordprocessingShape">
                    <wps:wsp>
                      <wps:cNvSpPr txBox="1"/>
                      <wps:spPr>
                        <a:xfrm>
                          <a:off x="0" y="0"/>
                          <a:ext cx="1047115" cy="2647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加热炉</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4.2pt;margin-top:0.35pt;height:20.85pt;width:82.45pt;z-index:251685888;mso-width-relative:page;mso-height-relative:page;" fillcolor="#FFFFFF" filled="t" stroked="t" coordsize="21600,21600" o:gfxdata="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xxp0R9cAAAAHAQAADwAAAAAAAAABACAAAAAiAAAAZHJzL2Rvd25yZXYueG1sUEsBAhQAFAAA&#10;AAgAh07iQIf+GFtiAgAA1QQAAA4AAAAAAAAAAQAgAAAAJgEAAGRycy9lMm9Eb2MueG1sUEsFBgAA&#10;AAAGAAYAWQEAAPoFAAAAAA==&#10;">
                <v:fill on="t" focussize="0,0"/>
                <v:stroke color="#000000" miterlimit="8" joinstyle="miter"/>
                <v:imagedata o:title=""/>
                <o:lock v:ext="edit" aspectratio="f"/>
                <v:textbox inset="0mm,1.27mm,0mm,1.27mm">
                  <w:txbxContent>
                    <w:p>
                      <w:pPr>
                        <w:spacing w:line="240" w:lineRule="auto"/>
                        <w:ind w:firstLine="0" w:firstLineChars="0"/>
                        <w:jc w:val="center"/>
                        <w:rPr>
                          <w:sz w:val="18"/>
                          <w:szCs w:val="18"/>
                        </w:rPr>
                      </w:pPr>
                      <w:r>
                        <w:rPr>
                          <w:rFonts w:hint="eastAsia"/>
                          <w:sz w:val="18"/>
                          <w:szCs w:val="18"/>
                        </w:rPr>
                        <w:t>加热炉</w:t>
                      </w:r>
                    </w:p>
                  </w:txbxContent>
                </v:textbox>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2926080</wp:posOffset>
                </wp:positionH>
                <wp:positionV relativeFrom="paragraph">
                  <wp:posOffset>126365</wp:posOffset>
                </wp:positionV>
                <wp:extent cx="1047115" cy="264795"/>
                <wp:effectExtent l="4445" t="5080" r="15240" b="15875"/>
                <wp:wrapNone/>
                <wp:docPr id="94" name="文本框 94"/>
                <wp:cNvGraphicFramePr/>
                <a:graphic xmlns:a="http://schemas.openxmlformats.org/drawingml/2006/main">
                  <a:graphicData uri="http://schemas.microsoft.com/office/word/2010/wordprocessingShape">
                    <wps:wsp>
                      <wps:cNvSpPr txBox="1"/>
                      <wps:spPr>
                        <a:xfrm>
                          <a:off x="0" y="0"/>
                          <a:ext cx="1047115" cy="2647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临时分酸分离器</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30.4pt;margin-top:9.95pt;height:20.85pt;width:82.45pt;z-index:251689984;mso-width-relative:page;mso-height-relative:page;" fillcolor="#FFFFFF" filled="t" stroked="t" coordsize="21600,21600" o:gfxdata="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gGim9kAAAAJAQAADwAAAAAAAAABACAAAAAiAAAAZHJzL2Rvd25yZXYueG1sUEsBAhQA&#10;FAAAAAgAh07iQIP1rAhjAgAA1QQAAA4AAAAAAAAAAQAgAAAAKAEAAGRycy9lMm9Eb2MueG1sUEsF&#10;BgAAAAAGAAYAWQEAAP0FAAAAAA==&#10;">
                <v:fill on="t" focussize="0,0"/>
                <v:stroke color="#000000" miterlimit="8" joinstyle="miter"/>
                <v:imagedata o:title=""/>
                <o:lock v:ext="edit" aspectratio="f"/>
                <v:textbox inset="0mm,1.27mm,0mm,1.27mm">
                  <w:txbxContent>
                    <w:p>
                      <w:pPr>
                        <w:spacing w:line="240" w:lineRule="auto"/>
                        <w:ind w:firstLine="0" w:firstLineChars="0"/>
                        <w:jc w:val="center"/>
                        <w:rPr>
                          <w:sz w:val="18"/>
                          <w:szCs w:val="18"/>
                        </w:rPr>
                      </w:pPr>
                      <w:r>
                        <w:rPr>
                          <w:rFonts w:hint="eastAsia"/>
                          <w:sz w:val="18"/>
                          <w:szCs w:val="18"/>
                        </w:rPr>
                        <w:t>临时分酸分离器</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81120" behindDoc="0" locked="0" layoutInCell="1" allowOverlap="1">
                <wp:simplePos x="0" y="0"/>
                <wp:positionH relativeFrom="column">
                  <wp:posOffset>2022475</wp:posOffset>
                </wp:positionH>
                <wp:positionV relativeFrom="paragraph">
                  <wp:posOffset>206375</wp:posOffset>
                </wp:positionV>
                <wp:extent cx="899795" cy="0"/>
                <wp:effectExtent l="0" t="50800" r="5080" b="53975"/>
                <wp:wrapNone/>
                <wp:docPr id="322" name="直接箭头连接符 322"/>
                <wp:cNvGraphicFramePr/>
                <a:graphic xmlns:a="http://schemas.openxmlformats.org/drawingml/2006/main">
                  <a:graphicData uri="http://schemas.microsoft.com/office/word/2010/wordprocessingShape">
                    <wps:wsp>
                      <wps:cNvCnPr/>
                      <wps:spPr>
                        <a:xfrm>
                          <a:off x="3800475" y="3078480"/>
                          <a:ext cx="899795" cy="0"/>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59.25pt;margin-top:16.25pt;height:0pt;width:70.85pt;z-index:251781120;mso-width-relative:page;mso-height-relative:page;" filled="f" stroked="t" coordsize="21600,21600" o:gfxdata="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AM7C8jVAAAACQEAAA8AAAAAAAAA&#10;AQAgAAAAIgAAAGRycy9kb3ducmV2LnhtbFBLAQIUABQAAAAIAIdO4kB2Si2ZFAIAAO4DAAAOAAAA&#10;AAAAAAEAIAAAACQBAABkcnMvZTJvRG9jLnhtbFBLBQYAAAAABgAGAFkBAACqBQAAAAA=&#10;">
                <v:fill on="f" focussize="0,0"/>
                <v:stroke weight="1pt" color="#00B050 [3204]" miterlimit="8" joinstyle="miter" endarrow="open"/>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1985010</wp:posOffset>
                </wp:positionH>
                <wp:positionV relativeFrom="paragraph">
                  <wp:posOffset>80010</wp:posOffset>
                </wp:positionV>
                <wp:extent cx="4445" cy="423545"/>
                <wp:effectExtent l="34290" t="0" r="37465" b="14605"/>
                <wp:wrapNone/>
                <wp:docPr id="88" name="直接箭头连接符 88"/>
                <wp:cNvGraphicFramePr/>
                <a:graphic xmlns:a="http://schemas.openxmlformats.org/drawingml/2006/main">
                  <a:graphicData uri="http://schemas.microsoft.com/office/word/2010/wordprocessingShape">
                    <wps:wsp>
                      <wps:cNvCnPr/>
                      <wps:spPr>
                        <a:xfrm>
                          <a:off x="0" y="0"/>
                          <a:ext cx="4445" cy="423545"/>
                        </a:xfrm>
                        <a:prstGeom prst="straightConnector1">
                          <a:avLst/>
                        </a:prstGeom>
                        <a:ln>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56.3pt;margin-top:6.3pt;height:33.35pt;width:0.35pt;z-index:251686912;mso-width-relative:page;mso-height-relative:page;" filled="f" stroked="t" coordsize="21600,21600" o:gfxdata="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6EO39cAAAAJAQAADwAAAAAAAAABACAAAAAiAAAA&#10;ZHJzL2Rvd25yZXYueG1sUEsBAhQAFAAAAAgAh07iQAmaeU0IAgAA5gMAAA4AAAAAAAAAAQAgAAAA&#10;JgEAAGRycy9lMm9Eb2MueG1sUEsFBgAAAAAGAAYAWQEAAKAFAAAAAA==&#10;">
                <v:fill on="f" focussize="0,0"/>
                <v:stroke weight="1pt" color="#000000 [3213]" miterlimit="8" joinstyle="miter" endarrow="block"/>
                <v:imagedata o:title=""/>
                <o:lock v:ext="edit" aspectratio="f"/>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82144" behindDoc="0" locked="0" layoutInCell="1" allowOverlap="1">
                <wp:simplePos x="0" y="0"/>
                <wp:positionH relativeFrom="column">
                  <wp:posOffset>1989455</wp:posOffset>
                </wp:positionH>
                <wp:positionV relativeFrom="paragraph">
                  <wp:posOffset>121285</wp:posOffset>
                </wp:positionV>
                <wp:extent cx="880110" cy="10795"/>
                <wp:effectExtent l="0" t="37465" r="5715" b="27940"/>
                <wp:wrapNone/>
                <wp:docPr id="323" name="直接箭头连接符 323"/>
                <wp:cNvGraphicFramePr/>
                <a:graphic xmlns:a="http://schemas.openxmlformats.org/drawingml/2006/main">
                  <a:graphicData uri="http://schemas.microsoft.com/office/word/2010/wordprocessingShape">
                    <wps:wsp>
                      <wps:cNvCnPr/>
                      <wps:spPr>
                        <a:xfrm flipH="1" flipV="1">
                          <a:off x="0" y="0"/>
                          <a:ext cx="880110" cy="10795"/>
                        </a:xfrm>
                        <a:prstGeom prst="straightConnector1">
                          <a:avLst/>
                        </a:prstGeom>
                        <a:ln>
                          <a:solidFill>
                            <a:srgbClr val="00B05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56.65pt;margin-top:9.55pt;height:0.85pt;width:69.3pt;z-index:251782144;mso-width-relative:page;mso-height-relative:page;" filled="f" stroked="t" coordsize="21600,21600" o:gfxdata="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WR9771gAAAAkBAAAP&#10;AAAAAAAAAAEAIAAAACIAAABkcnMvZG93bnJldi54bWxQSwECFAAUAAAACACHTuJAan5J9RoCAAD9&#10;AwAADgAAAAAAAAABACAAAAAlAQAAZHJzL2Uyb0RvYy54bWxQSwUGAAAAAAYABgBZAQAAsQUAAAAA&#10;">
                <v:fill on="f" focussize="0,0"/>
                <v:stroke weight="1pt" color="#00B050 [3204]" miterlimit="8" joinstyle="miter" endarrow="block"/>
                <v:imagedata o:title=""/>
                <o:lock v:ext="edit" aspectratio="f"/>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3462020</wp:posOffset>
                </wp:positionH>
                <wp:positionV relativeFrom="paragraph">
                  <wp:posOffset>6350</wp:posOffset>
                </wp:positionV>
                <wp:extent cx="4445" cy="423545"/>
                <wp:effectExtent l="34290" t="0" r="37465" b="14605"/>
                <wp:wrapNone/>
                <wp:docPr id="92" name="直接箭头连接符 92"/>
                <wp:cNvGraphicFramePr/>
                <a:graphic xmlns:a="http://schemas.openxmlformats.org/drawingml/2006/main">
                  <a:graphicData uri="http://schemas.microsoft.com/office/word/2010/wordprocessingShape">
                    <wps:wsp>
                      <wps:cNvCnPr/>
                      <wps:spPr>
                        <a:xfrm>
                          <a:off x="0" y="0"/>
                          <a:ext cx="4445" cy="423545"/>
                        </a:xfrm>
                        <a:prstGeom prst="straightConnector1">
                          <a:avLst/>
                        </a:prstGeom>
                        <a:ln>
                          <a:solidFill>
                            <a:schemeClr val="accent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72.6pt;margin-top:0.5pt;height:33.35pt;width:0.35pt;z-index:251688960;mso-width-relative:page;mso-height-relative:page;" filled="f" stroked="t" coordsize="21600,21600" o:gfxdata="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OKHKnVAAAACAEAAA8AAAAAAAAAAQAgAAAA&#10;IgAAAGRycy9kb3ducmV2LnhtbFBLAQIUABQAAAAIAIdO4kB/jb2SDgIAAOYDAAAOAAAAAAAAAAEA&#10;IAAAACQBAABkcnMvZTJvRG9jLnhtbFBLBQYAAAAABgAGAFkBAACkBQAAAAA=&#10;">
                <v:fill on="f" focussize="0,0"/>
                <v:stroke weight="1pt" color="#4472C4 [3204]" miterlimit="8" joinstyle="miter" endarrow="block"/>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1429385</wp:posOffset>
                </wp:positionH>
                <wp:positionV relativeFrom="paragraph">
                  <wp:posOffset>78105</wp:posOffset>
                </wp:positionV>
                <wp:extent cx="1047115" cy="264795"/>
                <wp:effectExtent l="4445" t="5080" r="15240" b="15875"/>
                <wp:wrapNone/>
                <wp:docPr id="89" name="文本框 89"/>
                <wp:cNvGraphicFramePr/>
                <a:graphic xmlns:a="http://schemas.openxmlformats.org/drawingml/2006/main">
                  <a:graphicData uri="http://schemas.microsoft.com/office/word/2010/wordprocessingShape">
                    <wps:wsp>
                      <wps:cNvSpPr txBox="1"/>
                      <wps:spPr>
                        <a:xfrm>
                          <a:off x="0" y="0"/>
                          <a:ext cx="1047115" cy="2647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计量分离器</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2.55pt;margin-top:6.15pt;height:20.85pt;width:82.45pt;z-index:251687936;mso-width-relative:page;mso-height-relative:page;" fillcolor="#FFFFFF" filled="t" stroked="t" coordsize="21600,21600" o:gfxdata="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Fx6CrYAAAACQEAAA8AAAAAAAAAAQAgAAAAIgAAAGRycy9kb3ducmV2LnhtbFBLAQIUABQA&#10;AAAIAIdO4kD4KWXsYgIAANUEAAAOAAAAAAAAAAEAIAAAACcBAABkcnMvZTJvRG9jLnhtbFBLBQYA&#10;AAAABgAGAFkBAAD7BQAAAAA=&#10;">
                <v:fill on="t" focussize="0,0"/>
                <v:stroke color="#000000" miterlimit="8" joinstyle="miter"/>
                <v:imagedata o:title=""/>
                <o:lock v:ext="edit" aspectratio="f"/>
                <v:textbox inset="0mm,1.27mm,0mm,1.27mm">
                  <w:txbxContent>
                    <w:p>
                      <w:pPr>
                        <w:spacing w:line="240" w:lineRule="auto"/>
                        <w:ind w:firstLine="0" w:firstLineChars="0"/>
                        <w:jc w:val="center"/>
                        <w:rPr>
                          <w:sz w:val="18"/>
                          <w:szCs w:val="18"/>
                        </w:rPr>
                      </w:pPr>
                      <w:r>
                        <w:rPr>
                          <w:rFonts w:hint="eastAsia"/>
                          <w:sz w:val="18"/>
                          <w:szCs w:val="18"/>
                        </w:rPr>
                        <w:t>计量分离器</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8890</wp:posOffset>
                </wp:positionH>
                <wp:positionV relativeFrom="paragraph">
                  <wp:posOffset>81280</wp:posOffset>
                </wp:positionV>
                <wp:extent cx="1047115" cy="264795"/>
                <wp:effectExtent l="0" t="0" r="635" b="1905"/>
                <wp:wrapNone/>
                <wp:docPr id="101" name="文本框 101"/>
                <wp:cNvGraphicFramePr/>
                <a:graphic xmlns:a="http://schemas.openxmlformats.org/drawingml/2006/main">
                  <a:graphicData uri="http://schemas.microsoft.com/office/word/2010/wordprocessingShape">
                    <wps:wsp>
                      <wps:cNvSpPr txBox="1"/>
                      <wps:spPr>
                        <a:xfrm>
                          <a:off x="0" y="0"/>
                          <a:ext cx="1047115" cy="264795"/>
                        </a:xfrm>
                        <a:prstGeom prst="rect">
                          <a:avLst/>
                        </a:prstGeom>
                        <a:solidFill>
                          <a:srgbClr val="FFFFFF"/>
                        </a:solidFill>
                        <a:ln w="9525">
                          <a:noFill/>
                          <a:miter lim="800000"/>
                        </a:ln>
                      </wps:spPr>
                      <wps:txbx>
                        <w:txbxContent>
                          <w:p>
                            <w:pPr>
                              <w:spacing w:line="240" w:lineRule="auto"/>
                              <w:ind w:firstLine="0" w:firstLineChars="0"/>
                              <w:jc w:val="righ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天然气外输</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0.7pt;margin-top:6.4pt;height:20.85pt;width:82.45pt;z-index:251696128;mso-width-relative:page;mso-height-relative:page;" fillcolor="#FFFFFF" filled="t" stroked="f" coordsize="21600,21600" o:gfxdata="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z7Z+vWAAAABwEAAA8AAAAAAAAAAQAgAAAAIgAAAGRycy9kb3ducmV2LnhtbFBLAQIUABQAAAAI&#10;AIdO4kBnaIDBYQIAAK4EAAAOAAAAAAAAAAEAIAAAACUBAABkcnMvZTJvRG9jLnhtbFBLBQYAAAAA&#10;BgAGAFkBAAD4BQAAAAA=&#10;">
                <v:fill on="t" focussize="0,0"/>
                <v:stroke on="f" miterlimit="8" joinstyle="miter"/>
                <v:imagedata o:title=""/>
                <o:lock v:ext="edit" aspectratio="f"/>
                <v:textbox inset="0mm,1.27mm,0mm,1.27mm">
                  <w:txbxContent>
                    <w:p>
                      <w:pPr>
                        <w:spacing w:line="240" w:lineRule="auto"/>
                        <w:ind w:firstLine="0" w:firstLineChars="0"/>
                        <w:jc w:val="righ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天然气外输</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1006475</wp:posOffset>
                </wp:positionH>
                <wp:positionV relativeFrom="paragraph">
                  <wp:posOffset>210185</wp:posOffset>
                </wp:positionV>
                <wp:extent cx="422910" cy="0"/>
                <wp:effectExtent l="0" t="38100" r="15240" b="38100"/>
                <wp:wrapNone/>
                <wp:docPr id="100" name="直接箭头连接符 100"/>
                <wp:cNvGraphicFramePr/>
                <a:graphic xmlns:a="http://schemas.openxmlformats.org/drawingml/2006/main">
                  <a:graphicData uri="http://schemas.microsoft.com/office/word/2010/wordprocessingShape">
                    <wps:wsp>
                      <wps:cNvCnPr/>
                      <wps:spPr>
                        <a:xfrm flipH="1">
                          <a:off x="2773680" y="3246755"/>
                          <a:ext cx="422910" cy="0"/>
                        </a:xfrm>
                        <a:prstGeom prst="straightConnector1">
                          <a:avLst/>
                        </a:prstGeom>
                        <a:ln>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9.25pt;margin-top:16.55pt;height:0pt;width:33.3pt;z-index:251695104;mso-width-relative:page;mso-height-relative:page;" filled="f" stroked="t" coordsize="21600,21600" o:gfxdata="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raAA71AAAAAkBAAAP&#10;AAAAAAAAAAEAIAAAACIAAABkcnMvZG93bnJldi54bWxQSwECFAAUAAAACACHTuJA+TOGHxwCAAD7&#10;AwAADgAAAAAAAAABACAAAAAjAQAAZHJzL2Uyb0RvYy54bWxQSwUGAAAAAAYABgBZAQAAsQUAAAAA&#10;">
                <v:fill on="f" focussize="0,0"/>
                <v:stroke weight="1pt" color="#000000 [3213]" miterlimit="8" joinstyle="miter" endarrow="block"/>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3600450</wp:posOffset>
                </wp:positionH>
                <wp:positionV relativeFrom="paragraph">
                  <wp:posOffset>44450</wp:posOffset>
                </wp:positionV>
                <wp:extent cx="401955" cy="264795"/>
                <wp:effectExtent l="0" t="0" r="17145" b="1905"/>
                <wp:wrapNone/>
                <wp:docPr id="122" name="文本框 122"/>
                <wp:cNvGraphicFramePr/>
                <a:graphic xmlns:a="http://schemas.openxmlformats.org/drawingml/2006/main">
                  <a:graphicData uri="http://schemas.microsoft.com/office/word/2010/wordprocessingShape">
                    <wps:wsp>
                      <wps:cNvSpPr txBox="1"/>
                      <wps:spPr>
                        <a:xfrm>
                          <a:off x="0" y="0"/>
                          <a:ext cx="401955" cy="264795"/>
                        </a:xfrm>
                        <a:prstGeom prst="rect">
                          <a:avLst/>
                        </a:prstGeom>
                        <a:solidFill>
                          <a:srgbClr val="FFFFFF"/>
                        </a:solidFill>
                        <a:ln w="9525">
                          <a:noFill/>
                          <a:miter lim="800000"/>
                        </a:ln>
                      </wps:spPr>
                      <wps:txbx>
                        <w:txbxContent>
                          <w:p>
                            <w:pPr>
                              <w:spacing w:line="240" w:lineRule="auto"/>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气田水</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83.5pt;margin-top:3.5pt;height:20.85pt;width:31.65pt;z-index:251704320;mso-width-relative:page;mso-height-relative:page;" fillcolor="#FFFFFF" filled="t" stroked="f" coordsize="21600,21600" o:gfxdata="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T9/ni2AAAAAgBAAAPAAAAAAAAAAEAIAAAACIAAABkcnMvZG93bnJldi54bWxQSwECFAAUAAAA&#10;CACHTuJAiBr5ZGACAACtBAAADgAAAAAAAAABACAAAAAnAQAAZHJzL2Uyb0RvYy54bWxQSwUGAAAA&#10;AAYABgBZAQAA+QUAAAAA&#10;">
                <v:fill on="t" focussize="0,0"/>
                <v:stroke on="f" miterlimit="8" joinstyle="miter"/>
                <v:imagedata o:title=""/>
                <o:lock v:ext="edit" aspectratio="f"/>
                <v:textbox inset="0mm,1.27mm,0mm,1.27mm">
                  <w:txbxContent>
                    <w:p>
                      <w:pPr>
                        <w:spacing w:line="240" w:lineRule="auto"/>
                        <w:ind w:firstLine="0" w:firstLineChars="0"/>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气田水</w:t>
                      </w:r>
                    </w:p>
                  </w:txbxContent>
                </v:textbox>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2183765</wp:posOffset>
                </wp:positionH>
                <wp:positionV relativeFrom="paragraph">
                  <wp:posOffset>129540</wp:posOffset>
                </wp:positionV>
                <wp:extent cx="254635" cy="208280"/>
                <wp:effectExtent l="6350" t="635" r="52070" b="1905"/>
                <wp:wrapNone/>
                <wp:docPr id="109" name="曲线连接符 109"/>
                <wp:cNvGraphicFramePr/>
                <a:graphic xmlns:a="http://schemas.openxmlformats.org/drawingml/2006/main">
                  <a:graphicData uri="http://schemas.microsoft.com/office/word/2010/wordprocessingShape">
                    <wps:wsp>
                      <wps:cNvCnPr/>
                      <wps:spPr>
                        <a:xfrm rot="5400000" flipV="1">
                          <a:off x="0" y="0"/>
                          <a:ext cx="254635" cy="208280"/>
                        </a:xfrm>
                        <a:prstGeom prst="curvedConnector3">
                          <a:avLst>
                            <a:gd name="adj1" fmla="val 50000"/>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171.95pt;margin-top:10.2pt;height:16.4pt;width:20.05pt;rotation:-5898240f;z-index:251697152;mso-width-relative:page;mso-height-relative:page;" filled="f" stroked="t" coordsize="21600,21600" o:gfxdata="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Jc13B2QAAAAkBAAAPAAAAAAAAAAEAIAAAACIAAABkcnMvZG93bnJldi54bWxQ&#10;SwECFAAUAAAACACHTuJAVgMo2S8CAAAkBAAADgAAAAAAAAABACAAAAAoAQAAZHJzL2Uyb0RvYy54&#10;bWxQSwUGAAAAAAYABgBZAQAAyQUAAAAA&#10;" adj="10800">
                <v:fill on="f" focussize="0,0"/>
                <v:stroke weight="1pt" color="#4472C4 [3204]" miterlimit="8" joinstyle="miter" endarrow="open"/>
                <v:imagedata o:title=""/>
                <o:lock v:ext="edit" aspectratio="f"/>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84192" behindDoc="0" locked="0" layoutInCell="1" allowOverlap="1">
                <wp:simplePos x="0" y="0"/>
                <wp:positionH relativeFrom="column">
                  <wp:posOffset>254635</wp:posOffset>
                </wp:positionH>
                <wp:positionV relativeFrom="paragraph">
                  <wp:posOffset>34925</wp:posOffset>
                </wp:positionV>
                <wp:extent cx="762635" cy="540385"/>
                <wp:effectExtent l="4445" t="4445" r="13970" b="7620"/>
                <wp:wrapNone/>
                <wp:docPr id="328" name="文本框 328"/>
                <wp:cNvGraphicFramePr/>
                <a:graphic xmlns:a="http://schemas.openxmlformats.org/drawingml/2006/main">
                  <a:graphicData uri="http://schemas.microsoft.com/office/word/2010/wordprocessingShape">
                    <wps:wsp>
                      <wps:cNvSpPr txBox="1"/>
                      <wps:spPr>
                        <a:xfrm>
                          <a:off x="0" y="0"/>
                          <a:ext cx="762635" cy="540385"/>
                        </a:xfrm>
                        <a:prstGeom prst="rect">
                          <a:avLst/>
                        </a:prstGeom>
                        <a:noFill/>
                        <a:ln w="9525">
                          <a:solidFill>
                            <a:schemeClr val="tx1"/>
                          </a:solidFill>
                          <a:miter lim="800000"/>
                        </a:ln>
                      </wps:spPr>
                      <wps:txbx>
                        <w:txbxContent>
                          <w:p>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highlight w:val="yellow"/>
                                <w14:textFill>
                                  <w14:solidFill>
                                    <w14:schemeClr w14:val="tx1"/>
                                  </w14:solidFill>
                                </w14:textFill>
                              </w:rPr>
                              <w:t>虚线内均为依托大湾408集气站内设施</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0.05pt;margin-top:2.75pt;height:42.55pt;width:60.05pt;z-index:251784192;mso-width-relative:page;mso-height-relative:page;" filled="f" stroked="t" coordsize="21600,21600" o:gfxdata="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ae+OHT&#10;AAAABwEAAA8AAAAAAAAAAQAgAAAAIgAAAGRycy9kb3ducmV2LnhtbFBLAQIUABQAAAAIAIdO4kAe&#10;057lXgIAAK0EAAAOAAAAAAAAAAEAIAAAACIBAABkcnMvZTJvRG9jLnhtbFBLBQYAAAAABgAGAFkB&#10;AADyBQAAAAA=&#10;">
                <v:fill on="f" focussize="0,0"/>
                <v:stroke color="#000000 [3213]" miterlimit="8" joinstyle="miter"/>
                <v:imagedata o:title=""/>
                <o:lock v:ext="edit" aspectratio="f"/>
                <v:textbox inset="0mm,1.27mm,0mm,1.27mm">
                  <w:txbxContent>
                    <w:p>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highlight w:val="yellow"/>
                          <w14:textFill>
                            <w14:solidFill>
                              <w14:schemeClr w14:val="tx1"/>
                            </w14:solidFill>
                          </w14:textFill>
                        </w:rPr>
                        <w:t>虚线内均为依托大湾408集气站内设施</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83168" behindDoc="0" locked="0" layoutInCell="1" allowOverlap="1">
                <wp:simplePos x="0" y="0"/>
                <wp:positionH relativeFrom="column">
                  <wp:posOffset>2957830</wp:posOffset>
                </wp:positionH>
                <wp:positionV relativeFrom="paragraph">
                  <wp:posOffset>20320</wp:posOffset>
                </wp:positionV>
                <wp:extent cx="1047115" cy="264795"/>
                <wp:effectExtent l="4445" t="5080" r="5715" b="6350"/>
                <wp:wrapNone/>
                <wp:docPr id="324" name="文本框 324"/>
                <wp:cNvGraphicFramePr/>
                <a:graphic xmlns:a="http://schemas.openxmlformats.org/drawingml/2006/main">
                  <a:graphicData uri="http://schemas.microsoft.com/office/word/2010/wordprocessingShape">
                    <wps:wsp>
                      <wps:cNvSpPr txBox="1"/>
                      <wps:spPr>
                        <a:xfrm>
                          <a:off x="0" y="0"/>
                          <a:ext cx="1047115" cy="2647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highlight w:val="none"/>
                              </w:rPr>
                            </w:pPr>
                            <w:r>
                              <w:rPr>
                                <w:rFonts w:hint="eastAsia"/>
                                <w:sz w:val="18"/>
                                <w:szCs w:val="18"/>
                                <w:highlight w:val="none"/>
                              </w:rPr>
                              <w:t>酸液缓冲罐</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32.9pt;margin-top:1.6pt;height:20.85pt;width:82.45pt;z-index:251783168;mso-width-relative:page;mso-height-relative:page;" fillcolor="#FFFFFF" filled="t" stroked="t" coordsize="21600,21600" o:gfxdata="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VwOFy9gAAAAIAQAADwAAAAAAAAABACAAAAAiAAAAZHJzL2Rvd25yZXYueG1sUEsBAhQA&#10;FAAAAAgAh07iQEjSc81kAgAA1wQAAA4AAAAAAAAAAQAgAAAAJwEAAGRycy9lMm9Eb2MueG1sUEsF&#10;BgAAAAAGAAYAWQEAAP0FAAAAAA==&#10;">
                <v:fill on="t" focussize="0,0"/>
                <v:stroke color="#000000" miterlimit="8" joinstyle="miter"/>
                <v:imagedata o:title=""/>
                <o:lock v:ext="edit" aspectratio="f"/>
                <v:textbox inset="0mm,1.27mm,0mm,1.27mm">
                  <w:txbxContent>
                    <w:p>
                      <w:pPr>
                        <w:spacing w:line="240" w:lineRule="auto"/>
                        <w:ind w:firstLine="0" w:firstLineChars="0"/>
                        <w:jc w:val="center"/>
                        <w:rPr>
                          <w:sz w:val="18"/>
                          <w:szCs w:val="18"/>
                          <w:highlight w:val="none"/>
                        </w:rPr>
                      </w:pPr>
                      <w:r>
                        <w:rPr>
                          <w:rFonts w:hint="eastAsia"/>
                          <w:sz w:val="18"/>
                          <w:szCs w:val="18"/>
                          <w:highlight w:val="none"/>
                        </w:rPr>
                        <w:t>酸液缓冲罐</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2270125</wp:posOffset>
                </wp:positionH>
                <wp:positionV relativeFrom="paragraph">
                  <wp:posOffset>66040</wp:posOffset>
                </wp:positionV>
                <wp:extent cx="381000" cy="264795"/>
                <wp:effectExtent l="0" t="0" r="0" b="1905"/>
                <wp:wrapNone/>
                <wp:docPr id="110" name="文本框 110"/>
                <wp:cNvGraphicFramePr/>
                <a:graphic xmlns:a="http://schemas.openxmlformats.org/drawingml/2006/main">
                  <a:graphicData uri="http://schemas.microsoft.com/office/word/2010/wordprocessingShape">
                    <wps:wsp>
                      <wps:cNvSpPr txBox="1"/>
                      <wps:spPr>
                        <a:xfrm>
                          <a:off x="0" y="0"/>
                          <a:ext cx="381000" cy="264795"/>
                        </a:xfrm>
                        <a:prstGeom prst="rect">
                          <a:avLst/>
                        </a:prstGeom>
                        <a:noFill/>
                        <a:ln w="9525">
                          <a:noFill/>
                          <a:miter lim="800000"/>
                        </a:ln>
                      </wps:spPr>
                      <wps:txbx>
                        <w:txbxContent>
                          <w:p>
                            <w:pPr>
                              <w:spacing w:line="240" w:lineRule="auto"/>
                              <w:ind w:firstLine="0" w:firstLineChars="0"/>
                              <w:jc w:val="lef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78.75pt;margin-top:5.2pt;height:20.85pt;width:30pt;z-index:251698176;mso-width-relative:page;mso-height-relative:page;" filled="f" stroked="f" coordsize="21600,21600" o:gfxdata="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c1x8LZAAAACQEAAA8AAAAAAAAA&#10;AQAgAAAAIgAAAGRycy9kb3ducmV2LnhtbFBLAQIUABQAAAAIAIdO4kCxCKPZSQIAAIQEAAAOAAAA&#10;AAAAAAEAIAAAACgBAABkcnMvZTJvRG9jLnhtbFBLBQYAAAAABgAGAFkBAADjBQAAAAA=&#10;">
                <v:fill on="f" focussize="0,0"/>
                <v:stroke on="f" miterlimit="8" joinstyle="miter"/>
                <v:imagedata o:title=""/>
                <o:lock v:ext="edit" aspectratio="f"/>
                <v:textbox inset="0mm,1.27mm,0mm,1.27mm">
                  <w:txbxContent>
                    <w:p>
                      <w:pPr>
                        <w:spacing w:line="240" w:lineRule="auto"/>
                        <w:ind w:firstLine="0" w:firstLineChars="0"/>
                        <w:jc w:val="lef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85216" behindDoc="0" locked="0" layoutInCell="1" allowOverlap="1">
                <wp:simplePos x="0" y="0"/>
                <wp:positionH relativeFrom="column">
                  <wp:posOffset>2651125</wp:posOffset>
                </wp:positionH>
                <wp:positionV relativeFrom="paragraph">
                  <wp:posOffset>153670</wp:posOffset>
                </wp:positionV>
                <wp:extent cx="334010" cy="45085"/>
                <wp:effectExtent l="0" t="6350" r="8890" b="53340"/>
                <wp:wrapNone/>
                <wp:docPr id="329" name="曲线连接符 329"/>
                <wp:cNvGraphicFramePr/>
                <a:graphic xmlns:a="http://schemas.openxmlformats.org/drawingml/2006/main">
                  <a:graphicData uri="http://schemas.microsoft.com/office/word/2010/wordprocessingShape">
                    <wps:wsp>
                      <wps:cNvCnPr/>
                      <wps:spPr>
                        <a:xfrm rot="10800000" flipV="1">
                          <a:off x="0" y="0"/>
                          <a:ext cx="334010" cy="45085"/>
                        </a:xfrm>
                        <a:prstGeom prst="curvedConnector3">
                          <a:avLst>
                            <a:gd name="adj1" fmla="val 50000"/>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8" type="#_x0000_t38" style="position:absolute;left:0pt;flip:y;margin-left:208.75pt;margin-top:12.1pt;height:3.55pt;width:26.3pt;rotation:11796480f;z-index:251785216;mso-width-relative:page;mso-height-relative:page;" filled="f" stroked="t" coordsize="21600,21600" o:gfxdata="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gV0Rp2gAAAAkBAAAPAAAAAAAAAAEAIAAAACIAAABkcnMvZG93bnJldi54bWxQSwEC&#10;FAAUAAAACACHTuJAjak9vCsCAAAkBAAADgAAAAAAAAABACAAAAApAQAAZHJzL2Uyb0RvYy54bWxQ&#10;SwUGAAAAAAYABgBZAQAAxgUAAAAA&#10;" adj="10800">
                <v:fill on="f" focussize="0,0"/>
                <v:stroke weight="1pt" color="#4472C4 [3204]" miterlimit="8" joinstyle="miter" endarrow="open"/>
                <v:imagedata o:title=""/>
                <o:lock v:ext="edit" aspectratio="f"/>
              </v:shape>
            </w:pict>
          </mc:Fallback>
        </mc:AlternateContent>
      </w: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1603375</wp:posOffset>
                </wp:positionH>
                <wp:positionV relativeFrom="paragraph">
                  <wp:posOffset>133350</wp:posOffset>
                </wp:positionV>
                <wp:extent cx="1320165" cy="264795"/>
                <wp:effectExtent l="0" t="0" r="13335" b="1905"/>
                <wp:wrapNone/>
                <wp:docPr id="134" name="文本框 134"/>
                <wp:cNvGraphicFramePr/>
                <a:graphic xmlns:a="http://schemas.openxmlformats.org/drawingml/2006/main">
                  <a:graphicData uri="http://schemas.microsoft.com/office/word/2010/wordprocessingShape">
                    <wps:wsp>
                      <wps:cNvSpPr txBox="1"/>
                      <wps:spPr>
                        <a:xfrm>
                          <a:off x="0" y="0"/>
                          <a:ext cx="1320165" cy="264795"/>
                        </a:xfrm>
                        <a:prstGeom prst="rect">
                          <a:avLst/>
                        </a:prstGeom>
                        <a:solidFill>
                          <a:srgbClr val="FFFFFF"/>
                        </a:solidFill>
                        <a:ln w="9525">
                          <a:noFill/>
                          <a:miter lim="800000"/>
                        </a:ln>
                      </wps:spPr>
                      <wps:txbx>
                        <w:txbxContent>
                          <w:p>
                            <w:pPr>
                              <w:spacing w:line="240" w:lineRule="auto"/>
                              <w:ind w:firstLine="0" w:firstLineChars="0"/>
                              <w:rPr>
                                <w:sz w:val="18"/>
                                <w:szCs w:val="18"/>
                              </w:rPr>
                            </w:pPr>
                            <w:r>
                              <w:rPr>
                                <w:rFonts w:hint="eastAsia" w:cs="Times New Roman"/>
                                <w:bCs/>
                                <w:sz w:val="18"/>
                                <w:szCs w:val="18"/>
                              </w:rPr>
                              <w:t>非正常</w:t>
                            </w:r>
                            <w:r>
                              <w:rPr>
                                <w:rFonts w:cs="Times New Roman"/>
                                <w:bCs/>
                                <w:sz w:val="18"/>
                                <w:szCs w:val="18"/>
                              </w:rPr>
                              <w:t>工况井下作业</w:t>
                            </w:r>
                            <w:r>
                              <w:rPr>
                                <w:rFonts w:hint="eastAsia" w:cs="Times New Roman"/>
                                <w:bCs/>
                                <w:sz w:val="18"/>
                                <w:szCs w:val="18"/>
                              </w:rPr>
                              <w:t>废水</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26.25pt;margin-top:10.5pt;height:20.85pt;width:103.95pt;z-index:251705344;mso-width-relative:page;mso-height-relative:page;" fillcolor="#FFFFFF" filled="t" stroked="f" coordsize="21600,21600" o:gfxdata="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1l/E9gAAAAJAQAADwAAAAAAAAABACAAAAAiAAAAZHJzL2Rvd25yZXYueG1sUEsBAhQAFAAA&#10;AAgAh07iQKRbdCthAgAArgQAAA4AAAAAAAAAAQAgAAAAJwEAAGRycy9lMm9Eb2MueG1sUEsFBgAA&#10;AAAGAAYAWQEAAPoFAAAAAA==&#10;">
                <v:fill on="t" focussize="0,0"/>
                <v:stroke on="f" miterlimit="8" joinstyle="miter"/>
                <v:imagedata o:title=""/>
                <o:lock v:ext="edit" aspectratio="f"/>
                <v:textbox inset="0mm,1.27mm,0mm,1.27mm">
                  <w:txbxContent>
                    <w:p>
                      <w:pPr>
                        <w:spacing w:line="240" w:lineRule="auto"/>
                        <w:ind w:firstLine="0" w:firstLineChars="0"/>
                        <w:rPr>
                          <w:sz w:val="18"/>
                          <w:szCs w:val="18"/>
                        </w:rPr>
                      </w:pPr>
                      <w:r>
                        <w:rPr>
                          <w:rFonts w:hint="eastAsia" w:cs="Times New Roman"/>
                          <w:bCs/>
                          <w:sz w:val="18"/>
                          <w:szCs w:val="18"/>
                        </w:rPr>
                        <w:t>非正常</w:t>
                      </w:r>
                      <w:r>
                        <w:rPr>
                          <w:rFonts w:cs="Times New Roman"/>
                          <w:bCs/>
                          <w:sz w:val="18"/>
                          <w:szCs w:val="18"/>
                        </w:rPr>
                        <w:t>工况井下作业</w:t>
                      </w:r>
                      <w:r>
                        <w:rPr>
                          <w:rFonts w:hint="eastAsia" w:cs="Times New Roman"/>
                          <w:bCs/>
                          <w:sz w:val="18"/>
                          <w:szCs w:val="18"/>
                        </w:rPr>
                        <w:t>废水</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3456940</wp:posOffset>
                </wp:positionH>
                <wp:positionV relativeFrom="paragraph">
                  <wp:posOffset>95885</wp:posOffset>
                </wp:positionV>
                <wp:extent cx="4445" cy="423545"/>
                <wp:effectExtent l="34290" t="0" r="37465" b="14605"/>
                <wp:wrapNone/>
                <wp:docPr id="113" name="直接箭头连接符 113"/>
                <wp:cNvGraphicFramePr/>
                <a:graphic xmlns:a="http://schemas.openxmlformats.org/drawingml/2006/main">
                  <a:graphicData uri="http://schemas.microsoft.com/office/word/2010/wordprocessingShape">
                    <wps:wsp>
                      <wps:cNvCnPr/>
                      <wps:spPr>
                        <a:xfrm>
                          <a:off x="0" y="0"/>
                          <a:ext cx="4445" cy="423545"/>
                        </a:xfrm>
                        <a:prstGeom prst="straightConnector1">
                          <a:avLst/>
                        </a:prstGeom>
                        <a:ln>
                          <a:solidFill>
                            <a:schemeClr val="accent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72.2pt;margin-top:7.55pt;height:33.35pt;width:0.35pt;z-index:251699200;mso-width-relative:page;mso-height-relative:page;" filled="f" stroked="t" coordsize="21600,21600" o:gfxdata="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AV0FPXAAAACQEAAA8AAAAAAAAAAQAg&#10;AAAAIgAAAGRycy9kb3ducmV2LnhtbFBLAQIUABQAAAAIAIdO4kBcVEI9DwIAAOgDAAAOAAAAAAAA&#10;AAEAIAAAACYBAABkcnMvZTJvRG9jLnhtbFBLBQYAAAAABgAGAFkBAACnBQAAAAA=&#10;">
                <v:fill on="f" focussize="0,0"/>
                <v:stroke weight="1pt" color="#4472C4 [3204]" miterlimit="8" joinstyle="miter" endarrow="block"/>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3490595</wp:posOffset>
                </wp:positionH>
                <wp:positionV relativeFrom="paragraph">
                  <wp:posOffset>85725</wp:posOffset>
                </wp:positionV>
                <wp:extent cx="422275" cy="381000"/>
                <wp:effectExtent l="0" t="0" r="6350" b="0"/>
                <wp:wrapNone/>
                <wp:docPr id="116" name="文本框 116"/>
                <wp:cNvGraphicFramePr/>
                <a:graphic xmlns:a="http://schemas.openxmlformats.org/drawingml/2006/main">
                  <a:graphicData uri="http://schemas.microsoft.com/office/word/2010/wordprocessingShape">
                    <wps:wsp>
                      <wps:cNvSpPr txBox="1"/>
                      <wps:spPr>
                        <a:xfrm>
                          <a:off x="0" y="0"/>
                          <a:ext cx="422275" cy="381000"/>
                        </a:xfrm>
                        <a:prstGeom prst="rect">
                          <a:avLst/>
                        </a:prstGeom>
                        <a:solidFill>
                          <a:srgbClr val="FFFFFF"/>
                        </a:solidFill>
                        <a:ln w="9525">
                          <a:noFill/>
                          <a:miter lim="800000"/>
                        </a:ln>
                      </wps:spPr>
                      <wps:txbx>
                        <w:txbxContent>
                          <w:p>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罐车拉运</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74.85pt;margin-top:6.75pt;height:30pt;width:33.25pt;z-index:251702272;mso-width-relative:page;mso-height-relative:page;" fillcolor="#FFFFFF" filled="t" stroked="f" coordsize="21600,21600" o:gfxdata="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Mtx1nYAAAACQEAAA8AAAAAAAAAAQAgAAAAIgAAAGRycy9kb3ducmV2LnhtbFBLAQIUABQA&#10;AAAIAIdO4kC8Xl9VYgIAAK0EAAAOAAAAAAAAAAEAIAAAACcBAABkcnMvZTJvRG9jLnhtbFBLBQYA&#10;AAAABgAGAFkBAAD7BQAAAAA=&#10;">
                <v:fill on="t" focussize="0,0"/>
                <v:stroke on="f" miterlimit="8" joinstyle="miter"/>
                <v:imagedata o:title=""/>
                <o:lock v:ext="edit" aspectratio="f"/>
                <v:textbox inset="0mm,1.27mm,0mm,1.27mm">
                  <w:txbxContent>
                    <w:p>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罐车拉运</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2890520</wp:posOffset>
                </wp:positionH>
                <wp:positionV relativeFrom="paragraph">
                  <wp:posOffset>84455</wp:posOffset>
                </wp:positionV>
                <wp:extent cx="285750" cy="184785"/>
                <wp:effectExtent l="3175" t="0" r="6350" b="5715"/>
                <wp:wrapNone/>
                <wp:docPr id="135" name="直接箭头连接符 135"/>
                <wp:cNvGraphicFramePr/>
                <a:graphic xmlns:a="http://schemas.openxmlformats.org/drawingml/2006/main">
                  <a:graphicData uri="http://schemas.microsoft.com/office/word/2010/wordprocessingShape">
                    <wps:wsp>
                      <wps:cNvCnPr/>
                      <wps:spPr>
                        <a:xfrm flipV="1">
                          <a:off x="2896870" y="4654550"/>
                          <a:ext cx="285750" cy="184785"/>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7.6pt;margin-top:6.65pt;height:14.55pt;width:22.5pt;z-index:251709440;mso-width-relative:page;mso-height-relative:page;" filled="f" stroked="t" coordsize="21600,21600" o:gfxdata="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ClS+KdcA&#10;AAAJAQAADwAAAAAAAAABACAAAAAiAAAAZHJzL2Rvd25yZXYueG1sUEsBAhQAFAAAAAgAh07iQBhE&#10;KiEgAgAA/QMAAA4AAAAAAAAAAQAgAAAAJgEAAGRycy9lMm9Eb2MueG1sUEsFBgAAAAAGAAYAWQEA&#10;ALgFAAAAAA==&#10;">
                <v:fill on="f" focussize="0,0"/>
                <v:stroke weight="1pt" color="#4472C4 [3204]" miterlimit="8" joinstyle="miter" endarrow="open"/>
                <v:imagedata o:title=""/>
                <o:lock v:ext="edit" aspectratio="f"/>
              </v:shape>
            </w:pict>
          </mc:Fallback>
        </mc:AlternateContent>
      </w:r>
    </w:p>
    <w:p>
      <w:pPr>
        <w:pStyle w:val="95"/>
        <w:keepNext/>
        <w:rPr>
          <w:color w:val="000000" w:themeColor="text1"/>
          <w:highlight w:val="none"/>
          <w:lang w:eastAsia="zh-CN"/>
          <w14:textFill>
            <w14:solidFill>
              <w14:schemeClr w14:val="tx1"/>
            </w14:solidFill>
          </w14:textFill>
        </w:rPr>
      </w:pPr>
    </w:p>
    <w:p>
      <w:pPr>
        <w:pStyle w:val="95"/>
        <w:keepNext/>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2957830</wp:posOffset>
                </wp:positionH>
                <wp:positionV relativeFrom="paragraph">
                  <wp:posOffset>124460</wp:posOffset>
                </wp:positionV>
                <wp:extent cx="1047115" cy="264795"/>
                <wp:effectExtent l="4445" t="5080" r="15240" b="15875"/>
                <wp:wrapNone/>
                <wp:docPr id="114" name="文本框 114"/>
                <wp:cNvGraphicFramePr/>
                <a:graphic xmlns:a="http://schemas.openxmlformats.org/drawingml/2006/main">
                  <a:graphicData uri="http://schemas.microsoft.com/office/word/2010/wordprocessingShape">
                    <wps:wsp>
                      <wps:cNvSpPr txBox="1"/>
                      <wps:spPr>
                        <a:xfrm>
                          <a:off x="0" y="0"/>
                          <a:ext cx="1047115" cy="264795"/>
                        </a:xfrm>
                        <a:prstGeom prst="rect">
                          <a:avLst/>
                        </a:prstGeom>
                        <a:solidFill>
                          <a:srgbClr val="FFFFFF"/>
                        </a:solidFill>
                        <a:ln w="9525">
                          <a:solidFill>
                            <a:srgbClr val="000000"/>
                          </a:solidFill>
                          <a:miter lim="800000"/>
                        </a:ln>
                      </wps:spPr>
                      <wps:txbx>
                        <w:txbxContent>
                          <w:p>
                            <w:pPr>
                              <w:ind w:firstLine="360"/>
                            </w:pPr>
                            <w:r>
                              <w:rPr>
                                <w:rFonts w:hint="eastAsia"/>
                                <w:sz w:val="18"/>
                                <w:szCs w:val="18"/>
                              </w:rPr>
                              <w:t>赵家坝污水站</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32.9pt;margin-top:9.8pt;height:20.85pt;width:82.45pt;z-index:251700224;mso-width-relative:page;mso-height-relative:page;" fillcolor="#FFFFFF" filled="t" stroked="t" coordsize="21600,21600" o:gfxdata="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1NAK3ZAAAACQEAAA8AAAAAAAAAAQAgAAAAIgAAAGRycy9kb3ducmV2LnhtbFBLAQIU&#10;ABQAAAAIAIdO4kC04PqKZAIAANcEAAAOAAAAAAAAAAEAIAAAACgBAABkcnMvZTJvRG9jLnhtbFBL&#10;BQYAAAAABgAGAFkBAAD+BQAAAAA=&#10;">
                <v:fill on="t" focussize="0,0"/>
                <v:stroke color="#000000" miterlimit="8" joinstyle="miter"/>
                <v:imagedata o:title=""/>
                <o:lock v:ext="edit" aspectratio="f"/>
                <v:textbox inset="0mm,1.27mm,0mm,1.27mm">
                  <w:txbxContent>
                    <w:p>
                      <w:pPr>
                        <w:ind w:firstLine="360"/>
                      </w:pPr>
                      <w:r>
                        <w:rPr>
                          <w:rFonts w:hint="eastAsia"/>
                          <w:sz w:val="18"/>
                          <w:szCs w:val="18"/>
                        </w:rPr>
                        <w:t>赵家坝污水站</w:t>
                      </w:r>
                    </w:p>
                  </w:txbxContent>
                </v:textbox>
              </v:shape>
            </w:pict>
          </mc:Fallback>
        </mc:AlternateContent>
      </w:r>
    </w:p>
    <w:p>
      <w:pPr>
        <w:pStyle w:val="608"/>
        <w:rPr>
          <w:rStyle w:val="166"/>
          <w:rFonts w:ascii="Times New Roman"/>
          <w:color w:val="000000" w:themeColor="text1"/>
          <w:highlight w:val="none"/>
          <w14:textFill>
            <w14:solidFill>
              <w14:schemeClr w14:val="tx1"/>
            </w14:solidFill>
          </w14:textFill>
        </w:rPr>
      </w:pPr>
      <w:r>
        <w:rPr>
          <w:color w:val="000000" w:themeColor="text1"/>
          <w:sz w:val="29"/>
          <w:highlight w:val="none"/>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3498850</wp:posOffset>
                </wp:positionH>
                <wp:positionV relativeFrom="paragraph">
                  <wp:posOffset>302895</wp:posOffset>
                </wp:positionV>
                <wp:extent cx="453390" cy="259715"/>
                <wp:effectExtent l="0" t="0" r="3810" b="6985"/>
                <wp:wrapNone/>
                <wp:docPr id="254" name="文本框 254"/>
                <wp:cNvGraphicFramePr/>
                <a:graphic xmlns:a="http://schemas.openxmlformats.org/drawingml/2006/main">
                  <a:graphicData uri="http://schemas.microsoft.com/office/word/2010/wordprocessingShape">
                    <wps:wsp>
                      <wps:cNvSpPr txBox="1"/>
                      <wps:spPr>
                        <a:xfrm>
                          <a:off x="0" y="0"/>
                          <a:ext cx="453390" cy="259715"/>
                        </a:xfrm>
                        <a:prstGeom prst="rect">
                          <a:avLst/>
                        </a:prstGeom>
                        <a:solidFill>
                          <a:srgbClr val="FFFFFF"/>
                        </a:solidFill>
                        <a:ln w="9525">
                          <a:noFill/>
                          <a:miter lim="800000"/>
                        </a:ln>
                      </wps:spPr>
                      <wps:txbx>
                        <w:txbxContent>
                          <w:p>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回注</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75.5pt;margin-top:23.85pt;height:20.45pt;width:35.7pt;z-index:251718656;mso-width-relative:page;mso-height-relative:page;" fillcolor="#FFFFFF" filled="t" stroked="f" coordsize="21600,21600" o:gfxdata="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JOd8Z9kAAAAJAQAADwAAAAAAAAABACAAAAAiAAAAZHJzL2Rvd25yZXYueG1sUEsBAhQAFAAA&#10;AAgAh07iQCJprwRgAgAArQQAAA4AAAAAAAAAAQAgAAAAKAEAAGRycy9lMm9Eb2MueG1sUEsFBgAA&#10;AAAGAAYAWQEAAPoFAAAAAA==&#10;">
                <v:fill on="t" focussize="0,0"/>
                <v:stroke on="f" miterlimit="8" joinstyle="miter"/>
                <v:imagedata o:title=""/>
                <o:lock v:ext="edit" aspectratio="f"/>
                <v:textbox inset="0mm,1.27mm,0mm,1.27mm">
                  <w:txbxContent>
                    <w:p>
                      <w:pPr>
                        <w:spacing w:line="240" w:lineRule="auto"/>
                        <w:ind w:firstLine="0" w:firstLineChars="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回注</w:t>
                      </w:r>
                    </w:p>
                  </w:txbxContent>
                </v:textbox>
              </v:shape>
            </w:pict>
          </mc:Fallback>
        </mc:AlternateContent>
      </w:r>
      <w:r>
        <w:rPr>
          <w:color w:val="000000" w:themeColor="text1"/>
          <w:sz w:val="29"/>
          <w:highlight w:val="none"/>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3456305</wp:posOffset>
                </wp:positionH>
                <wp:positionV relativeFrom="paragraph">
                  <wp:posOffset>182880</wp:posOffset>
                </wp:positionV>
                <wp:extent cx="4445" cy="423545"/>
                <wp:effectExtent l="34290" t="0" r="37465" b="14605"/>
                <wp:wrapNone/>
                <wp:docPr id="115" name="直接箭头连接符 115"/>
                <wp:cNvGraphicFramePr/>
                <a:graphic xmlns:a="http://schemas.openxmlformats.org/drawingml/2006/main">
                  <a:graphicData uri="http://schemas.microsoft.com/office/word/2010/wordprocessingShape">
                    <wps:wsp>
                      <wps:cNvCnPr/>
                      <wps:spPr>
                        <a:xfrm>
                          <a:off x="0" y="0"/>
                          <a:ext cx="4445" cy="423545"/>
                        </a:xfrm>
                        <a:prstGeom prst="straightConnector1">
                          <a:avLst/>
                        </a:prstGeom>
                        <a:ln>
                          <a:solidFill>
                            <a:schemeClr val="accent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72.15pt;margin-top:14.4pt;height:33.35pt;width:0.35pt;z-index:251701248;mso-width-relative:page;mso-height-relative:page;" filled="f" stroked="t" coordsize="21600,21600" o:gfxdata="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XWpZfYAAAACQEAAA8AAAAAAAAAAQAg&#10;AAAAIgAAAGRycy9kb3ducmV2LnhtbFBLAQIUABQAAAAIAIdO4kDW/l0fDgIAAOgDAAAOAAAAAAAA&#10;AAEAIAAAACcBAABkcnMvZTJvRG9jLnhtbFBLBQYAAAAABgAGAFkBAACnBQAAAAA=&#10;">
                <v:fill on="f" focussize="0,0"/>
                <v:stroke weight="1pt" color="#4472C4 [3204]" miterlimit="8" joinstyle="miter" endarrow="block"/>
                <v:imagedata o:title=""/>
                <o:lock v:ext="edit" aspectratio="f"/>
              </v:shape>
            </w:pict>
          </mc:Fallback>
        </mc:AlternateContent>
      </w:r>
    </w:p>
    <w:p>
      <w:pPr>
        <w:pStyle w:val="608"/>
        <w:rPr>
          <w:rStyle w:val="166"/>
          <w:rFonts w:ascii="Times New Roman"/>
          <w:color w:val="000000" w:themeColor="text1"/>
          <w:highlight w:val="none"/>
          <w14:textFill>
            <w14:solidFill>
              <w14:schemeClr w14:val="tx1"/>
            </w14:solidFill>
          </w14:textFill>
        </w:rPr>
      </w:pPr>
      <w:r>
        <w:rPr>
          <w:color w:val="000000" w:themeColor="text1"/>
          <w:sz w:val="29"/>
          <w:highlight w:val="none"/>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2942590</wp:posOffset>
                </wp:positionH>
                <wp:positionV relativeFrom="paragraph">
                  <wp:posOffset>276225</wp:posOffset>
                </wp:positionV>
                <wp:extent cx="1047115" cy="264795"/>
                <wp:effectExtent l="4445" t="5080" r="15240" b="15875"/>
                <wp:wrapNone/>
                <wp:docPr id="117" name="文本框 117"/>
                <wp:cNvGraphicFramePr/>
                <a:graphic xmlns:a="http://schemas.openxmlformats.org/drawingml/2006/main">
                  <a:graphicData uri="http://schemas.microsoft.com/office/word/2010/wordprocessingShape">
                    <wps:wsp>
                      <wps:cNvSpPr txBox="1"/>
                      <wps:spPr>
                        <a:xfrm>
                          <a:off x="0" y="0"/>
                          <a:ext cx="1047115" cy="26479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8"/>
                                <w:szCs w:val="18"/>
                              </w:rPr>
                            </w:pPr>
                            <w:r>
                              <w:rPr>
                                <w:rFonts w:hint="eastAsia"/>
                                <w:sz w:val="18"/>
                                <w:szCs w:val="18"/>
                              </w:rPr>
                              <w:t>普光3回注井</w:t>
                            </w:r>
                          </w:p>
                        </w:txbxContent>
                      </wps:txbx>
                      <wps:bodyPr rot="0" spcFirstLastPara="0" vertOverflow="overflow" horzOverflow="overflow" vert="horz" wrap="square" lIns="0" tIns="45720" rIns="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31.7pt;margin-top:21.75pt;height:20.85pt;width:82.45pt;z-index:251703296;mso-width-relative:page;mso-height-relative:page;" fillcolor="#FFFFFF" filled="t" stroked="t" coordsize="21600,21600" o:gfxdata="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BXwAHZAAAACQEAAA8AAAAAAAAAAQAgAAAAIgAAAGRycy9kb3ducmV2LnhtbFBLAQIU&#10;ABQAAAAIAIdO4kBzbiUBZAIAANcEAAAOAAAAAAAAAAEAIAAAACgBAABkcnMvZTJvRG9jLnhtbFBL&#10;BQYAAAAABgAGAFkBAAD+BQAAAAA=&#10;">
                <v:fill on="t" focussize="0,0"/>
                <v:stroke color="#000000" miterlimit="8" joinstyle="miter"/>
                <v:imagedata o:title=""/>
                <o:lock v:ext="edit" aspectratio="f"/>
                <v:textbox inset="0mm,1.27mm,0mm,1.27mm">
                  <w:txbxContent>
                    <w:p>
                      <w:pPr>
                        <w:spacing w:line="240" w:lineRule="auto"/>
                        <w:ind w:firstLine="0" w:firstLineChars="0"/>
                        <w:jc w:val="center"/>
                        <w:rPr>
                          <w:sz w:val="18"/>
                          <w:szCs w:val="18"/>
                        </w:rPr>
                      </w:pPr>
                      <w:r>
                        <w:rPr>
                          <w:rFonts w:hint="eastAsia"/>
                          <w:sz w:val="18"/>
                          <w:szCs w:val="18"/>
                        </w:rPr>
                        <w:t>普光3回注井</w:t>
                      </w:r>
                    </w:p>
                  </w:txbxContent>
                </v:textbox>
              </v:shape>
            </w:pict>
          </mc:Fallback>
        </mc:AlternateContent>
      </w:r>
    </w:p>
    <w:p>
      <w:pPr>
        <w:pStyle w:val="608"/>
        <w:rPr>
          <w:rStyle w:val="166"/>
          <w:rFonts w:ascii="Times New Roman"/>
          <w:color w:val="000000" w:themeColor="text1"/>
          <w:highlight w:val="none"/>
          <w14:textFill>
            <w14:solidFill>
              <w14:schemeClr w14:val="tx1"/>
            </w14:solidFill>
          </w14:textFill>
        </w:rPr>
      </w:pPr>
    </w:p>
    <w:p>
      <w:pPr>
        <w:pStyle w:val="608"/>
        <w:rPr>
          <w:color w:val="000000" w:themeColor="text1"/>
          <w:highlight w:val="none"/>
          <w14:textFill>
            <w14:solidFill>
              <w14:schemeClr w14:val="tx1"/>
            </w14:solidFill>
          </w14:textFill>
        </w:rPr>
      </w:pPr>
      <w:r>
        <w:rPr>
          <w:rStyle w:val="166"/>
          <w:rFonts w:ascii="Times New Roman"/>
          <w:color w:val="000000" w:themeColor="text1"/>
          <w:highlight w:val="none"/>
          <w14:textFill>
            <w14:solidFill>
              <w14:schemeClr w14:val="tx1"/>
            </w14:solidFill>
          </w14:textFill>
        </w:rPr>
        <w:t>图</w:t>
      </w:r>
      <w:r>
        <w:rPr>
          <w:rStyle w:val="166"/>
          <w:rFonts w:ascii="Times New Roman"/>
          <w:color w:val="000000" w:themeColor="text1"/>
          <w:highlight w:val="none"/>
          <w14:textFill>
            <w14:solidFill>
              <w14:schemeClr w14:val="tx1"/>
            </w14:solidFill>
          </w14:textFill>
        </w:rPr>
        <w:fldChar w:fldCharType="begin"/>
      </w:r>
      <w:r>
        <w:rPr>
          <w:rStyle w:val="166"/>
          <w:rFonts w:ascii="Times New Roman"/>
          <w:color w:val="000000" w:themeColor="text1"/>
          <w:highlight w:val="none"/>
          <w14:textFill>
            <w14:solidFill>
              <w14:schemeClr w14:val="tx1"/>
            </w14:solidFill>
          </w14:textFill>
        </w:rPr>
        <w:instrText xml:space="preserve"> STYLEREF 2 \s </w:instrText>
      </w:r>
      <w:r>
        <w:rPr>
          <w:rStyle w:val="166"/>
          <w:rFonts w:ascii="Times New Roman"/>
          <w:color w:val="000000" w:themeColor="text1"/>
          <w:highlight w:val="none"/>
          <w14:textFill>
            <w14:solidFill>
              <w14:schemeClr w14:val="tx1"/>
            </w14:solidFill>
          </w14:textFill>
        </w:rPr>
        <w:fldChar w:fldCharType="separate"/>
      </w:r>
      <w:r>
        <w:rPr>
          <w:rStyle w:val="166"/>
          <w:rFonts w:ascii="Times New Roman"/>
          <w:color w:val="000000" w:themeColor="text1"/>
          <w:highlight w:val="none"/>
          <w14:textFill>
            <w14:solidFill>
              <w14:schemeClr w14:val="tx1"/>
            </w14:solidFill>
          </w14:textFill>
        </w:rPr>
        <w:t>3.3</w:t>
      </w:r>
      <w:r>
        <w:rPr>
          <w:rStyle w:val="166"/>
          <w:rFonts w:ascii="Times New Roman"/>
          <w:color w:val="000000" w:themeColor="text1"/>
          <w:highlight w:val="none"/>
          <w14:textFill>
            <w14:solidFill>
              <w14:schemeClr w14:val="tx1"/>
            </w14:solidFill>
          </w14:textFill>
        </w:rPr>
        <w:fldChar w:fldCharType="end"/>
      </w:r>
      <w:r>
        <w:rPr>
          <w:rStyle w:val="166"/>
          <w:rFonts w:ascii="Times New Roman"/>
          <w:color w:val="000000" w:themeColor="text1"/>
          <w:highlight w:val="none"/>
          <w14:textFill>
            <w14:solidFill>
              <w14:schemeClr w14:val="tx1"/>
            </w14:solidFill>
          </w14:textFill>
        </w:rPr>
        <w:noBreakHyphen/>
      </w:r>
      <w:r>
        <w:rPr>
          <w:rStyle w:val="166"/>
          <w:rFonts w:ascii="Times New Roman"/>
          <w:color w:val="000000" w:themeColor="text1"/>
          <w:highlight w:val="none"/>
          <w14:textFill>
            <w14:solidFill>
              <w14:schemeClr w14:val="tx1"/>
            </w14:solidFill>
          </w14:textFill>
        </w:rPr>
        <w:fldChar w:fldCharType="begin"/>
      </w:r>
      <w:r>
        <w:rPr>
          <w:rStyle w:val="166"/>
          <w:rFonts w:ascii="Times New Roman"/>
          <w:color w:val="000000" w:themeColor="text1"/>
          <w:highlight w:val="none"/>
          <w14:textFill>
            <w14:solidFill>
              <w14:schemeClr w14:val="tx1"/>
            </w14:solidFill>
          </w14:textFill>
        </w:rPr>
        <w:instrText xml:space="preserve"> SEQ 图 \* ARABIC \s 2 </w:instrText>
      </w:r>
      <w:r>
        <w:rPr>
          <w:rStyle w:val="166"/>
          <w:rFonts w:ascii="Times New Roman"/>
          <w:color w:val="000000" w:themeColor="text1"/>
          <w:highlight w:val="none"/>
          <w14:textFill>
            <w14:solidFill>
              <w14:schemeClr w14:val="tx1"/>
            </w14:solidFill>
          </w14:textFill>
        </w:rPr>
        <w:fldChar w:fldCharType="separate"/>
      </w:r>
      <w:r>
        <w:rPr>
          <w:rStyle w:val="166"/>
          <w:rFonts w:ascii="Times New Roman"/>
          <w:color w:val="000000" w:themeColor="text1"/>
          <w:highlight w:val="none"/>
          <w14:textFill>
            <w14:solidFill>
              <w14:schemeClr w14:val="tx1"/>
            </w14:solidFill>
          </w14:textFill>
        </w:rPr>
        <w:t>1</w:t>
      </w:r>
      <w:r>
        <w:rPr>
          <w:rStyle w:val="166"/>
          <w:rFonts w:hint="eastAsia" w:ascii="Times New Roman"/>
          <w:color w:val="000000" w:themeColor="text1"/>
          <w:highlight w:val="none"/>
          <w:lang w:val="en-US" w:eastAsia="zh-CN"/>
          <w14:textFill>
            <w14:solidFill>
              <w14:schemeClr w14:val="tx1"/>
            </w14:solidFill>
          </w14:textFill>
        </w:rPr>
        <w:t>0</w:t>
      </w:r>
      <w:r>
        <w:rPr>
          <w:rStyle w:val="166"/>
          <w:rFonts w:ascii="Times New Roman"/>
          <w:color w:val="000000" w:themeColor="text1"/>
          <w:highlight w:val="none"/>
          <w14:textFill>
            <w14:solidFill>
              <w14:schemeClr w14:val="tx1"/>
            </w14:solidFill>
          </w14:textFill>
        </w:rPr>
        <w:fldChar w:fldCharType="end"/>
      </w:r>
      <w:r>
        <w:rPr>
          <w:rStyle w:val="166"/>
          <w:rFonts w:ascii="Times New Roman"/>
          <w:color w:val="000000" w:themeColor="text1"/>
          <w:highlight w:val="none"/>
          <w14:textFill>
            <w14:solidFill>
              <w14:schemeClr w14:val="tx1"/>
            </w14:solidFill>
          </w14:textFill>
        </w:rPr>
        <w:t xml:space="preserve"> </w:t>
      </w:r>
      <w:r>
        <w:rPr>
          <w:rStyle w:val="166"/>
          <w:rFonts w:hint="eastAsia" w:ascii="Times New Roman"/>
          <w:color w:val="000000" w:themeColor="text1"/>
          <w:highlight w:val="none"/>
          <w14:textFill>
            <w14:solidFill>
              <w14:schemeClr w14:val="tx1"/>
            </w14:solidFill>
          </w14:textFill>
        </w:rPr>
        <w:t xml:space="preserve"> </w:t>
      </w:r>
      <w:r>
        <w:rPr>
          <w:rStyle w:val="166"/>
          <w:rFonts w:ascii="Times New Roman"/>
          <w:color w:val="000000" w:themeColor="text1"/>
          <w:highlight w:val="none"/>
          <w14:textFill>
            <w14:solidFill>
              <w14:schemeClr w14:val="tx1"/>
            </w14:solidFill>
          </w14:textFill>
        </w:rPr>
        <w:t>试采期</w:t>
      </w:r>
      <w:r>
        <w:rPr>
          <w:rStyle w:val="166"/>
          <w:rFonts w:hint="eastAsia" w:ascii="Times New Roman"/>
          <w:color w:val="000000" w:themeColor="text1"/>
          <w:highlight w:val="none"/>
          <w14:textFill>
            <w14:solidFill>
              <w14:schemeClr w14:val="tx1"/>
            </w14:solidFill>
          </w14:textFill>
        </w:rPr>
        <w:t>产污节点示意</w:t>
      </w:r>
      <w:r>
        <w:rPr>
          <w:rFonts w:hint="eastAsia"/>
          <w:color w:val="000000" w:themeColor="text1"/>
          <w:highlight w:val="none"/>
          <w14:textFill>
            <w14:solidFill>
              <w14:schemeClr w14:val="tx1"/>
            </w14:solidFill>
          </w14:textFill>
        </w:rPr>
        <w:t>图</w:t>
      </w:r>
    </w:p>
    <w:p>
      <w:pPr>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14:textFill>
            <w14:solidFill>
              <w14:schemeClr w14:val="tx1"/>
            </w14:solidFill>
          </w14:textFill>
        </w:rPr>
        <w:t>3、集输管线</w:t>
      </w:r>
    </w:p>
    <w:p>
      <w:pPr>
        <w:ind w:firstLine="480"/>
        <w:rPr>
          <w:b/>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集输管线</w:t>
      </w:r>
      <w:r>
        <w:rPr>
          <w:rFonts w:hint="eastAsia"/>
          <w:color w:val="000000" w:themeColor="text1"/>
          <w:highlight w:val="none"/>
          <w14:textFill>
            <w14:solidFill>
              <w14:schemeClr w14:val="tx1"/>
            </w14:solidFill>
          </w14:textFill>
        </w:rPr>
        <w:t>较短，</w:t>
      </w:r>
      <w:r>
        <w:rPr>
          <w:color w:val="000000" w:themeColor="text1"/>
          <w:highlight w:val="none"/>
          <w14:textFill>
            <w14:solidFill>
              <w14:schemeClr w14:val="tx1"/>
            </w14:solidFill>
          </w14:textFill>
        </w:rPr>
        <w:t>由建设单位调配人员进行巡</w:t>
      </w:r>
      <w:r>
        <w:rPr>
          <w:rFonts w:hint="eastAsia"/>
          <w:color w:val="000000" w:themeColor="text1"/>
          <w:highlight w:val="none"/>
          <w14:textFill>
            <w14:solidFill>
              <w14:schemeClr w14:val="tx1"/>
            </w14:solidFill>
          </w14:textFill>
        </w:rPr>
        <w:t>查</w:t>
      </w:r>
      <w:r>
        <w:rPr>
          <w:color w:val="000000" w:themeColor="text1"/>
          <w:highlight w:val="none"/>
          <w14:textFill>
            <w14:solidFill>
              <w14:schemeClr w14:val="tx1"/>
            </w14:solidFill>
          </w14:textFill>
        </w:rPr>
        <w:t>，不新增劳动定员，无新增生活垃圾产生。</w:t>
      </w:r>
      <w:r>
        <w:rPr>
          <w:bCs/>
          <w:color w:val="000000" w:themeColor="text1"/>
          <w:highlight w:val="none"/>
          <w14:textFill>
            <w14:solidFill>
              <w14:schemeClr w14:val="tx1"/>
            </w14:solidFill>
          </w14:textFill>
        </w:rPr>
        <w:t>本项目</w:t>
      </w:r>
      <w:r>
        <w:rPr>
          <w:rFonts w:hint="eastAsia"/>
          <w:bCs/>
          <w:color w:val="000000" w:themeColor="text1"/>
          <w:highlight w:val="none"/>
          <w14:textFill>
            <w14:solidFill>
              <w14:schemeClr w14:val="tx1"/>
            </w14:solidFill>
          </w14:textFill>
        </w:rPr>
        <w:t>集</w:t>
      </w:r>
      <w:r>
        <w:rPr>
          <w:bCs/>
          <w:color w:val="000000" w:themeColor="text1"/>
          <w:highlight w:val="none"/>
          <w14:textFill>
            <w14:solidFill>
              <w14:schemeClr w14:val="tx1"/>
            </w14:solidFill>
          </w14:textFill>
        </w:rPr>
        <w:t>输管线较短，不设置清管装置，</w:t>
      </w:r>
      <w:r>
        <w:rPr>
          <w:rFonts w:hint="eastAsia"/>
          <w:bCs/>
          <w:color w:val="000000" w:themeColor="text1"/>
          <w:highlight w:val="none"/>
          <w14:textFill>
            <w14:solidFill>
              <w14:schemeClr w14:val="tx1"/>
            </w14:solidFill>
          </w14:textFill>
        </w:rPr>
        <w:t>无清管作业，</w:t>
      </w:r>
      <w:r>
        <w:rPr>
          <w:rFonts w:hint="eastAsia"/>
          <w:color w:val="000000" w:themeColor="text1"/>
          <w:highlight w:val="none"/>
          <w14:textFill>
            <w14:solidFill>
              <w14:schemeClr w14:val="tx1"/>
            </w14:solidFill>
          </w14:textFill>
        </w:rPr>
        <w:t>管网在正常工况下，无噪声、废气、废水和固废污染物排放</w:t>
      </w:r>
      <w:r>
        <w:rPr>
          <w:color w:val="000000" w:themeColor="text1"/>
          <w:highlight w:val="none"/>
          <w14:textFill>
            <w14:solidFill>
              <w14:schemeClr w14:val="tx1"/>
            </w14:solidFill>
          </w14:textFill>
        </w:rPr>
        <w:t>。</w:t>
      </w:r>
    </w:p>
    <w:p>
      <w:pPr>
        <w:pStyle w:val="4"/>
        <w:spacing w:before="0" w:beforeLines="0"/>
        <w:ind w:firstLine="480"/>
        <w:rPr>
          <w:b/>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完工及试采结束</w:t>
      </w:r>
      <w:r>
        <w:rPr>
          <w:color w:val="000000" w:themeColor="text1"/>
          <w:highlight w:val="none"/>
          <w:lang w:eastAsia="zh-CN"/>
          <w14:textFill>
            <w14:solidFill>
              <w14:schemeClr w14:val="tx1"/>
            </w14:solidFill>
          </w14:textFill>
        </w:rPr>
        <w:t>后工程分析</w:t>
      </w:r>
    </w:p>
    <w:p>
      <w:pPr>
        <w:ind w:firstLine="480"/>
        <w:rPr>
          <w:rFonts w:cs="Times New Roman"/>
          <w:b/>
          <w:bCs/>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项目试采（2年）结束后，若天然气井采气后期不具备商业开采价值时（若无进一步勘探开发计划）将按照行业规范采取闭井作业。首先，采用水泥对套管及套管壁进行固封，防止天然气串入地层；同时在射孔段上部注入水泥，形成水泥塞封隔天然气层。在井口套管头上安装丝扣法兰，其工作压力大于最上气层的地层压力，装放气阀，盖井口房，在丝扣法兰上标注井号、完井日期，并设置醒目的警示标志，加以保护，防止人为破坏和气体泄漏污染及环境风险事故。拆除地面集输流程和放喷池、清水池等，并编制闭井期土地复垦方案，对井场进行复垦（若有后续开采计划则纳入后续开采计划复垦）。通过拆除构筑物及对占地区域进行复垦，不存在遗留环境问题，不会造成持续环境影响。</w:t>
      </w:r>
      <w:r>
        <w:rPr>
          <w:b/>
          <w:bCs/>
          <w:color w:val="000000" w:themeColor="text1"/>
          <w:highlight w:val="none"/>
          <w14:textFill>
            <w14:solidFill>
              <w14:schemeClr w14:val="tx1"/>
            </w14:solidFill>
          </w14:textFill>
        </w:rPr>
        <w:t>试采结束后，若具备开采价值，</w:t>
      </w:r>
      <w:r>
        <w:rPr>
          <w:rFonts w:cs="Times New Roman"/>
          <w:b/>
          <w:bCs/>
          <w:color w:val="000000" w:themeColor="text1"/>
          <w:szCs w:val="24"/>
          <w:highlight w:val="none"/>
          <w14:textFill>
            <w14:solidFill>
              <w14:schemeClr w14:val="tx1"/>
            </w14:solidFill>
          </w14:textFill>
        </w:rPr>
        <w:t>能够满足后期普光主体区块开发需要，则现有设施设备继续服务于普光主体区块开发，并需按照相关要求另行办理环评手续。</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（1）对拆除地面设施过程中产生的垃圾及时外运，送至指定的垃圾填埋场处理。</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（2）保留各类绿化、生态保护设施，以保持评价区生态环境功能不变。</w:t>
      </w:r>
    </w:p>
    <w:p>
      <w:pPr>
        <w:pStyle w:val="3"/>
        <w:spacing w:before="120"/>
        <w:rPr>
          <w:color w:val="000000" w:themeColor="text1"/>
          <w:highlight w:val="none"/>
          <w:lang w:eastAsia="zh-CN"/>
          <w14:textFill>
            <w14:solidFill>
              <w14:schemeClr w14:val="tx1"/>
            </w14:solidFill>
          </w14:textFill>
        </w:rPr>
      </w:pPr>
      <w:bookmarkStart w:id="178" w:name="_bookmark21"/>
      <w:bookmarkEnd w:id="178"/>
      <w:bookmarkStart w:id="179" w:name="3.4污染源源强核算"/>
      <w:bookmarkEnd w:id="179"/>
      <w:bookmarkStart w:id="180" w:name="_Toc25315"/>
      <w:r>
        <w:rPr>
          <w:color w:val="000000" w:themeColor="text1"/>
          <w:highlight w:val="none"/>
          <w:lang w:eastAsia="zh-CN"/>
          <w14:textFill>
            <w14:solidFill>
              <w14:schemeClr w14:val="tx1"/>
            </w14:solidFill>
          </w14:textFill>
        </w:rPr>
        <w:t>污染源源强核算</w:t>
      </w:r>
      <w:bookmarkEnd w:id="180"/>
    </w:p>
    <w:p>
      <w:pPr>
        <w:pStyle w:val="4"/>
        <w:spacing w:before="0" w:beforeLines="0"/>
        <w:ind w:firstLine="480"/>
        <w:rPr>
          <w:b/>
          <w:color w:val="000000" w:themeColor="text1"/>
          <w:highlight w:val="none"/>
          <w:lang w:eastAsia="zh-CN"/>
          <w14:textFill>
            <w14:solidFill>
              <w14:schemeClr w14:val="tx1"/>
            </w14:solidFill>
          </w14:textFill>
        </w:rPr>
      </w:pPr>
      <w:bookmarkStart w:id="181" w:name="3.4.1施工期污染源强分析"/>
      <w:bookmarkEnd w:id="181"/>
      <w:bookmarkStart w:id="182" w:name="_Toc120173112"/>
      <w:r>
        <w:rPr>
          <w:color w:val="000000" w:themeColor="text1"/>
          <w:highlight w:val="none"/>
          <w:lang w:eastAsia="zh-CN"/>
          <w14:textFill>
            <w14:solidFill>
              <w14:schemeClr w14:val="tx1"/>
            </w14:solidFill>
          </w14:textFill>
        </w:rPr>
        <w:t>施工期污染源强分析</w:t>
      </w:r>
      <w:bookmarkEnd w:id="182"/>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钻前工程</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本项目钻前工程量较小，钻前工程污染源产生及治理情况如下。</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（1）废气</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钻前施工人员多为当地民工，租住在附近农户家中，不设集中生活营区，无集中生活废气排放。钻前工程大气污染物主要为施工机械尾气</w:t>
      </w:r>
      <w:r>
        <w:rPr>
          <w:rFonts w:hint="eastAsia" w:cs="Times New Roman"/>
          <w:color w:val="000000" w:themeColor="text1"/>
          <w:szCs w:val="24"/>
          <w:highlight w:val="none"/>
          <w14:textFill>
            <w14:solidFill>
              <w14:schemeClr w14:val="tx1"/>
            </w14:solidFill>
          </w14:textFill>
        </w:rPr>
        <w:t>（含</w:t>
      </w:r>
      <w:r>
        <w:rPr>
          <w:rFonts w:hint="eastAsia" w:cs="Times New Roman"/>
          <w:color w:val="000000" w:themeColor="text1"/>
          <w:highlight w:val="none"/>
          <w14:textFill>
            <w14:solidFill>
              <w14:schemeClr w14:val="tx1"/>
            </w14:solidFill>
          </w14:textFill>
        </w:rPr>
        <w:t>运输车辆尾气</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和施工粉尘，但属短期影响（</w:t>
      </w:r>
      <w:r>
        <w:rPr>
          <w:rFonts w:hint="eastAsia" w:cs="Times New Roman"/>
          <w:color w:val="000000" w:themeColor="text1"/>
          <w:szCs w:val="24"/>
          <w:highlight w:val="none"/>
          <w14:textFill>
            <w14:solidFill>
              <w14:schemeClr w14:val="tx1"/>
            </w14:solidFill>
          </w14:textFill>
        </w:rPr>
        <w:t>钻前施工工期约120天</w:t>
      </w:r>
      <w:r>
        <w:rPr>
          <w:rFonts w:cs="Times New Roman"/>
          <w:color w:val="000000" w:themeColor="text1"/>
          <w:szCs w:val="24"/>
          <w:highlight w:val="none"/>
          <w14:textFill>
            <w14:solidFill>
              <w14:schemeClr w14:val="tx1"/>
            </w14:solidFill>
          </w14:textFill>
        </w:rPr>
        <w:t>）。施工机械尾气为燃油发电机、车辆排放尾气，主要污染物为NOx和CO，施工机械使用合格燃油、加强设备保养、运输车辆控制车速等。粉尘主要源于水泥搅拌、材料运输及使用过程中的粉尘散落以及修筑钻井场地和井场外道路的挖填方转运工程中的二次扬尘，施工现场设置围栏或部分围栏、遮盖、洒水抑尘等，减少起尘量。</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（2）废水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钻前工程的废水主要施工废水</w:t>
      </w:r>
      <w:r>
        <w:rPr>
          <w:rFonts w:cs="Times New Roman"/>
          <w:bCs/>
          <w:color w:val="000000" w:themeColor="text1"/>
          <w:szCs w:val="24"/>
          <w:highlight w:val="none"/>
          <w14:textFill>
            <w14:solidFill>
              <w14:schemeClr w14:val="tx1"/>
            </w14:solidFill>
          </w14:textFill>
        </w:rPr>
        <w:t>（主要污染物为SS）</w:t>
      </w:r>
      <w:r>
        <w:rPr>
          <w:rFonts w:cs="Times New Roman"/>
          <w:color w:val="000000" w:themeColor="text1"/>
          <w:szCs w:val="24"/>
          <w:highlight w:val="none"/>
          <w14:textFill>
            <w14:solidFill>
              <w14:schemeClr w14:val="tx1"/>
            </w14:solidFill>
          </w14:textFill>
        </w:rPr>
        <w:t>以及施工人员的生活污水（主要污染物为</w:t>
      </w:r>
      <w:r>
        <w:rPr>
          <w:rFonts w:cs="Times New Roman"/>
          <w:bCs/>
          <w:color w:val="000000" w:themeColor="text1"/>
          <w:szCs w:val="24"/>
          <w:highlight w:val="none"/>
          <w14:textFill>
            <w14:solidFill>
              <w14:schemeClr w14:val="tx1"/>
            </w14:solidFill>
          </w14:textFill>
        </w:rPr>
        <w:t>COD、SS和NH</w:t>
      </w:r>
      <w:r>
        <w:rPr>
          <w:rFonts w:cs="Times New Roman"/>
          <w:bCs/>
          <w:color w:val="000000" w:themeColor="text1"/>
          <w:szCs w:val="24"/>
          <w:highlight w:val="none"/>
          <w:vertAlign w:val="sub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-N等</w:t>
      </w:r>
      <w:r>
        <w:rPr>
          <w:rFonts w:cs="Times New Roman"/>
          <w:color w:val="000000" w:themeColor="text1"/>
          <w:szCs w:val="24"/>
          <w:highlight w:val="none"/>
          <w14:textFill>
            <w14:solidFill>
              <w14:schemeClr w14:val="tx1"/>
            </w14:solidFill>
          </w14:textFill>
        </w:rPr>
        <w:t>）。钻前工程高峰时日上工人数约30人，</w:t>
      </w:r>
      <w:r>
        <w:rPr>
          <w:rFonts w:cs="Times New Roman"/>
          <w:bCs/>
          <w:color w:val="000000" w:themeColor="text1"/>
          <w:highlight w:val="none"/>
          <w14:textFill>
            <w14:solidFill>
              <w14:schemeClr w14:val="tx1"/>
            </w14:solidFill>
          </w14:textFill>
        </w:rPr>
        <w:t>每人每天用水量为80L，排污系数为0.8，则钻井期间井场的生活用水量为</w:t>
      </w:r>
      <w:r>
        <w:rPr>
          <w:rFonts w:hint="eastAsia" w:cs="Times New Roman"/>
          <w:bCs/>
          <w:color w:val="000000" w:themeColor="text1"/>
          <w:highlight w:val="none"/>
          <w14:textFill>
            <w14:solidFill>
              <w14:schemeClr w14:val="tx1"/>
            </w14:solidFill>
          </w14:textFill>
        </w:rPr>
        <w:t>24</w:t>
      </w:r>
      <w:r>
        <w:rPr>
          <w:rFonts w:cs="Times New Roman"/>
          <w:bCs/>
          <w:color w:val="000000" w:themeColor="text1"/>
          <w:highlight w:val="none"/>
          <w14:textFill>
            <w14:solidFill>
              <w14:schemeClr w14:val="tx1"/>
            </w14:solidFill>
          </w14:textFill>
        </w:rPr>
        <w:t>00L/d，污水产生量为</w:t>
      </w:r>
      <w:r>
        <w:rPr>
          <w:rFonts w:hint="eastAsia" w:cs="Times New Roman"/>
          <w:bCs/>
          <w:color w:val="000000" w:themeColor="text1"/>
          <w:highlight w:val="none"/>
          <w14:textFill>
            <w14:solidFill>
              <w14:schemeClr w14:val="tx1"/>
            </w14:solidFill>
          </w14:textFill>
        </w:rPr>
        <w:t>192</w:t>
      </w:r>
      <w:r>
        <w:rPr>
          <w:rFonts w:cs="Times New Roman"/>
          <w:bCs/>
          <w:color w:val="000000" w:themeColor="text1"/>
          <w:highlight w:val="none"/>
          <w14:textFill>
            <w14:solidFill>
              <w14:schemeClr w14:val="tx1"/>
            </w14:solidFill>
          </w14:textFill>
        </w:rPr>
        <w:t>0L/d。</w:t>
      </w:r>
      <w:r>
        <w:rPr>
          <w:rFonts w:cs="Times New Roman"/>
          <w:color w:val="000000" w:themeColor="text1"/>
          <w:szCs w:val="24"/>
          <w:highlight w:val="none"/>
          <w14:textFill>
            <w14:solidFill>
              <w14:schemeClr w14:val="tx1"/>
            </w14:solidFill>
          </w14:textFill>
        </w:rPr>
        <w:t>主要为附近民工，上述人员租住在附近农户，其产生的生活污水利用农户已有的设施进行收集处置，施工现场基本不产生生活污水；钻前施工主要为土建施工，还会产生车辆清洗、砂石料</w:t>
      </w:r>
      <w:r>
        <w:rPr>
          <w:rFonts w:hint="eastAsia" w:cs="Times New Roman"/>
          <w:color w:val="000000" w:themeColor="text1"/>
          <w:szCs w:val="24"/>
          <w:highlight w:val="none"/>
          <w14:textFill>
            <w14:solidFill>
              <w14:schemeClr w14:val="tx1"/>
            </w14:solidFill>
          </w14:textFill>
        </w:rPr>
        <w:t>拌和</w:t>
      </w:r>
      <w:r>
        <w:rPr>
          <w:rFonts w:cs="Times New Roman"/>
          <w:color w:val="000000" w:themeColor="text1"/>
          <w:szCs w:val="24"/>
          <w:highlight w:val="none"/>
          <w14:textFill>
            <w14:solidFill>
              <w14:schemeClr w14:val="tx1"/>
            </w14:solidFill>
          </w14:textFill>
        </w:rPr>
        <w:t>及混凝土养护、施工机具保洁废水等</w:t>
      </w:r>
      <w:r>
        <w:rPr>
          <w:rFonts w:hint="eastAsia" w:cs="Times New Roman"/>
          <w:color w:val="000000" w:themeColor="text1"/>
          <w:szCs w:val="24"/>
          <w:highlight w:val="none"/>
          <w14:textFill>
            <w14:solidFill>
              <w14:schemeClr w14:val="tx1"/>
            </w14:solidFill>
          </w14:textFill>
        </w:rPr>
        <w:t>，以</w:t>
      </w:r>
      <w:r>
        <w:rPr>
          <w:rFonts w:cs="Times New Roman"/>
          <w:color w:val="000000" w:themeColor="text1"/>
          <w:szCs w:val="24"/>
          <w:highlight w:val="none"/>
          <w14:textFill>
            <w14:solidFill>
              <w14:schemeClr w14:val="tx1"/>
            </w14:solidFill>
          </w14:textFill>
        </w:rPr>
        <w:t>及道路施工遇雨水产生的地表径流，产生地点分散，产生量较小，污染因子以石油类和SS为主。本项目在施工现场设置沉淀池，施工废水经隔油沉淀处理后回用于洒水降尘和混凝土养护用水，不外排。</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（3）噪声</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钻前工程施工期的噪声主要是推土机、挖掘机、载重汽车等运行中产生的，</w:t>
      </w:r>
      <w:r>
        <w:rPr>
          <w:rFonts w:hint="eastAsia" w:cs="Times New Roman"/>
          <w:color w:val="000000" w:themeColor="text1"/>
          <w:szCs w:val="24"/>
          <w:highlight w:val="none"/>
          <w14:textFill>
            <w14:solidFill>
              <w14:schemeClr w14:val="tx1"/>
            </w14:solidFill>
          </w14:textFill>
        </w:rPr>
        <w:t>根据</w:t>
      </w:r>
      <w:r>
        <w:rPr>
          <w:rFonts w:hint="eastAsia"/>
          <w:color w:val="000000" w:themeColor="text1"/>
          <w:highlight w:val="none"/>
          <w14:textFill>
            <w14:solidFill>
              <w14:schemeClr w14:val="tx1"/>
            </w14:solidFill>
          </w14:textFill>
        </w:rPr>
        <w:t>《低噪声施工设备指导名录(2024年版）》，主要设备</w:t>
      </w:r>
      <w:r>
        <w:rPr>
          <w:rFonts w:cs="Times New Roman"/>
          <w:color w:val="000000" w:themeColor="text1"/>
          <w:szCs w:val="24"/>
          <w:highlight w:val="none"/>
          <w14:textFill>
            <w14:solidFill>
              <w14:schemeClr w14:val="tx1"/>
            </w14:solidFill>
          </w14:textFill>
        </w:rPr>
        <w:t>噪声级见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_Ref142593469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。虽为短期施工，但应采取措施减少其对附近居民的影响。由于钻前施工工程量小，且为野外作业，钻前工程夜间不施工作业。</w:t>
      </w:r>
    </w:p>
    <w:p>
      <w:pPr>
        <w:pStyle w:val="203"/>
        <w:spacing w:before="120"/>
        <w:rPr>
          <w:color w:val="000000" w:themeColor="text1"/>
          <w:highlight w:val="none"/>
          <w14:textFill>
            <w14:solidFill>
              <w14:schemeClr w14:val="tx1"/>
            </w14:solidFill>
          </w14:textFill>
        </w:rPr>
      </w:pPr>
      <w:bookmarkStart w:id="183" w:name="_Ref14259346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18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主要施工机具噪声源强表</w:t>
      </w:r>
    </w:p>
    <w:tbl>
      <w:tblPr>
        <w:tblStyle w:val="54"/>
        <w:tblW w:w="822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3" w:type="dxa"/>
          <w:bottom w:w="0" w:type="dxa"/>
          <w:right w:w="23" w:type="dxa"/>
        </w:tblCellMar>
      </w:tblPr>
      <w:tblGrid>
        <w:gridCol w:w="498"/>
        <w:gridCol w:w="1167"/>
        <w:gridCol w:w="2705"/>
        <w:gridCol w:w="1382"/>
        <w:gridCol w:w="948"/>
        <w:gridCol w:w="15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jc w:val="center"/>
        </w:trPr>
        <w:tc>
          <w:tcPr>
            <w:tcW w:w="49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116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设备名称</w:t>
            </w:r>
          </w:p>
        </w:tc>
        <w:tc>
          <w:tcPr>
            <w:tcW w:w="270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测点距施工机具距离（m）</w:t>
            </w:r>
          </w:p>
        </w:tc>
        <w:tc>
          <w:tcPr>
            <w:tcW w:w="138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最大声级</w:t>
            </w:r>
          </w:p>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dB</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A））</w:t>
            </w:r>
          </w:p>
        </w:tc>
        <w:tc>
          <w:tcPr>
            <w:tcW w:w="94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运行方式</w:t>
            </w:r>
          </w:p>
        </w:tc>
        <w:tc>
          <w:tcPr>
            <w:tcW w:w="152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运行时间（h）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jc w:val="center"/>
        </w:trPr>
        <w:tc>
          <w:tcPr>
            <w:tcW w:w="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1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推土机</w:t>
            </w:r>
          </w:p>
        </w:tc>
        <w:tc>
          <w:tcPr>
            <w:tcW w:w="270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38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85</w:t>
            </w:r>
          </w:p>
        </w:tc>
        <w:tc>
          <w:tcPr>
            <w:tcW w:w="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移动设备</w:t>
            </w:r>
          </w:p>
        </w:tc>
        <w:tc>
          <w:tcPr>
            <w:tcW w:w="152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间断，&lt;4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jc w:val="center"/>
        </w:trPr>
        <w:tc>
          <w:tcPr>
            <w:tcW w:w="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1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挖掘机</w:t>
            </w:r>
          </w:p>
        </w:tc>
        <w:tc>
          <w:tcPr>
            <w:tcW w:w="270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38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84</w:t>
            </w:r>
          </w:p>
        </w:tc>
        <w:tc>
          <w:tcPr>
            <w:tcW w:w="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移动设备</w:t>
            </w:r>
          </w:p>
        </w:tc>
        <w:tc>
          <w:tcPr>
            <w:tcW w:w="152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间断，&lt;2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jc w:val="center"/>
        </w:trPr>
        <w:tc>
          <w:tcPr>
            <w:tcW w:w="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1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载重汽车</w:t>
            </w:r>
          </w:p>
        </w:tc>
        <w:tc>
          <w:tcPr>
            <w:tcW w:w="270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38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82</w:t>
            </w:r>
          </w:p>
        </w:tc>
        <w:tc>
          <w:tcPr>
            <w:tcW w:w="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移动设备</w:t>
            </w:r>
          </w:p>
        </w:tc>
        <w:tc>
          <w:tcPr>
            <w:tcW w:w="152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间断，&lt;2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jc w:val="center"/>
        </w:trPr>
        <w:tc>
          <w:tcPr>
            <w:tcW w:w="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1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钻孔机</w:t>
            </w:r>
          </w:p>
        </w:tc>
        <w:tc>
          <w:tcPr>
            <w:tcW w:w="270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38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移动设备</w:t>
            </w:r>
          </w:p>
        </w:tc>
        <w:tc>
          <w:tcPr>
            <w:tcW w:w="152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间断，&lt;4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jc w:val="center"/>
        </w:trPr>
        <w:tc>
          <w:tcPr>
            <w:tcW w:w="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1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空压机</w:t>
            </w:r>
          </w:p>
        </w:tc>
        <w:tc>
          <w:tcPr>
            <w:tcW w:w="270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38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101</w:t>
            </w:r>
          </w:p>
        </w:tc>
        <w:tc>
          <w:tcPr>
            <w:tcW w:w="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移动设备</w:t>
            </w:r>
          </w:p>
        </w:tc>
        <w:tc>
          <w:tcPr>
            <w:tcW w:w="152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间断，&lt;4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jc w:val="center"/>
        </w:trPr>
        <w:tc>
          <w:tcPr>
            <w:tcW w:w="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c>
          <w:tcPr>
            <w:tcW w:w="11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柴油发电机</w:t>
            </w:r>
          </w:p>
        </w:tc>
        <w:tc>
          <w:tcPr>
            <w:tcW w:w="270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38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98</w:t>
            </w:r>
          </w:p>
        </w:tc>
        <w:tc>
          <w:tcPr>
            <w:tcW w:w="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移动设备</w:t>
            </w:r>
          </w:p>
        </w:tc>
        <w:tc>
          <w:tcPr>
            <w:tcW w:w="152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间断，&lt;2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3" w:type="dxa"/>
            <w:bottom w:w="0" w:type="dxa"/>
            <w:right w:w="23" w:type="dxa"/>
          </w:tblCellMar>
        </w:tblPrEx>
        <w:trPr>
          <w:jc w:val="center"/>
        </w:trPr>
        <w:tc>
          <w:tcPr>
            <w:tcW w:w="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1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振动棒</w:t>
            </w:r>
          </w:p>
        </w:tc>
        <w:tc>
          <w:tcPr>
            <w:tcW w:w="270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38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w:t>
            </w:r>
          </w:p>
        </w:tc>
        <w:tc>
          <w:tcPr>
            <w:tcW w:w="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移动设备</w:t>
            </w:r>
          </w:p>
        </w:tc>
        <w:tc>
          <w:tcPr>
            <w:tcW w:w="152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间断，&lt;4</w:t>
            </w:r>
          </w:p>
        </w:tc>
      </w:tr>
    </w:tbl>
    <w:p>
      <w:pPr>
        <w:spacing w:before="120" w:beforeLines="50"/>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（4）固废</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本项目场地平整</w:t>
      </w:r>
      <w:r>
        <w:rPr>
          <w:rFonts w:hint="eastAsia" w:cs="Times New Roman"/>
          <w:color w:val="000000" w:themeColor="text1"/>
          <w:szCs w:val="24"/>
          <w:highlight w:val="none"/>
          <w14:textFill>
            <w14:solidFill>
              <w14:schemeClr w14:val="tx1"/>
            </w14:solidFill>
          </w14:textFill>
        </w:rPr>
        <w:t>会产生约2400方余方</w:t>
      </w:r>
      <w:r>
        <w:rPr>
          <w:rFonts w:cs="Times New Roman"/>
          <w:color w:val="000000" w:themeColor="text1"/>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余方于井场弃土区堆放</w:t>
      </w:r>
      <w:r>
        <w:rPr>
          <w:color w:val="000000" w:themeColor="text1"/>
          <w:highlight w:val="none"/>
          <w14:textFill>
            <w14:solidFill>
              <w14:schemeClr w14:val="tx1"/>
            </w14:solidFill>
          </w14:textFill>
        </w:rPr>
        <w:t>堆场</w:t>
      </w:r>
      <w:r>
        <w:rPr>
          <w:rFonts w:cs="Times New Roman"/>
          <w:color w:val="000000" w:themeColor="text1"/>
          <w:szCs w:val="24"/>
          <w:highlight w:val="none"/>
          <w14:textFill>
            <w14:solidFill>
              <w14:schemeClr w14:val="tx1"/>
            </w14:solidFill>
          </w14:textFill>
        </w:rPr>
        <w:t>。施工过程中会产生少量建筑垃圾，如包装袋，废弃建筑材料等，其量小，</w:t>
      </w:r>
      <w:r>
        <w:rPr>
          <w:rFonts w:hint="eastAsia" w:cs="Times New Roman"/>
          <w:color w:val="000000" w:themeColor="text1"/>
          <w:szCs w:val="24"/>
          <w:highlight w:val="none"/>
          <w14:textFill>
            <w14:solidFill>
              <w14:schemeClr w14:val="tx1"/>
            </w14:solidFill>
          </w14:textFill>
        </w:rPr>
        <w:t>约4</w:t>
      </w:r>
      <w:r>
        <w:rPr>
          <w:rFonts w:cs="Times New Roman"/>
          <w:color w:val="000000" w:themeColor="text1"/>
          <w:szCs w:val="24"/>
          <w:highlight w:val="none"/>
          <w14:textFill>
            <w14:solidFill>
              <w14:schemeClr w14:val="tx1"/>
            </w14:solidFill>
          </w14:textFill>
        </w:rPr>
        <w:t>0</w:t>
      </w:r>
      <w:r>
        <w:rPr>
          <w:rFonts w:hint="eastAsia" w:cs="Times New Roman"/>
          <w:color w:val="000000" w:themeColor="text1"/>
          <w:szCs w:val="24"/>
          <w:highlight w:val="none"/>
          <w14:textFill>
            <w14:solidFill>
              <w14:schemeClr w14:val="tx1"/>
            </w14:solidFill>
          </w14:textFill>
        </w:rPr>
        <w:t>t</w:t>
      </w:r>
      <w:r>
        <w:rPr>
          <w:rFonts w:cs="Times New Roman"/>
          <w:color w:val="000000" w:themeColor="text1"/>
          <w:szCs w:val="24"/>
          <w:highlight w:val="none"/>
          <w14:textFill>
            <w14:solidFill>
              <w14:schemeClr w14:val="tx1"/>
            </w14:solidFill>
          </w14:textFill>
        </w:rPr>
        <w:t>，由施工队伍统一收集清运至政府指定地方。施工人员多为当地民工，租住在附近农户，无集中生活垃圾产生，其产生的生活垃圾利用附近农户现有的设施进行收集处置，无集中生活垃圾产生。</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（5）生态环境影响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拟建项目钻前工程对生态环境的主要影响因素包括场地基础开挖、土石方回填、构筑物建设等活动对土地的扰动作用。通常说来，生态影响效果主要包括改变土地利用性质、造成水土流失等。</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1）土地利用性质改变</w:t>
      </w:r>
    </w:p>
    <w:p>
      <w:pPr>
        <w:ind w:firstLine="480"/>
        <w:rPr>
          <w:rFonts w:cs="Times New Roman"/>
          <w:color w:val="000000" w:themeColor="text1"/>
          <w:szCs w:val="24"/>
          <w:highlight w:val="none"/>
          <w14:textFill>
            <w14:solidFill>
              <w14:schemeClr w14:val="tx1"/>
            </w14:solidFill>
          </w14:textFill>
        </w:rPr>
      </w:pPr>
      <w:bookmarkStart w:id="184" w:name="_Hlk89347872"/>
      <w:r>
        <w:rPr>
          <w:rFonts w:cs="Times New Roman"/>
          <w:color w:val="000000" w:themeColor="text1"/>
          <w:szCs w:val="24"/>
          <w:highlight w:val="none"/>
          <w14:textFill>
            <w14:solidFill>
              <w14:schemeClr w14:val="tx1"/>
            </w14:solidFill>
          </w14:textFill>
        </w:rPr>
        <w:t>本项目为新建，钻井期涉及井场工程、生活区、</w:t>
      </w:r>
      <w:r>
        <w:rPr>
          <w:rFonts w:hint="eastAsia" w:cs="Times New Roman"/>
          <w:color w:val="000000" w:themeColor="text1"/>
          <w:szCs w:val="24"/>
          <w:highlight w:val="none"/>
          <w14:textFill>
            <w14:solidFill>
              <w14:schemeClr w14:val="tx1"/>
            </w14:solidFill>
          </w14:textFill>
        </w:rPr>
        <w:t>清水池、道路、</w:t>
      </w:r>
      <w:r>
        <w:rPr>
          <w:rFonts w:cs="Times New Roman"/>
          <w:color w:val="000000" w:themeColor="text1"/>
          <w:szCs w:val="24"/>
          <w:highlight w:val="none"/>
          <w14:textFill>
            <w14:solidFill>
              <w14:schemeClr w14:val="tx1"/>
            </w14:solidFill>
          </w14:textFill>
        </w:rPr>
        <w:t>表土堆放区等临时占地。</w:t>
      </w:r>
      <w:bookmarkEnd w:id="184"/>
      <w:r>
        <w:rPr>
          <w:rFonts w:cs="Times New Roman"/>
          <w:color w:val="000000" w:themeColor="text1"/>
          <w:szCs w:val="24"/>
          <w:highlight w:val="none"/>
          <w14:textFill>
            <w14:solidFill>
              <w14:schemeClr w14:val="tx1"/>
            </w14:solidFill>
          </w14:textFill>
        </w:rPr>
        <w:t>工程项目建设对生态环境的影响主要表现为项目占地使土地功能发生改变，即一般耕地变为工业用地，将导致粮食减产（植被生物量降低）等。本项目新增临时占地用地类型为</w:t>
      </w:r>
      <w:r>
        <w:rPr>
          <w:rFonts w:hint="eastAsia" w:cs="Times New Roman"/>
          <w:color w:val="000000" w:themeColor="text1"/>
          <w:szCs w:val="24"/>
          <w:highlight w:val="none"/>
          <w14:textFill>
            <w14:solidFill>
              <w14:schemeClr w14:val="tx1"/>
            </w14:solidFill>
          </w14:textFill>
        </w:rPr>
        <w:t>耕地、</w:t>
      </w:r>
      <w:r>
        <w:rPr>
          <w:rFonts w:cs="Times New Roman"/>
          <w:bCs/>
          <w:color w:val="000000" w:themeColor="text1"/>
          <w:szCs w:val="24"/>
          <w:highlight w:val="none"/>
          <w14:textFill>
            <w14:solidFill>
              <w14:schemeClr w14:val="tx1"/>
            </w14:solidFill>
          </w14:textFill>
        </w:rPr>
        <w:t>灌草丛</w:t>
      </w:r>
      <w:r>
        <w:rPr>
          <w:rFonts w:cs="Times New Roman"/>
          <w:color w:val="000000" w:themeColor="text1"/>
          <w:szCs w:val="24"/>
          <w:highlight w:val="none"/>
          <w14:textFill>
            <w14:solidFill>
              <w14:schemeClr w14:val="tx1"/>
            </w14:solidFill>
          </w14:textFill>
        </w:rPr>
        <w:t>等，短期内改变土地利用性质，工程结束后即对临时占用的土地进行恢复，对当地土地资源的影响较小。对于工程的占地，建设方应按国家相关法律法规办理临时用地手续。</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2）土壤侵蚀</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在进场道路、井场平整、设备基础开挖过程，将造成地面裸露，形成水土流失，导致地表原有植被破坏。</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钻井工程</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（1）废气</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1）备用柴油机/发电机废气</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项目周边供电网已铺设，</w:t>
      </w:r>
      <w:r>
        <w:rPr>
          <w:rFonts w:hint="eastAsia" w:cs="Times New Roman"/>
          <w:color w:val="000000" w:themeColor="text1"/>
          <w:highlight w:val="none"/>
          <w14:textFill>
            <w14:solidFill>
              <w14:schemeClr w14:val="tx1"/>
            </w14:solidFill>
          </w14:textFill>
        </w:rPr>
        <w:t>可将网电</w:t>
      </w:r>
      <w:r>
        <w:rPr>
          <w:rFonts w:cs="Times New Roman"/>
          <w:color w:val="000000" w:themeColor="text1"/>
          <w:highlight w:val="none"/>
          <w14:textFill>
            <w14:solidFill>
              <w14:schemeClr w14:val="tx1"/>
            </w14:solidFill>
          </w14:textFill>
        </w:rPr>
        <w:t>接入井场，满足本项目钻井及试采期需求，因此本项目优先使用网电作为动力和生产生活用电，正常情况下无燃烧废气产生。</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在停电或者电网供应不能满足使用时，井场</w:t>
      </w:r>
      <w:r>
        <w:rPr>
          <w:rFonts w:hint="eastAsia" w:cs="Times New Roman"/>
          <w:color w:val="000000" w:themeColor="text1"/>
          <w:highlight w:val="none"/>
          <w14:textFill>
            <w14:solidFill>
              <w14:schemeClr w14:val="tx1"/>
            </w14:solidFill>
          </w14:textFill>
        </w:rPr>
        <w:t>同时使用1320</w:t>
      </w:r>
      <w:r>
        <w:rPr>
          <w:rFonts w:cs="Times New Roman"/>
          <w:color w:val="000000" w:themeColor="text1"/>
          <w:highlight w:val="none"/>
          <w14:textFill>
            <w14:solidFill>
              <w14:schemeClr w14:val="tx1"/>
            </w14:solidFill>
          </w14:textFill>
        </w:rPr>
        <w:t>kW柴油动力机</w:t>
      </w:r>
      <w:r>
        <w:rPr>
          <w:rFonts w:hint="eastAsia" w:cs="Times New Roman"/>
          <w:color w:val="000000" w:themeColor="text1"/>
          <w:highlight w:val="none"/>
          <w14:textFill>
            <w14:solidFill>
              <w14:schemeClr w14:val="tx1"/>
            </w14:solidFill>
          </w14:textFill>
        </w:rPr>
        <w:t>组</w:t>
      </w:r>
      <w:r>
        <w:rPr>
          <w:rFonts w:cs="Times New Roman"/>
          <w:color w:val="000000" w:themeColor="text1"/>
          <w:highlight w:val="none"/>
          <w14:textFill>
            <w14:solidFill>
              <w14:schemeClr w14:val="tx1"/>
            </w14:solidFill>
          </w14:textFill>
        </w:rPr>
        <w:t>（2用1备）和</w:t>
      </w:r>
      <w:r>
        <w:rPr>
          <w:rFonts w:hint="eastAsia" w:cs="Times New Roman"/>
          <w:color w:val="000000" w:themeColor="text1"/>
          <w:highlight w:val="none"/>
          <w14:textFill>
            <w14:solidFill>
              <w14:schemeClr w14:val="tx1"/>
            </w14:solidFill>
          </w14:textFill>
        </w:rPr>
        <w:t>40</w:t>
      </w:r>
      <w:r>
        <w:rPr>
          <w:rFonts w:cs="Times New Roman"/>
          <w:color w:val="000000" w:themeColor="text1"/>
          <w:highlight w:val="none"/>
          <w14:textFill>
            <w14:solidFill>
              <w14:schemeClr w14:val="tx1"/>
            </w14:solidFill>
          </w14:textFill>
        </w:rPr>
        <w:t>0kW柴油发电机组（1用1备）。柴油动力机组额定油耗209g/kW·h，发电机额定油耗60g/kW·h。</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柴油发电机使用符合国六标准的轻质柴油。按照《普通柴油》（GB 252-2015）从2018年1月1日起采用柴油中硫的含量不大于10mg/kg，则SO</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排放系数为20g/t。</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柴油燃烧废气主要污染物排系数参考《社会区域类环境影响评价》工程师登记培训教材中相关排污系数，柴油机污染物排放系数为：NO</w:t>
      </w:r>
      <w:r>
        <w:rPr>
          <w:rFonts w:cs="Times New Roman"/>
          <w:color w:val="000000" w:themeColor="text1"/>
          <w:highlight w:val="none"/>
          <w:vertAlign w:val="subscript"/>
          <w14:textFill>
            <w14:solidFill>
              <w14:schemeClr w14:val="tx1"/>
            </w14:solidFill>
          </w14:textFill>
        </w:rPr>
        <w:t>x</w:t>
      </w:r>
      <w:r>
        <w:rPr>
          <w:rFonts w:cs="Times New Roman"/>
          <w:color w:val="000000" w:themeColor="text1"/>
          <w:highlight w:val="none"/>
          <w14:textFill>
            <w14:solidFill>
              <w14:schemeClr w14:val="tx1"/>
            </w14:solidFill>
          </w14:textFill>
        </w:rPr>
        <w:t>2.56g/L、烟尘0.714g/L、烟气量按20Nm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/kg计。预测项目钻井作业期间</w:t>
      </w:r>
      <w:r>
        <w:rPr>
          <w:rFonts w:hint="eastAsia" w:cs="Times New Roman"/>
          <w:color w:val="000000" w:themeColor="text1"/>
          <w:highlight w:val="none"/>
          <w14:textFill>
            <w14:solidFill>
              <w14:schemeClr w14:val="tx1"/>
            </w14:solidFill>
          </w14:textFill>
        </w:rPr>
        <w:t>柴油</w:t>
      </w:r>
      <w:r>
        <w:rPr>
          <w:rFonts w:cs="Times New Roman"/>
          <w:color w:val="000000" w:themeColor="text1"/>
          <w:highlight w:val="none"/>
          <w14:textFill>
            <w14:solidFill>
              <w14:schemeClr w14:val="tx1"/>
            </w14:solidFill>
          </w14:textFill>
        </w:rPr>
        <w:t>发电机组主要污染物排放情况见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_Ref142593478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2</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85" w:name="_Ref142593478"/>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185"/>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钻井作业期间柴油发电机组废气污染物排放情况</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588"/>
        <w:gridCol w:w="1011"/>
        <w:gridCol w:w="870"/>
        <w:gridCol w:w="1013"/>
        <w:gridCol w:w="1300"/>
        <w:gridCol w:w="1307"/>
        <w:gridCol w:w="1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1588" w:type="dxa"/>
            <w:vAlign w:val="center"/>
          </w:tcPr>
          <w:p>
            <w:pPr>
              <w:pStyle w:val="297"/>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污染源</w:t>
            </w:r>
          </w:p>
        </w:tc>
        <w:tc>
          <w:tcPr>
            <w:tcW w:w="1011" w:type="dxa"/>
            <w:vAlign w:val="center"/>
          </w:tcPr>
          <w:p>
            <w:pPr>
              <w:pStyle w:val="297"/>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油耗kg/h</w:t>
            </w:r>
          </w:p>
        </w:tc>
        <w:tc>
          <w:tcPr>
            <w:tcW w:w="870" w:type="dxa"/>
            <w:vAlign w:val="center"/>
          </w:tcPr>
          <w:p>
            <w:pPr>
              <w:pStyle w:val="297"/>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烟气量m</w:t>
            </w:r>
            <w:r>
              <w:rPr>
                <w:b/>
                <w:bCs/>
                <w:snapToGrid w:val="0"/>
                <w:color w:val="000000" w:themeColor="text1"/>
                <w:highlight w:val="none"/>
                <w:vertAlign w:val="superscript"/>
                <w14:textFill>
                  <w14:solidFill>
                    <w14:schemeClr w14:val="tx1"/>
                  </w14:solidFill>
                </w14:textFill>
              </w:rPr>
              <w:t>3</w:t>
            </w:r>
            <w:r>
              <w:rPr>
                <w:b/>
                <w:bCs/>
                <w:snapToGrid w:val="0"/>
                <w:color w:val="000000" w:themeColor="text1"/>
                <w:highlight w:val="none"/>
                <w14:textFill>
                  <w14:solidFill>
                    <w14:schemeClr w14:val="tx1"/>
                  </w14:solidFill>
                </w14:textFill>
              </w:rPr>
              <w:t>/h</w:t>
            </w:r>
          </w:p>
        </w:tc>
        <w:tc>
          <w:tcPr>
            <w:tcW w:w="1013" w:type="dxa"/>
            <w:vAlign w:val="center"/>
          </w:tcPr>
          <w:p>
            <w:pPr>
              <w:pStyle w:val="297"/>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污染物名称</w:t>
            </w:r>
          </w:p>
        </w:tc>
        <w:tc>
          <w:tcPr>
            <w:tcW w:w="1300" w:type="dxa"/>
            <w:vAlign w:val="center"/>
          </w:tcPr>
          <w:p>
            <w:pPr>
              <w:pStyle w:val="297"/>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排放速率（kg/h）</w:t>
            </w:r>
          </w:p>
        </w:tc>
        <w:tc>
          <w:tcPr>
            <w:tcW w:w="1307" w:type="dxa"/>
            <w:vAlign w:val="center"/>
          </w:tcPr>
          <w:p>
            <w:pPr>
              <w:pStyle w:val="297"/>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排放浓度（mg/m</w:t>
            </w:r>
            <w:r>
              <w:rPr>
                <w:b/>
                <w:bCs/>
                <w:snapToGrid w:val="0"/>
                <w:color w:val="000000" w:themeColor="text1"/>
                <w:highlight w:val="none"/>
                <w:vertAlign w:val="superscript"/>
                <w14:textFill>
                  <w14:solidFill>
                    <w14:schemeClr w14:val="tx1"/>
                  </w14:solidFill>
                </w14:textFill>
              </w:rPr>
              <w:t>3</w:t>
            </w:r>
            <w:r>
              <w:rPr>
                <w:b/>
                <w:bCs/>
                <w:snapToGrid w:val="0"/>
                <w:color w:val="000000" w:themeColor="text1"/>
                <w:highlight w:val="none"/>
                <w14:textFill>
                  <w14:solidFill>
                    <w14:schemeClr w14:val="tx1"/>
                  </w14:solidFill>
                </w14:textFill>
              </w:rPr>
              <w:t>）</w:t>
            </w:r>
          </w:p>
        </w:tc>
        <w:tc>
          <w:tcPr>
            <w:tcW w:w="1131" w:type="dxa"/>
            <w:vAlign w:val="center"/>
          </w:tcPr>
          <w:p>
            <w:pPr>
              <w:pStyle w:val="297"/>
              <w:rPr>
                <w:b/>
                <w:bCs/>
                <w:snapToGrid w:val="0"/>
                <w:color w:val="000000" w:themeColor="text1"/>
                <w:highlight w:val="none"/>
                <w14:textFill>
                  <w14:solidFill>
                    <w14:schemeClr w14:val="tx1"/>
                  </w14:solidFill>
                </w14:textFill>
              </w:rPr>
            </w:pPr>
            <w:r>
              <w:rPr>
                <w:b/>
                <w:bCs/>
                <w:snapToGrid w:val="0"/>
                <w:color w:val="000000" w:themeColor="text1"/>
                <w:highlight w:val="none"/>
                <w14:textFill>
                  <w14:solidFill>
                    <w14:schemeClr w14:val="tx1"/>
                  </w14:solidFill>
                </w14:textFill>
              </w:rPr>
              <w:t>排气筒高度（m）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88" w:type="dxa"/>
            <w:vMerge w:val="restart"/>
            <w:vAlign w:val="center"/>
          </w:tcPr>
          <w:p>
            <w:pPr>
              <w:pStyle w:val="297"/>
              <w:rPr>
                <w:snapToGrid w:val="0"/>
                <w:color w:val="000000" w:themeColor="text1"/>
                <w:highlight w:val="none"/>
                <w14:textFill>
                  <w14:solidFill>
                    <w14:schemeClr w14:val="tx1"/>
                  </w14:solidFill>
                </w14:textFill>
              </w:rPr>
            </w:pPr>
            <w:bookmarkStart w:id="186" w:name="_Hlk332099719"/>
            <w:r>
              <w:rPr>
                <w:snapToGrid w:val="0"/>
                <w:color w:val="000000" w:themeColor="text1"/>
                <w:highlight w:val="none"/>
                <w14:textFill>
                  <w14:solidFill>
                    <w14:schemeClr w14:val="tx1"/>
                  </w14:solidFill>
                </w14:textFill>
              </w:rPr>
              <w:t>2台柴油动力机、1台发电机组</w:t>
            </w:r>
          </w:p>
        </w:tc>
        <w:tc>
          <w:tcPr>
            <w:tcW w:w="1011" w:type="dxa"/>
            <w:vMerge w:val="restart"/>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388</w:t>
            </w:r>
          </w:p>
        </w:tc>
        <w:tc>
          <w:tcPr>
            <w:tcW w:w="870" w:type="dxa"/>
            <w:vMerge w:val="restart"/>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7760</w:t>
            </w:r>
          </w:p>
        </w:tc>
        <w:tc>
          <w:tcPr>
            <w:tcW w:w="1013"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SO</w:t>
            </w:r>
            <w:r>
              <w:rPr>
                <w:snapToGrid w:val="0"/>
                <w:color w:val="000000" w:themeColor="text1"/>
                <w:highlight w:val="none"/>
                <w:vertAlign w:val="subscript"/>
                <w14:textFill>
                  <w14:solidFill>
                    <w14:schemeClr w14:val="tx1"/>
                  </w14:solidFill>
                </w14:textFill>
              </w:rPr>
              <w:t>2</w:t>
            </w:r>
          </w:p>
        </w:tc>
        <w:tc>
          <w:tcPr>
            <w:tcW w:w="130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0.008</w:t>
            </w:r>
          </w:p>
        </w:tc>
        <w:tc>
          <w:tcPr>
            <w:tcW w:w="130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131"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88" w:type="dxa"/>
            <w:vMerge w:val="continue"/>
            <w:vAlign w:val="center"/>
          </w:tcPr>
          <w:p>
            <w:pPr>
              <w:pStyle w:val="297"/>
              <w:rPr>
                <w:snapToGrid w:val="0"/>
                <w:color w:val="000000" w:themeColor="text1"/>
                <w:highlight w:val="none"/>
                <w14:textFill>
                  <w14:solidFill>
                    <w14:schemeClr w14:val="tx1"/>
                  </w14:solidFill>
                </w14:textFill>
              </w:rPr>
            </w:pPr>
          </w:p>
        </w:tc>
        <w:tc>
          <w:tcPr>
            <w:tcW w:w="1011" w:type="dxa"/>
            <w:vMerge w:val="continue"/>
            <w:vAlign w:val="center"/>
          </w:tcPr>
          <w:p>
            <w:pPr>
              <w:pStyle w:val="297"/>
              <w:rPr>
                <w:snapToGrid w:val="0"/>
                <w:color w:val="000000" w:themeColor="text1"/>
                <w:highlight w:val="none"/>
                <w14:textFill>
                  <w14:solidFill>
                    <w14:schemeClr w14:val="tx1"/>
                  </w14:solidFill>
                </w14:textFill>
              </w:rPr>
            </w:pPr>
          </w:p>
        </w:tc>
        <w:tc>
          <w:tcPr>
            <w:tcW w:w="870" w:type="dxa"/>
            <w:vMerge w:val="continue"/>
            <w:vAlign w:val="center"/>
          </w:tcPr>
          <w:p>
            <w:pPr>
              <w:pStyle w:val="297"/>
              <w:rPr>
                <w:snapToGrid w:val="0"/>
                <w:color w:val="000000" w:themeColor="text1"/>
                <w:highlight w:val="none"/>
                <w14:textFill>
                  <w14:solidFill>
                    <w14:schemeClr w14:val="tx1"/>
                  </w14:solidFill>
                </w14:textFill>
              </w:rPr>
            </w:pPr>
          </w:p>
        </w:tc>
        <w:tc>
          <w:tcPr>
            <w:tcW w:w="1013"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NO</w:t>
            </w:r>
            <w:r>
              <w:rPr>
                <w:snapToGrid w:val="0"/>
                <w:color w:val="000000" w:themeColor="text1"/>
                <w:highlight w:val="none"/>
                <w:vertAlign w:val="subscript"/>
                <w14:textFill>
                  <w14:solidFill>
                    <w14:schemeClr w14:val="tx1"/>
                  </w14:solidFill>
                </w14:textFill>
              </w:rPr>
              <w:t>X</w:t>
            </w:r>
          </w:p>
        </w:tc>
        <w:tc>
          <w:tcPr>
            <w:tcW w:w="130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1.17</w:t>
            </w:r>
          </w:p>
        </w:tc>
        <w:tc>
          <w:tcPr>
            <w:tcW w:w="130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1131"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588" w:type="dxa"/>
            <w:vMerge w:val="continue"/>
            <w:vAlign w:val="center"/>
          </w:tcPr>
          <w:p>
            <w:pPr>
              <w:pStyle w:val="297"/>
              <w:rPr>
                <w:snapToGrid w:val="0"/>
                <w:color w:val="000000" w:themeColor="text1"/>
                <w:highlight w:val="none"/>
                <w14:textFill>
                  <w14:solidFill>
                    <w14:schemeClr w14:val="tx1"/>
                  </w14:solidFill>
                </w14:textFill>
              </w:rPr>
            </w:pPr>
          </w:p>
        </w:tc>
        <w:tc>
          <w:tcPr>
            <w:tcW w:w="1011" w:type="dxa"/>
            <w:vMerge w:val="continue"/>
            <w:vAlign w:val="center"/>
          </w:tcPr>
          <w:p>
            <w:pPr>
              <w:pStyle w:val="297"/>
              <w:rPr>
                <w:snapToGrid w:val="0"/>
                <w:color w:val="000000" w:themeColor="text1"/>
                <w:highlight w:val="none"/>
                <w14:textFill>
                  <w14:solidFill>
                    <w14:schemeClr w14:val="tx1"/>
                  </w14:solidFill>
                </w14:textFill>
              </w:rPr>
            </w:pPr>
          </w:p>
        </w:tc>
        <w:tc>
          <w:tcPr>
            <w:tcW w:w="870" w:type="dxa"/>
            <w:vMerge w:val="continue"/>
            <w:vAlign w:val="center"/>
          </w:tcPr>
          <w:p>
            <w:pPr>
              <w:pStyle w:val="297"/>
              <w:rPr>
                <w:snapToGrid w:val="0"/>
                <w:color w:val="000000" w:themeColor="text1"/>
                <w:highlight w:val="none"/>
                <w14:textFill>
                  <w14:solidFill>
                    <w14:schemeClr w14:val="tx1"/>
                  </w14:solidFill>
                </w14:textFill>
              </w:rPr>
            </w:pPr>
          </w:p>
        </w:tc>
        <w:tc>
          <w:tcPr>
            <w:tcW w:w="1013"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烟尘</w:t>
            </w:r>
          </w:p>
        </w:tc>
        <w:tc>
          <w:tcPr>
            <w:tcW w:w="130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0.33</w:t>
            </w:r>
          </w:p>
        </w:tc>
        <w:tc>
          <w:tcPr>
            <w:tcW w:w="130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w:t>
            </w:r>
          </w:p>
        </w:tc>
        <w:tc>
          <w:tcPr>
            <w:tcW w:w="1131"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6</w:t>
            </w:r>
          </w:p>
        </w:tc>
      </w:tr>
      <w:bookmarkEnd w:id="186"/>
    </w:tbl>
    <w:p>
      <w:pPr>
        <w:spacing w:before="120"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柴油发电机采用符合国家标准的优质柴油，其污染物排放满足《非道路移动机械用柴油机排气污染物排放限值及测量方法（中国第三、四阶段）》（GB20891-2014）表2规定的限值。</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2）事故放喷废气</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事故放喷是由于地层高压异常导致的，在石油天然气行业是低概率事件。事故放喷主产物是</w:t>
      </w:r>
      <w:r>
        <w:rPr>
          <w:rFonts w:hint="eastAsia" w:cs="Times New Roman"/>
          <w:color w:val="000000" w:themeColor="text1"/>
          <w:highlight w:val="none"/>
          <w14:textFill>
            <w14:solidFill>
              <w14:schemeClr w14:val="tx1"/>
            </w14:solidFill>
          </w14:textFill>
        </w:rPr>
        <w:t>含硫天然气</w:t>
      </w:r>
      <w:r>
        <w:rPr>
          <w:rFonts w:cs="Times New Roman"/>
          <w:color w:val="000000" w:themeColor="text1"/>
          <w:highlight w:val="none"/>
          <w14:textFill>
            <w14:solidFill>
              <w14:schemeClr w14:val="tx1"/>
            </w14:solidFill>
          </w14:textFill>
        </w:rPr>
        <w:t>燃烧后产生的</w:t>
      </w:r>
      <w:r>
        <w:rPr>
          <w:rFonts w:hint="eastAsia" w:cs="Times New Roman"/>
          <w:color w:val="000000" w:themeColor="text1"/>
          <w:highlight w:val="none"/>
          <w14:textFill>
            <w14:solidFill>
              <w14:schemeClr w14:val="tx1"/>
            </w14:solidFill>
          </w14:textFill>
        </w:rPr>
        <w:t>SO</w:t>
      </w:r>
      <w:r>
        <w:rPr>
          <w:rFonts w:hint="eastAsia" w:cs="Times New Roman"/>
          <w:color w:val="000000" w:themeColor="text1"/>
          <w:highlight w:val="none"/>
          <w:vertAlign w:val="subscript"/>
          <w14:textFill>
            <w14:solidFill>
              <w14:schemeClr w14:val="tx1"/>
            </w14:solidFill>
          </w14:textFill>
        </w:rPr>
        <w:t>2</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CO</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3</w:t>
      </w:r>
      <w:r>
        <w:rPr>
          <w:rFonts w:cs="Times New Roman"/>
          <w:color w:val="000000" w:themeColor="text1"/>
          <w:highlight w:val="none"/>
          <w14:textFill>
            <w14:solidFill>
              <w14:schemeClr w14:val="tx1"/>
            </w14:solidFill>
          </w14:textFill>
        </w:rPr>
        <w:t>）无组织挥发性</w:t>
      </w:r>
      <w:r>
        <w:rPr>
          <w:rFonts w:hint="eastAsia" w:cs="Times New Roman"/>
          <w:color w:val="000000" w:themeColor="text1"/>
          <w:highlight w:val="none"/>
          <w14:textFill>
            <w14:solidFill>
              <w14:schemeClr w14:val="tx1"/>
            </w14:solidFill>
          </w14:textFill>
        </w:rPr>
        <w:t>有机</w:t>
      </w:r>
      <w:r>
        <w:rPr>
          <w:rFonts w:cs="Times New Roman"/>
          <w:color w:val="000000" w:themeColor="text1"/>
          <w:highlight w:val="none"/>
          <w14:textFill>
            <w14:solidFill>
              <w14:schemeClr w14:val="tx1"/>
            </w14:solidFill>
          </w14:textFill>
        </w:rPr>
        <w:t>废气</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本项目为天然气钻井及试采工程，</w:t>
      </w:r>
      <w:r>
        <w:rPr>
          <w:rFonts w:hint="eastAsia"/>
          <w:color w:val="000000" w:themeColor="text1"/>
          <w:highlight w:val="none"/>
          <w14:textFill>
            <w14:solidFill>
              <w14:schemeClr w14:val="tx1"/>
            </w14:solidFill>
          </w14:textFill>
        </w:rPr>
        <w:t>三开采用</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钻井液（若三开钻遇特地层，则采用油基钻井液）</w:t>
      </w:r>
      <w:r>
        <w:rPr>
          <w:rFonts w:hint="eastAsia" w:cs="Times New Roman"/>
          <w:color w:val="000000" w:themeColor="text1"/>
          <w:highlight w:val="none"/>
          <w14:textFill>
            <w14:solidFill>
              <w14:schemeClr w14:val="tx1"/>
            </w14:solidFill>
          </w14:textFill>
        </w:rPr>
        <w:t>时使用白油为基础钻井液，挥发性极低，油基钻井过程挥发性废气排放可忽略不计，</w:t>
      </w:r>
      <w:r>
        <w:rPr>
          <w:rFonts w:cs="Times New Roman"/>
          <w:color w:val="000000" w:themeColor="text1"/>
          <w:highlight w:val="none"/>
          <w14:textFill>
            <w14:solidFill>
              <w14:schemeClr w14:val="tx1"/>
            </w14:solidFill>
          </w14:textFill>
        </w:rPr>
        <w:t>因此，除燃油机械使用过程中产生的少量无组织挥发性有机物排放外，钻井施工过程中无组织排放源。因此，本项目无组织挥发性有机物排放量小，通过自然扩散可有效降低其影响，对周边环境影响甚微。</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（2）废水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从项目产生的废水情况分析，包括钻井废水、初期雨水和生活污水。</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1）钻井废水</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在钻井阶段采用常规钻井工艺。钻井作业的配浆过程中会根据泥浆的不同要求加入不等量的水，这些水随钻井液进入井底协助钻井作业，在钻井液返回地面后，大部分水随泥浆进入泥浆净化系统，小部分水随钻屑进入污水罐，经固液分离后，回收上清液用于泥浆配置，剩余废水经预处理后由罐车拉运至</w:t>
      </w:r>
      <w:r>
        <w:rPr>
          <w:rFonts w:hint="eastAsia" w:cs="Times New Roman"/>
          <w:bCs/>
          <w:color w:val="000000" w:themeColor="text1"/>
          <w:szCs w:val="24"/>
          <w:highlight w:val="none"/>
          <w14:textFill>
            <w14:solidFill>
              <w14:schemeClr w14:val="tx1"/>
            </w14:solidFill>
          </w14:textFill>
        </w:rPr>
        <w:t>赵家坝污水处理站</w:t>
      </w:r>
      <w:r>
        <w:rPr>
          <w:rFonts w:cs="Times New Roman"/>
          <w:bCs/>
          <w:color w:val="000000" w:themeColor="text1"/>
          <w:szCs w:val="24"/>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管输至</w:t>
      </w:r>
      <w:r>
        <w:rPr>
          <w:rFonts w:hint="eastAsia" w:cs="Times New Roman"/>
          <w:bCs/>
          <w:color w:val="000000" w:themeColor="text1"/>
          <w:szCs w:val="24"/>
          <w:highlight w:val="none"/>
          <w14:textFill>
            <w14:solidFill>
              <w14:schemeClr w14:val="tx1"/>
            </w14:solidFill>
          </w14:textFill>
        </w:rPr>
        <w:t>普光3井回注站</w:t>
      </w:r>
      <w:r>
        <w:rPr>
          <w:rFonts w:cs="Times New Roman"/>
          <w:bCs/>
          <w:color w:val="000000" w:themeColor="text1"/>
          <w:szCs w:val="24"/>
          <w:highlight w:val="none"/>
          <w14:textFill>
            <w14:solidFill>
              <w14:schemeClr w14:val="tx1"/>
            </w14:solidFill>
          </w14:textFill>
        </w:rPr>
        <w:t>回注，不外排。</w:t>
      </w:r>
    </w:p>
    <w:p>
      <w:pPr>
        <w:ind w:firstLine="480"/>
        <w:rPr>
          <w:rFonts w:cs="Times New Roman"/>
          <w:bCs/>
          <w:color w:val="000000" w:themeColor="text1"/>
          <w:szCs w:val="24"/>
          <w:highlight w:val="none"/>
          <w14:textFill>
            <w14:solidFill>
              <w14:schemeClr w14:val="tx1"/>
            </w14:solidFill>
          </w14:textFill>
        </w:rPr>
      </w:pPr>
      <w:bookmarkStart w:id="187" w:name="_Hlk79335272"/>
      <w:r>
        <w:rPr>
          <w:rFonts w:cs="Times New Roman"/>
          <w:bCs/>
          <w:color w:val="000000" w:themeColor="text1"/>
          <w:szCs w:val="24"/>
          <w:highlight w:val="none"/>
          <w14:textFill>
            <w14:solidFill>
              <w14:schemeClr w14:val="tx1"/>
            </w14:solidFill>
          </w14:textFill>
        </w:rPr>
        <w:t>根据普光气田钻井工程的类比分析</w:t>
      </w:r>
      <w:r>
        <w:rPr>
          <w:rFonts w:hint="eastAsia" w:cs="Times New Roman"/>
          <w:color w:val="000000" w:themeColor="text1"/>
          <w:highlight w:val="none"/>
          <w14:textFill>
            <w14:solidFill>
              <w14:schemeClr w14:val="tx1"/>
            </w14:solidFill>
          </w14:textFill>
        </w:rPr>
        <w:t>，采用相同的水基泥浆钻井工艺、钻井液循环系统和泥浆随钻不落地处理工艺的</w:t>
      </w:r>
      <w:r>
        <w:rPr>
          <w:rFonts w:cs="Times New Roman"/>
          <w:color w:val="000000" w:themeColor="text1"/>
          <w:highlight w:val="none"/>
          <w14:textFill>
            <w14:solidFill>
              <w14:schemeClr w14:val="tx1"/>
            </w14:solidFill>
          </w14:textFill>
        </w:rPr>
        <w:t>普陆5勘探评价井工程建设项目（实际井深3310m）竣工环境保护验收调查表可知其施工期钻井废水实际产生量约为611m</w:t>
      </w:r>
      <w:r>
        <w:rPr>
          <w:rFonts w:cs="Times New Roman"/>
          <w:color w:val="000000" w:themeColor="text1"/>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，每米进尺产生钻井废水量</w:t>
      </w:r>
      <w:r>
        <w:rPr>
          <w:rFonts w:hint="eastAsia" w:cs="Times New Roman"/>
          <w:bCs/>
          <w:color w:val="000000" w:themeColor="text1"/>
          <w:szCs w:val="24"/>
          <w:highlight w:val="none"/>
          <w14:textFill>
            <w14:solidFill>
              <w14:schemeClr w14:val="tx1"/>
            </w14:solidFill>
          </w14:textFill>
        </w:rPr>
        <w:t>约</w:t>
      </w:r>
      <w:r>
        <w:rPr>
          <w:rFonts w:cs="Times New Roman"/>
          <w:bCs/>
          <w:color w:val="000000" w:themeColor="text1"/>
          <w:szCs w:val="24"/>
          <w:highlight w:val="none"/>
          <w14:textFill>
            <w14:solidFill>
              <w14:schemeClr w14:val="tx1"/>
            </w14:solidFill>
          </w14:textFill>
        </w:rPr>
        <w:t>0.</w:t>
      </w:r>
      <w:r>
        <w:rPr>
          <w:rFonts w:hint="eastAsia" w:cs="Times New Roman"/>
          <w:bCs/>
          <w:color w:val="000000" w:themeColor="text1"/>
          <w:szCs w:val="24"/>
          <w:highlight w:val="none"/>
          <w14:textFill>
            <w14:solidFill>
              <w14:schemeClr w14:val="tx1"/>
            </w14:solidFill>
          </w14:textFill>
        </w:rPr>
        <w:t>185</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，同时结合周边其他已钻井废水产生数据，平均</w:t>
      </w:r>
      <w:r>
        <w:rPr>
          <w:rFonts w:cs="Times New Roman"/>
          <w:bCs/>
          <w:color w:val="000000" w:themeColor="text1"/>
          <w:szCs w:val="24"/>
          <w:highlight w:val="none"/>
          <w14:textFill>
            <w14:solidFill>
              <w14:schemeClr w14:val="tx1"/>
            </w14:solidFill>
          </w14:textFill>
        </w:rPr>
        <w:t>每米进尺产生钻井废水量</w:t>
      </w:r>
      <w:r>
        <w:rPr>
          <w:rFonts w:hint="eastAsia" w:cs="Times New Roman"/>
          <w:bCs/>
          <w:color w:val="000000" w:themeColor="text1"/>
          <w:szCs w:val="24"/>
          <w:highlight w:val="none"/>
          <w14:textFill>
            <w14:solidFill>
              <w14:schemeClr w14:val="tx1"/>
            </w14:solidFill>
          </w14:textFill>
        </w:rPr>
        <w:t>可达0.2</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水基</w:t>
      </w:r>
      <w:r>
        <w:rPr>
          <w:rFonts w:cs="Times New Roman"/>
          <w:bCs/>
          <w:color w:val="000000" w:themeColor="text1"/>
          <w:szCs w:val="24"/>
          <w:highlight w:val="none"/>
          <w14:textFill>
            <w14:solidFill>
              <w14:schemeClr w14:val="tx1"/>
            </w14:solidFill>
          </w14:textFill>
        </w:rPr>
        <w:t>钻井</w:t>
      </w:r>
      <w:r>
        <w:rPr>
          <w:rFonts w:hint="eastAsia" w:cs="Times New Roman"/>
          <w:bCs/>
          <w:color w:val="000000" w:themeColor="text1"/>
          <w:szCs w:val="24"/>
          <w:highlight w:val="none"/>
          <w14:textFill>
            <w14:solidFill>
              <w14:schemeClr w14:val="tx1"/>
            </w14:solidFill>
          </w14:textFill>
        </w:rPr>
        <w:t>可能最大</w:t>
      </w:r>
      <w:r>
        <w:rPr>
          <w:rFonts w:cs="Times New Roman"/>
          <w:bCs/>
          <w:color w:val="000000" w:themeColor="text1"/>
          <w:szCs w:val="24"/>
          <w:highlight w:val="none"/>
          <w14:textFill>
            <w14:solidFill>
              <w14:schemeClr w14:val="tx1"/>
            </w14:solidFill>
          </w14:textFill>
        </w:rPr>
        <w:t>进尺</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m，</w:t>
      </w:r>
      <w:r>
        <w:rPr>
          <w:rFonts w:hint="eastAsia" w:cs="Times New Roman"/>
          <w:bCs/>
          <w:color w:val="000000" w:themeColor="text1"/>
          <w:szCs w:val="24"/>
          <w:highlight w:val="none"/>
          <w14:textFill>
            <w14:solidFill>
              <w14:schemeClr w14:val="tx1"/>
            </w14:solidFill>
          </w14:textFill>
        </w:rPr>
        <w:t>本次评价保守按照不利考虑（全部使用水基泥浆钻井），</w:t>
      </w:r>
      <w:r>
        <w:rPr>
          <w:rFonts w:cs="Times New Roman"/>
          <w:bCs/>
          <w:color w:val="000000" w:themeColor="text1"/>
          <w:szCs w:val="24"/>
          <w:highlight w:val="none"/>
          <w14:textFill>
            <w14:solidFill>
              <w14:schemeClr w14:val="tx1"/>
            </w14:solidFill>
          </w14:textFill>
        </w:rPr>
        <w:t>每米进尺产生钻井废水量</w:t>
      </w:r>
      <w:r>
        <w:rPr>
          <w:rFonts w:hint="eastAsia" w:cs="Times New Roman"/>
          <w:bCs/>
          <w:color w:val="000000" w:themeColor="text1"/>
          <w:szCs w:val="24"/>
          <w:highlight w:val="none"/>
          <w14:textFill>
            <w14:solidFill>
              <w14:schemeClr w14:val="tx1"/>
            </w14:solidFill>
          </w14:textFill>
        </w:rPr>
        <w:t>按</w:t>
      </w:r>
      <w:r>
        <w:rPr>
          <w:rFonts w:cs="Times New Roman"/>
          <w:bCs/>
          <w:color w:val="000000" w:themeColor="text1"/>
          <w:szCs w:val="24"/>
          <w:highlight w:val="none"/>
          <w14:textFill>
            <w14:solidFill>
              <w14:schemeClr w14:val="tx1"/>
            </w14:solidFill>
          </w14:textFill>
        </w:rPr>
        <w:t>0.</w:t>
      </w: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核算，则</w:t>
      </w:r>
      <w:r>
        <w:rPr>
          <w:rFonts w:cs="Times New Roman"/>
          <w:bCs/>
          <w:color w:val="000000" w:themeColor="text1"/>
          <w:szCs w:val="24"/>
          <w:highlight w:val="none"/>
          <w14:textFill>
            <w14:solidFill>
              <w14:schemeClr w14:val="tx1"/>
            </w14:solidFill>
          </w14:textFill>
        </w:rPr>
        <w:t>产生的钻井废水为</w:t>
      </w:r>
      <w:r>
        <w:rPr>
          <w:rFonts w:hint="eastAsia" w:cs="Times New Roman"/>
          <w:bCs/>
          <w:color w:val="000000" w:themeColor="text1"/>
          <w:szCs w:val="24"/>
          <w:highlight w:val="none"/>
          <w14:textFill>
            <w14:solidFill>
              <w14:schemeClr w14:val="tx1"/>
            </w14:solidFill>
          </w14:textFill>
        </w:rPr>
        <w:t>1331</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w:t>
      </w:r>
    </w:p>
    <w:bookmarkEnd w:id="187"/>
    <w:p>
      <w:pPr>
        <w:ind w:firstLine="480"/>
        <w:rPr>
          <w:rFonts w:cs="Times New Roman"/>
          <w:b/>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废水为钻井废水及雨水的混合废水，其主要污染物浓度根据普光气田钻井工程污水</w:t>
      </w:r>
      <w:r>
        <w:rPr>
          <w:rFonts w:hint="eastAsia" w:cs="Times New Roman"/>
          <w:bCs/>
          <w:color w:val="000000" w:themeColor="text1"/>
          <w:szCs w:val="24"/>
          <w:highlight w:val="none"/>
          <w14:textFill>
            <w14:solidFill>
              <w14:schemeClr w14:val="tx1"/>
            </w14:solidFill>
          </w14:textFill>
        </w:rPr>
        <w:t>罐</w:t>
      </w:r>
      <w:r>
        <w:rPr>
          <w:rFonts w:cs="Times New Roman"/>
          <w:bCs/>
          <w:color w:val="000000" w:themeColor="text1"/>
          <w:szCs w:val="24"/>
          <w:highlight w:val="none"/>
          <w14:textFill>
            <w14:solidFill>
              <w14:schemeClr w14:val="tx1"/>
            </w14:solidFill>
          </w14:textFill>
        </w:rPr>
        <w:t>废水类比，钻井废水水质污染物浓度见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_Ref142593486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3</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88" w:name="_Ref14259348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188"/>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钻井废水综合水质污染物浓度表（单位：</w:t>
      </w:r>
      <w:r>
        <w:rPr>
          <w:color w:val="000000" w:themeColor="text1"/>
          <w:highlight w:val="none"/>
          <w14:textFill>
            <w14:solidFill>
              <w14:schemeClr w14:val="tx1"/>
            </w14:solidFill>
          </w14:textFill>
        </w:rPr>
        <w:t>mg/L，pH值无量纲）</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71"/>
        <w:gridCol w:w="1824"/>
        <w:gridCol w:w="1816"/>
        <w:gridCol w:w="2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0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污染物名称</w:t>
            </w:r>
          </w:p>
        </w:tc>
        <w:tc>
          <w:tcPr>
            <w:tcW w:w="185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w:t>
            </w:r>
          </w:p>
        </w:tc>
        <w:tc>
          <w:tcPr>
            <w:tcW w:w="184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SS</w:t>
            </w:r>
          </w:p>
        </w:tc>
        <w:tc>
          <w:tcPr>
            <w:tcW w:w="234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30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浓度</w:t>
            </w:r>
          </w:p>
        </w:tc>
        <w:tc>
          <w:tcPr>
            <w:tcW w:w="18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8.3</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12.5</w:t>
            </w:r>
          </w:p>
        </w:tc>
        <w:tc>
          <w:tcPr>
            <w:tcW w:w="184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≤7500</w:t>
            </w:r>
          </w:p>
        </w:tc>
        <w:tc>
          <w:tcPr>
            <w:tcW w:w="234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r>
    </w:tbl>
    <w:p>
      <w:pPr>
        <w:spacing w:before="120" w:beforeLines="50"/>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2</w:t>
      </w:r>
      <w:r>
        <w:rPr>
          <w:rFonts w:cs="Times New Roman"/>
          <w:bCs/>
          <w:color w:val="000000" w:themeColor="text1"/>
          <w:highlight w:val="none"/>
          <w14:textFill>
            <w14:solidFill>
              <w14:schemeClr w14:val="tx1"/>
            </w14:solidFill>
          </w14:textFill>
        </w:rPr>
        <w:t>）生活污水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钻井期间，一个钻井队的员工一般为45人，每人每天用水量为80L，排污系数为0.8，则钻井期间井场的生活用水量为3600L/d，污水产生量为2880L/d。生活污水经生态厕所收集后由密闭罐车定期拉运至周边生活污水处理厂处理，环境影响较小。本项目生活污水水质情况见</w:t>
      </w:r>
      <w:r>
        <w:rPr>
          <w:rFonts w:cs="Times New Roman"/>
          <w:bCs/>
          <w:color w:val="000000" w:themeColor="text1"/>
          <w:highlight w:val="none"/>
          <w14:textFill>
            <w14:solidFill>
              <w14:schemeClr w14:val="tx1"/>
            </w14:solidFill>
          </w14:textFill>
        </w:rPr>
        <w:fldChar w:fldCharType="begin"/>
      </w:r>
      <w:r>
        <w:rPr>
          <w:rFonts w:cs="Times New Roman"/>
          <w:bCs/>
          <w:color w:val="000000" w:themeColor="text1"/>
          <w:highlight w:val="none"/>
          <w14:textFill>
            <w14:solidFill>
              <w14:schemeClr w14:val="tx1"/>
            </w14:solidFill>
          </w14:textFill>
        </w:rPr>
        <w:instrText xml:space="preserve"> REF _Ref142593497 \h  \* MERGEFORMAT </w:instrText>
      </w:r>
      <w:r>
        <w:rPr>
          <w:rFonts w:cs="Times New Roman"/>
          <w:bCs/>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4</w:t>
      </w:r>
      <w:r>
        <w:rPr>
          <w:rFonts w:cs="Times New Roman"/>
          <w:bCs/>
          <w:color w:val="000000" w:themeColor="text1"/>
          <w:highlight w:val="none"/>
          <w14:textFill>
            <w14:solidFill>
              <w14:schemeClr w14:val="tx1"/>
            </w14:solidFill>
          </w14:textFill>
        </w:rPr>
        <w:fldChar w:fldCharType="end"/>
      </w:r>
      <w:r>
        <w:rPr>
          <w:rFonts w:cs="Times New Roman"/>
          <w:bCs/>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89" w:name="_Ref14259349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bookmarkEnd w:id="18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项目生活污水水质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768"/>
        <w:gridCol w:w="841"/>
        <w:gridCol w:w="1501"/>
        <w:gridCol w:w="1370"/>
        <w:gridCol w:w="1371"/>
        <w:gridCol w:w="1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76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主要污染物名称</w:t>
            </w:r>
          </w:p>
        </w:tc>
        <w:tc>
          <w:tcPr>
            <w:tcW w:w="84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w:t>
            </w:r>
          </w:p>
        </w:tc>
        <w:tc>
          <w:tcPr>
            <w:tcW w:w="150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悬浮物（mg/L）</w:t>
            </w:r>
          </w:p>
        </w:tc>
        <w:tc>
          <w:tcPr>
            <w:tcW w:w="137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COD</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mg/L</w:t>
            </w:r>
            <w:r>
              <w:rPr>
                <w:rFonts w:hint="eastAsia"/>
                <w:b/>
                <w:bCs/>
                <w:color w:val="000000" w:themeColor="text1"/>
                <w:highlight w:val="none"/>
                <w14:textFill>
                  <w14:solidFill>
                    <w14:schemeClr w14:val="tx1"/>
                  </w14:solidFill>
                </w14:textFill>
              </w:rPr>
              <w:t>)</w:t>
            </w:r>
          </w:p>
        </w:tc>
        <w:tc>
          <w:tcPr>
            <w:tcW w:w="137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BOD</w:t>
            </w:r>
            <w:r>
              <w:rPr>
                <w:b/>
                <w:bCs/>
                <w:color w:val="000000" w:themeColor="text1"/>
                <w:highlight w:val="none"/>
                <w:vertAlign w:val="subscript"/>
                <w14:textFill>
                  <w14:solidFill>
                    <w14:schemeClr w14:val="tx1"/>
                  </w14:solidFill>
                </w14:textFill>
              </w:rPr>
              <w:t>5</w:t>
            </w:r>
            <w:r>
              <w:rPr>
                <w:rFonts w:hint="eastAsia"/>
                <w:b/>
                <w:bCs/>
                <w:color w:val="000000" w:themeColor="text1"/>
                <w:highlight w:val="none"/>
                <w:vertAlign w:val="subscript"/>
                <w14:textFill>
                  <w14:solidFill>
                    <w14:schemeClr w14:val="tx1"/>
                  </w14:solidFill>
                </w14:textFill>
              </w:rPr>
              <w:t>(</w:t>
            </w:r>
            <w:r>
              <w:rPr>
                <w:b/>
                <w:bCs/>
                <w:color w:val="000000" w:themeColor="text1"/>
                <w:highlight w:val="none"/>
                <w14:textFill>
                  <w14:solidFill>
                    <w14:schemeClr w14:val="tx1"/>
                  </w14:solidFill>
                </w14:textFill>
              </w:rPr>
              <w:t>mg/L</w:t>
            </w:r>
            <w:r>
              <w:rPr>
                <w:rFonts w:hint="eastAsia"/>
                <w:b/>
                <w:bCs/>
                <w:color w:val="000000" w:themeColor="text1"/>
                <w:highlight w:val="none"/>
                <w14:textFill>
                  <w14:solidFill>
                    <w14:schemeClr w14:val="tx1"/>
                  </w14:solidFill>
                </w14:textFill>
              </w:rPr>
              <w:t>)</w:t>
            </w:r>
          </w:p>
        </w:tc>
        <w:tc>
          <w:tcPr>
            <w:tcW w:w="137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氨氮（mg/L）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76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水质情况</w:t>
            </w:r>
          </w:p>
        </w:tc>
        <w:tc>
          <w:tcPr>
            <w:tcW w:w="84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7.0-9.0</w:t>
            </w:r>
          </w:p>
        </w:tc>
        <w:tc>
          <w:tcPr>
            <w:tcW w:w="15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250-300</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350-400</w:t>
            </w: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200-250</w:t>
            </w: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30-40</w:t>
            </w:r>
          </w:p>
        </w:tc>
      </w:tr>
    </w:tbl>
    <w:p>
      <w:pPr>
        <w:spacing w:before="120" w:beforeLines="50"/>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3</w:t>
      </w:r>
      <w:r>
        <w:rPr>
          <w:rFonts w:cs="Times New Roman"/>
          <w:color w:val="000000" w:themeColor="text1"/>
          <w:highlight w:val="none"/>
          <w14:textFill>
            <w14:solidFill>
              <w14:schemeClr w14:val="tx1"/>
            </w14:solidFill>
          </w14:textFill>
        </w:rPr>
        <w:t>）初期雨水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其中钻井期间污水</w:t>
      </w:r>
      <w:r>
        <w:rPr>
          <w:rFonts w:hint="eastAsia" w:cs="Times New Roman"/>
          <w:color w:val="000000" w:themeColor="text1"/>
          <w:highlight w:val="none"/>
          <w14:textFill>
            <w14:solidFill>
              <w14:schemeClr w14:val="tx1"/>
            </w14:solidFill>
          </w14:textFill>
        </w:rPr>
        <w:t>罐</w:t>
      </w:r>
      <w:r>
        <w:rPr>
          <w:rFonts w:cs="Times New Roman"/>
          <w:color w:val="000000" w:themeColor="text1"/>
          <w:highlight w:val="none"/>
          <w14:textFill>
            <w14:solidFill>
              <w14:schemeClr w14:val="tx1"/>
            </w14:solidFill>
          </w14:textFill>
        </w:rPr>
        <w:t>收集的初期雨水，与钻井废水一同</w:t>
      </w:r>
      <w:r>
        <w:rPr>
          <w:rFonts w:hint="eastAsia" w:cs="Times New Roman"/>
          <w:color w:val="000000" w:themeColor="text1"/>
          <w:highlight w:val="none"/>
          <w14:textFill>
            <w14:solidFill>
              <w14:schemeClr w14:val="tx1"/>
            </w14:solidFill>
          </w14:textFill>
        </w:rPr>
        <w:t>进入泥浆不落地处理装置处理后</w:t>
      </w:r>
      <w:r>
        <w:rPr>
          <w:rFonts w:cs="Times New Roman"/>
          <w:color w:val="000000" w:themeColor="text1"/>
          <w:highlight w:val="none"/>
          <w14:textFill>
            <w14:solidFill>
              <w14:schemeClr w14:val="tx1"/>
            </w14:solidFill>
          </w14:textFill>
        </w:rPr>
        <w:t>由罐车拉运至</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highlight w:val="none"/>
          <w14:textFill>
            <w14:solidFill>
              <w14:schemeClr w14:val="tx1"/>
            </w14:solidFill>
          </w14:textFill>
        </w:rPr>
        <w:t>管输至</w:t>
      </w:r>
      <w:r>
        <w:rPr>
          <w:rFonts w:hint="eastAsia" w:cs="Times New Roman"/>
          <w:color w:val="000000" w:themeColor="text1"/>
          <w:highlight w:val="none"/>
          <w14:textFill>
            <w14:solidFill>
              <w14:schemeClr w14:val="tx1"/>
            </w14:solidFill>
          </w14:textFill>
        </w:rPr>
        <w:t>普光3井回注站</w:t>
      </w:r>
      <w:r>
        <w:rPr>
          <w:rFonts w:cs="Times New Roman"/>
          <w:color w:val="000000" w:themeColor="text1"/>
          <w:highlight w:val="none"/>
          <w14:textFill>
            <w14:solidFill>
              <w14:schemeClr w14:val="tx1"/>
            </w14:solidFill>
          </w14:textFill>
        </w:rPr>
        <w:t>回注，不外排。</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井场内四周设排水边沟，井场雨水随四周排水边沟汇至排放口，排放口设监控池，初期雨水收集进入污水</w:t>
      </w:r>
      <w:r>
        <w:rPr>
          <w:rFonts w:hint="eastAsia" w:cs="Times New Roman"/>
          <w:color w:val="000000" w:themeColor="text1"/>
          <w:highlight w:val="none"/>
          <w14:textFill>
            <w14:solidFill>
              <w14:schemeClr w14:val="tx1"/>
            </w14:solidFill>
          </w14:textFill>
        </w:rPr>
        <w:t>罐</w:t>
      </w:r>
      <w:r>
        <w:rPr>
          <w:rFonts w:cs="Times New Roman"/>
          <w:color w:val="000000" w:themeColor="text1"/>
          <w:highlight w:val="none"/>
          <w14:textFill>
            <w14:solidFill>
              <w14:schemeClr w14:val="tx1"/>
            </w14:solidFill>
          </w14:textFill>
        </w:rPr>
        <w:t>处理。污水罐收集的初期雨水同钻井废水一同由罐车拉运至</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highlight w:val="none"/>
          <w14:textFill>
            <w14:solidFill>
              <w14:schemeClr w14:val="tx1"/>
            </w14:solidFill>
          </w14:textFill>
        </w:rPr>
        <w:t>管输至</w:t>
      </w:r>
      <w:r>
        <w:rPr>
          <w:rFonts w:hint="eastAsia" w:cs="Times New Roman"/>
          <w:color w:val="000000" w:themeColor="text1"/>
          <w:highlight w:val="none"/>
          <w14:textFill>
            <w14:solidFill>
              <w14:schemeClr w14:val="tx1"/>
            </w14:solidFill>
          </w14:textFill>
        </w:rPr>
        <w:t>普光3井回注站</w:t>
      </w:r>
      <w:r>
        <w:rPr>
          <w:rFonts w:cs="Times New Roman"/>
          <w:color w:val="000000" w:themeColor="text1"/>
          <w:highlight w:val="none"/>
          <w14:textFill>
            <w14:solidFill>
              <w14:schemeClr w14:val="tx1"/>
            </w14:solidFill>
          </w14:textFill>
        </w:rPr>
        <w:t>回注，不外排。</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初期雨水量按照如下</w:t>
      </w:r>
      <w:r>
        <w:rPr>
          <w:rFonts w:hint="eastAsia" w:cs="Times New Roman"/>
          <w:color w:val="000000" w:themeColor="text1"/>
          <w:highlight w:val="none"/>
          <w14:textFill>
            <w14:solidFill>
              <w14:schemeClr w14:val="tx1"/>
            </w14:solidFill>
          </w14:textFill>
        </w:rPr>
        <w:t>公式</w:t>
      </w:r>
      <w:r>
        <w:rPr>
          <w:rFonts w:cs="Times New Roman"/>
          <w:color w:val="000000" w:themeColor="text1"/>
          <w:highlight w:val="none"/>
          <w14:textFill>
            <w14:solidFill>
              <w14:schemeClr w14:val="tx1"/>
            </w14:solidFill>
          </w14:textFill>
        </w:rPr>
        <w:t>计算：</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V=q×ψ×F×t×60÷1000</w:t>
      </w:r>
    </w:p>
    <w:p>
      <w:pPr>
        <w:ind w:firstLine="424" w:firstLineChars="177"/>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式中：</w:t>
      </w:r>
    </w:p>
    <w:p>
      <w:pPr>
        <w:ind w:left="566" w:leftChars="236" w:firstLine="422" w:firstLineChars="176"/>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V-初期雨水最大量，m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w:t>
      </w:r>
    </w:p>
    <w:p>
      <w:pPr>
        <w:ind w:left="566" w:leftChars="236" w:firstLine="422" w:firstLineChars="176"/>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t-降雨历时，min；</w:t>
      </w:r>
    </w:p>
    <w:p>
      <w:pPr>
        <w:ind w:left="566" w:leftChars="236" w:firstLine="422" w:firstLineChars="176"/>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ψ-径流系数，取0.85；</w:t>
      </w:r>
    </w:p>
    <w:p>
      <w:pPr>
        <w:ind w:left="566" w:leftChars="236" w:firstLine="422" w:firstLineChars="176"/>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F-汇水面积，hm</w:t>
      </w:r>
      <w:r>
        <w:rPr>
          <w:rFonts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，本次计算整个施工井场内部占地面积，按</w:t>
      </w:r>
      <w:r>
        <w:rPr>
          <w:rFonts w:hint="eastAsia" w:cs="Times New Roman"/>
          <w:color w:val="000000" w:themeColor="text1"/>
          <w:highlight w:val="none"/>
          <w14:textFill>
            <w14:solidFill>
              <w14:schemeClr w14:val="tx1"/>
            </w14:solidFill>
          </w14:textFill>
        </w:rPr>
        <w:t>57</w:t>
      </w:r>
      <w:r>
        <w:rPr>
          <w:rFonts w:cs="Times New Roman"/>
          <w:color w:val="000000" w:themeColor="text1"/>
          <w:highlight w:val="none"/>
          <w14:textFill>
            <w14:solidFill>
              <w14:schemeClr w14:val="tx1"/>
            </w14:solidFill>
          </w14:textFill>
        </w:rPr>
        <w:t>00m</w:t>
      </w:r>
      <w:r>
        <w:rPr>
          <w:rFonts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计，即0.</w:t>
      </w:r>
      <w:r>
        <w:rPr>
          <w:rFonts w:hint="eastAsia" w:cs="Times New Roman"/>
          <w:color w:val="000000" w:themeColor="text1"/>
          <w:highlight w:val="none"/>
          <w14:textFill>
            <w14:solidFill>
              <w14:schemeClr w14:val="tx1"/>
            </w14:solidFill>
          </w14:textFill>
        </w:rPr>
        <w:t>57</w:t>
      </w:r>
      <w:r>
        <w:rPr>
          <w:rFonts w:cs="Times New Roman"/>
          <w:color w:val="000000" w:themeColor="text1"/>
          <w:highlight w:val="none"/>
          <w14:textFill>
            <w14:solidFill>
              <w14:schemeClr w14:val="tx1"/>
            </w14:solidFill>
          </w14:textFill>
        </w:rPr>
        <w:t>hm</w:t>
      </w:r>
      <w:r>
        <w:rPr>
          <w:rFonts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w:t>
      </w:r>
    </w:p>
    <w:p>
      <w:pPr>
        <w:ind w:left="566" w:leftChars="236" w:firstLine="422" w:firstLineChars="176"/>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q-设计暴雨强度，L/（s·hm</w:t>
      </w:r>
      <w:r>
        <w:rPr>
          <w:rFonts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w:t>
      </w:r>
    </w:p>
    <w:p>
      <w:pPr>
        <w:ind w:firstLine="424" w:firstLineChars="177"/>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设计暴雨强度公式如下：</w:t>
      </w:r>
    </w:p>
    <w:p>
      <w:pPr>
        <w:ind w:firstLine="424" w:firstLineChars="177"/>
        <w:rPr>
          <w:rFonts w:cs="Times New Roman"/>
          <w:color w:val="000000" w:themeColor="text1"/>
          <w:highlight w:val="none"/>
          <w14:textFill>
            <w14:solidFill>
              <w14:schemeClr w14:val="tx1"/>
            </w14:solidFill>
          </w14:textFill>
        </w:rPr>
      </w:pPr>
      <m:oMathPara>
        <m:oMath>
          <m:r>
            <m:rPr/>
            <w:rPr>
              <w:rFonts w:ascii="Cambria Math" w:hAnsi="Cambria Math" w:cs="Times New Roman"/>
              <w:color w:val="000000" w:themeColor="text1"/>
              <w:highlight w:val="none"/>
              <w14:textFill>
                <w14:solidFill>
                  <w14:schemeClr w14:val="tx1"/>
                </w14:solidFill>
              </w14:textFill>
            </w:rPr>
            <m:t>q=</m:t>
          </m:r>
        </m:oMath>
      </m:oMathPara>
    </w:p>
    <w:p>
      <w:pPr>
        <w:ind w:firstLine="424" w:firstLineChars="177"/>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式中：</w:t>
      </w:r>
    </w:p>
    <w:p>
      <w:pPr>
        <w:ind w:firstLine="1132" w:firstLineChars="472"/>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q-设计暴雨强度，L/（s·hm</w:t>
      </w:r>
      <w:r>
        <w:rPr>
          <w:rFonts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w:t>
      </w:r>
    </w:p>
    <w:p>
      <w:pPr>
        <w:ind w:firstLine="1132" w:firstLineChars="472"/>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p-设计暴雨重现期（年）：本次取值为2年；</w:t>
      </w:r>
    </w:p>
    <w:p>
      <w:pPr>
        <w:ind w:firstLine="1132" w:firstLineChars="472"/>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t-降雨历时（min）：取15min。</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经计算，本项目15min初期雨水产生量约为</w:t>
      </w:r>
      <w:r>
        <w:rPr>
          <w:rFonts w:hint="eastAsia" w:cs="Times New Roman"/>
          <w:color w:val="000000" w:themeColor="text1"/>
          <w:highlight w:val="none"/>
          <w14:textFill>
            <w14:solidFill>
              <w14:schemeClr w14:val="tx1"/>
            </w14:solidFill>
          </w14:textFill>
        </w:rPr>
        <w:t>208.4</w:t>
      </w:r>
      <w:r>
        <w:rPr>
          <w:rFonts w:cs="Times New Roman"/>
          <w:color w:val="000000" w:themeColor="text1"/>
          <w:highlight w:val="none"/>
          <w14:textFill>
            <w14:solidFill>
              <w14:schemeClr w14:val="tx1"/>
            </w14:solidFill>
          </w14:textFill>
        </w:rPr>
        <w:t>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/次。</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井场实行雨污分流，井场外四周设排水边沟，井外雨水不得进入井场，井场内四周设内排水边，井场雨水随内排水沟汇至排放口，排放口设监控池，初期雨水收集后同钻井废水一同拉运至</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highlight w:val="none"/>
          <w14:textFill>
            <w14:solidFill>
              <w14:schemeClr w14:val="tx1"/>
            </w14:solidFill>
          </w14:textFill>
        </w:rPr>
        <w:t>管输至</w:t>
      </w:r>
      <w:r>
        <w:rPr>
          <w:rFonts w:hint="eastAsia" w:cs="Times New Roman"/>
          <w:color w:val="000000" w:themeColor="text1"/>
          <w:highlight w:val="none"/>
          <w14:textFill>
            <w14:solidFill>
              <w14:schemeClr w14:val="tx1"/>
            </w14:solidFill>
          </w14:textFill>
        </w:rPr>
        <w:t>普光3井回注站</w:t>
      </w:r>
      <w:r>
        <w:rPr>
          <w:rFonts w:cs="Times New Roman"/>
          <w:color w:val="000000" w:themeColor="text1"/>
          <w:highlight w:val="none"/>
          <w14:textFill>
            <w14:solidFill>
              <w14:schemeClr w14:val="tx1"/>
            </w14:solidFill>
          </w14:textFill>
        </w:rPr>
        <w:t>回注，不外排，后期雨水水质清洁后可直接外排。</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（3）噪声</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本项目井场噪声分布区域主要分为动力及钻台区、泥浆泵区和泥浆不落地区等，其主要噪声设备有：</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机械噪声组：包括柴油机组、发电机组、钻机、泥浆泵以及其他种机械转动所产生的噪声；</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作业噪声：包括固井作业、下套管、起下钻具、钻机气路控制系统操作时快速放气阀放气、跳钻时吊环与水龙头的撞击等所产生的噪声；</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优先使用网电，备用柴油发电机仅在供电不正常时使用，使用时间短，为偶尔间断使用，但其噪声源强大。因此对声环境影响大的主要为钻井过程中使用备用的柴油动力机、柴油发电机间断运行噪声，以及24小时钻井时钻机等设备的运行产生较大的连续性噪声，本项目钻井采用ZJ70型钻机，根据类比调查，钻井工程主要噪声源设备噪声值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_Ref142593506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6</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90" w:name="_Ref14259350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bookmarkEnd w:id="19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项目钻井工程主要噪声源设备噪声值表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84"/>
        <w:gridCol w:w="1028"/>
        <w:gridCol w:w="878"/>
        <w:gridCol w:w="1107"/>
        <w:gridCol w:w="1134"/>
        <w:gridCol w:w="845"/>
        <w:gridCol w:w="856"/>
        <w:gridCol w:w="993"/>
        <w:gridCol w:w="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4" w:type="dxa"/>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阶</w:t>
            </w:r>
            <w:r>
              <w:rPr>
                <w:rFonts w:cs="Times New Roman"/>
                <w:color w:val="000000" w:themeColor="text1"/>
                <w:kern w:val="0"/>
                <w:sz w:val="21"/>
                <w:szCs w:val="21"/>
                <w:highlight w:val="none"/>
                <w14:textFill>
                  <w14:solidFill>
                    <w14:schemeClr w14:val="tx1"/>
                  </w14:solidFill>
                </w14:textFill>
              </w:rPr>
              <w:t>时段</w:t>
            </w:r>
          </w:p>
        </w:tc>
        <w:tc>
          <w:tcPr>
            <w:tcW w:w="102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噪声设备</w:t>
            </w:r>
          </w:p>
        </w:tc>
        <w:tc>
          <w:tcPr>
            <w:tcW w:w="87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数量</w:t>
            </w:r>
          </w:p>
        </w:tc>
        <w:tc>
          <w:tcPr>
            <w:tcW w:w="1107"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单台源强dB（A）（1m处）</w:t>
            </w:r>
          </w:p>
        </w:tc>
        <w:tc>
          <w:tcPr>
            <w:tcW w:w="1134"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采取的降噪措施</w:t>
            </w:r>
          </w:p>
        </w:tc>
        <w:tc>
          <w:tcPr>
            <w:tcW w:w="845"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降噪后源强</w:t>
            </w:r>
          </w:p>
        </w:tc>
        <w:tc>
          <w:tcPr>
            <w:tcW w:w="856"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噪声特征</w:t>
            </w:r>
          </w:p>
        </w:tc>
        <w:tc>
          <w:tcPr>
            <w:tcW w:w="993"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排放时间</w:t>
            </w:r>
          </w:p>
        </w:tc>
        <w:tc>
          <w:tcPr>
            <w:tcW w:w="99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声源种类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4" w:type="dxa"/>
            <w:vMerge w:val="restart"/>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网</w:t>
            </w:r>
            <w:r>
              <w:rPr>
                <w:rFonts w:hint="eastAsia" w:cs="Times New Roman"/>
                <w:color w:val="000000" w:themeColor="text1"/>
                <w:kern w:val="0"/>
                <w:sz w:val="21"/>
                <w:szCs w:val="21"/>
                <w:highlight w:val="none"/>
                <w14:textFill>
                  <w14:solidFill>
                    <w14:schemeClr w14:val="tx1"/>
                  </w14:solidFill>
                </w14:textFill>
              </w:rPr>
              <w:t>网</w:t>
            </w:r>
            <w:r>
              <w:rPr>
                <w:rFonts w:cs="Times New Roman"/>
                <w:color w:val="000000" w:themeColor="text1"/>
                <w:kern w:val="0"/>
                <w:sz w:val="21"/>
                <w:szCs w:val="21"/>
                <w:highlight w:val="none"/>
                <w:lang w:eastAsia="en-US"/>
                <w14:textFill>
                  <w14:solidFill>
                    <w14:schemeClr w14:val="tx1"/>
                  </w14:solidFill>
                </w14:textFill>
              </w:rPr>
              <w:t>电工况</w:t>
            </w:r>
          </w:p>
        </w:tc>
        <w:tc>
          <w:tcPr>
            <w:tcW w:w="102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钻井设备</w:t>
            </w:r>
          </w:p>
        </w:tc>
        <w:tc>
          <w:tcPr>
            <w:tcW w:w="87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1套</w:t>
            </w:r>
          </w:p>
        </w:tc>
        <w:tc>
          <w:tcPr>
            <w:tcW w:w="110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95</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103</w:t>
            </w:r>
          </w:p>
        </w:tc>
        <w:tc>
          <w:tcPr>
            <w:tcW w:w="1134" w:type="dxa"/>
            <w:vMerge w:val="restart"/>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置于钻井井场内，基础安装减振垫层</w:t>
            </w:r>
            <w:r>
              <w:rPr>
                <w:rFonts w:hint="eastAsia" w:cs="Times New Roman"/>
                <w:color w:val="000000" w:themeColor="text1"/>
                <w:kern w:val="0"/>
                <w:sz w:val="21"/>
                <w:szCs w:val="21"/>
                <w:highlight w:val="none"/>
                <w14:textFill>
                  <w14:solidFill>
                    <w14:schemeClr w14:val="tx1"/>
                  </w14:solidFill>
                </w14:textFill>
              </w:rPr>
              <w:t>，泥浆泵安装消声器</w:t>
            </w:r>
          </w:p>
        </w:tc>
        <w:tc>
          <w:tcPr>
            <w:tcW w:w="845"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93</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98</w:t>
            </w:r>
          </w:p>
        </w:tc>
        <w:tc>
          <w:tcPr>
            <w:tcW w:w="856"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机械</w:t>
            </w:r>
          </w:p>
        </w:tc>
        <w:tc>
          <w:tcPr>
            <w:tcW w:w="993"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昼夜连续</w:t>
            </w:r>
          </w:p>
        </w:tc>
        <w:tc>
          <w:tcPr>
            <w:tcW w:w="99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4" w:type="dxa"/>
            <w:vMerge w:val="continue"/>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02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泥浆泵</w:t>
            </w:r>
          </w:p>
        </w:tc>
        <w:tc>
          <w:tcPr>
            <w:tcW w:w="87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2台</w:t>
            </w:r>
          </w:p>
        </w:tc>
        <w:tc>
          <w:tcPr>
            <w:tcW w:w="110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85</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90</w:t>
            </w:r>
          </w:p>
        </w:tc>
        <w:tc>
          <w:tcPr>
            <w:tcW w:w="1134" w:type="dxa"/>
            <w:vMerge w:val="continue"/>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845"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80</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85</w:t>
            </w:r>
          </w:p>
        </w:tc>
        <w:tc>
          <w:tcPr>
            <w:tcW w:w="856"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机械</w:t>
            </w:r>
          </w:p>
        </w:tc>
        <w:tc>
          <w:tcPr>
            <w:tcW w:w="993"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昼夜连续</w:t>
            </w:r>
          </w:p>
        </w:tc>
        <w:tc>
          <w:tcPr>
            <w:tcW w:w="99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4" w:type="dxa"/>
            <w:vMerge w:val="continue"/>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02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振动筛</w:t>
            </w:r>
          </w:p>
        </w:tc>
        <w:tc>
          <w:tcPr>
            <w:tcW w:w="87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2台</w:t>
            </w:r>
          </w:p>
        </w:tc>
        <w:tc>
          <w:tcPr>
            <w:tcW w:w="110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75</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85</w:t>
            </w:r>
          </w:p>
        </w:tc>
        <w:tc>
          <w:tcPr>
            <w:tcW w:w="1134" w:type="dxa"/>
            <w:vMerge w:val="continue"/>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845"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80</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85</w:t>
            </w:r>
          </w:p>
        </w:tc>
        <w:tc>
          <w:tcPr>
            <w:tcW w:w="856"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机械</w:t>
            </w:r>
          </w:p>
        </w:tc>
        <w:tc>
          <w:tcPr>
            <w:tcW w:w="993"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昼夜连续</w:t>
            </w:r>
          </w:p>
        </w:tc>
        <w:tc>
          <w:tcPr>
            <w:tcW w:w="99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4" w:type="dxa"/>
            <w:vMerge w:val="continue"/>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02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泥浆不落地装置</w:t>
            </w:r>
          </w:p>
        </w:tc>
        <w:tc>
          <w:tcPr>
            <w:tcW w:w="87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1套</w:t>
            </w:r>
          </w:p>
        </w:tc>
        <w:tc>
          <w:tcPr>
            <w:tcW w:w="110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85~90</w:t>
            </w:r>
          </w:p>
        </w:tc>
        <w:tc>
          <w:tcPr>
            <w:tcW w:w="1134" w:type="dxa"/>
            <w:vMerge w:val="continue"/>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845"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80</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85</w:t>
            </w:r>
          </w:p>
        </w:tc>
        <w:tc>
          <w:tcPr>
            <w:tcW w:w="856"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机械</w:t>
            </w:r>
          </w:p>
        </w:tc>
        <w:tc>
          <w:tcPr>
            <w:tcW w:w="993"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昼夜间断</w:t>
            </w:r>
          </w:p>
        </w:tc>
        <w:tc>
          <w:tcPr>
            <w:tcW w:w="99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4" w:type="dxa"/>
            <w:vMerge w:val="restart"/>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r>
              <w:rPr>
                <w:rFonts w:hint="eastAsia" w:cs="Times New Roman"/>
                <w:color w:val="000000" w:themeColor="text1"/>
                <w:kern w:val="0"/>
                <w:sz w:val="21"/>
                <w:szCs w:val="21"/>
                <w:highlight w:val="none"/>
                <w14:textFill>
                  <w14:solidFill>
                    <w14:schemeClr w14:val="tx1"/>
                  </w14:solidFill>
                </w14:textFill>
              </w:rPr>
              <w:t>柴油</w:t>
            </w:r>
            <w:r>
              <w:rPr>
                <w:rFonts w:cs="Times New Roman"/>
                <w:color w:val="000000" w:themeColor="text1"/>
                <w:kern w:val="0"/>
                <w:sz w:val="21"/>
                <w:szCs w:val="21"/>
                <w:highlight w:val="none"/>
                <w14:textFill>
                  <w14:solidFill>
                    <w14:schemeClr w14:val="tx1"/>
                  </w14:solidFill>
                </w14:textFill>
              </w:rPr>
              <w:t>机</w:t>
            </w:r>
            <w:r>
              <w:rPr>
                <w:rFonts w:cs="Times New Roman"/>
                <w:color w:val="000000" w:themeColor="text1"/>
                <w:kern w:val="0"/>
                <w:sz w:val="21"/>
                <w:szCs w:val="21"/>
                <w:highlight w:val="none"/>
                <w:lang w:eastAsia="en-US"/>
                <w14:textFill>
                  <w14:solidFill>
                    <w14:schemeClr w14:val="tx1"/>
                  </w14:solidFill>
                </w14:textFill>
              </w:rPr>
              <w:t>工况</w:t>
            </w:r>
          </w:p>
        </w:tc>
        <w:tc>
          <w:tcPr>
            <w:tcW w:w="102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柴油动力机</w:t>
            </w:r>
          </w:p>
        </w:tc>
        <w:tc>
          <w:tcPr>
            <w:tcW w:w="878" w:type="dxa"/>
            <w:vAlign w:val="center"/>
          </w:tcPr>
          <w:p>
            <w:pPr>
              <w:widowControl/>
              <w:spacing w:line="240" w:lineRule="auto"/>
              <w:ind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2台</w:t>
            </w:r>
          </w:p>
        </w:tc>
        <w:tc>
          <w:tcPr>
            <w:tcW w:w="110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95</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100</w:t>
            </w:r>
          </w:p>
        </w:tc>
        <w:tc>
          <w:tcPr>
            <w:tcW w:w="1134"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排气筒上自带高质量消声器的柴油机</w:t>
            </w:r>
          </w:p>
        </w:tc>
        <w:tc>
          <w:tcPr>
            <w:tcW w:w="845"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90</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95</w:t>
            </w:r>
          </w:p>
        </w:tc>
        <w:tc>
          <w:tcPr>
            <w:tcW w:w="856"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机械</w:t>
            </w:r>
          </w:p>
        </w:tc>
        <w:tc>
          <w:tcPr>
            <w:tcW w:w="993"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间断</w:t>
            </w:r>
          </w:p>
        </w:tc>
        <w:tc>
          <w:tcPr>
            <w:tcW w:w="99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84" w:type="dxa"/>
            <w:vMerge w:val="continue"/>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102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柴油发电机</w:t>
            </w:r>
          </w:p>
        </w:tc>
        <w:tc>
          <w:tcPr>
            <w:tcW w:w="878"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1台</w:t>
            </w:r>
          </w:p>
        </w:tc>
        <w:tc>
          <w:tcPr>
            <w:tcW w:w="110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90</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95</w:t>
            </w:r>
          </w:p>
        </w:tc>
        <w:tc>
          <w:tcPr>
            <w:tcW w:w="1134" w:type="dxa"/>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活动板房隔声，安装减振垫层和阻尼涂料</w:t>
            </w:r>
          </w:p>
        </w:tc>
        <w:tc>
          <w:tcPr>
            <w:tcW w:w="845"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85</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90</w:t>
            </w:r>
          </w:p>
        </w:tc>
        <w:tc>
          <w:tcPr>
            <w:tcW w:w="856"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机械</w:t>
            </w:r>
          </w:p>
        </w:tc>
        <w:tc>
          <w:tcPr>
            <w:tcW w:w="993"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间断</w:t>
            </w:r>
          </w:p>
        </w:tc>
        <w:tc>
          <w:tcPr>
            <w:tcW w:w="997" w:type="dxa"/>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固定声源</w:t>
            </w:r>
          </w:p>
        </w:tc>
      </w:tr>
    </w:tbl>
    <w:p>
      <w:pPr>
        <w:spacing w:before="120" w:beforeLines="50"/>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（4）固废</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1）清水钻</w:t>
      </w:r>
      <w:r>
        <w:rPr>
          <w:rFonts w:hint="eastAsia" w:cs="Times New Roman"/>
          <w:b/>
          <w:bCs/>
          <w:color w:val="000000" w:themeColor="text1"/>
          <w:highlight w:val="none"/>
          <w14:textFill>
            <w14:solidFill>
              <w14:schemeClr w14:val="tx1"/>
            </w14:solidFill>
          </w14:textFill>
        </w:rPr>
        <w:t>井阶段</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项目导管段使用清水</w:t>
      </w:r>
      <w:r>
        <w:rPr>
          <w:rFonts w:hint="eastAsia" w:cs="Times New Roman"/>
          <w:color w:val="000000" w:themeColor="text1"/>
          <w:highlight w:val="none"/>
          <w14:textFill>
            <w14:solidFill>
              <w14:schemeClr w14:val="tx1"/>
            </w14:solidFill>
          </w14:textFill>
        </w:rPr>
        <w:t>（高坂含钻井液）</w:t>
      </w:r>
      <w:r>
        <w:rPr>
          <w:rFonts w:cs="Times New Roman"/>
          <w:color w:val="000000" w:themeColor="text1"/>
          <w:highlight w:val="none"/>
          <w14:textFill>
            <w14:solidFill>
              <w14:schemeClr w14:val="tx1"/>
            </w14:solidFill>
          </w14:textFill>
        </w:rPr>
        <w:t>钻</w:t>
      </w:r>
      <w:r>
        <w:rPr>
          <w:rFonts w:hint="eastAsia" w:cs="Times New Roman"/>
          <w:color w:val="000000" w:themeColor="text1"/>
          <w:highlight w:val="none"/>
          <w14:textFill>
            <w14:solidFill>
              <w14:schemeClr w14:val="tx1"/>
            </w14:solidFill>
          </w14:textFill>
        </w:rPr>
        <w:t>井</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无废弃钻井泥浆产生，清水钻阶段主要产生</w:t>
      </w:r>
      <w:r>
        <w:rPr>
          <w:rFonts w:cs="Times New Roman"/>
          <w:color w:val="000000" w:themeColor="text1"/>
          <w:highlight w:val="none"/>
          <w14:textFill>
            <w14:solidFill>
              <w14:schemeClr w14:val="tx1"/>
            </w14:solidFill>
          </w14:textFill>
        </w:rPr>
        <w:t>清水钻岩屑产生量约</w:t>
      </w:r>
      <w:r>
        <w:rPr>
          <w:rFonts w:hint="eastAsia" w:cs="Times New Roman"/>
          <w:color w:val="000000" w:themeColor="text1"/>
          <w:highlight w:val="none"/>
          <w14:textFill>
            <w14:solidFill>
              <w14:schemeClr w14:val="tx1"/>
            </w14:solidFill>
          </w14:textFill>
        </w:rPr>
        <w:t>85.59m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完井后及时就近交给依法取得生态环境部门关于利用和处置相关工业固体废物项目环评批复、具有处理处置相应固体废物能力并配套建设有废气、废水、固废等污染物治理设施的单位进行资源化利用</w:t>
      </w:r>
      <w:r>
        <w:rPr>
          <w:rFonts w:cs="Times New Roman"/>
          <w:color w:val="000000" w:themeColor="text1"/>
          <w:highlight w:val="none"/>
          <w14:textFill>
            <w14:solidFill>
              <w14:schemeClr w14:val="tx1"/>
            </w14:solidFill>
          </w14:textFill>
        </w:rPr>
        <w:t>。</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2）水基钻井</w:t>
      </w:r>
      <w:r>
        <w:rPr>
          <w:rFonts w:hint="eastAsia" w:cs="Times New Roman"/>
          <w:b/>
          <w:bCs/>
          <w:color w:val="000000" w:themeColor="text1"/>
          <w:highlight w:val="none"/>
          <w14:textFill>
            <w14:solidFill>
              <w14:schemeClr w14:val="tx1"/>
            </w14:solidFill>
          </w14:textFill>
        </w:rPr>
        <w:t>阶段</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根据钻井液体系方案，</w:t>
      </w:r>
      <w:r>
        <w:rPr>
          <w:rFonts w:cs="Times New Roman"/>
          <w:color w:val="000000" w:themeColor="text1"/>
          <w:szCs w:val="24"/>
          <w:highlight w:val="none"/>
          <w14:textFill>
            <w14:solidFill>
              <w14:schemeClr w14:val="tx1"/>
            </w14:solidFill>
          </w14:textFill>
        </w:rPr>
        <w:t>本项目</w:t>
      </w:r>
      <w:r>
        <w:rPr>
          <w:rFonts w:hint="eastAsia" w:cs="Times New Roman"/>
          <w:color w:val="000000" w:themeColor="text1"/>
          <w:szCs w:val="24"/>
          <w:highlight w:val="none"/>
          <w14:textFill>
            <w14:solidFill>
              <w14:schemeClr w14:val="tx1"/>
            </w14:solidFill>
          </w14:textFill>
        </w:rPr>
        <w:t>一开、二开、三开均采用</w:t>
      </w:r>
      <w:r>
        <w:rPr>
          <w:rFonts w:cs="Times New Roman"/>
          <w:color w:val="000000" w:themeColor="text1"/>
          <w:szCs w:val="24"/>
          <w:highlight w:val="none"/>
          <w14:textFill>
            <w14:solidFill>
              <w14:schemeClr w14:val="tx1"/>
            </w14:solidFill>
          </w14:textFill>
        </w:rPr>
        <w:t>水基钻井液</w:t>
      </w:r>
      <w:r>
        <w:rPr>
          <w:rFonts w:hint="eastAsia" w:cs="Times New Roman"/>
          <w:color w:val="000000" w:themeColor="text1"/>
          <w:szCs w:val="24"/>
          <w:highlight w:val="none"/>
          <w14:textFill>
            <w14:solidFill>
              <w14:schemeClr w14:val="tx1"/>
            </w14:solidFill>
          </w14:textFill>
        </w:rPr>
        <w:t>，仅</w:t>
      </w:r>
      <w:r>
        <w:rPr>
          <w:rFonts w:cs="Times New Roman"/>
          <w:color w:val="000000" w:themeColor="text1"/>
          <w:szCs w:val="24"/>
          <w:highlight w:val="none"/>
          <w14:textFill>
            <w14:solidFill>
              <w14:schemeClr w14:val="tx1"/>
            </w14:solidFill>
          </w14:textFill>
        </w:rPr>
        <w:t>三开段</w:t>
      </w:r>
      <w:r>
        <w:rPr>
          <w:rFonts w:hint="eastAsia" w:cs="Times New Roman"/>
          <w:color w:val="000000" w:themeColor="text1"/>
          <w:szCs w:val="24"/>
          <w:highlight w:val="none"/>
          <w14:textFill>
            <w14:solidFill>
              <w14:schemeClr w14:val="tx1"/>
            </w14:solidFill>
          </w14:textFill>
        </w:rPr>
        <w:t>若钻遇特殊地层，则采用</w:t>
      </w:r>
      <w:r>
        <w:rPr>
          <w:rFonts w:cs="Times New Roman"/>
          <w:color w:val="000000" w:themeColor="text1"/>
          <w:szCs w:val="24"/>
          <w:highlight w:val="none"/>
          <w14:textFill>
            <w14:solidFill>
              <w14:schemeClr w14:val="tx1"/>
            </w14:solidFill>
          </w14:textFill>
        </w:rPr>
        <w:t>油基钻井</w:t>
      </w:r>
      <w:r>
        <w:rPr>
          <w:rFonts w:hint="eastAsia" w:cs="Times New Roman"/>
          <w:color w:val="000000" w:themeColor="text1"/>
          <w:szCs w:val="24"/>
          <w:highlight w:val="none"/>
          <w14:textFill>
            <w14:solidFill>
              <w14:schemeClr w14:val="tx1"/>
            </w14:solidFill>
          </w14:textFill>
        </w:rPr>
        <w:t>（使用较环保的白油为基础的油基泥浆</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w:t>
      </w:r>
    </w:p>
    <w:p>
      <w:pPr>
        <w:ind w:firstLine="482"/>
        <w:rPr>
          <w:rFonts w:cs="Times New Roman"/>
          <w:b/>
          <w:bCs/>
          <w:color w:val="000000" w:themeColor="text1"/>
          <w:highlight w:val="none"/>
          <w14:textFill>
            <w14:solidFill>
              <w14:schemeClr w14:val="tx1"/>
            </w14:solidFill>
          </w14:textFill>
        </w:rPr>
      </w:pPr>
      <w:r>
        <w:rPr>
          <w:rFonts w:hint="eastAsia" w:ascii="宋体" w:hAnsi="宋体" w:cs="宋体"/>
          <w:b/>
          <w:bCs/>
          <w:color w:val="000000" w:themeColor="text1"/>
          <w:highlight w:val="none"/>
          <w14:textFill>
            <w14:solidFill>
              <w14:schemeClr w14:val="tx1"/>
            </w14:solidFill>
          </w14:textFill>
        </w:rPr>
        <w:t>①</w:t>
      </w:r>
      <w:r>
        <w:rPr>
          <w:rFonts w:cs="Times New Roman"/>
          <w:b/>
          <w:bCs/>
          <w:color w:val="000000" w:themeColor="text1"/>
          <w:highlight w:val="none"/>
          <w14:textFill>
            <w14:solidFill>
              <w14:schemeClr w14:val="tx1"/>
            </w14:solidFill>
          </w14:textFill>
        </w:rPr>
        <w:t>废水基钻井泥浆：</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钻井过程中产生的废钻井泥浆主要来源于：</w:t>
      </w: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被更换的不适于钻井工程和地质要求的钻井泥浆；</w:t>
      </w: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在钻井过程中，因部分性能不合格而被排放的钻井泥浆；</w:t>
      </w: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完井时和洗井时井筒内被清水替出的钻井泥浆；</w:t>
      </w: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钻井泥浆循环系统跑、冒、滴、漏而排出的钻井泥浆。主要成分为水、粘土、聚合物、碳酸钠、氢氧化钠、氯化钾、石灰石和重晶石。</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根据本项目钻井设计，项目</w:t>
      </w:r>
      <w:r>
        <w:rPr>
          <w:rFonts w:hint="eastAsia" w:cs="Times New Roman"/>
          <w:color w:val="000000" w:themeColor="text1"/>
          <w:highlight w:val="none"/>
          <w14:textFill>
            <w14:solidFill>
              <w14:schemeClr w14:val="tx1"/>
            </w14:solidFill>
          </w14:textFill>
        </w:rPr>
        <w:t>水基</w:t>
      </w:r>
      <w:r>
        <w:rPr>
          <w:rFonts w:cs="Times New Roman"/>
          <w:color w:val="000000" w:themeColor="text1"/>
          <w:highlight w:val="none"/>
          <w14:textFill>
            <w14:solidFill>
              <w14:schemeClr w14:val="tx1"/>
            </w14:solidFill>
          </w14:textFill>
        </w:rPr>
        <w:t>钻井阶段钻井液总用量约为</w:t>
      </w:r>
      <w:r>
        <w:rPr>
          <w:rFonts w:hint="eastAsia" w:cs="Times New Roman"/>
          <w:color w:val="000000" w:themeColor="text1"/>
          <w:highlight w:val="none"/>
          <w14:textFill>
            <w14:solidFill>
              <w14:schemeClr w14:val="tx1"/>
            </w14:solidFill>
          </w14:textFill>
        </w:rPr>
        <w:t>24</w:t>
      </w:r>
      <w:r>
        <w:rPr>
          <w:rFonts w:cs="Times New Roman"/>
          <w:color w:val="000000" w:themeColor="text1"/>
          <w:highlight w:val="none"/>
          <w14:textFill>
            <w14:solidFill>
              <w14:schemeClr w14:val="tx1"/>
            </w14:solidFill>
          </w14:textFill>
        </w:rPr>
        <w:t>00m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，根据普光气田统计数据钻井液</w:t>
      </w:r>
      <w:r>
        <w:rPr>
          <w:rFonts w:cs="Times New Roman"/>
          <w:bCs/>
          <w:color w:val="000000" w:themeColor="text1"/>
          <w:highlight w:val="none"/>
          <w14:textFill>
            <w14:solidFill>
              <w14:schemeClr w14:val="tx1"/>
            </w14:solidFill>
          </w14:textFill>
        </w:rPr>
        <w:t>循环利用率在90%以上，故本项目约产生最大废弃水基钻井泥浆</w:t>
      </w:r>
      <w:r>
        <w:rPr>
          <w:rFonts w:hint="eastAsia" w:cs="Times New Roman"/>
          <w:bCs/>
          <w:color w:val="000000" w:themeColor="text1"/>
          <w:highlight w:val="none"/>
          <w14:textFill>
            <w14:solidFill>
              <w14:schemeClr w14:val="tx1"/>
            </w14:solidFill>
          </w14:textFill>
        </w:rPr>
        <w:t>240</w:t>
      </w:r>
      <w:r>
        <w:rPr>
          <w:rFonts w:cs="Times New Roman"/>
          <w:color w:val="000000" w:themeColor="text1"/>
          <w:highlight w:val="none"/>
          <w14:textFill>
            <w14:solidFill>
              <w14:schemeClr w14:val="tx1"/>
            </w14:solidFill>
          </w14:textFill>
        </w:rPr>
        <w:t>m</w:t>
      </w:r>
      <w:r>
        <w:rPr>
          <w:rFonts w:cs="Times New Roman"/>
          <w:color w:val="000000" w:themeColor="text1"/>
          <w:highlight w:val="none"/>
          <w:vertAlign w:val="superscript"/>
          <w14:textFill>
            <w14:solidFill>
              <w14:schemeClr w14:val="tx1"/>
            </w14:solidFill>
          </w14:textFill>
        </w:rPr>
        <w:t>3</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由于其pH较高（通常超过9），含有少量有机物添加剂，根据类比其他项目废弃钻井泥浆成分，确定废弃水基钻井泥浆为第Ⅱ类一般工业固体废物。</w:t>
      </w:r>
    </w:p>
    <w:p>
      <w:pPr>
        <w:ind w:firstLine="482"/>
        <w:rPr>
          <w:rFonts w:cs="Times New Roman"/>
          <w:b/>
          <w:bCs/>
          <w:color w:val="000000" w:themeColor="text1"/>
          <w:highlight w:val="none"/>
          <w14:textFill>
            <w14:solidFill>
              <w14:schemeClr w14:val="tx1"/>
            </w14:solidFill>
          </w14:textFill>
        </w:rPr>
      </w:pPr>
      <w:r>
        <w:rPr>
          <w:rFonts w:hint="eastAsia" w:ascii="宋体" w:hAnsi="宋体" w:cs="宋体"/>
          <w:b/>
          <w:bCs/>
          <w:color w:val="000000" w:themeColor="text1"/>
          <w:highlight w:val="none"/>
          <w14:textFill>
            <w14:solidFill>
              <w14:schemeClr w14:val="tx1"/>
            </w14:solidFill>
          </w14:textFill>
        </w:rPr>
        <w:t>②</w:t>
      </w:r>
      <w:r>
        <w:rPr>
          <w:rFonts w:cs="Times New Roman"/>
          <w:b/>
          <w:bCs/>
          <w:color w:val="000000" w:themeColor="text1"/>
          <w:highlight w:val="none"/>
          <w14:textFill>
            <w14:solidFill>
              <w14:schemeClr w14:val="tx1"/>
            </w14:solidFill>
          </w14:textFill>
        </w:rPr>
        <w:t>水基钻井岩屑：</w:t>
      </w:r>
    </w:p>
    <w:p>
      <w:pPr>
        <w:widowControl/>
        <w:adjustRightInd/>
        <w:snapToGrid/>
        <w:ind w:firstLine="480"/>
        <w:rPr>
          <w:rFonts w:cs="Times New Roman"/>
          <w:color w:val="000000" w:themeColor="text1"/>
          <w:kern w:val="0"/>
          <w:highlight w:val="none"/>
          <w14:textFill>
            <w14:solidFill>
              <w14:schemeClr w14:val="tx1"/>
            </w14:solidFill>
          </w14:textFill>
        </w:rPr>
      </w:pPr>
      <w:r>
        <w:rPr>
          <w:rFonts w:cs="Times New Roman"/>
          <w:color w:val="000000" w:themeColor="text1"/>
          <w:kern w:val="0"/>
          <w:highlight w:val="none"/>
          <w14:textFill>
            <w14:solidFill>
              <w14:schemeClr w14:val="tx1"/>
            </w14:solidFill>
          </w14:textFill>
        </w:rPr>
        <w:t>钻井岩屑是在钻井过程中钻头</w:t>
      </w:r>
      <w:r>
        <w:rPr>
          <w:rFonts w:hint="eastAsia" w:cs="Times New Roman"/>
          <w:color w:val="000000" w:themeColor="text1"/>
          <w:kern w:val="0"/>
          <w:highlight w:val="none"/>
          <w14:textFill>
            <w14:solidFill>
              <w14:schemeClr w14:val="tx1"/>
            </w14:solidFill>
          </w14:textFill>
        </w:rPr>
        <w:t>切削</w:t>
      </w:r>
      <w:r>
        <w:rPr>
          <w:rFonts w:cs="Times New Roman"/>
          <w:color w:val="000000" w:themeColor="text1"/>
          <w:kern w:val="0"/>
          <w:highlight w:val="none"/>
          <w14:textFill>
            <w14:solidFill>
              <w14:schemeClr w14:val="tx1"/>
            </w14:solidFill>
          </w14:textFill>
        </w:rPr>
        <w:t>地层岩石而产生的碎屑，并通过钻井泥浆和洗井液带出至地面。主要成分为岩石、土壤及钻井液。其产生量与井眼长度、平均井径有关。根据本项目钻井阶段各开次进尺、钻头尺寸，并取一定的容积扩大倍数（清水和水基钻井</w:t>
      </w:r>
      <w:r>
        <w:rPr>
          <w:rFonts w:hint="eastAsia" w:cs="Times New Roman"/>
          <w:color w:val="000000" w:themeColor="text1"/>
          <w:kern w:val="0"/>
          <w:highlight w:val="none"/>
          <w14:textFill>
            <w14:solidFill>
              <w14:schemeClr w14:val="tx1"/>
            </w14:solidFill>
          </w14:textFill>
        </w:rPr>
        <w:t>一般</w:t>
      </w:r>
      <w:r>
        <w:rPr>
          <w:rFonts w:cs="Times New Roman"/>
          <w:color w:val="000000" w:themeColor="text1"/>
          <w:kern w:val="0"/>
          <w:highlight w:val="none"/>
          <w14:textFill>
            <w14:solidFill>
              <w14:schemeClr w14:val="tx1"/>
            </w14:solidFill>
          </w14:textFill>
        </w:rPr>
        <w:t>取</w:t>
      </w:r>
      <w:r>
        <w:rPr>
          <w:rFonts w:hint="eastAsia" w:cs="Times New Roman"/>
          <w:color w:val="000000" w:themeColor="text1"/>
          <w:kern w:val="0"/>
          <w:highlight w:val="none"/>
          <w14:textFill>
            <w14:solidFill>
              <w14:schemeClr w14:val="tx1"/>
            </w14:solidFill>
          </w14:textFill>
        </w:rPr>
        <w:t>2.5~</w:t>
      </w:r>
      <w:r>
        <w:rPr>
          <w:rFonts w:cs="Times New Roman"/>
          <w:color w:val="000000" w:themeColor="text1"/>
          <w:kern w:val="0"/>
          <w:highlight w:val="none"/>
          <w14:textFill>
            <w14:solidFill>
              <w14:schemeClr w14:val="tx1"/>
            </w14:solidFill>
          </w14:textFill>
        </w:rPr>
        <w:t>5倍</w:t>
      </w:r>
      <w:r>
        <w:rPr>
          <w:rFonts w:hint="eastAsia" w:cs="Times New Roman"/>
          <w:color w:val="000000" w:themeColor="text1"/>
          <w:kern w:val="0"/>
          <w:highlight w:val="none"/>
          <w14:textFill>
            <w14:solidFill>
              <w14:schemeClr w14:val="tx1"/>
            </w14:solidFill>
          </w14:textFill>
        </w:rPr>
        <w:t>，油基钻井取3~6倍，本次评价保守按</w:t>
      </w:r>
      <w:r>
        <w:rPr>
          <w:rFonts w:cs="Times New Roman"/>
          <w:color w:val="000000" w:themeColor="text1"/>
          <w:kern w:val="0"/>
          <w:highlight w:val="none"/>
          <w14:textFill>
            <w14:solidFill>
              <w14:schemeClr w14:val="tx1"/>
            </w14:solidFill>
          </w14:textFill>
        </w:rPr>
        <w:t>清水和水基钻井</w:t>
      </w:r>
      <w:r>
        <w:rPr>
          <w:rFonts w:hint="eastAsia" w:cs="Times New Roman"/>
          <w:color w:val="000000" w:themeColor="text1"/>
          <w:kern w:val="0"/>
          <w:highlight w:val="none"/>
          <w14:textFill>
            <w14:solidFill>
              <w14:schemeClr w14:val="tx1"/>
            </w14:solidFill>
          </w14:textFill>
        </w:rPr>
        <w:t>一般</w:t>
      </w:r>
      <w:r>
        <w:rPr>
          <w:rFonts w:cs="Times New Roman"/>
          <w:color w:val="000000" w:themeColor="text1"/>
          <w:kern w:val="0"/>
          <w:highlight w:val="none"/>
          <w14:textFill>
            <w14:solidFill>
              <w14:schemeClr w14:val="tx1"/>
            </w14:solidFill>
          </w14:textFill>
        </w:rPr>
        <w:t>取5倍</w:t>
      </w:r>
      <w:r>
        <w:rPr>
          <w:rFonts w:hint="eastAsia" w:cs="Times New Roman"/>
          <w:color w:val="000000" w:themeColor="text1"/>
          <w:kern w:val="0"/>
          <w:highlight w:val="none"/>
          <w14:textFill>
            <w14:solidFill>
              <w14:schemeClr w14:val="tx1"/>
            </w14:solidFill>
          </w14:textFill>
        </w:rPr>
        <w:t>，油基钻井取6倍考虑</w:t>
      </w:r>
      <w:r>
        <w:rPr>
          <w:rFonts w:cs="Times New Roman"/>
          <w:color w:val="000000" w:themeColor="text1"/>
          <w:kern w:val="0"/>
          <w:highlight w:val="none"/>
          <w14:textFill>
            <w14:solidFill>
              <w14:schemeClr w14:val="tx1"/>
            </w14:solidFill>
          </w14:textFill>
        </w:rPr>
        <w:t>），本项目钻井岩屑产生量见</w:t>
      </w:r>
      <w:r>
        <w:rPr>
          <w:rFonts w:cs="Times New Roman"/>
          <w:bCs/>
          <w:color w:val="000000" w:themeColor="text1"/>
          <w:highlight w:val="none"/>
          <w14:textFill>
            <w14:solidFill>
              <w14:schemeClr w14:val="tx1"/>
            </w14:solidFill>
          </w14:textFill>
        </w:rPr>
        <w:fldChar w:fldCharType="begin"/>
      </w:r>
      <w:r>
        <w:rPr>
          <w:rFonts w:cs="Times New Roman"/>
          <w:bCs/>
          <w:color w:val="000000" w:themeColor="text1"/>
          <w:highlight w:val="none"/>
          <w14:textFill>
            <w14:solidFill>
              <w14:schemeClr w14:val="tx1"/>
            </w14:solidFill>
          </w14:textFill>
        </w:rPr>
        <w:instrText xml:space="preserve"> REF _Ref142593515 \h  \* MERGEFORMAT </w:instrText>
      </w:r>
      <w:r>
        <w:rPr>
          <w:rFonts w:cs="Times New Roman"/>
          <w:bCs/>
          <w:color w:val="000000" w:themeColor="text1"/>
          <w:highlight w:val="none"/>
          <w14:textFill>
            <w14:solidFill>
              <w14:schemeClr w14:val="tx1"/>
            </w14:solidFill>
          </w14:textFill>
        </w:rPr>
        <w:fldChar w:fldCharType="separate"/>
      </w:r>
      <w:r>
        <w:rPr>
          <w:rFonts w:hint="eastAsia" w:cs="Times New Roman"/>
          <w:color w:val="000000" w:themeColor="text1"/>
          <w:highlight w:val="none"/>
          <w14:textFill>
            <w14:solidFill>
              <w14:schemeClr w14:val="tx1"/>
            </w14:solidFill>
          </w14:textFill>
        </w:rPr>
        <w:t>表</w:t>
      </w:r>
      <w:r>
        <w:rPr>
          <w:rFonts w:cs="Times New Roman"/>
          <w:color w:val="000000" w:themeColor="text1"/>
          <w:highlight w:val="none"/>
          <w14:textFill>
            <w14:solidFill>
              <w14:schemeClr w14:val="tx1"/>
            </w14:solidFill>
          </w14:textFill>
        </w:rPr>
        <w:t>3.4</w:t>
      </w:r>
      <w:r>
        <w:rPr>
          <w:rFonts w:cs="Times New Roman"/>
          <w:color w:val="000000" w:themeColor="text1"/>
          <w:highlight w:val="none"/>
          <w14:textFill>
            <w14:solidFill>
              <w14:schemeClr w14:val="tx1"/>
            </w14:solidFill>
          </w14:textFill>
        </w:rPr>
        <w:noBreakHyphen/>
      </w:r>
      <w:r>
        <w:rPr>
          <w:rFonts w:cs="Times New Roman"/>
          <w:color w:val="000000" w:themeColor="text1"/>
          <w:highlight w:val="none"/>
          <w14:textFill>
            <w14:solidFill>
              <w14:schemeClr w14:val="tx1"/>
            </w14:solidFill>
          </w14:textFill>
        </w:rPr>
        <w:t>7</w:t>
      </w:r>
      <w:r>
        <w:rPr>
          <w:rFonts w:cs="Times New Roman"/>
          <w:bCs/>
          <w:color w:val="000000" w:themeColor="text1"/>
          <w:highlight w:val="none"/>
          <w14:textFill>
            <w14:solidFill>
              <w14:schemeClr w14:val="tx1"/>
            </w14:solidFill>
          </w14:textFill>
        </w:rPr>
        <w:fldChar w:fldCharType="end"/>
      </w:r>
      <w:r>
        <w:rPr>
          <w:rFonts w:cs="Times New Roman"/>
          <w:color w:val="000000" w:themeColor="text1"/>
          <w:kern w:val="0"/>
          <w:highlight w:val="none"/>
          <w14:textFill>
            <w14:solidFill>
              <w14:schemeClr w14:val="tx1"/>
            </w14:solidFill>
          </w14:textFill>
        </w:rPr>
        <w:t>。</w:t>
      </w:r>
    </w:p>
    <w:p>
      <w:pPr>
        <w:widowControl/>
        <w:adjustRightInd/>
        <w:snapToGrid/>
        <w:ind w:firstLine="480"/>
        <w:jc w:val="left"/>
        <w:rPr>
          <w:rFonts w:cs="Times New Roman"/>
          <w:color w:val="000000" w:themeColor="text1"/>
          <w:kern w:val="0"/>
          <w:highlight w:val="none"/>
          <w14:textFill>
            <w14:solidFill>
              <w14:schemeClr w14:val="tx1"/>
            </w14:solidFill>
          </w14:textFill>
        </w:rPr>
      </w:pPr>
      <w:r>
        <w:rPr>
          <w:rFonts w:hint="eastAsia" w:cs="Times New Roman"/>
          <w:color w:val="000000" w:themeColor="text1"/>
          <w:kern w:val="0"/>
          <w:highlight w:val="none"/>
          <w14:textFill>
            <w14:solidFill>
              <w14:schemeClr w14:val="tx1"/>
            </w14:solidFill>
          </w14:textFill>
        </w:rPr>
        <w:t>计算公式</w:t>
      </w:r>
      <w:r>
        <w:rPr>
          <w:rFonts w:cs="Times New Roman"/>
          <w:color w:val="000000" w:themeColor="text1"/>
          <w:kern w:val="0"/>
          <w:highlight w:val="none"/>
          <w14:textFill>
            <w14:solidFill>
              <w14:schemeClr w14:val="tx1"/>
            </w14:solidFill>
          </w14:textFill>
        </w:rPr>
        <w:t>如下：</w:t>
      </w:r>
    </w:p>
    <w:p>
      <w:pPr>
        <w:widowControl/>
        <w:adjustRightInd/>
        <w:snapToGrid/>
        <w:ind w:firstLine="420" w:firstLineChars="0"/>
        <w:jc w:val="center"/>
        <w:rPr>
          <w:rFonts w:cs="Times New Roman"/>
          <w:color w:val="000000" w:themeColor="text1"/>
          <w:kern w:val="0"/>
          <w:sz w:val="22"/>
          <w:szCs w:val="21"/>
          <w:highlight w:val="none"/>
          <w14:textFill>
            <w14:solidFill>
              <w14:schemeClr w14:val="tx1"/>
            </w14:solidFill>
          </w14:textFill>
        </w:rPr>
      </w:pPr>
      <w:r>
        <w:rPr>
          <w:rFonts w:cs="Times New Roman"/>
          <w:color w:val="000000" w:themeColor="text1"/>
          <w:kern w:val="0"/>
          <w:sz w:val="22"/>
          <w:szCs w:val="21"/>
          <w:highlight w:val="none"/>
          <w14:textFill>
            <w14:solidFill>
              <w14:schemeClr w14:val="tx1"/>
            </w14:solidFill>
          </w14:textFill>
        </w:rPr>
        <w:t>V</w:t>
      </w:r>
      <w:r>
        <w:rPr>
          <w:rFonts w:cs="Times New Roman"/>
          <w:color w:val="000000" w:themeColor="text1"/>
          <w:kern w:val="0"/>
          <w:sz w:val="22"/>
          <w:szCs w:val="21"/>
          <w:highlight w:val="none"/>
          <w:vertAlign w:val="subscript"/>
          <w14:textFill>
            <w14:solidFill>
              <w14:schemeClr w14:val="tx1"/>
            </w14:solidFill>
          </w14:textFill>
        </w:rPr>
        <w:t>清水和水基=</w:t>
      </w:r>
      <w:r>
        <w:rPr>
          <w:rFonts w:cs="Times New Roman"/>
          <w:color w:val="000000" w:themeColor="text1"/>
          <w:kern w:val="0"/>
          <w:sz w:val="22"/>
          <w:szCs w:val="21"/>
          <w:highlight w:val="none"/>
          <w:lang w:eastAsia="en-US"/>
          <w14:textFill>
            <w14:solidFill>
              <w14:schemeClr w14:val="tx1"/>
            </w14:solidFill>
          </w14:textFill>
        </w:rPr>
        <w:t>π</w:t>
      </w:r>
      <w:r>
        <w:rPr>
          <w:rFonts w:cs="Times New Roman"/>
          <w:color w:val="000000" w:themeColor="text1"/>
          <w:kern w:val="0"/>
          <w:sz w:val="22"/>
          <w:szCs w:val="21"/>
          <w:highlight w:val="none"/>
          <w14:textFill>
            <w14:solidFill>
              <w14:schemeClr w14:val="tx1"/>
            </w14:solidFill>
          </w14:textFill>
        </w:rPr>
        <w:t>*r</w:t>
      </w:r>
      <w:r>
        <w:rPr>
          <w:rFonts w:cs="Times New Roman"/>
          <w:color w:val="000000" w:themeColor="text1"/>
          <w:kern w:val="0"/>
          <w:sz w:val="22"/>
          <w:szCs w:val="21"/>
          <w:highlight w:val="none"/>
          <w:vertAlign w:val="superscript"/>
          <w14:textFill>
            <w14:solidFill>
              <w14:schemeClr w14:val="tx1"/>
            </w14:solidFill>
          </w14:textFill>
        </w:rPr>
        <w:t>2</w:t>
      </w:r>
      <w:r>
        <w:rPr>
          <w:rFonts w:cs="Times New Roman"/>
          <w:color w:val="000000" w:themeColor="text1"/>
          <w:kern w:val="0"/>
          <w:sz w:val="22"/>
          <w:szCs w:val="21"/>
          <w:highlight w:val="none"/>
          <w14:textFill>
            <w14:solidFill>
              <w14:schemeClr w14:val="tx1"/>
            </w14:solidFill>
          </w14:textFill>
        </w:rPr>
        <w:t>*d*</w:t>
      </w:r>
      <w:r>
        <w:rPr>
          <w:rFonts w:hint="eastAsia" w:cs="Times New Roman"/>
          <w:color w:val="000000" w:themeColor="text1"/>
          <w:kern w:val="0"/>
          <w:sz w:val="22"/>
          <w:szCs w:val="21"/>
          <w:highlight w:val="none"/>
          <w14:textFill>
            <w14:solidFill>
              <w14:schemeClr w14:val="tx1"/>
            </w14:solidFill>
          </w14:textFill>
        </w:rPr>
        <w:t>5</w:t>
      </w:r>
    </w:p>
    <w:p>
      <w:pPr>
        <w:widowControl/>
        <w:adjustRightInd/>
        <w:snapToGrid/>
        <w:ind w:firstLine="420" w:firstLineChars="0"/>
        <w:jc w:val="center"/>
        <w:rPr>
          <w:rFonts w:cs="Times New Roman"/>
          <w:color w:val="000000" w:themeColor="text1"/>
          <w:kern w:val="0"/>
          <w:sz w:val="22"/>
          <w:szCs w:val="21"/>
          <w:highlight w:val="none"/>
          <w14:textFill>
            <w14:solidFill>
              <w14:schemeClr w14:val="tx1"/>
            </w14:solidFill>
          </w14:textFill>
        </w:rPr>
      </w:pPr>
      <w:r>
        <w:rPr>
          <w:rFonts w:cs="Times New Roman"/>
          <w:color w:val="000000" w:themeColor="text1"/>
          <w:kern w:val="0"/>
          <w:sz w:val="22"/>
          <w:szCs w:val="21"/>
          <w:highlight w:val="none"/>
          <w14:textFill>
            <w14:solidFill>
              <w14:schemeClr w14:val="tx1"/>
            </w14:solidFill>
          </w14:textFill>
        </w:rPr>
        <w:t>V</w:t>
      </w:r>
      <w:r>
        <w:rPr>
          <w:rFonts w:cs="Times New Roman"/>
          <w:color w:val="000000" w:themeColor="text1"/>
          <w:kern w:val="0"/>
          <w:sz w:val="22"/>
          <w:szCs w:val="21"/>
          <w:highlight w:val="none"/>
          <w:vertAlign w:val="subscript"/>
          <w14:textFill>
            <w14:solidFill>
              <w14:schemeClr w14:val="tx1"/>
            </w14:solidFill>
          </w14:textFill>
        </w:rPr>
        <w:t>油基</w:t>
      </w:r>
      <w:r>
        <w:rPr>
          <w:rFonts w:cs="Times New Roman"/>
          <w:color w:val="000000" w:themeColor="text1"/>
          <w:kern w:val="0"/>
          <w:sz w:val="22"/>
          <w:szCs w:val="21"/>
          <w:highlight w:val="none"/>
          <w14:textFill>
            <w14:solidFill>
              <w14:schemeClr w14:val="tx1"/>
            </w14:solidFill>
          </w14:textFill>
        </w:rPr>
        <w:t>=</w:t>
      </w:r>
      <w:r>
        <w:rPr>
          <w:rFonts w:cs="Times New Roman"/>
          <w:color w:val="000000" w:themeColor="text1"/>
          <w:kern w:val="0"/>
          <w:sz w:val="22"/>
          <w:szCs w:val="21"/>
          <w:highlight w:val="none"/>
          <w:lang w:eastAsia="en-US"/>
          <w14:textFill>
            <w14:solidFill>
              <w14:schemeClr w14:val="tx1"/>
            </w14:solidFill>
          </w14:textFill>
        </w:rPr>
        <w:t>π</w:t>
      </w:r>
      <w:r>
        <w:rPr>
          <w:rFonts w:cs="Times New Roman"/>
          <w:color w:val="000000" w:themeColor="text1"/>
          <w:kern w:val="0"/>
          <w:sz w:val="22"/>
          <w:szCs w:val="21"/>
          <w:highlight w:val="none"/>
          <w14:textFill>
            <w14:solidFill>
              <w14:schemeClr w14:val="tx1"/>
            </w14:solidFill>
          </w14:textFill>
        </w:rPr>
        <w:t>*r</w:t>
      </w:r>
      <w:r>
        <w:rPr>
          <w:rFonts w:cs="Times New Roman"/>
          <w:color w:val="000000" w:themeColor="text1"/>
          <w:kern w:val="0"/>
          <w:sz w:val="22"/>
          <w:szCs w:val="21"/>
          <w:highlight w:val="none"/>
          <w:vertAlign w:val="superscript"/>
          <w14:textFill>
            <w14:solidFill>
              <w14:schemeClr w14:val="tx1"/>
            </w14:solidFill>
          </w14:textFill>
        </w:rPr>
        <w:t>2</w:t>
      </w:r>
      <w:r>
        <w:rPr>
          <w:rFonts w:cs="Times New Roman"/>
          <w:color w:val="000000" w:themeColor="text1"/>
          <w:kern w:val="0"/>
          <w:sz w:val="22"/>
          <w:szCs w:val="21"/>
          <w:highlight w:val="none"/>
          <w14:textFill>
            <w14:solidFill>
              <w14:schemeClr w14:val="tx1"/>
            </w14:solidFill>
          </w14:textFill>
        </w:rPr>
        <w:t>*d*</w:t>
      </w:r>
      <w:r>
        <w:rPr>
          <w:rFonts w:hint="eastAsia" w:cs="Times New Roman"/>
          <w:color w:val="000000" w:themeColor="text1"/>
          <w:kern w:val="0"/>
          <w:sz w:val="22"/>
          <w:szCs w:val="21"/>
          <w:highlight w:val="none"/>
          <w14:textFill>
            <w14:solidFill>
              <w14:schemeClr w14:val="tx1"/>
            </w14:solidFill>
          </w14:textFill>
        </w:rPr>
        <w:t>6</w:t>
      </w:r>
    </w:p>
    <w:p>
      <w:pPr>
        <w:pStyle w:val="203"/>
        <w:spacing w:before="120"/>
        <w:rPr>
          <w:color w:val="000000" w:themeColor="text1"/>
          <w:highlight w:val="none"/>
          <w14:textFill>
            <w14:solidFill>
              <w14:schemeClr w14:val="tx1"/>
            </w14:solidFill>
          </w14:textFill>
        </w:rPr>
      </w:pPr>
      <w:bookmarkStart w:id="191" w:name="_Ref142593515"/>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191"/>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水基钻井期间岩屑产生量估算表</w:t>
      </w:r>
    </w:p>
    <w:tbl>
      <w:tblPr>
        <w:tblStyle w:val="5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3"/>
        <w:gridCol w:w="1424"/>
        <w:gridCol w:w="1191"/>
        <w:gridCol w:w="1191"/>
        <w:gridCol w:w="1435"/>
        <w:gridCol w:w="2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559"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井号</w:t>
            </w:r>
          </w:p>
        </w:tc>
        <w:tc>
          <w:tcPr>
            <w:tcW w:w="83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开次</w:t>
            </w:r>
          </w:p>
        </w:tc>
        <w:tc>
          <w:tcPr>
            <w:tcW w:w="698"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钻头尺寸</w:t>
            </w:r>
            <w:r>
              <w:rPr>
                <w:rFonts w:cs="Times New Roman"/>
                <w:color w:val="000000" w:themeColor="text1"/>
                <w:sz w:val="21"/>
                <w:szCs w:val="24"/>
                <w:highlight w:val="none"/>
                <w14:textFill>
                  <w14:solidFill>
                    <w14:schemeClr w14:val="tx1"/>
                  </w14:solidFill>
                </w14:textFill>
              </w:rPr>
              <w:t>mm</w:t>
            </w:r>
          </w:p>
        </w:tc>
        <w:tc>
          <w:tcPr>
            <w:tcW w:w="698"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总进尺（</w:t>
            </w:r>
            <w:r>
              <w:rPr>
                <w:rFonts w:cs="Times New Roman"/>
                <w:color w:val="000000" w:themeColor="text1"/>
                <w:sz w:val="21"/>
                <w:szCs w:val="24"/>
                <w:highlight w:val="none"/>
                <w14:textFill>
                  <w14:solidFill>
                    <w14:schemeClr w14:val="tx1"/>
                  </w14:solidFill>
                </w14:textFill>
              </w:rPr>
              <w:t>m</w:t>
            </w:r>
            <w:r>
              <w:rPr>
                <w:rFonts w:hint="eastAsia" w:cs="Times New Roman"/>
                <w:color w:val="000000" w:themeColor="text1"/>
                <w:sz w:val="21"/>
                <w:szCs w:val="24"/>
                <w:highlight w:val="none"/>
                <w14:textFill>
                  <w14:solidFill>
                    <w14:schemeClr w14:val="tx1"/>
                  </w14:solidFill>
                </w14:textFill>
              </w:rPr>
              <w:t>）</w:t>
            </w:r>
          </w:p>
        </w:tc>
        <w:tc>
          <w:tcPr>
            <w:tcW w:w="841"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计算值（</w:t>
            </w:r>
            <w:r>
              <w:rPr>
                <w:rFonts w:cs="Times New Roman"/>
                <w:color w:val="000000" w:themeColor="text1"/>
                <w:sz w:val="21"/>
                <w:szCs w:val="24"/>
                <w:highlight w:val="none"/>
                <w14:textFill>
                  <w14:solidFill>
                    <w14:schemeClr w14:val="tx1"/>
                  </w14:solidFill>
                </w14:textFill>
              </w:rPr>
              <w:t>m</w:t>
            </w:r>
            <w:r>
              <w:rPr>
                <w:rFonts w:cs="Times New Roman"/>
                <w:color w:val="000000" w:themeColor="text1"/>
                <w:sz w:val="21"/>
                <w:szCs w:val="24"/>
                <w:highlight w:val="none"/>
                <w:vertAlign w:val="superscript"/>
                <w14:textFill>
                  <w14:solidFill>
                    <w14:schemeClr w14:val="tx1"/>
                  </w14:solidFill>
                </w14:textFill>
              </w:rPr>
              <w:t>3</w:t>
            </w:r>
            <w:r>
              <w:rPr>
                <w:rFonts w:hint="eastAsia" w:cs="Times New Roman"/>
                <w:color w:val="000000" w:themeColor="text1"/>
                <w:sz w:val="21"/>
                <w:szCs w:val="24"/>
                <w:highlight w:val="none"/>
                <w14:textFill>
                  <w14:solidFill>
                    <w14:schemeClr w14:val="tx1"/>
                  </w14:solidFill>
                </w14:textFill>
              </w:rPr>
              <w:t>）</w:t>
            </w:r>
          </w:p>
        </w:tc>
        <w:tc>
          <w:tcPr>
            <w:tcW w:w="136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固废类型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59" w:type="pct"/>
            <w:vMerge w:val="restar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大湾408-3井</w:t>
            </w:r>
          </w:p>
        </w:tc>
        <w:tc>
          <w:tcPr>
            <w:tcW w:w="83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导管</w:t>
            </w:r>
          </w:p>
        </w:tc>
        <w:tc>
          <w:tcPr>
            <w:tcW w:w="1191" w:type="dxa"/>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660.4</w:t>
            </w:r>
          </w:p>
        </w:tc>
        <w:tc>
          <w:tcPr>
            <w:tcW w:w="1191" w:type="dxa"/>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50</w:t>
            </w:r>
          </w:p>
        </w:tc>
        <w:tc>
          <w:tcPr>
            <w:tcW w:w="1435" w:type="dxa"/>
            <w:shd w:val="clear" w:color="auto" w:fill="auto"/>
            <w:vAlign w:val="bottom"/>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 xml:space="preserve">85.59 </w:t>
            </w:r>
          </w:p>
        </w:tc>
        <w:tc>
          <w:tcPr>
            <w:tcW w:w="136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清水岩屑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59" w:type="pct"/>
            <w:vMerge w:val="continue"/>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p>
        </w:tc>
        <w:tc>
          <w:tcPr>
            <w:tcW w:w="83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一开</w:t>
            </w:r>
          </w:p>
        </w:tc>
        <w:tc>
          <w:tcPr>
            <w:tcW w:w="1191" w:type="dxa"/>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406.4</w:t>
            </w:r>
          </w:p>
        </w:tc>
        <w:tc>
          <w:tcPr>
            <w:tcW w:w="1191" w:type="dxa"/>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821</w:t>
            </w:r>
          </w:p>
        </w:tc>
        <w:tc>
          <w:tcPr>
            <w:tcW w:w="1435" w:type="dxa"/>
            <w:shd w:val="clear" w:color="auto" w:fill="auto"/>
            <w:vAlign w:val="bottom"/>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 xml:space="preserve">532.22 </w:t>
            </w:r>
          </w:p>
        </w:tc>
        <w:tc>
          <w:tcPr>
            <w:tcW w:w="136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水基岩屑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59" w:type="pct"/>
            <w:vMerge w:val="continue"/>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p>
        </w:tc>
        <w:tc>
          <w:tcPr>
            <w:tcW w:w="83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二开</w:t>
            </w:r>
          </w:p>
        </w:tc>
        <w:tc>
          <w:tcPr>
            <w:tcW w:w="1191" w:type="dxa"/>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320</w:t>
            </w:r>
          </w:p>
        </w:tc>
        <w:tc>
          <w:tcPr>
            <w:tcW w:w="1191" w:type="dxa"/>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2396</w:t>
            </w:r>
          </w:p>
        </w:tc>
        <w:tc>
          <w:tcPr>
            <w:tcW w:w="1435" w:type="dxa"/>
            <w:shd w:val="clear" w:color="auto" w:fill="auto"/>
            <w:vAlign w:val="bottom"/>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 xml:space="preserve">963.00 </w:t>
            </w:r>
          </w:p>
        </w:tc>
        <w:tc>
          <w:tcPr>
            <w:tcW w:w="136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水基岩屑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559" w:type="pct"/>
            <w:vMerge w:val="continue"/>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p>
        </w:tc>
        <w:tc>
          <w:tcPr>
            <w:tcW w:w="83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三开</w:t>
            </w:r>
          </w:p>
        </w:tc>
        <w:tc>
          <w:tcPr>
            <w:tcW w:w="1191" w:type="dxa"/>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241.3</w:t>
            </w:r>
          </w:p>
        </w:tc>
        <w:tc>
          <w:tcPr>
            <w:tcW w:w="1191" w:type="dxa"/>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1686</w:t>
            </w:r>
          </w:p>
        </w:tc>
        <w:tc>
          <w:tcPr>
            <w:tcW w:w="1435" w:type="dxa"/>
            <w:shd w:val="clear" w:color="auto" w:fill="auto"/>
            <w:vAlign w:val="bottom"/>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 xml:space="preserve">385.31 </w:t>
            </w:r>
          </w:p>
        </w:tc>
        <w:tc>
          <w:tcPr>
            <w:tcW w:w="136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水基岩屑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559" w:type="pct"/>
            <w:vMerge w:val="continue"/>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p>
        </w:tc>
        <w:tc>
          <w:tcPr>
            <w:tcW w:w="83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三开（油基）</w:t>
            </w:r>
          </w:p>
        </w:tc>
        <w:tc>
          <w:tcPr>
            <w:tcW w:w="698"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241.3</w:t>
            </w:r>
          </w:p>
        </w:tc>
        <w:tc>
          <w:tcPr>
            <w:tcW w:w="698"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cs="Times New Roman"/>
                <w:color w:val="000000" w:themeColor="text1"/>
                <w:sz w:val="21"/>
                <w:szCs w:val="24"/>
                <w:highlight w:val="none"/>
                <w14:textFill>
                  <w14:solidFill>
                    <w14:schemeClr w14:val="tx1"/>
                  </w14:solidFill>
                </w14:textFill>
              </w:rPr>
              <w:t>1686</w:t>
            </w:r>
          </w:p>
        </w:tc>
        <w:tc>
          <w:tcPr>
            <w:tcW w:w="841"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462.37</w:t>
            </w:r>
          </w:p>
        </w:tc>
        <w:tc>
          <w:tcPr>
            <w:tcW w:w="1365" w:type="pct"/>
            <w:shd w:val="clear" w:color="auto" w:fill="auto"/>
            <w:vAlign w:val="center"/>
          </w:tcPr>
          <w:p>
            <w:pPr>
              <w:adjustRightInd/>
              <w:snapToGrid/>
              <w:spacing w:line="240" w:lineRule="auto"/>
              <w:ind w:firstLine="0" w:firstLineChars="0"/>
              <w:jc w:val="center"/>
              <w:rPr>
                <w:rFonts w:cs="Times New Roman"/>
                <w:color w:val="000000" w:themeColor="text1"/>
                <w:sz w:val="21"/>
                <w:szCs w:val="24"/>
                <w:highlight w:val="none"/>
                <w14:textFill>
                  <w14:solidFill>
                    <w14:schemeClr w14:val="tx1"/>
                  </w14:solidFill>
                </w14:textFill>
              </w:rPr>
            </w:pPr>
            <w:r>
              <w:rPr>
                <w:rFonts w:hint="eastAsia" w:cs="Times New Roman"/>
                <w:color w:val="000000" w:themeColor="text1"/>
                <w:sz w:val="21"/>
                <w:szCs w:val="24"/>
                <w:highlight w:val="none"/>
                <w14:textFill>
                  <w14:solidFill>
                    <w14:schemeClr w14:val="tx1"/>
                  </w14:solidFill>
                </w14:textFill>
              </w:rPr>
              <w:t>油基岩屑</w:t>
            </w:r>
          </w:p>
        </w:tc>
      </w:tr>
    </w:tbl>
    <w:p>
      <w:pPr>
        <w:pStyle w:val="204"/>
        <w:ind w:firstLine="480"/>
        <w:rPr>
          <w:color w:val="000000" w:themeColor="text1"/>
          <w:highlight w:val="none"/>
          <w14:textFill>
            <w14:solidFill>
              <w14:schemeClr w14:val="tx1"/>
            </w14:solidFill>
          </w14:textFill>
        </w:rPr>
      </w:pPr>
    </w:p>
    <w:p>
      <w:pPr>
        <w:spacing w:before="120" w:beforeLines="50"/>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本项目</w:t>
      </w:r>
      <w:r>
        <w:rPr>
          <w:rFonts w:cs="Times New Roman"/>
          <w:color w:val="000000" w:themeColor="text1"/>
          <w:kern w:val="0"/>
          <w:highlight w:val="none"/>
          <w14:textFill>
            <w14:solidFill>
              <w14:schemeClr w14:val="tx1"/>
            </w14:solidFill>
          </w14:textFill>
        </w:rPr>
        <w:t>清水岩屑产生总量约为</w:t>
      </w:r>
      <w:r>
        <w:rPr>
          <w:rFonts w:hint="eastAsia" w:cs="Times New Roman"/>
          <w:color w:val="000000" w:themeColor="text1"/>
          <w:kern w:val="0"/>
          <w:highlight w:val="none"/>
          <w14:textFill>
            <w14:solidFill>
              <w14:schemeClr w14:val="tx1"/>
            </w14:solidFill>
          </w14:textFill>
        </w:rPr>
        <w:t>85.59m</w:t>
      </w:r>
      <w:r>
        <w:rPr>
          <w:rFonts w:cs="Times New Roman"/>
          <w:color w:val="000000" w:themeColor="text1"/>
          <w:kern w:val="0"/>
          <w:highlight w:val="none"/>
          <w:vertAlign w:val="superscript"/>
          <w14:textFill>
            <w14:solidFill>
              <w14:schemeClr w14:val="tx1"/>
            </w14:solidFill>
          </w14:textFill>
        </w:rPr>
        <w:t>3</w:t>
      </w:r>
      <w:r>
        <w:rPr>
          <w:rFonts w:cs="Times New Roman"/>
          <w:color w:val="000000" w:themeColor="text1"/>
          <w:kern w:val="0"/>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水基岩屑产生量约1880.53m</w:t>
      </w:r>
      <w:r>
        <w:rPr>
          <w:rFonts w:hint="eastAsia" w:cs="Times New Roman"/>
          <w:color w:val="000000" w:themeColor="text1"/>
          <w:highlight w:val="none"/>
          <w:vertAlign w:val="superscript"/>
          <w14:textFill>
            <w14:solidFill>
              <w14:schemeClr w14:val="tx1"/>
            </w14:solidFill>
          </w14:textFill>
        </w:rPr>
        <w:t>3</w:t>
      </w:r>
      <w:r>
        <w:rPr>
          <w:rFonts w:hint="eastAsia" w:cs="Times New Roman"/>
          <w:color w:val="000000" w:themeColor="text1"/>
          <w:kern w:val="0"/>
          <w:highlight w:val="none"/>
          <w14:textFill>
            <w14:solidFill>
              <w14:schemeClr w14:val="tx1"/>
            </w14:solidFill>
          </w14:textFill>
        </w:rPr>
        <w:t>，</w:t>
      </w:r>
      <w:r>
        <w:rPr>
          <w:rFonts w:cs="Times New Roman"/>
          <w:color w:val="000000" w:themeColor="text1"/>
          <w:kern w:val="0"/>
          <w:highlight w:val="none"/>
          <w14:textFill>
            <w14:solidFill>
              <w14:schemeClr w14:val="tx1"/>
            </w14:solidFill>
          </w14:textFill>
        </w:rPr>
        <w:t>水基岩屑</w:t>
      </w:r>
      <w:r>
        <w:rPr>
          <w:rFonts w:hint="eastAsia" w:cs="Times New Roman"/>
          <w:color w:val="000000" w:themeColor="text1"/>
          <w:kern w:val="0"/>
          <w:highlight w:val="none"/>
          <w14:textFill>
            <w14:solidFill>
              <w14:schemeClr w14:val="tx1"/>
            </w14:solidFill>
          </w14:textFill>
        </w:rPr>
        <w:t>与</w:t>
      </w:r>
      <w:r>
        <w:rPr>
          <w:rFonts w:cs="Times New Roman"/>
          <w:bCs/>
          <w:color w:val="000000" w:themeColor="text1"/>
          <w:highlight w:val="none"/>
          <w14:textFill>
            <w14:solidFill>
              <w14:schemeClr w14:val="tx1"/>
            </w14:solidFill>
          </w14:textFill>
        </w:rPr>
        <w:t>废弃水基钻井泥浆</w:t>
      </w:r>
      <w:r>
        <w:rPr>
          <w:rFonts w:hint="eastAsia" w:cs="Times New Roman"/>
          <w:bCs/>
          <w:color w:val="000000" w:themeColor="text1"/>
          <w:highlight w:val="none"/>
          <w14:textFill>
            <w14:solidFill>
              <w14:schemeClr w14:val="tx1"/>
            </w14:solidFill>
          </w14:textFill>
        </w:rPr>
        <w:t>总量为2120.53m</w:t>
      </w:r>
      <w:r>
        <w:rPr>
          <w:rFonts w:cs="Times New Roman"/>
          <w:bCs/>
          <w:color w:val="000000" w:themeColor="text1"/>
          <w:highlight w:val="none"/>
          <w:vertAlign w:val="superscript"/>
          <w14:textFill>
            <w14:solidFill>
              <w14:schemeClr w14:val="tx1"/>
            </w14:solidFill>
          </w14:textFill>
        </w:rPr>
        <w:t>3</w:t>
      </w:r>
      <w:r>
        <w:rPr>
          <w:rFonts w:cs="Times New Roman"/>
          <w:color w:val="000000" w:themeColor="text1"/>
          <w:kern w:val="0"/>
          <w:highlight w:val="none"/>
          <w14:textFill>
            <w14:solidFill>
              <w14:schemeClr w14:val="tx1"/>
            </w14:solidFill>
          </w14:textFill>
        </w:rPr>
        <w:t>。</w:t>
      </w:r>
      <w:r>
        <w:rPr>
          <w:rFonts w:cs="Times New Roman"/>
          <w:color w:val="000000" w:themeColor="text1"/>
          <w:highlight w:val="none"/>
          <w14:textFill>
            <w14:solidFill>
              <w14:schemeClr w14:val="tx1"/>
            </w14:solidFill>
          </w14:textFill>
        </w:rPr>
        <w:t>根据统计资料经泥浆不落地装置处理后水基钻井固废容重约1.8t/m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，故</w:t>
      </w:r>
      <w:r>
        <w:rPr>
          <w:rFonts w:hint="eastAsia" w:cs="Times New Roman"/>
          <w:color w:val="000000" w:themeColor="text1"/>
          <w:highlight w:val="none"/>
          <w14:textFill>
            <w14:solidFill>
              <w14:schemeClr w14:val="tx1"/>
            </w14:solidFill>
          </w14:textFill>
        </w:rPr>
        <w:t>钻井</w:t>
      </w:r>
      <w:r>
        <w:rPr>
          <w:rFonts w:cs="Times New Roman"/>
          <w:color w:val="000000" w:themeColor="text1"/>
          <w:highlight w:val="none"/>
          <w14:textFill>
            <w14:solidFill>
              <w14:schemeClr w14:val="tx1"/>
            </w14:solidFill>
          </w14:textFill>
        </w:rPr>
        <w:t>岩屑和废弃泥浆产生量</w:t>
      </w:r>
      <w:r>
        <w:rPr>
          <w:rFonts w:hint="eastAsia" w:cs="Times New Roman"/>
          <w:color w:val="000000" w:themeColor="text1"/>
          <w:highlight w:val="none"/>
          <w14:textFill>
            <w14:solidFill>
              <w14:schemeClr w14:val="tx1"/>
            </w14:solidFill>
          </w14:textFill>
        </w:rPr>
        <w:t>共计</w:t>
      </w:r>
      <w:r>
        <w:rPr>
          <w:rFonts w:cs="Times New Roman"/>
          <w:color w:val="000000" w:themeColor="text1"/>
          <w:highlight w:val="none"/>
          <w14:textFill>
            <w14:solidFill>
              <w14:schemeClr w14:val="tx1"/>
            </w14:solidFill>
          </w14:textFill>
        </w:rPr>
        <w:t>约</w:t>
      </w:r>
      <w:r>
        <w:rPr>
          <w:rFonts w:hint="eastAsia" w:cs="Times New Roman"/>
          <w:color w:val="000000" w:themeColor="text1"/>
          <w:highlight w:val="none"/>
          <w14:textFill>
            <w14:solidFill>
              <w14:schemeClr w14:val="tx1"/>
            </w14:solidFill>
          </w14:textFill>
        </w:rPr>
        <w:t>3816.95t，</w:t>
      </w:r>
      <w:r>
        <w:rPr>
          <w:rFonts w:cs="Times New Roman"/>
          <w:color w:val="000000" w:themeColor="text1"/>
          <w:highlight w:val="none"/>
          <w14:textFill>
            <w14:solidFill>
              <w14:schemeClr w14:val="tx1"/>
            </w14:solidFill>
          </w14:textFill>
        </w:rPr>
        <w:t>其性质为第Ⅱ类一般工业固体废物。</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水基钻井阶段</w:t>
      </w:r>
      <w:r>
        <w:rPr>
          <w:rFonts w:cs="Times New Roman"/>
          <w:color w:val="000000" w:themeColor="text1"/>
          <w:szCs w:val="24"/>
          <w:highlight w:val="none"/>
          <w14:textFill>
            <w14:solidFill>
              <w14:schemeClr w14:val="tx1"/>
            </w14:solidFill>
          </w14:textFill>
        </w:rPr>
        <w:t>废弃泥浆和岩屑在钻井现场经泥浆不落地工艺经脱稳-板框压滤进行固液分离后产生的固态</w:t>
      </w:r>
      <w:r>
        <w:rPr>
          <w:rFonts w:cs="Times New Roman"/>
          <w:bCs/>
          <w:color w:val="000000" w:themeColor="text1"/>
          <w:szCs w:val="24"/>
          <w:highlight w:val="none"/>
          <w14:textFill>
            <w14:solidFill>
              <w14:schemeClr w14:val="tx1"/>
            </w14:solidFill>
          </w14:textFill>
        </w:rPr>
        <w:t>钻井固废</w:t>
      </w:r>
      <w:r>
        <w:rPr>
          <w:rFonts w:cs="Times New Roman"/>
          <w:color w:val="000000" w:themeColor="text1"/>
          <w:szCs w:val="24"/>
          <w:highlight w:val="none"/>
          <w14:textFill>
            <w14:solidFill>
              <w14:schemeClr w14:val="tx1"/>
            </w14:solidFill>
          </w14:textFill>
        </w:rPr>
        <w:t>，主要成分为废钻井泥浆、岩屑、无机盐、普通有机聚合物，本项目钻井泥浆为水基钻井泥浆，不添加重金属等，不具有危险特性，依据《一般工业固体废物贮存和填埋污染控制标准》（GB18599-2020）的相关规定，本项目水基岩屑和泥浆属于第Ⅱ类一般工业固体废物，完井后及时就近交给依法取得生态环境部门关于利用和处置相关工业固体废物项目环评批复、具有处理处置相应固体废物能力并配套建设有废气、废水、固废等污染物治理设施的单位进行资源化利用。</w:t>
      </w:r>
      <w:r>
        <w:rPr>
          <w:color w:val="000000" w:themeColor="text1"/>
          <w:szCs w:val="24"/>
          <w:highlight w:val="none"/>
          <w14:textFill>
            <w14:solidFill>
              <w14:schemeClr w14:val="tx1"/>
            </w14:solidFill>
          </w14:textFill>
        </w:rPr>
        <w:t>同时对</w:t>
      </w:r>
      <w:r>
        <w:rPr>
          <w:rFonts w:hint="eastAsia"/>
          <w:color w:val="000000" w:themeColor="text1"/>
          <w:szCs w:val="24"/>
          <w:highlight w:val="none"/>
          <w14:textFill>
            <w14:solidFill>
              <w14:schemeClr w14:val="tx1"/>
            </w14:solidFill>
          </w14:textFill>
        </w:rPr>
        <w:t>钻井固废暂存区</w:t>
      </w:r>
      <w:r>
        <w:rPr>
          <w:color w:val="000000" w:themeColor="text1"/>
          <w:szCs w:val="24"/>
          <w:highlight w:val="none"/>
          <w14:textFill>
            <w14:solidFill>
              <w14:schemeClr w14:val="tx1"/>
            </w14:solidFill>
          </w14:textFill>
        </w:rPr>
        <w:t>进行防渗，设置雨棚及排水沟。通过以上措施，</w:t>
      </w:r>
      <w:r>
        <w:rPr>
          <w:color w:val="000000" w:themeColor="text1"/>
          <w:highlight w:val="none"/>
          <w14:textFill>
            <w14:solidFill>
              <w14:schemeClr w14:val="tx1"/>
            </w14:solidFill>
          </w14:textFill>
        </w:rPr>
        <w:t>水基钻井固废</w:t>
      </w:r>
      <w:r>
        <w:rPr>
          <w:color w:val="000000" w:themeColor="text1"/>
          <w:szCs w:val="24"/>
          <w:highlight w:val="none"/>
          <w14:textFill>
            <w14:solidFill>
              <w14:schemeClr w14:val="tx1"/>
            </w14:solidFill>
          </w14:textFill>
        </w:rPr>
        <w:t>全部综合利用，完钻后现场无遗留</w:t>
      </w:r>
      <w:r>
        <w:rPr>
          <w:rFonts w:cs="Times New Roman"/>
          <w:color w:val="000000" w:themeColor="text1"/>
          <w:szCs w:val="24"/>
          <w:highlight w:val="none"/>
          <w14:textFill>
            <w14:solidFill>
              <w14:schemeClr w14:val="tx1"/>
            </w14:solidFill>
          </w14:textFill>
        </w:rPr>
        <w:t>。</w:t>
      </w:r>
    </w:p>
    <w:p>
      <w:pPr>
        <w:ind w:firstLine="482"/>
        <w:rPr>
          <w:rFonts w:cs="Times New Roman"/>
          <w:b/>
          <w:bCs/>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3</w:t>
      </w:r>
      <w:r>
        <w:rPr>
          <w:rFonts w:cs="Times New Roman"/>
          <w:b/>
          <w:bCs/>
          <w:color w:val="000000" w:themeColor="text1"/>
          <w:highlight w:val="none"/>
          <w14:textFill>
            <w14:solidFill>
              <w14:schemeClr w14:val="tx1"/>
            </w14:solidFill>
          </w14:textFill>
        </w:rPr>
        <w:t>）</w:t>
      </w:r>
      <w:r>
        <w:rPr>
          <w:rFonts w:hint="eastAsia" w:cs="Times New Roman"/>
          <w:b/>
          <w:bCs/>
          <w:color w:val="000000" w:themeColor="text1"/>
          <w:highlight w:val="none"/>
          <w14:textFill>
            <w14:solidFill>
              <w14:schemeClr w14:val="tx1"/>
            </w14:solidFill>
          </w14:textFill>
        </w:rPr>
        <w:t>油</w:t>
      </w:r>
      <w:r>
        <w:rPr>
          <w:rFonts w:cs="Times New Roman"/>
          <w:b/>
          <w:bCs/>
          <w:color w:val="000000" w:themeColor="text1"/>
          <w:highlight w:val="none"/>
          <w14:textFill>
            <w14:solidFill>
              <w14:schemeClr w14:val="tx1"/>
            </w14:solidFill>
          </w14:textFill>
        </w:rPr>
        <w:t>基钻井</w:t>
      </w:r>
      <w:r>
        <w:rPr>
          <w:rFonts w:hint="eastAsia" w:cs="Times New Roman"/>
          <w:b/>
          <w:bCs/>
          <w:color w:val="000000" w:themeColor="text1"/>
          <w:highlight w:val="none"/>
          <w14:textFill>
            <w14:solidFill>
              <w14:schemeClr w14:val="tx1"/>
            </w14:solidFill>
          </w14:textFill>
        </w:rPr>
        <w:t>阶段</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本项目三开采用</w:t>
      </w:r>
      <w:r>
        <w:rPr>
          <w:rFonts w:hint="eastAsia" w:cs="Times New Roman"/>
          <w:color w:val="000000" w:themeColor="text1"/>
          <w:kern w:val="0"/>
          <w:szCs w:val="24"/>
          <w:highlight w:val="none"/>
          <w:lang w:eastAsia="zh-CN"/>
          <w14:textFill>
            <w14:solidFill>
              <w14:schemeClr w14:val="tx1"/>
            </w14:solidFill>
          </w14:textFill>
        </w:rPr>
        <w:t>***</w:t>
      </w:r>
      <w:r>
        <w:rPr>
          <w:rFonts w:hint="eastAsia" w:cs="Times New Roman"/>
          <w:color w:val="000000" w:themeColor="text1"/>
          <w:kern w:val="0"/>
          <w:szCs w:val="24"/>
          <w:highlight w:val="none"/>
          <w14:textFill>
            <w14:solidFill>
              <w14:schemeClr w14:val="tx1"/>
            </w14:solidFill>
          </w14:textFill>
        </w:rPr>
        <w:t>钻井液（若三开钻遇特地层，则采用油基钻井液）液</w:t>
      </w:r>
      <w:r>
        <w:rPr>
          <w:rFonts w:cs="Times New Roman"/>
          <w:color w:val="000000" w:themeColor="text1"/>
          <w:kern w:val="0"/>
          <w:szCs w:val="24"/>
          <w:highlight w:val="none"/>
          <w14:textFill>
            <w14:solidFill>
              <w14:schemeClr w14:val="tx1"/>
            </w14:solidFill>
          </w14:textFill>
        </w:rPr>
        <w:t>，根据上述计算公式可知，油基岩屑的产生量约为</w:t>
      </w:r>
      <w:r>
        <w:rPr>
          <w:rFonts w:hint="eastAsia" w:cs="Times New Roman"/>
          <w:color w:val="000000" w:themeColor="text1"/>
          <w:kern w:val="0"/>
          <w:szCs w:val="24"/>
          <w:highlight w:val="none"/>
          <w14:textFill>
            <w14:solidFill>
              <w14:schemeClr w14:val="tx1"/>
            </w14:solidFill>
          </w14:textFill>
        </w:rPr>
        <w:t>462.37m</w:t>
      </w:r>
      <w:r>
        <w:rPr>
          <w:rFonts w:cs="Times New Roman"/>
          <w:color w:val="000000" w:themeColor="text1"/>
          <w:kern w:val="0"/>
          <w:szCs w:val="24"/>
          <w:highlight w:val="none"/>
          <w:vertAlign w:val="superscript"/>
          <w14:textFill>
            <w14:solidFill>
              <w14:schemeClr w14:val="tx1"/>
            </w14:solidFill>
          </w14:textFill>
        </w:rPr>
        <w:t>3</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最大废弃油基钻井泥浆</w:t>
      </w:r>
      <w:r>
        <w:rPr>
          <w:rFonts w:hint="eastAsia" w:cs="Times New Roman"/>
          <w:bCs/>
          <w:color w:val="000000" w:themeColor="text1"/>
          <w:highlight w:val="none"/>
          <w14:textFill>
            <w14:solidFill>
              <w14:schemeClr w14:val="tx1"/>
            </w14:solidFill>
          </w14:textFill>
        </w:rPr>
        <w:t>150m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kern w:val="0"/>
          <w:highlight w:val="none"/>
          <w14:textFill>
            <w14:solidFill>
              <w14:schemeClr w14:val="tx1"/>
            </w14:solidFill>
          </w14:textFill>
        </w:rPr>
        <w:t>（三开段</w:t>
      </w:r>
      <w:r>
        <w:rPr>
          <w:rFonts w:cs="Times New Roman"/>
          <w:bCs/>
          <w:color w:val="000000" w:themeColor="text1"/>
          <w:kern w:val="0"/>
          <w:highlight w:val="none"/>
          <w14:textFill>
            <w14:solidFill>
              <w14:schemeClr w14:val="tx1"/>
            </w14:solidFill>
          </w14:textFill>
        </w:rPr>
        <w:t>油基钻井液最大使用量为</w:t>
      </w:r>
      <w:r>
        <w:rPr>
          <w:rFonts w:hint="eastAsia" w:cs="Times New Roman"/>
          <w:bCs/>
          <w:color w:val="000000" w:themeColor="text1"/>
          <w:kern w:val="0"/>
          <w:highlight w:val="none"/>
          <w14:textFill>
            <w14:solidFill>
              <w14:schemeClr w14:val="tx1"/>
            </w14:solidFill>
          </w14:textFill>
        </w:rPr>
        <w:t>1500</w:t>
      </w:r>
      <w:r>
        <w:rPr>
          <w:rFonts w:cs="Times New Roman"/>
          <w:bCs/>
          <w:color w:val="000000" w:themeColor="text1"/>
          <w:kern w:val="0"/>
          <w:highlight w:val="none"/>
          <w14:textFill>
            <w14:solidFill>
              <w14:schemeClr w14:val="tx1"/>
            </w14:solidFill>
          </w14:textFill>
        </w:rPr>
        <w:t>m</w:t>
      </w:r>
      <w:r>
        <w:rPr>
          <w:rFonts w:cs="Times New Roman"/>
          <w:bCs/>
          <w:color w:val="000000" w:themeColor="text1"/>
          <w:kern w:val="0"/>
          <w:highlight w:val="none"/>
          <w:vertAlign w:val="superscript"/>
          <w14:textFill>
            <w14:solidFill>
              <w14:schemeClr w14:val="tx1"/>
            </w14:solidFill>
          </w14:textFill>
        </w:rPr>
        <w:t>3</w:t>
      </w:r>
      <w:r>
        <w:rPr>
          <w:rFonts w:cs="Times New Roman"/>
          <w:color w:val="000000" w:themeColor="text1"/>
          <w:kern w:val="0"/>
          <w:highlight w:val="none"/>
          <w14:textFill>
            <w14:solidFill>
              <w14:schemeClr w14:val="tx1"/>
            </w14:solidFill>
          </w14:textFill>
        </w:rPr>
        <w:t>）</w:t>
      </w:r>
      <w:r>
        <w:rPr>
          <w:rFonts w:cs="Times New Roman"/>
          <w:color w:val="000000" w:themeColor="text1"/>
          <w:highlight w:val="none"/>
          <w14:textFill>
            <w14:solidFill>
              <w14:schemeClr w14:val="tx1"/>
            </w14:solidFill>
          </w14:textFill>
        </w:rPr>
        <w:t>，则</w:t>
      </w:r>
      <w:r>
        <w:rPr>
          <w:rFonts w:hint="eastAsia" w:cs="Times New Roman"/>
          <w:color w:val="000000" w:themeColor="text1"/>
          <w:highlight w:val="none"/>
          <w14:textFill>
            <w14:solidFill>
              <w14:schemeClr w14:val="tx1"/>
            </w14:solidFill>
          </w14:textFill>
        </w:rPr>
        <w:t>废弃油基钻井泥浆与油基岩屑</w:t>
      </w:r>
      <w:r>
        <w:rPr>
          <w:rFonts w:cs="Times New Roman"/>
          <w:color w:val="000000" w:themeColor="text1"/>
          <w:highlight w:val="none"/>
          <w14:textFill>
            <w14:solidFill>
              <w14:schemeClr w14:val="tx1"/>
            </w14:solidFill>
          </w14:textFill>
        </w:rPr>
        <w:t>产生量约为</w:t>
      </w:r>
      <w:r>
        <w:rPr>
          <w:rFonts w:hint="eastAsia" w:cs="Times New Roman"/>
          <w:color w:val="000000" w:themeColor="text1"/>
          <w:highlight w:val="none"/>
          <w14:textFill>
            <w14:solidFill>
              <w14:schemeClr w14:val="tx1"/>
            </w14:solidFill>
          </w14:textFill>
        </w:rPr>
        <w:t>612.37m</w:t>
      </w:r>
      <w:r>
        <w:rPr>
          <w:rFonts w:cs="Times New Roman"/>
          <w:color w:val="000000" w:themeColor="text1"/>
          <w:highlight w:val="none"/>
          <w:vertAlign w:val="superscript"/>
          <w14:textFill>
            <w14:solidFill>
              <w14:schemeClr w14:val="tx1"/>
            </w14:solidFill>
          </w14:textFill>
        </w:rPr>
        <w:t>3</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根据建设单位统计资料油基钻井固废容重约1.3～1.5t/m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，本次评价保守取1.5 t/m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，故岩屑和废弃泥浆产生量约</w:t>
      </w:r>
      <w:r>
        <w:rPr>
          <w:rFonts w:hint="eastAsia" w:cs="Times New Roman"/>
          <w:color w:val="000000" w:themeColor="text1"/>
          <w:highlight w:val="none"/>
          <w14:textFill>
            <w14:solidFill>
              <w14:schemeClr w14:val="tx1"/>
            </w14:solidFill>
          </w14:textFill>
        </w:rPr>
        <w:t>918.56</w:t>
      </w:r>
      <w:r>
        <w:rPr>
          <w:rFonts w:cs="Times New Roman"/>
          <w:color w:val="000000" w:themeColor="text1"/>
          <w:highlight w:val="none"/>
          <w14:textFill>
            <w14:solidFill>
              <w14:schemeClr w14:val="tx1"/>
            </w14:solidFill>
          </w14:textFill>
        </w:rPr>
        <w:t>t。</w:t>
      </w:r>
    </w:p>
    <w:p>
      <w:pPr>
        <w:widowControl/>
        <w:ind w:firstLine="480"/>
        <w:rPr>
          <w:rFonts w:ascii="Calibri" w:hAnsi="Calibri" w:cs="Times New Roman"/>
          <w:color w:val="000000" w:themeColor="text1"/>
          <w:kern w:val="0"/>
          <w:szCs w:val="24"/>
          <w:highlight w:val="none"/>
          <w14:textFill>
            <w14:solidFill>
              <w14:schemeClr w14:val="tx1"/>
            </w14:solidFill>
          </w14:textFill>
        </w:rPr>
      </w:pPr>
      <w:r>
        <w:rPr>
          <w:rFonts w:cs="Times New Roman"/>
          <w:color w:val="000000" w:themeColor="text1"/>
          <w:kern w:val="0"/>
          <w:highlight w:val="none"/>
          <w14:textFill>
            <w14:solidFill>
              <w14:schemeClr w14:val="tx1"/>
            </w14:solidFill>
          </w14:textFill>
        </w:rPr>
        <w:t>油基钻井废泥浆、岩屑暂存于新建的</w:t>
      </w:r>
      <w:r>
        <w:rPr>
          <w:rFonts w:hint="eastAsia" w:cs="Times New Roman"/>
          <w:color w:val="000000" w:themeColor="text1"/>
          <w:kern w:val="0"/>
          <w:highlight w:val="none"/>
          <w14:textFill>
            <w14:solidFill>
              <w14:schemeClr w14:val="tx1"/>
            </w14:solidFill>
          </w14:textFill>
        </w:rPr>
        <w:t>60m</w:t>
      </w:r>
      <w:r>
        <w:rPr>
          <w:rFonts w:hint="eastAsia" w:cs="Times New Roman"/>
          <w:color w:val="000000" w:themeColor="text1"/>
          <w:kern w:val="0"/>
          <w:highlight w:val="none"/>
          <w:vertAlign w:val="superscript"/>
          <w14:textFill>
            <w14:solidFill>
              <w14:schemeClr w14:val="tx1"/>
            </w14:solidFill>
          </w14:textFill>
        </w:rPr>
        <w:t>2</w:t>
      </w:r>
      <w:r>
        <w:rPr>
          <w:rFonts w:cs="Times New Roman"/>
          <w:color w:val="000000" w:themeColor="text1"/>
          <w:kern w:val="0"/>
          <w:highlight w:val="none"/>
          <w14:textFill>
            <w14:solidFill>
              <w14:schemeClr w14:val="tx1"/>
            </w14:solidFill>
          </w14:textFill>
        </w:rPr>
        <w:t>危险废物暂存场所（采取必要的防风、防晒、防雨、防漏、防渗、防腐以及其他环境污染防治措施，不得露天堆放危险废物），</w:t>
      </w:r>
      <w:r>
        <w:rPr>
          <w:rFonts w:hint="eastAsia" w:cs="Times New Roman"/>
          <w:color w:val="000000" w:themeColor="text1"/>
          <w:kern w:val="0"/>
          <w:highlight w:val="none"/>
          <w14:textFill>
            <w14:solidFill>
              <w14:schemeClr w14:val="tx1"/>
            </w14:solidFill>
          </w14:textFill>
        </w:rPr>
        <w:t>油基</w:t>
      </w:r>
      <w:r>
        <w:rPr>
          <w:rFonts w:cs="Times New Roman"/>
          <w:color w:val="000000" w:themeColor="text1"/>
          <w:kern w:val="0"/>
          <w:highlight w:val="none"/>
          <w14:textFill>
            <w14:solidFill>
              <w14:schemeClr w14:val="tx1"/>
            </w14:solidFill>
          </w14:textFill>
        </w:rPr>
        <w:t>泥浆和油基钻井岩屑及时</w:t>
      </w:r>
      <w:r>
        <w:rPr>
          <w:rFonts w:hint="eastAsia" w:cs="Times New Roman"/>
          <w:color w:val="000000" w:themeColor="text1"/>
          <w:kern w:val="0"/>
          <w:highlight w:val="none"/>
          <w14:textFill>
            <w14:solidFill>
              <w14:schemeClr w14:val="tx1"/>
            </w14:solidFill>
          </w14:textFill>
        </w:rPr>
        <w:t>收集</w:t>
      </w:r>
      <w:r>
        <w:rPr>
          <w:rFonts w:cs="Times New Roman"/>
          <w:color w:val="000000" w:themeColor="text1"/>
          <w:kern w:val="0"/>
          <w:highlight w:val="none"/>
          <w14:textFill>
            <w14:solidFill>
              <w14:schemeClr w14:val="tx1"/>
            </w14:solidFill>
          </w14:textFill>
        </w:rPr>
        <w:t>后交由有资质的单位处置。</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3）废油</w:t>
      </w:r>
      <w:r>
        <w:rPr>
          <w:rFonts w:hint="eastAsia" w:cs="Times New Roman"/>
          <w:b/>
          <w:bCs/>
          <w:color w:val="000000" w:themeColor="text1"/>
          <w:highlight w:val="none"/>
          <w14:textFill>
            <w14:solidFill>
              <w14:schemeClr w14:val="tx1"/>
            </w14:solidFill>
          </w14:textFill>
        </w:rPr>
        <w:t>、含油抹布和手套等</w:t>
      </w:r>
      <w:r>
        <w:rPr>
          <w:rFonts w:cs="Times New Roman"/>
          <w:b/>
          <w:bCs/>
          <w:color w:val="000000" w:themeColor="text1"/>
          <w:highlight w:val="none"/>
          <w14:textFill>
            <w14:solidFill>
              <w14:schemeClr w14:val="tx1"/>
            </w14:solidFill>
          </w14:textFill>
        </w:rPr>
        <w:t>含油固废</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钻井过程废油主要来源为：a、机械（泥浆泵、转盘、链条等）润滑废油；b、液压控制管线刺漏，如液压大钳、封井器及液压表传压管线刺漏；c、清洗、保养产生的废油，如更换柴油机零部件和</w:t>
      </w:r>
      <w:r>
        <w:rPr>
          <w:rFonts w:hint="eastAsia" w:cs="Times New Roman"/>
          <w:color w:val="000000" w:themeColor="text1"/>
          <w:highlight w:val="none"/>
          <w14:textFill>
            <w14:solidFill>
              <w14:schemeClr w14:val="tx1"/>
            </w14:solidFill>
          </w14:textFill>
        </w:rPr>
        <w:t>清洗</w:t>
      </w:r>
      <w:r>
        <w:rPr>
          <w:rFonts w:cs="Times New Roman"/>
          <w:color w:val="000000" w:themeColor="text1"/>
          <w:highlight w:val="none"/>
          <w14:textFill>
            <w14:solidFill>
              <w14:schemeClr w14:val="tx1"/>
            </w14:solidFill>
          </w14:textFill>
        </w:rPr>
        <w:t>钻具、套管时产生的废油。钻井产生的废油用废油桶收集，根据类比和现场调查，</w:t>
      </w:r>
      <w:r>
        <w:rPr>
          <w:rFonts w:hint="eastAsia" w:cs="Times New Roman"/>
          <w:color w:val="000000" w:themeColor="text1"/>
          <w:highlight w:val="none"/>
          <w14:textFill>
            <w14:solidFill>
              <w14:schemeClr w14:val="tx1"/>
            </w14:solidFill>
          </w14:textFill>
        </w:rPr>
        <w:t>本项目</w:t>
      </w:r>
      <w:r>
        <w:rPr>
          <w:rFonts w:cs="Times New Roman"/>
          <w:color w:val="000000" w:themeColor="text1"/>
          <w:highlight w:val="none"/>
          <w14:textFill>
            <w14:solidFill>
              <w14:schemeClr w14:val="tx1"/>
            </w14:solidFill>
          </w14:textFill>
        </w:rPr>
        <w:t>废油产生总量约0.7m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。废油</w:t>
      </w:r>
      <w:r>
        <w:rPr>
          <w:rFonts w:hint="eastAsia" w:cs="Times New Roman"/>
          <w:color w:val="000000" w:themeColor="text1"/>
          <w:highlight w:val="none"/>
          <w14:textFill>
            <w14:solidFill>
              <w14:schemeClr w14:val="tx1"/>
            </w14:solidFill>
          </w14:textFill>
        </w:rPr>
        <w:t>以及工人施工产生的废含油抹布和手套</w:t>
      </w:r>
      <w:r>
        <w:rPr>
          <w:rFonts w:cs="Times New Roman"/>
          <w:color w:val="000000" w:themeColor="text1"/>
          <w:highlight w:val="none"/>
          <w14:textFill>
            <w14:solidFill>
              <w14:schemeClr w14:val="tx1"/>
            </w14:solidFill>
          </w14:textFill>
        </w:rPr>
        <w:t>由回收桶</w:t>
      </w:r>
      <w:r>
        <w:rPr>
          <w:rFonts w:hint="eastAsia" w:cs="Times New Roman"/>
          <w:color w:val="000000" w:themeColor="text1"/>
          <w:highlight w:val="none"/>
          <w14:textFill>
            <w14:solidFill>
              <w14:schemeClr w14:val="tx1"/>
            </w14:solidFill>
          </w14:textFill>
        </w:rPr>
        <w:t>分类</w:t>
      </w:r>
      <w:r>
        <w:rPr>
          <w:rFonts w:cs="Times New Roman"/>
          <w:color w:val="000000" w:themeColor="text1"/>
          <w:highlight w:val="none"/>
          <w14:textFill>
            <w14:solidFill>
              <w14:schemeClr w14:val="tx1"/>
            </w14:solidFill>
          </w14:textFill>
        </w:rPr>
        <w:t>收集，暂存于泥浆不落地装置区临时堆放区内，并采取防扬散、防流失、防渗漏或者其他防止污染环境的措施，</w:t>
      </w:r>
      <w:r>
        <w:rPr>
          <w:rFonts w:hint="eastAsia" w:cs="Times New Roman"/>
          <w:color w:val="000000" w:themeColor="text1"/>
          <w:highlight w:val="none"/>
          <w14:textFill>
            <w14:solidFill>
              <w14:schemeClr w14:val="tx1"/>
            </w14:solidFill>
          </w14:textFill>
        </w:rPr>
        <w:t>暂存废油的废油桶</w:t>
      </w:r>
      <w:r>
        <w:rPr>
          <w:rFonts w:cs="Times New Roman"/>
          <w:color w:val="000000" w:themeColor="text1"/>
          <w:highlight w:val="none"/>
          <w14:textFill>
            <w14:solidFill>
              <w14:schemeClr w14:val="tx1"/>
            </w14:solidFill>
          </w14:textFill>
        </w:rPr>
        <w:t>设置围堰或托盘</w:t>
      </w:r>
      <w:r>
        <w:rPr>
          <w:rFonts w:hint="eastAsia" w:cs="Times New Roman"/>
          <w:color w:val="000000" w:themeColor="text1"/>
          <w:highlight w:val="none"/>
          <w14:textFill>
            <w14:solidFill>
              <w14:schemeClr w14:val="tx1"/>
            </w14:solidFill>
          </w14:textFill>
        </w:rPr>
        <w:t>。由于钻井固废暂存区主要堆放钻井固废，钻井固废产生量和暂存量较大，难以分区暂存本项目产生的废油，同时在确定使用油基泥浆钻井前钻井固废暂存区未严格按照危废暂存场所建设，因此将</w:t>
      </w:r>
      <w:r>
        <w:rPr>
          <w:rFonts w:cs="Times New Roman"/>
          <w:color w:val="000000" w:themeColor="text1"/>
          <w:highlight w:val="none"/>
          <w14:textFill>
            <w14:solidFill>
              <w14:schemeClr w14:val="tx1"/>
            </w14:solidFill>
          </w14:textFill>
        </w:rPr>
        <w:t>废油桶暂存于</w:t>
      </w:r>
      <w:r>
        <w:rPr>
          <w:rFonts w:hint="eastAsia" w:cs="Times New Roman"/>
          <w:color w:val="000000" w:themeColor="text1"/>
          <w:highlight w:val="none"/>
          <w14:textFill>
            <w14:solidFill>
              <w14:schemeClr w14:val="tx1"/>
            </w14:solidFill>
          </w14:textFill>
        </w:rPr>
        <w:t>做了重点防渗且污染防控措施完善、有足够空间的</w:t>
      </w:r>
      <w:r>
        <w:rPr>
          <w:rFonts w:cs="Times New Roman"/>
          <w:color w:val="000000" w:themeColor="text1"/>
          <w:highlight w:val="none"/>
          <w14:textFill>
            <w14:solidFill>
              <w14:schemeClr w14:val="tx1"/>
            </w14:solidFill>
          </w14:textFill>
        </w:rPr>
        <w:t>泥浆不落地装置区临时堆放区内，</w:t>
      </w:r>
      <w:r>
        <w:rPr>
          <w:rFonts w:hint="eastAsia"/>
          <w:color w:val="000000" w:themeColor="text1"/>
          <w:highlight w:val="none"/>
          <w14:textFill>
            <w14:solidFill>
              <w14:schemeClr w14:val="tx1"/>
            </w14:solidFill>
          </w14:textFill>
        </w:rPr>
        <w:t>临时堆放区与其他区域分区设置，</w:t>
      </w:r>
      <w:r>
        <w:rPr>
          <w:rFonts w:cs="Times New Roman"/>
          <w:color w:val="000000" w:themeColor="text1"/>
          <w:highlight w:val="none"/>
          <w14:textFill>
            <w14:solidFill>
              <w14:schemeClr w14:val="tx1"/>
            </w14:solidFill>
          </w14:textFill>
        </w:rPr>
        <w:t>并做好</w:t>
      </w:r>
      <w:bookmarkStart w:id="192" w:name="_Hlk92724012"/>
      <w:r>
        <w:rPr>
          <w:rFonts w:hint="eastAsia" w:ascii="宋体" w:hAnsi="宋体" w:cs="宋体"/>
          <w:color w:val="000000" w:themeColor="text1"/>
          <w:kern w:val="0"/>
          <w:highlight w:val="none"/>
          <w14:textFill>
            <w14:solidFill>
              <w14:schemeClr w14:val="tx1"/>
            </w14:solidFill>
          </w14:textFill>
        </w:rPr>
        <w:t>防风、防晒、防雨、防漏、防渗、防腐以及其他环境污染防治措施</w:t>
      </w:r>
      <w:bookmarkEnd w:id="192"/>
      <w:r>
        <w:rPr>
          <w:rFonts w:cs="Times New Roman"/>
          <w:color w:val="000000" w:themeColor="text1"/>
          <w:highlight w:val="none"/>
          <w14:textFill>
            <w14:solidFill>
              <w14:schemeClr w14:val="tx1"/>
            </w14:solidFill>
          </w14:textFill>
        </w:rPr>
        <w:t>，暂存期间做好废油管理记录，通过擦拭站场设备、原料添加、放喷点火等方式回收综合利用，根据类比调查井站产生废油能在井站内全部综合利用。若因为个别特殊情况存在不能综合利用的废油，则和擦拭站场设备产生的</w:t>
      </w:r>
      <w:r>
        <w:rPr>
          <w:rFonts w:hint="eastAsia" w:cs="Times New Roman"/>
          <w:color w:val="000000" w:themeColor="text1"/>
          <w:highlight w:val="none"/>
          <w14:textFill>
            <w14:solidFill>
              <w14:schemeClr w14:val="tx1"/>
            </w14:solidFill>
          </w14:textFill>
        </w:rPr>
        <w:t>含油抹布和手套</w:t>
      </w:r>
      <w:r>
        <w:rPr>
          <w:rFonts w:cs="Times New Roman"/>
          <w:color w:val="000000" w:themeColor="text1"/>
          <w:highlight w:val="none"/>
          <w14:textFill>
            <w14:solidFill>
              <w14:schemeClr w14:val="tx1"/>
            </w14:solidFill>
          </w14:textFill>
        </w:rPr>
        <w:t>其他含油固废交由有资质的单位处理。</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4）废包装材料</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本项目产生的废包装材料约为2.0t，</w:t>
      </w:r>
      <w:r>
        <w:rPr>
          <w:rFonts w:hint="eastAsia" w:cs="Times New Roman"/>
          <w:color w:val="000000" w:themeColor="text1"/>
          <w:highlight w:val="none"/>
          <w14:textFill>
            <w14:solidFill>
              <w14:schemeClr w14:val="tx1"/>
            </w14:solidFill>
          </w14:textFill>
        </w:rPr>
        <w:t>集中收集后</w:t>
      </w:r>
      <w:r>
        <w:rPr>
          <w:rFonts w:cs="Times New Roman"/>
          <w:color w:val="000000" w:themeColor="text1"/>
          <w:highlight w:val="none"/>
          <w14:textFill>
            <w14:solidFill>
              <w14:schemeClr w14:val="tx1"/>
            </w14:solidFill>
          </w14:textFill>
        </w:rPr>
        <w:t>施工队自己回用部分，剩余的送当地废品回收站处理。</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5）生活垃圾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生活垃圾来源于钻井施工作业人员的生活，一个井队按45人计，每人每天产生的生活垃圾按0.5kg/d计算，则生活垃圾的产生量约为22.5kg/d。井场设置垃圾坑收集，定期按井场所在地环卫部门相关要求实施统一妥善处置。</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此外，完井搬迁时可能产生少量建筑垃圾，主要如包装袋，废弃建筑材料等，其量小，由施工队伍统一收集清运至政府指定地方</w:t>
      </w:r>
      <w:r>
        <w:rPr>
          <w:rFonts w:cs="Times New Roman"/>
          <w:color w:val="000000" w:themeColor="text1"/>
          <w:szCs w:val="24"/>
          <w:highlight w:val="none"/>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本项目钻井工程危险废物产生量见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_Ref142593522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8</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93" w:name="_Ref14259352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bookmarkEnd w:id="19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钻井工程危险废物汇总表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2"/>
        <w:gridCol w:w="567"/>
        <w:gridCol w:w="709"/>
        <w:gridCol w:w="567"/>
        <w:gridCol w:w="992"/>
        <w:gridCol w:w="567"/>
        <w:gridCol w:w="709"/>
        <w:gridCol w:w="709"/>
        <w:gridCol w:w="709"/>
        <w:gridCol w:w="708"/>
        <w:gridCol w:w="1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名称</w:t>
            </w:r>
          </w:p>
        </w:tc>
        <w:tc>
          <w:tcPr>
            <w:tcW w:w="56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类别</w:t>
            </w:r>
          </w:p>
        </w:tc>
        <w:tc>
          <w:tcPr>
            <w:tcW w:w="70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代码</w:t>
            </w:r>
          </w:p>
        </w:tc>
        <w:tc>
          <w:tcPr>
            <w:tcW w:w="56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产生量</w:t>
            </w:r>
          </w:p>
        </w:tc>
        <w:tc>
          <w:tcPr>
            <w:tcW w:w="99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产生工序及装置</w:t>
            </w:r>
          </w:p>
        </w:tc>
        <w:tc>
          <w:tcPr>
            <w:tcW w:w="56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形态</w:t>
            </w:r>
          </w:p>
        </w:tc>
        <w:tc>
          <w:tcPr>
            <w:tcW w:w="70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主要成分</w:t>
            </w:r>
          </w:p>
        </w:tc>
        <w:tc>
          <w:tcPr>
            <w:tcW w:w="70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有害成分</w:t>
            </w:r>
          </w:p>
        </w:tc>
        <w:tc>
          <w:tcPr>
            <w:tcW w:w="70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产废周期</w:t>
            </w:r>
          </w:p>
        </w:tc>
        <w:tc>
          <w:tcPr>
            <w:tcW w:w="70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危险特性</w:t>
            </w:r>
          </w:p>
        </w:tc>
        <w:tc>
          <w:tcPr>
            <w:tcW w:w="142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tcMar>
              <w:left w:w="0" w:type="dxa"/>
              <w:right w:w="0"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废油、含油抹布和手套等含油固废</w:t>
            </w:r>
          </w:p>
        </w:tc>
        <w:tc>
          <w:tcPr>
            <w:tcW w:w="5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HW08</w:t>
            </w:r>
          </w:p>
        </w:tc>
        <w:tc>
          <w:tcPr>
            <w:tcW w:w="7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900-249-08</w:t>
            </w:r>
          </w:p>
        </w:tc>
        <w:tc>
          <w:tcPr>
            <w:tcW w:w="567"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钻井机具</w:t>
            </w:r>
          </w:p>
        </w:tc>
        <w:tc>
          <w:tcPr>
            <w:tcW w:w="5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半固态</w:t>
            </w:r>
          </w:p>
        </w:tc>
        <w:tc>
          <w:tcPr>
            <w:tcW w:w="7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废润滑油</w:t>
            </w:r>
          </w:p>
        </w:tc>
        <w:tc>
          <w:tcPr>
            <w:tcW w:w="7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润滑油</w:t>
            </w:r>
          </w:p>
        </w:tc>
        <w:tc>
          <w:tcPr>
            <w:tcW w:w="7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钻井期间</w:t>
            </w:r>
          </w:p>
        </w:tc>
        <w:tc>
          <w:tcPr>
            <w:tcW w:w="70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T/I</w:t>
            </w:r>
          </w:p>
        </w:tc>
        <w:tc>
          <w:tcPr>
            <w:tcW w:w="142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废油桶</w:t>
            </w:r>
            <w:r>
              <w:rPr>
                <w:rFonts w:hint="eastAsia"/>
                <w:color w:val="000000" w:themeColor="text1"/>
                <w:highlight w:val="none"/>
                <w14:textFill>
                  <w14:solidFill>
                    <w14:schemeClr w14:val="tx1"/>
                  </w14:solidFill>
                </w14:textFill>
              </w:rPr>
              <w:t>分类</w:t>
            </w:r>
            <w:r>
              <w:rPr>
                <w:color w:val="000000" w:themeColor="text1"/>
                <w:highlight w:val="none"/>
                <w14:textFill>
                  <w14:solidFill>
                    <w14:schemeClr w14:val="tx1"/>
                  </w14:solidFill>
                </w14:textFill>
              </w:rPr>
              <w:t>收集，暂存于泥浆不落地装置区临时堆放区内，钻井队综合利用，剩余的交由资质单位处置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tcMar>
              <w:left w:w="0" w:type="dxa"/>
              <w:right w:w="0" w:type="dxa"/>
            </w:tcMar>
            <w:vAlign w:val="center"/>
          </w:tcPr>
          <w:p>
            <w:pPr>
              <w:pStyle w:val="297"/>
              <w:rPr>
                <w:color w:val="000000" w:themeColor="text1"/>
                <w:highlight w:val="none"/>
                <w14:textFill>
                  <w14:solidFill>
                    <w14:schemeClr w14:val="tx1"/>
                  </w14:solidFill>
                </w14:textFill>
              </w:rPr>
            </w:pPr>
            <w:r>
              <w:rPr>
                <w:color w:val="000000" w:themeColor="text1"/>
                <w:kern w:val="0"/>
                <w:highlight w:val="none"/>
                <w14:textFill>
                  <w14:solidFill>
                    <w14:schemeClr w14:val="tx1"/>
                  </w14:solidFill>
                </w14:textFill>
              </w:rPr>
              <w:t>废</w:t>
            </w:r>
            <w:r>
              <w:rPr>
                <w:rFonts w:hint="eastAsia"/>
                <w:color w:val="000000" w:themeColor="text1"/>
                <w:kern w:val="0"/>
                <w:highlight w:val="none"/>
                <w14:textFill>
                  <w14:solidFill>
                    <w14:schemeClr w14:val="tx1"/>
                  </w14:solidFill>
                </w14:textFill>
              </w:rPr>
              <w:t>弃</w:t>
            </w:r>
            <w:r>
              <w:rPr>
                <w:color w:val="000000" w:themeColor="text1"/>
                <w:kern w:val="0"/>
                <w:highlight w:val="none"/>
                <w14:textFill>
                  <w14:solidFill>
                    <w14:schemeClr w14:val="tx1"/>
                  </w14:solidFill>
                </w14:textFill>
              </w:rPr>
              <w:t>油基</w:t>
            </w:r>
            <w:r>
              <w:rPr>
                <w:rFonts w:hint="eastAsia"/>
                <w:color w:val="000000" w:themeColor="text1"/>
                <w:kern w:val="0"/>
                <w:highlight w:val="none"/>
                <w14:textFill>
                  <w14:solidFill>
                    <w14:schemeClr w14:val="tx1"/>
                  </w14:solidFill>
                </w14:textFill>
              </w:rPr>
              <w:t>钻井</w:t>
            </w:r>
            <w:r>
              <w:rPr>
                <w:color w:val="000000" w:themeColor="text1"/>
                <w:kern w:val="0"/>
                <w:highlight w:val="none"/>
                <w14:textFill>
                  <w14:solidFill>
                    <w14:schemeClr w14:val="tx1"/>
                  </w14:solidFill>
                </w14:textFill>
              </w:rPr>
              <w:t>泥浆与油基岩屑</w:t>
            </w:r>
          </w:p>
        </w:tc>
        <w:tc>
          <w:tcPr>
            <w:tcW w:w="5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HW08</w:t>
            </w:r>
          </w:p>
        </w:tc>
        <w:tc>
          <w:tcPr>
            <w:tcW w:w="7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072-001-08</w:t>
            </w:r>
          </w:p>
        </w:tc>
        <w:tc>
          <w:tcPr>
            <w:tcW w:w="567"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612.37m</w:t>
            </w:r>
            <w:r>
              <w:rPr>
                <w:color w:val="000000" w:themeColor="text1"/>
                <w:highlight w:val="none"/>
                <w:vertAlign w:val="superscript"/>
                <w14:textFill>
                  <w14:solidFill>
                    <w14:schemeClr w14:val="tx1"/>
                  </w14:solidFill>
                </w14:textFill>
              </w:rPr>
              <w:t>3</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三开使用油基</w:t>
            </w:r>
            <w:r>
              <w:rPr>
                <w:rFonts w:hint="eastAsia"/>
                <w:color w:val="000000" w:themeColor="text1"/>
                <w:highlight w:val="none"/>
                <w14:textFill>
                  <w14:solidFill>
                    <w14:schemeClr w14:val="tx1"/>
                  </w14:solidFill>
                </w14:textFill>
              </w:rPr>
              <w:t>钻井时泥浆不落地装置</w:t>
            </w:r>
          </w:p>
        </w:tc>
        <w:tc>
          <w:tcPr>
            <w:tcW w:w="56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半固态</w:t>
            </w:r>
          </w:p>
        </w:tc>
        <w:tc>
          <w:tcPr>
            <w:tcW w:w="7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w:t>
            </w:r>
          </w:p>
        </w:tc>
        <w:tc>
          <w:tcPr>
            <w:tcW w:w="7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w:t>
            </w:r>
          </w:p>
        </w:tc>
        <w:tc>
          <w:tcPr>
            <w:tcW w:w="70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钻井期间</w:t>
            </w:r>
          </w:p>
        </w:tc>
        <w:tc>
          <w:tcPr>
            <w:tcW w:w="70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w:t>
            </w:r>
          </w:p>
        </w:tc>
        <w:tc>
          <w:tcPr>
            <w:tcW w:w="142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桶装暂存于60m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危险废物暂存场所，交由资质单位处置</w:t>
            </w:r>
          </w:p>
        </w:tc>
      </w:tr>
    </w:tbl>
    <w:p>
      <w:pPr>
        <w:spacing w:before="120"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平台危险废物贮存场所（设施）基本情况见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_Ref142593527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9</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94" w:name="_Ref14259352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bookmarkEnd w:id="194"/>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平台危险废物贮存场所（设施）基本情况一览表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506"/>
        <w:gridCol w:w="1450"/>
        <w:gridCol w:w="1033"/>
        <w:gridCol w:w="984"/>
        <w:gridCol w:w="813"/>
        <w:gridCol w:w="1137"/>
        <w:gridCol w:w="616"/>
        <w:gridCol w:w="600"/>
        <w:gridCol w:w="534"/>
        <w:gridCol w:w="5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506"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1450"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贮存场所（设施）名称</w:t>
            </w:r>
          </w:p>
        </w:tc>
        <w:tc>
          <w:tcPr>
            <w:tcW w:w="1033"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危险废物名称</w:t>
            </w:r>
          </w:p>
        </w:tc>
        <w:tc>
          <w:tcPr>
            <w:tcW w:w="984"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危险废物类别</w:t>
            </w:r>
          </w:p>
        </w:tc>
        <w:tc>
          <w:tcPr>
            <w:tcW w:w="813"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危险废物代码</w:t>
            </w:r>
          </w:p>
        </w:tc>
        <w:tc>
          <w:tcPr>
            <w:tcW w:w="1137"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位置</w:t>
            </w:r>
          </w:p>
        </w:tc>
        <w:tc>
          <w:tcPr>
            <w:tcW w:w="616"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占地面积</w:t>
            </w:r>
          </w:p>
        </w:tc>
        <w:tc>
          <w:tcPr>
            <w:tcW w:w="600"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贮存方式</w:t>
            </w:r>
          </w:p>
        </w:tc>
        <w:tc>
          <w:tcPr>
            <w:tcW w:w="534"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贮存能力</w:t>
            </w:r>
          </w:p>
        </w:tc>
        <w:tc>
          <w:tcPr>
            <w:tcW w:w="547"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0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45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油桶</w:t>
            </w:r>
          </w:p>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（2个）</w:t>
            </w:r>
          </w:p>
        </w:tc>
        <w:tc>
          <w:tcPr>
            <w:tcW w:w="103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废油</w:t>
            </w:r>
          </w:p>
        </w:tc>
        <w:tc>
          <w:tcPr>
            <w:tcW w:w="98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废矿物油与含矿物油废物</w:t>
            </w:r>
          </w:p>
        </w:tc>
        <w:tc>
          <w:tcPr>
            <w:tcW w:w="81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HW08</w:t>
            </w:r>
          </w:p>
        </w:tc>
        <w:tc>
          <w:tcPr>
            <w:tcW w:w="1137"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泥浆不落地装置区临时堆放区内</w:t>
            </w:r>
          </w:p>
        </w:tc>
        <w:tc>
          <w:tcPr>
            <w:tcW w:w="61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约2m</w:t>
            </w:r>
            <w:r>
              <w:rPr>
                <w:color w:val="000000" w:themeColor="text1"/>
                <w:highlight w:val="none"/>
                <w:vertAlign w:val="superscript"/>
                <w14:textFill>
                  <w14:solidFill>
                    <w14:schemeClr w14:val="tx1"/>
                  </w14:solidFill>
                </w14:textFill>
              </w:rPr>
              <w:t>2</w:t>
            </w:r>
          </w:p>
        </w:tc>
        <w:tc>
          <w:tcPr>
            <w:tcW w:w="60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集中贮存</w:t>
            </w:r>
          </w:p>
        </w:tc>
        <w:tc>
          <w:tcPr>
            <w:tcW w:w="53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约1m</w:t>
            </w:r>
            <w:r>
              <w:rPr>
                <w:color w:val="000000" w:themeColor="text1"/>
                <w:highlight w:val="none"/>
                <w:vertAlign w:val="superscript"/>
                <w14:textFill>
                  <w14:solidFill>
                    <w14:schemeClr w14:val="tx1"/>
                  </w14:solidFill>
                </w14:textFill>
              </w:rPr>
              <w:t>3</w:t>
            </w:r>
          </w:p>
        </w:tc>
        <w:tc>
          <w:tcPr>
            <w:tcW w:w="547"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0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45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油基岩屑吨桶（60个）</w:t>
            </w:r>
          </w:p>
        </w:tc>
        <w:tc>
          <w:tcPr>
            <w:tcW w:w="103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废弃油基钻井泥浆与油基岩屑</w:t>
            </w:r>
          </w:p>
        </w:tc>
        <w:tc>
          <w:tcPr>
            <w:tcW w:w="98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废矿物油与含矿物油废物</w:t>
            </w:r>
          </w:p>
        </w:tc>
        <w:tc>
          <w:tcPr>
            <w:tcW w:w="81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HW08</w:t>
            </w:r>
          </w:p>
        </w:tc>
        <w:tc>
          <w:tcPr>
            <w:tcW w:w="1137"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危险废物暂存场所</w:t>
            </w:r>
          </w:p>
        </w:tc>
        <w:tc>
          <w:tcPr>
            <w:tcW w:w="61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约60m</w:t>
            </w:r>
            <w:r>
              <w:rPr>
                <w:color w:val="000000" w:themeColor="text1"/>
                <w:highlight w:val="none"/>
                <w:vertAlign w:val="superscript"/>
                <w14:textFill>
                  <w14:solidFill>
                    <w14:schemeClr w14:val="tx1"/>
                  </w14:solidFill>
                </w14:textFill>
              </w:rPr>
              <w:t>2</w:t>
            </w:r>
          </w:p>
        </w:tc>
        <w:tc>
          <w:tcPr>
            <w:tcW w:w="600" w:type="dxa"/>
            <w:tcBorders>
              <w:top w:val="single" w:color="auto" w:sz="4" w:space="0"/>
              <w:left w:val="single" w:color="auto" w:sz="4" w:space="0"/>
              <w:bottom w:val="single" w:color="auto" w:sz="4" w:space="0"/>
              <w:right w:val="single" w:color="auto" w:sz="4" w:space="0"/>
            </w:tcBorders>
            <w:vAlign w:val="center"/>
          </w:tcPr>
          <w:p>
            <w:pPr>
              <w:pStyle w:val="255"/>
              <w:rPr>
                <w:color w:val="000000" w:themeColor="text1"/>
                <w:szCs w:val="20"/>
                <w:highlight w:val="none"/>
                <w14:textFill>
                  <w14:solidFill>
                    <w14:schemeClr w14:val="tx1"/>
                  </w14:solidFill>
                </w14:textFill>
              </w:rPr>
            </w:pPr>
            <w:r>
              <w:rPr>
                <w:rFonts w:cs="Times New Roman"/>
                <w:color w:val="000000" w:themeColor="text1"/>
                <w:highlight w:val="none"/>
                <w14:textFill>
                  <w14:solidFill>
                    <w14:schemeClr w14:val="tx1"/>
                  </w14:solidFill>
                </w14:textFill>
              </w:rPr>
              <w:t>集中</w:t>
            </w:r>
            <w:r>
              <w:rPr>
                <w:color w:val="000000" w:themeColor="text1"/>
                <w:szCs w:val="20"/>
                <w:highlight w:val="none"/>
                <w14:textFill>
                  <w14:solidFill>
                    <w14:schemeClr w14:val="tx1"/>
                  </w14:solidFill>
                </w14:textFill>
              </w:rPr>
              <w:t>贮存</w:t>
            </w:r>
          </w:p>
        </w:tc>
        <w:tc>
          <w:tcPr>
            <w:tcW w:w="53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约60m</w:t>
            </w:r>
            <w:r>
              <w:rPr>
                <w:color w:val="000000" w:themeColor="text1"/>
                <w:highlight w:val="none"/>
                <w:vertAlign w:val="superscript"/>
                <w14:textFill>
                  <w14:solidFill>
                    <w14:schemeClr w14:val="tx1"/>
                  </w14:solidFill>
                </w14:textFill>
              </w:rPr>
              <w:t>3</w:t>
            </w:r>
          </w:p>
        </w:tc>
        <w:tc>
          <w:tcPr>
            <w:tcW w:w="547"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3d</w:t>
            </w:r>
          </w:p>
        </w:tc>
      </w:tr>
    </w:tbl>
    <w:p>
      <w:pPr>
        <w:spacing w:before="120" w:beforeLines="50"/>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本项目固体废物产生量见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_Ref142593532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10</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95" w:name="_Ref14259353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bookmarkEnd w:id="195"/>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钻井工程固体废物产生及处置情况一览表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00"/>
        <w:gridCol w:w="939"/>
        <w:gridCol w:w="1921"/>
        <w:gridCol w:w="939"/>
        <w:gridCol w:w="853"/>
        <w:gridCol w:w="918"/>
        <w:gridCol w:w="912"/>
        <w:gridCol w:w="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0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固废种类</w:t>
            </w:r>
          </w:p>
        </w:tc>
        <w:tc>
          <w:tcPr>
            <w:tcW w:w="93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清水岩屑（m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192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水基钻井固废（t）</w:t>
            </w:r>
          </w:p>
        </w:tc>
        <w:tc>
          <w:tcPr>
            <w:tcW w:w="93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废包装材料（t）</w:t>
            </w:r>
          </w:p>
        </w:tc>
        <w:tc>
          <w:tcPr>
            <w:tcW w:w="85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生活垃圾</w:t>
            </w:r>
          </w:p>
        </w:tc>
        <w:tc>
          <w:tcPr>
            <w:tcW w:w="91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废油（m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912"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油基钻井固废</w:t>
            </w:r>
            <w:r>
              <w:rPr>
                <w:b/>
                <w:bCs/>
                <w:color w:val="000000" w:themeColor="text1"/>
                <w:highlight w:val="none"/>
                <w14:textFill>
                  <w14:solidFill>
                    <w14:schemeClr w14:val="tx1"/>
                  </w14:solidFill>
                </w14:textFill>
              </w:rPr>
              <w:t>（m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938"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含油抹布和手套等</w:t>
            </w:r>
            <w:r>
              <w:rPr>
                <w:b/>
                <w:bCs/>
                <w:color w:val="000000" w:themeColor="text1"/>
                <w:highlight w:val="none"/>
                <w14:textFill>
                  <w14:solidFill>
                    <w14:schemeClr w14:val="tx1"/>
                  </w14:solidFill>
                </w14:textFill>
              </w:rPr>
              <w:t>其他含油固废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00" w:type="dxa"/>
            <w:tcMar>
              <w:left w:w="0" w:type="dxa"/>
              <w:right w:w="0"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产生量</w:t>
            </w:r>
          </w:p>
        </w:tc>
        <w:tc>
          <w:tcPr>
            <w:tcW w:w="93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85.59</w:t>
            </w:r>
          </w:p>
        </w:tc>
        <w:tc>
          <w:tcPr>
            <w:tcW w:w="192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3816.95</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85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22.5kg/d</w:t>
            </w:r>
          </w:p>
        </w:tc>
        <w:tc>
          <w:tcPr>
            <w:tcW w:w="918"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p>
        </w:tc>
        <w:tc>
          <w:tcPr>
            <w:tcW w:w="912"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612.37</w:t>
            </w:r>
          </w:p>
        </w:tc>
        <w:tc>
          <w:tcPr>
            <w:tcW w:w="93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00" w:type="dxa"/>
            <w:tcMar>
              <w:left w:w="0" w:type="dxa"/>
              <w:right w:w="0" w:type="dxa"/>
            </w:tcMar>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性质</w:t>
            </w:r>
          </w:p>
        </w:tc>
        <w:tc>
          <w:tcPr>
            <w:tcW w:w="3799"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一般固废</w:t>
            </w:r>
          </w:p>
        </w:tc>
        <w:tc>
          <w:tcPr>
            <w:tcW w:w="853"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生活垃圾</w:t>
            </w:r>
          </w:p>
        </w:tc>
        <w:tc>
          <w:tcPr>
            <w:tcW w:w="2768"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危险废物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00" w:type="dxa"/>
            <w:tcMar>
              <w:left w:w="0" w:type="dxa"/>
              <w:right w:w="0"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处置措施及去向</w:t>
            </w:r>
          </w:p>
        </w:tc>
        <w:tc>
          <w:tcPr>
            <w:tcW w:w="2860"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经泥浆不落地工艺进行固液分离后暂存于</w:t>
            </w:r>
            <w:r>
              <w:rPr>
                <w:rFonts w:hint="eastAsia"/>
                <w:color w:val="000000" w:themeColor="text1"/>
                <w:highlight w:val="none"/>
                <w14:textFill>
                  <w14:solidFill>
                    <w14:schemeClr w14:val="tx1"/>
                  </w14:solidFill>
                </w14:textFill>
              </w:rPr>
              <w:t>钻井固废暂存区</w:t>
            </w:r>
            <w:r>
              <w:rPr>
                <w:color w:val="000000" w:themeColor="text1"/>
                <w:highlight w:val="none"/>
                <w14:textFill>
                  <w14:solidFill>
                    <w14:schemeClr w14:val="tx1"/>
                  </w14:solidFill>
                </w14:textFill>
              </w:rPr>
              <w:t>，定期用密闭罐车及时就近交给依法取得生态环境部门关于利用和处置相关工业固体废物项目环评批复、具有处理处置相应固体废物能力并配套建设有废气、废水、固废等污染物治理设施的单位进行资源化利用</w:t>
            </w:r>
          </w:p>
        </w:tc>
        <w:tc>
          <w:tcPr>
            <w:tcW w:w="9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集中收集后部分回用，剩余的送当地废品回收站处理</w:t>
            </w:r>
          </w:p>
        </w:tc>
        <w:tc>
          <w:tcPr>
            <w:tcW w:w="85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集中收集，交由当地环卫部门处置</w:t>
            </w:r>
          </w:p>
        </w:tc>
        <w:tc>
          <w:tcPr>
            <w:tcW w:w="9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设置废油桶集中收集暂存于泥浆不落地装置区临时堆放区内，钻井队综合利用或交由有资质的单位处理</w:t>
            </w:r>
          </w:p>
        </w:tc>
        <w:tc>
          <w:tcPr>
            <w:tcW w:w="91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桶装暂存于60m</w:t>
            </w:r>
            <w:r>
              <w:rPr>
                <w:color w:val="000000" w:themeColor="text1"/>
                <w:highlight w:val="none"/>
                <w:vertAlign w:val="superscript"/>
                <w14:textFill>
                  <w14:solidFill>
                    <w14:schemeClr w14:val="tx1"/>
                  </w14:solidFill>
                </w14:textFill>
              </w:rPr>
              <w:t>2</w:t>
            </w:r>
            <w:r>
              <w:rPr>
                <w:color w:val="000000" w:themeColor="text1"/>
                <w:highlight w:val="none"/>
                <w14:textFill>
                  <w14:solidFill>
                    <w14:schemeClr w14:val="tx1"/>
                  </w14:solidFill>
                </w14:textFill>
              </w:rPr>
              <w:t>危险废物暂存场所，交由资质单位处置</w:t>
            </w:r>
          </w:p>
        </w:tc>
        <w:tc>
          <w:tcPr>
            <w:tcW w:w="93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设置废油桶集中收集暂存于泥浆不落地装置区临时堆放区内，</w:t>
            </w:r>
            <w:r>
              <w:rPr>
                <w:rFonts w:hint="eastAsia"/>
                <w:color w:val="000000" w:themeColor="text1"/>
                <w:highlight w:val="none"/>
                <w14:textFill>
                  <w14:solidFill>
                    <w14:schemeClr w14:val="tx1"/>
                  </w14:solidFill>
                </w14:textFill>
              </w:rPr>
              <w:t>及时</w:t>
            </w:r>
            <w:r>
              <w:rPr>
                <w:color w:val="000000" w:themeColor="text1"/>
                <w:highlight w:val="none"/>
                <w14:textFill>
                  <w14:solidFill>
                    <w14:schemeClr w14:val="tx1"/>
                  </w14:solidFill>
                </w14:textFill>
              </w:rPr>
              <w:t>交由资质单位处置</w:t>
            </w:r>
          </w:p>
        </w:tc>
      </w:tr>
    </w:tbl>
    <w:p>
      <w:pPr>
        <w:spacing w:before="120" w:beforeLines="50"/>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（5）地下水污染</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1）地下水污染源类型分析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钻井工程对地下水环境可能造成影响的污染源主要是场地内暂存的钻井废水、泥浆、岩屑等的渗滤液以及井下钻井过程滤失的钻井泥浆和压裂过程井筒破裂漏失的压裂液。</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2）污染途径分析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钻井工程对地下水产生污染的途径主要有两种，即渗透污染和穿透污染。</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a</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渗透污染：钻井泥浆循环系统、泥浆不落地处理系统、油罐、放喷池、原辅材料堆存淋溶雨水等产生、暂存、离析或罐体、池体破裂渗露出的废水、废油通过包气带渗透到潜水含水层而污染地下水，是本项目的主要污染形式。</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b</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穿透污染：一般发生在钻井过程中的井漏和压裂过程中井筒破裂事故中，在水头压力差的作用下，将有少量钻井泥浆或压裂液滤失，并在含水层中扩散迁移，污染地下水，污染程度与所选用的钻井泥浆体系与压裂方案密切相关。</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3）地下水污染源源强分析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a：污染物渗滤液：此类废水产生于钻井废水和岩屑等固废在井场内操作区域内暂存中，所含废液经</w:t>
      </w:r>
      <w:r>
        <w:rPr>
          <w:rFonts w:hint="eastAsia" w:cs="Times New Roman"/>
          <w:bCs/>
          <w:color w:val="000000" w:themeColor="text1"/>
          <w:szCs w:val="24"/>
          <w:highlight w:val="none"/>
          <w14:textFill>
            <w14:solidFill>
              <w14:schemeClr w14:val="tx1"/>
            </w14:solidFill>
          </w14:textFill>
        </w:rPr>
        <w:t>渗漏</w:t>
      </w:r>
      <w:r>
        <w:rPr>
          <w:rFonts w:cs="Times New Roman"/>
          <w:bCs/>
          <w:color w:val="000000" w:themeColor="text1"/>
          <w:szCs w:val="24"/>
          <w:highlight w:val="none"/>
          <w14:textFill>
            <w14:solidFill>
              <w14:schemeClr w14:val="tx1"/>
            </w14:solidFill>
          </w14:textFill>
        </w:rPr>
        <w:t>、离析后，向周围岩层渗入、扩散。本项目对井场分区分级防渗处理，正常工况下渗透外泄量极小。</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b：钻井滤失泥浆：此类影响产生于钻井期间的过平衡钻井阶段，钻井泥浆在压力差的作用下，渗透入井壁岩石的裂隙或孔隙中。钻井泥浆监控系统一般在地层滤失量＜3m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/h时即可发现泥浆漏失，以便及时采取堵漏措施。本项目在每段完钻后及时采用套管水泥固井，从措施上减少井筒内泥浆滤失可能。</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（6）环境风险</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存在一定的环境风险，主要表现为钻井井喷失控或泄漏的天然气导致的火灾爆炸环境风险事故，以及泄漏天然气导致的环境风险事故；此外还表现为井场罐区及放喷池池体渗漏污染地表土壤和浅层地下水；井筒内套管破损导致钻井过程中钻井泥浆漏失，进入地下水环境，污染地下水环境；存储的柴油泄漏</w:t>
      </w:r>
      <w:r>
        <w:rPr>
          <w:rFonts w:hint="eastAsia" w:cs="Times New Roman"/>
          <w:bCs/>
          <w:color w:val="000000" w:themeColor="text1"/>
          <w:szCs w:val="24"/>
          <w:highlight w:val="none"/>
          <w14:textFill>
            <w14:solidFill>
              <w14:schemeClr w14:val="tx1"/>
            </w14:solidFill>
          </w14:textFill>
        </w:rPr>
        <w:t>的</w:t>
      </w:r>
      <w:r>
        <w:rPr>
          <w:rFonts w:cs="Times New Roman"/>
          <w:bCs/>
          <w:color w:val="000000" w:themeColor="text1"/>
          <w:szCs w:val="24"/>
          <w:highlight w:val="none"/>
          <w14:textFill>
            <w14:solidFill>
              <w14:schemeClr w14:val="tx1"/>
            </w14:solidFill>
          </w14:textFill>
        </w:rPr>
        <w:t>环境风险；污染物外运处理中的运输风险等。</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储层改造</w:t>
      </w:r>
      <w:r>
        <w:rPr>
          <w:color w:val="000000" w:themeColor="text1"/>
          <w:highlight w:val="none"/>
          <w14:textFill>
            <w14:solidFill>
              <w14:schemeClr w14:val="tx1"/>
            </w14:solidFill>
          </w14:textFill>
        </w:rPr>
        <w:t>工程</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（1）废气</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储层改造工程产生的废气主要为</w:t>
      </w:r>
      <w:r>
        <w:rPr>
          <w:rFonts w:cs="Times New Roman"/>
          <w:color w:val="000000" w:themeColor="text1"/>
          <w:szCs w:val="24"/>
          <w:highlight w:val="none"/>
          <w14:textFill>
            <w14:solidFill>
              <w14:schemeClr w14:val="tx1"/>
            </w14:solidFill>
          </w14:textFill>
        </w:rPr>
        <w:t>压裂</w:t>
      </w:r>
      <w:r>
        <w:rPr>
          <w:rFonts w:hint="eastAsia" w:cs="Times New Roman"/>
          <w:color w:val="000000" w:themeColor="text1"/>
          <w:szCs w:val="24"/>
          <w:highlight w:val="none"/>
          <w14:textFill>
            <w14:solidFill>
              <w14:schemeClr w14:val="tx1"/>
            </w14:solidFill>
          </w14:textFill>
        </w:rPr>
        <w:t>作业废气、完井测试放喷废气。</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1</w:t>
      </w:r>
      <w:r>
        <w:rPr>
          <w:rFonts w:cs="Times New Roman"/>
          <w:b/>
          <w:bCs/>
          <w:color w:val="000000" w:themeColor="text1"/>
          <w:szCs w:val="24"/>
          <w:highlight w:val="none"/>
          <w14:textFill>
            <w14:solidFill>
              <w14:schemeClr w14:val="tx1"/>
            </w14:solidFill>
          </w14:textFill>
        </w:rPr>
        <w:t>）压裂作业废气</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本项目</w:t>
      </w:r>
      <w:r>
        <w:rPr>
          <w:rFonts w:cs="Times New Roman"/>
          <w:color w:val="000000" w:themeColor="text1"/>
          <w:szCs w:val="24"/>
          <w:highlight w:val="none"/>
          <w14:textFill>
            <w14:solidFill>
              <w14:schemeClr w14:val="tx1"/>
            </w14:solidFill>
          </w14:textFill>
        </w:rPr>
        <w:t>压裂作业废气主要为压裂</w:t>
      </w:r>
      <w:r>
        <w:rPr>
          <w:rFonts w:hint="eastAsia" w:cs="Times New Roman"/>
          <w:color w:val="000000" w:themeColor="text1"/>
          <w:szCs w:val="24"/>
          <w:highlight w:val="none"/>
          <w14:textFill>
            <w14:solidFill>
              <w14:schemeClr w14:val="tx1"/>
            </w14:solidFill>
          </w14:textFill>
        </w:rPr>
        <w:t>作业车辆、</w:t>
      </w:r>
      <w:r>
        <w:rPr>
          <w:rFonts w:cs="Times New Roman"/>
          <w:color w:val="000000" w:themeColor="text1"/>
          <w:szCs w:val="24"/>
          <w:highlight w:val="none"/>
          <w14:textFill>
            <w14:solidFill>
              <w14:schemeClr w14:val="tx1"/>
            </w14:solidFill>
          </w14:textFill>
        </w:rPr>
        <w:t>施工机械</w:t>
      </w:r>
      <w:r>
        <w:rPr>
          <w:rFonts w:hint="eastAsia" w:cs="Times New Roman"/>
          <w:color w:val="000000" w:themeColor="text1"/>
          <w:szCs w:val="24"/>
          <w:highlight w:val="none"/>
          <w14:textFill>
            <w14:solidFill>
              <w14:schemeClr w14:val="tx1"/>
            </w14:solidFill>
          </w14:textFill>
        </w:rPr>
        <w:t>等产生的燃料燃烧</w:t>
      </w:r>
      <w:r>
        <w:rPr>
          <w:rFonts w:cs="Times New Roman"/>
          <w:color w:val="000000" w:themeColor="text1"/>
          <w:szCs w:val="24"/>
          <w:highlight w:val="none"/>
          <w14:textFill>
            <w14:solidFill>
              <w14:schemeClr w14:val="tx1"/>
            </w14:solidFill>
          </w14:textFill>
        </w:rPr>
        <w:t>尾气，主要污染物为NO</w:t>
      </w:r>
      <w:r>
        <w:rPr>
          <w:rFonts w:cs="Times New Roman"/>
          <w:color w:val="000000" w:themeColor="text1"/>
          <w:szCs w:val="24"/>
          <w:highlight w:val="none"/>
          <w:vertAlign w:val="subscript"/>
          <w14:textFill>
            <w14:solidFill>
              <w14:schemeClr w14:val="tx1"/>
            </w14:solidFill>
          </w14:textFill>
        </w:rPr>
        <w:t>X</w:t>
      </w:r>
      <w:r>
        <w:rPr>
          <w:rFonts w:cs="Times New Roman"/>
          <w:color w:val="000000" w:themeColor="text1"/>
          <w:szCs w:val="24"/>
          <w:highlight w:val="none"/>
          <w14:textFill>
            <w14:solidFill>
              <w14:schemeClr w14:val="tx1"/>
            </w14:solidFill>
          </w14:textFill>
        </w:rPr>
        <w:t>、烟尘及少量CO，采用合格燃油、加强设备保养减少尾气排放量。</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2</w:t>
      </w:r>
      <w:r>
        <w:rPr>
          <w:rFonts w:cs="Times New Roman"/>
          <w:b/>
          <w:bCs/>
          <w:color w:val="000000" w:themeColor="text1"/>
          <w:szCs w:val="24"/>
          <w:highlight w:val="none"/>
          <w14:textFill>
            <w14:solidFill>
              <w14:schemeClr w14:val="tx1"/>
            </w14:solidFill>
          </w14:textFill>
        </w:rPr>
        <w:t>）完井测试放喷废气</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测试放喷天然气经专用放喷管线引至放喷坑后点火燃烧，测试放喷时间一般昼间放喷，每次约3h，废气排放属短期排放。测试放喷的</w:t>
      </w:r>
      <w:r>
        <w:rPr>
          <w:rFonts w:hint="eastAsia" w:cs="Times New Roman"/>
          <w:color w:val="000000" w:themeColor="text1"/>
          <w:szCs w:val="24"/>
          <w:highlight w:val="none"/>
          <w14:textFill>
            <w14:solidFill>
              <w14:schemeClr w14:val="tx1"/>
            </w14:solidFill>
          </w14:textFill>
        </w:rPr>
        <w:t>含硫天然气</w:t>
      </w:r>
      <w:r>
        <w:rPr>
          <w:rFonts w:cs="Times New Roman"/>
          <w:color w:val="000000" w:themeColor="text1"/>
          <w:szCs w:val="24"/>
          <w:highlight w:val="none"/>
          <w14:textFill>
            <w14:solidFill>
              <w14:schemeClr w14:val="tx1"/>
            </w14:solidFill>
          </w14:textFill>
        </w:rPr>
        <w:t>经点火燃烧，其主要污染物为</w:t>
      </w:r>
      <w:r>
        <w:rPr>
          <w:rFonts w:hint="eastAsia" w:cs="Times New Roman"/>
          <w:color w:val="000000" w:themeColor="text1"/>
          <w:szCs w:val="24"/>
          <w:highlight w:val="none"/>
          <w14:textFill>
            <w14:solidFill>
              <w14:schemeClr w14:val="tx1"/>
            </w14:solidFill>
          </w14:textFill>
        </w:rPr>
        <w:t>SO</w:t>
      </w:r>
      <w:r>
        <w:rPr>
          <w:rFonts w:hint="eastAsia" w:cs="Times New Roman"/>
          <w:color w:val="000000" w:themeColor="text1"/>
          <w:szCs w:val="24"/>
          <w:highlight w:val="none"/>
          <w:vertAlign w:val="subscript"/>
          <w14:textFill>
            <w14:solidFill>
              <w14:schemeClr w14:val="tx1"/>
            </w14:solidFill>
          </w14:textFill>
        </w:rPr>
        <w:t>2</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CO</w:t>
      </w:r>
      <w:r>
        <w:rPr>
          <w:rFonts w:cs="Times New Roman"/>
          <w:color w:val="000000" w:themeColor="text1"/>
          <w:szCs w:val="24"/>
          <w:highlight w:val="none"/>
          <w:vertAlign w:val="subscript"/>
          <w14:textFill>
            <w14:solidFill>
              <w14:schemeClr w14:val="tx1"/>
            </w14:solidFill>
          </w14:textFill>
        </w:rPr>
        <w:t>2</w:t>
      </w:r>
      <w:r>
        <w:rPr>
          <w:rFonts w:cs="Times New Roman"/>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根据建设单位提供的项目气藏地质及气藏工程资料</w:t>
      </w:r>
      <w:r>
        <w:rPr>
          <w:rFonts w:hint="eastAsia" w:cs="Times New Roman"/>
          <w:color w:val="000000" w:themeColor="text1"/>
          <w:szCs w:val="24"/>
          <w:highlight w:val="none"/>
          <w14:textFill>
            <w14:solidFill>
              <w14:schemeClr w14:val="tx1"/>
            </w14:solidFill>
          </w14:textFill>
        </w:rPr>
        <w:t>，本项目属于</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天然气气井勘探，</w:t>
      </w:r>
      <w:r>
        <w:rPr>
          <w:rFonts w:cs="Times New Roman"/>
          <w:color w:val="000000" w:themeColor="text1"/>
          <w:szCs w:val="24"/>
          <w:highlight w:val="none"/>
          <w14:textFill>
            <w14:solidFill>
              <w14:schemeClr w14:val="tx1"/>
            </w14:solidFill>
          </w14:textFill>
        </w:rPr>
        <w:t>预测</w:t>
      </w:r>
      <w:r>
        <w:rPr>
          <w:rFonts w:hint="eastAsia" w:cs="Times New Roman"/>
          <w:color w:val="000000" w:themeColor="text1"/>
          <w:szCs w:val="24"/>
          <w:highlight w:val="none"/>
          <w14:textFill>
            <w14:solidFill>
              <w14:schemeClr w14:val="tx1"/>
            </w14:solidFill>
          </w14:textFill>
        </w:rPr>
        <w:t>大湾408-3井场</w:t>
      </w:r>
      <w:r>
        <w:rPr>
          <w:rFonts w:cs="Times New Roman"/>
          <w:color w:val="000000" w:themeColor="text1"/>
          <w:szCs w:val="24"/>
          <w:highlight w:val="none"/>
          <w14:textFill>
            <w14:solidFill>
              <w14:schemeClr w14:val="tx1"/>
            </w14:solidFill>
          </w14:textFill>
        </w:rPr>
        <w:t>无阻流量</w:t>
      </w:r>
      <w:r>
        <w:rPr>
          <w:rFonts w:hint="eastAsia"/>
          <w:color w:val="000000" w:themeColor="text1"/>
          <w:szCs w:val="24"/>
          <w:highlight w:val="none"/>
          <w14:textFill>
            <w14:solidFill>
              <w14:schemeClr w14:val="tx1"/>
            </w14:solidFill>
          </w14:textFill>
        </w:rPr>
        <w:t>约150</w:t>
      </w:r>
      <w:r>
        <w:rPr>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10</w:t>
      </w:r>
      <w:r>
        <w:rPr>
          <w:rFonts w:cs="Times New Roman"/>
          <w:color w:val="000000" w:themeColor="text1"/>
          <w:szCs w:val="24"/>
          <w:highlight w:val="none"/>
          <w:vertAlign w:val="superscript"/>
          <w14:textFill>
            <w14:solidFill>
              <w14:schemeClr w14:val="tx1"/>
            </w14:solidFill>
          </w14:textFill>
        </w:rPr>
        <w:t>4</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/d。</w:t>
      </w:r>
      <w:r>
        <w:rPr>
          <w:rFonts w:hint="eastAsia" w:cs="Times New Roman"/>
          <w:color w:val="000000" w:themeColor="text1"/>
          <w:szCs w:val="24"/>
          <w:highlight w:val="none"/>
          <w14:textFill>
            <w14:solidFill>
              <w14:schemeClr w14:val="tx1"/>
            </w14:solidFill>
          </w14:textFill>
        </w:rPr>
        <w:t>放喷废气在排放至</w:t>
      </w:r>
      <w:r>
        <w:rPr>
          <w:rFonts w:cs="Times New Roman"/>
          <w:color w:val="000000" w:themeColor="text1"/>
          <w:szCs w:val="24"/>
          <w:highlight w:val="none"/>
          <w14:textFill>
            <w14:solidFill>
              <w14:schemeClr w14:val="tx1"/>
            </w14:solidFill>
          </w14:textFill>
        </w:rPr>
        <w:t>放喷池内，经排气筒为高度为1m的对空短火焰燃烧器点火燃烧后排放，本项目在放喷前，建设单位会对距离井口500m范围内的居民临时撤离，并建立警戒点进行24小时警戒，严禁居民靠近，以减轻放喷废气对这些居民的影响。同时由于测试放喷时间一般约为3小时，属短期排放，不会形成长期环境影响，短期影响也可控制在周边居民健康安全限值以下，污染物排放随测试放喷的结束而停止，不会长期存在，不会影响区域环境空气功能区划。</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本项目测试放喷在昼间进行，且时间较短，</w:t>
      </w:r>
      <w:r>
        <w:rPr>
          <w:rFonts w:hint="eastAsia" w:cs="Times New Roman"/>
          <w:color w:val="000000" w:themeColor="text1"/>
          <w:szCs w:val="24"/>
          <w:highlight w:val="none"/>
          <w14:textFill>
            <w14:solidFill>
              <w14:schemeClr w14:val="tx1"/>
            </w14:solidFill>
          </w14:textFill>
        </w:rPr>
        <w:t>含硫天然气</w:t>
      </w:r>
      <w:r>
        <w:rPr>
          <w:rFonts w:cs="Times New Roman"/>
          <w:color w:val="000000" w:themeColor="text1"/>
          <w:szCs w:val="24"/>
          <w:highlight w:val="none"/>
          <w14:textFill>
            <w14:solidFill>
              <w14:schemeClr w14:val="tx1"/>
            </w14:solidFill>
          </w14:textFill>
        </w:rPr>
        <w:t>燃烧后主要污染物为</w:t>
      </w:r>
      <w:r>
        <w:rPr>
          <w:rFonts w:hint="eastAsia" w:cs="Times New Roman"/>
          <w:color w:val="000000" w:themeColor="text1"/>
          <w:szCs w:val="24"/>
          <w:highlight w:val="none"/>
          <w14:textFill>
            <w14:solidFill>
              <w14:schemeClr w14:val="tx1"/>
            </w14:solidFill>
          </w14:textFill>
        </w:rPr>
        <w:t>SO</w:t>
      </w:r>
      <w:r>
        <w:rPr>
          <w:rFonts w:hint="eastAsia" w:cs="Times New Roman"/>
          <w:color w:val="000000" w:themeColor="text1"/>
          <w:szCs w:val="24"/>
          <w:highlight w:val="none"/>
          <w:vertAlign w:val="subscript"/>
          <w14:textFill>
            <w14:solidFill>
              <w14:schemeClr w14:val="tx1"/>
            </w14:solidFill>
          </w14:textFill>
        </w:rPr>
        <w:t>2</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CO</w:t>
      </w:r>
      <w:r>
        <w:rPr>
          <w:rFonts w:cs="Times New Roman"/>
          <w:color w:val="000000" w:themeColor="text1"/>
          <w:szCs w:val="24"/>
          <w:highlight w:val="none"/>
          <w:vertAlign w:val="subscript"/>
          <w14:textFill>
            <w14:solidFill>
              <w14:schemeClr w14:val="tx1"/>
            </w14:solidFill>
          </w14:textFill>
        </w:rPr>
        <w:t>2</w:t>
      </w:r>
      <w:r>
        <w:rPr>
          <w:rFonts w:cs="Times New Roman"/>
          <w:color w:val="000000" w:themeColor="text1"/>
          <w:szCs w:val="24"/>
          <w:highlight w:val="none"/>
          <w14:textFill>
            <w14:solidFill>
              <w14:schemeClr w14:val="tx1"/>
            </w14:solidFill>
          </w14:textFill>
        </w:rPr>
        <w:t>，污染物产生量较小，并将随测试放喷的结束而消除，对周边大气环境影响较小。</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（2）废水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从项目产生的废水情况分析，</w:t>
      </w:r>
      <w:r>
        <w:rPr>
          <w:rFonts w:hint="eastAsia" w:cs="Times New Roman"/>
          <w:bCs/>
          <w:color w:val="000000" w:themeColor="text1"/>
          <w:highlight w:val="none"/>
          <w14:textFill>
            <w14:solidFill>
              <w14:schemeClr w14:val="tx1"/>
            </w14:solidFill>
          </w14:textFill>
        </w:rPr>
        <w:t>储层改造工程废水主要</w:t>
      </w:r>
      <w:r>
        <w:rPr>
          <w:rFonts w:cs="Times New Roman"/>
          <w:bCs/>
          <w:color w:val="000000" w:themeColor="text1"/>
          <w:highlight w:val="none"/>
          <w14:textFill>
            <w14:solidFill>
              <w14:schemeClr w14:val="tx1"/>
            </w14:solidFill>
          </w14:textFill>
        </w:rPr>
        <w:t>包括洗井废水、压裂返排液和生活污水。</w:t>
      </w:r>
    </w:p>
    <w:p>
      <w:pPr>
        <w:numPr>
          <w:ilvl w:val="0"/>
          <w:numId w:val="11"/>
        </w:num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压裂返排液</w:t>
      </w:r>
      <w:r>
        <w:rPr>
          <w:rFonts w:hint="eastAsia" w:cs="Times New Roman"/>
          <w:b/>
          <w:bCs/>
          <w:color w:val="000000" w:themeColor="text1"/>
          <w:szCs w:val="24"/>
          <w:highlight w:val="none"/>
          <w14:textFill>
            <w14:solidFill>
              <w14:schemeClr w14:val="tx1"/>
            </w14:solidFill>
          </w14:textFill>
        </w:rPr>
        <w:t>及洗井废水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测试放喷与完井工程产生的作业废水主要是压裂、洗井等施工时产生的废水。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根据该区域已完钻钻井工程可知，本项目洗井采用碱水，项目洗井废水总产生量为</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本项目压裂液总用量约</w:t>
      </w:r>
      <w:r>
        <w:rPr>
          <w:rFonts w:hint="eastAsia"/>
          <w:color w:val="000000" w:themeColor="text1"/>
          <w:highlight w:val="none"/>
          <w14:textFill>
            <w14:solidFill>
              <w14:schemeClr w14:val="tx1"/>
            </w14:solidFill>
          </w14:textFill>
        </w:rPr>
        <w:t>1250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，压裂液均在</w:t>
      </w:r>
      <w:r>
        <w:rPr>
          <w:rFonts w:hint="eastAsia"/>
          <w:color w:val="000000" w:themeColor="text1"/>
          <w:highlight w:val="none"/>
          <w14:textFill>
            <w14:solidFill>
              <w14:schemeClr w14:val="tx1"/>
            </w14:solidFill>
          </w14:textFill>
        </w:rPr>
        <w:t>现场</w:t>
      </w:r>
      <w:r>
        <w:rPr>
          <w:color w:val="000000" w:themeColor="text1"/>
          <w:highlight w:val="none"/>
          <w14:textFill>
            <w14:solidFill>
              <w14:schemeClr w14:val="tx1"/>
            </w14:solidFill>
          </w14:textFill>
        </w:rPr>
        <w:t>配液车中配制完成，配制的压裂液进入压裂车注入井口，配制而成的压裂液不在厂区内长期暂存。根据该区域已完钻</w:t>
      </w:r>
      <w:r>
        <w:rPr>
          <w:rFonts w:hint="eastAsia"/>
          <w:color w:val="000000" w:themeColor="text1"/>
          <w:highlight w:val="none"/>
          <w14:textFill>
            <w14:solidFill>
              <w14:schemeClr w14:val="tx1"/>
            </w14:solidFill>
          </w14:textFill>
        </w:rPr>
        <w:t>天然气钻井</w:t>
      </w:r>
      <w:r>
        <w:rPr>
          <w:color w:val="000000" w:themeColor="text1"/>
          <w:highlight w:val="none"/>
          <w14:textFill>
            <w14:solidFill>
              <w14:schemeClr w14:val="tx1"/>
            </w14:solidFill>
          </w14:textFill>
        </w:rPr>
        <w:t>工程可知，该区域</w:t>
      </w:r>
      <w:r>
        <w:rPr>
          <w:rFonts w:hint="eastAsia"/>
          <w:color w:val="000000" w:themeColor="text1"/>
          <w:highlight w:val="none"/>
          <w14:textFill>
            <w14:solidFill>
              <w14:schemeClr w14:val="tx1"/>
            </w14:solidFill>
          </w14:textFill>
        </w:rPr>
        <w:t>天然气钻井</w:t>
      </w:r>
      <w:r>
        <w:rPr>
          <w:color w:val="000000" w:themeColor="text1"/>
          <w:highlight w:val="none"/>
          <w14:textFill>
            <w14:solidFill>
              <w14:schemeClr w14:val="tx1"/>
            </w14:solidFill>
          </w14:textFill>
        </w:rPr>
        <w:t>工程</w:t>
      </w:r>
      <w:r>
        <w:rPr>
          <w:rFonts w:hint="eastAsia"/>
          <w:color w:val="000000" w:themeColor="text1"/>
          <w:highlight w:val="none"/>
          <w14:textFill>
            <w14:solidFill>
              <w14:schemeClr w14:val="tx1"/>
            </w14:solidFill>
          </w14:textFill>
        </w:rPr>
        <w:t>压裂</w:t>
      </w:r>
      <w:r>
        <w:rPr>
          <w:color w:val="000000" w:themeColor="text1"/>
          <w:highlight w:val="none"/>
          <w14:textFill>
            <w14:solidFill>
              <w14:schemeClr w14:val="tx1"/>
            </w14:solidFill>
          </w14:textFill>
        </w:rPr>
        <w:t>液返排率约</w:t>
      </w:r>
      <w:r>
        <w:rPr>
          <w:rFonts w:hint="eastAsia"/>
          <w:color w:val="000000" w:themeColor="text1"/>
          <w:highlight w:val="none"/>
          <w14:textFill>
            <w14:solidFill>
              <w14:schemeClr w14:val="tx1"/>
            </w14:solidFill>
          </w14:textFill>
        </w:rPr>
        <w:t>5%～20%，有少量达到50%～60%，</w:t>
      </w:r>
      <w:r>
        <w:rPr>
          <w:color w:val="000000" w:themeColor="text1"/>
          <w:highlight w:val="none"/>
          <w14:textFill>
            <w14:solidFill>
              <w14:schemeClr w14:val="tx1"/>
            </w14:solidFill>
          </w14:textFill>
        </w:rPr>
        <w:t>返排率与返排时间有关，本项目保守考虑按</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0％计，</w:t>
      </w:r>
      <w:r>
        <w:rPr>
          <w:bCs/>
          <w:color w:val="000000" w:themeColor="text1"/>
          <w:highlight w:val="none"/>
          <w14:textFill>
            <w14:solidFill>
              <w14:schemeClr w14:val="tx1"/>
            </w14:solidFill>
          </w14:textFill>
        </w:rPr>
        <w:t>则本项目压裂返排液总产生量为</w:t>
      </w:r>
      <w:r>
        <w:rPr>
          <w:rFonts w:hint="eastAsia"/>
          <w:bCs/>
          <w:color w:val="000000" w:themeColor="text1"/>
          <w:highlight w:val="none"/>
          <w14:textFill>
            <w14:solidFill>
              <w14:schemeClr w14:val="tx1"/>
            </w14:solidFill>
          </w14:textFill>
        </w:rPr>
        <w:t>750</w:t>
      </w:r>
      <w:r>
        <w:rPr>
          <w:bCs/>
          <w:color w:val="000000" w:themeColor="text1"/>
          <w:highlight w:val="none"/>
          <w14:textFill>
            <w14:solidFill>
              <w14:schemeClr w14:val="tx1"/>
            </w14:solidFill>
          </w14:textFill>
        </w:rPr>
        <w:t>m</w:t>
      </w:r>
      <w:r>
        <w:rPr>
          <w:bCs/>
          <w:color w:val="000000" w:themeColor="text1"/>
          <w:highlight w:val="none"/>
          <w:vertAlign w:val="superscript"/>
          <w14:textFill>
            <w14:solidFill>
              <w14:schemeClr w14:val="tx1"/>
            </w14:solidFill>
          </w14:textFill>
        </w:rPr>
        <w:t>3</w:t>
      </w:r>
      <w:r>
        <w:rPr>
          <w:bCs/>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优先回用于钻井工段及周边平台钻井工段，不能回用的用罐车拉运至</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处理达标后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highlight w:val="none"/>
          <w14:textFill>
            <w14:solidFill>
              <w14:schemeClr w14:val="tx1"/>
            </w14:solidFill>
          </w14:textFill>
        </w:rPr>
        <w:t>经</w:t>
      </w:r>
      <w:r>
        <w:rPr>
          <w:rFonts w:hint="eastAsia" w:cs="Times New Roman"/>
          <w:color w:val="000000" w:themeColor="text1"/>
          <w:highlight w:val="none"/>
          <w14:textFill>
            <w14:solidFill>
              <w14:schemeClr w14:val="tx1"/>
            </w14:solidFill>
          </w14:textFill>
        </w:rPr>
        <w:t>普光3井回注站回注，不外排</w:t>
      </w:r>
      <w:r>
        <w:rPr>
          <w:color w:val="000000" w:themeColor="text1"/>
          <w:highlight w:val="none"/>
          <w14:textFill>
            <w14:solidFill>
              <w14:schemeClr w14:val="tx1"/>
            </w14:solidFill>
          </w14:textFill>
        </w:rPr>
        <w:t>。</w:t>
      </w:r>
      <w:r>
        <w:rPr>
          <w:color w:val="000000" w:themeColor="text1"/>
          <w:szCs w:val="21"/>
          <w:highlight w:val="none"/>
          <w14:textFill>
            <w14:solidFill>
              <w14:schemeClr w14:val="tx1"/>
            </w14:solidFill>
          </w14:textFill>
        </w:rPr>
        <w:t>压裂返排液临时储存于</w:t>
      </w:r>
      <w:r>
        <w:rPr>
          <w:rFonts w:hint="eastAsia"/>
          <w:bCs/>
          <w:color w:val="000000" w:themeColor="text1"/>
          <w:szCs w:val="21"/>
          <w:highlight w:val="none"/>
          <w14:textFill>
            <w14:solidFill>
              <w14:schemeClr w14:val="tx1"/>
            </w14:solidFill>
          </w14:textFill>
        </w:rPr>
        <w:t>放喷池</w:t>
      </w: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优先回用于气田周边其他井场配置压裂液使用，若周边井场暂无法使用或压裂返排液水质无法满足回用要求时，则通过密闭罐车定期拉运至赵家坝污水处理站处理达标后管输至普光3井回注站回注，</w:t>
      </w:r>
      <w:r>
        <w:rPr>
          <w:color w:val="000000" w:themeColor="text1"/>
          <w:highlight w:val="none"/>
          <w14:textFill>
            <w14:solidFill>
              <w14:schemeClr w14:val="tx1"/>
            </w14:solidFill>
          </w14:textFill>
        </w:rPr>
        <w:t>在返排期间可控制返排速率</w:t>
      </w:r>
      <w:r>
        <w:rPr>
          <w:rFonts w:hint="eastAsia"/>
          <w:color w:val="000000" w:themeColor="text1"/>
          <w:highlight w:val="none"/>
          <w14:textFill>
            <w14:solidFill>
              <w14:schemeClr w14:val="tx1"/>
            </w14:solidFill>
          </w14:textFill>
        </w:rPr>
        <w:t>，使其低于</w:t>
      </w:r>
      <w:r>
        <w:rPr>
          <w:color w:val="000000" w:themeColor="text1"/>
          <w:highlight w:val="none"/>
          <w14:textFill>
            <w14:solidFill>
              <w14:schemeClr w14:val="tx1"/>
            </w14:solidFill>
          </w14:textFill>
        </w:rPr>
        <w:t>放喷池（300m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的储存量，若处理压力进一步增大时，或暂停压裂、</w:t>
      </w:r>
      <w:r>
        <w:rPr>
          <w:color w:val="000000" w:themeColor="text1"/>
          <w:highlight w:val="none"/>
          <w14:textFill>
            <w14:solidFill>
              <w14:schemeClr w14:val="tx1"/>
            </w14:solidFill>
          </w14:textFill>
        </w:rPr>
        <w:t>返排</w:t>
      </w:r>
      <w:r>
        <w:rPr>
          <w:rFonts w:hint="eastAsia"/>
          <w:color w:val="000000" w:themeColor="text1"/>
          <w:highlight w:val="none"/>
          <w14:textFill>
            <w14:solidFill>
              <w14:schemeClr w14:val="tx1"/>
            </w14:solidFill>
          </w14:textFill>
        </w:rPr>
        <w:t>等</w:t>
      </w:r>
      <w:r>
        <w:rPr>
          <w:color w:val="000000" w:themeColor="text1"/>
          <w:highlight w:val="none"/>
          <w14:textFill>
            <w14:solidFill>
              <w14:schemeClr w14:val="tx1"/>
            </w14:solidFill>
          </w14:textFill>
        </w:rPr>
        <w:t>，待</w:t>
      </w:r>
      <w:r>
        <w:rPr>
          <w:rFonts w:hint="eastAsia"/>
          <w:color w:val="000000" w:themeColor="text1"/>
          <w:highlight w:val="none"/>
          <w14:textFill>
            <w14:solidFill>
              <w14:schemeClr w14:val="tx1"/>
            </w14:solidFill>
          </w14:textFill>
        </w:rPr>
        <w:t>放喷池</w:t>
      </w:r>
      <w:r>
        <w:rPr>
          <w:color w:val="000000" w:themeColor="text1"/>
          <w:highlight w:val="none"/>
          <w14:textFill>
            <w14:solidFill>
              <w14:schemeClr w14:val="tx1"/>
            </w14:solidFill>
          </w14:textFill>
        </w:rPr>
        <w:t>中压裂返排液</w:t>
      </w:r>
      <w:r>
        <w:rPr>
          <w:rFonts w:hint="eastAsia"/>
          <w:color w:val="000000" w:themeColor="text1"/>
          <w:highlight w:val="none"/>
          <w14:textFill>
            <w14:solidFill>
              <w14:schemeClr w14:val="tx1"/>
            </w14:solidFill>
          </w14:textFill>
        </w:rPr>
        <w:t>转运回用或回注</w:t>
      </w:r>
      <w:r>
        <w:rPr>
          <w:color w:val="000000" w:themeColor="text1"/>
          <w:highlight w:val="none"/>
          <w14:textFill>
            <w14:solidFill>
              <w14:schemeClr w14:val="tx1"/>
            </w14:solidFill>
          </w14:textFill>
        </w:rPr>
        <w:t>后</w:t>
      </w:r>
      <w:r>
        <w:rPr>
          <w:rFonts w:hint="eastAsia"/>
          <w:color w:val="000000" w:themeColor="text1"/>
          <w:highlight w:val="none"/>
          <w14:textFill>
            <w14:solidFill>
              <w14:schemeClr w14:val="tx1"/>
            </w14:solidFill>
          </w14:textFill>
        </w:rPr>
        <w:t>有足够容积空间后方</w:t>
      </w:r>
      <w:r>
        <w:rPr>
          <w:color w:val="000000" w:themeColor="text1"/>
          <w:highlight w:val="none"/>
          <w14:textFill>
            <w14:solidFill>
              <w14:schemeClr w14:val="tx1"/>
            </w14:solidFill>
          </w14:textFill>
        </w:rPr>
        <w:t>可继续</w:t>
      </w:r>
      <w:r>
        <w:rPr>
          <w:rFonts w:hint="eastAsia"/>
          <w:color w:val="000000" w:themeColor="text1"/>
          <w:highlight w:val="none"/>
          <w14:textFill>
            <w14:solidFill>
              <w14:schemeClr w14:val="tx1"/>
            </w14:solidFill>
          </w14:textFill>
        </w:rPr>
        <w:t>压裂、</w:t>
      </w:r>
      <w:r>
        <w:rPr>
          <w:color w:val="000000" w:themeColor="text1"/>
          <w:highlight w:val="none"/>
          <w14:textFill>
            <w14:solidFill>
              <w14:schemeClr w14:val="tx1"/>
            </w14:solidFill>
          </w14:textFill>
        </w:rPr>
        <w:t>返排，因此在压裂返排期间</w:t>
      </w:r>
      <w:r>
        <w:rPr>
          <w:rFonts w:hint="eastAsia"/>
          <w:color w:val="000000" w:themeColor="text1"/>
          <w:highlight w:val="none"/>
          <w14:textFill>
            <w14:solidFill>
              <w14:schemeClr w14:val="tx1"/>
            </w14:solidFill>
          </w14:textFill>
        </w:rPr>
        <w:t>在控制好压裂、返排作业，充分利用周边储存设施的条件下，本项目设置放喷池</w:t>
      </w:r>
      <w:r>
        <w:rPr>
          <w:color w:val="000000" w:themeColor="text1"/>
          <w:highlight w:val="none"/>
          <w14:textFill>
            <w14:solidFill>
              <w14:schemeClr w14:val="tx1"/>
            </w14:solidFill>
          </w14:textFill>
        </w:rPr>
        <w:t>可满足暂存要求。</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本项目压裂返排液及洗井废水临时暂存于</w:t>
      </w:r>
      <w:r>
        <w:rPr>
          <w:rFonts w:hint="eastAsia" w:cs="Times New Roman"/>
          <w:color w:val="000000" w:themeColor="text1"/>
          <w:highlight w:val="none"/>
          <w14:textFill>
            <w14:solidFill>
              <w14:schemeClr w14:val="tx1"/>
            </w14:solidFill>
          </w14:textFill>
        </w:rPr>
        <w:t>放喷池</w:t>
      </w:r>
      <w:r>
        <w:rPr>
          <w:rFonts w:cs="Times New Roman"/>
          <w:color w:val="000000" w:themeColor="text1"/>
          <w:highlight w:val="none"/>
          <w14:textFill>
            <w14:solidFill>
              <w14:schemeClr w14:val="tx1"/>
            </w14:solidFill>
          </w14:textFill>
        </w:rPr>
        <w:t>，优先回用于钻井工段及周边平台钻井工段，不能回用的用罐车拉运至</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处理达标后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highlight w:val="none"/>
          <w14:textFill>
            <w14:solidFill>
              <w14:schemeClr w14:val="tx1"/>
            </w14:solidFill>
          </w14:textFill>
        </w:rPr>
        <w:t>经</w:t>
      </w:r>
      <w:r>
        <w:rPr>
          <w:rFonts w:hint="eastAsia" w:cs="Times New Roman"/>
          <w:color w:val="000000" w:themeColor="text1"/>
          <w:highlight w:val="none"/>
          <w14:textFill>
            <w14:solidFill>
              <w14:schemeClr w14:val="tx1"/>
            </w14:solidFill>
          </w14:textFill>
        </w:rPr>
        <w:t>普光3井回注站回注，不外排。</w:t>
      </w:r>
      <w:r>
        <w:rPr>
          <w:rFonts w:cs="Times New Roman"/>
          <w:color w:val="000000" w:themeColor="text1"/>
          <w:highlight w:val="none"/>
          <w14:textFill>
            <w14:solidFill>
              <w14:schemeClr w14:val="tx1"/>
            </w14:solidFill>
          </w14:textFill>
        </w:rPr>
        <w:t>根据普光气田钻井工程类比调查，作业废水污染物浓度情况见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_Ref142593491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1</w:t>
      </w:r>
      <w:r>
        <w:rPr>
          <w:rFonts w:cs="Times New Roman"/>
          <w:color w:val="000000" w:themeColor="text1"/>
          <w:highlight w:val="none"/>
          <w14:textFill>
            <w14:solidFill>
              <w14:schemeClr w14:val="tx1"/>
            </w14:solidFill>
          </w14:textFill>
        </w:rPr>
        <w:fldChar w:fldCharType="end"/>
      </w:r>
      <w:r>
        <w:rPr>
          <w:rFonts w:hint="eastAsia" w:cs="Times New Roman"/>
          <w:color w:val="000000" w:themeColor="text1"/>
          <w:highlight w:val="none"/>
          <w14:textFill>
            <w14:solidFill>
              <w14:schemeClr w14:val="tx1"/>
            </w14:solidFill>
          </w14:textFill>
        </w:rPr>
        <w:t>0</w:t>
      </w:r>
      <w:r>
        <w:rPr>
          <w:rFonts w:cs="Times New Roman"/>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96" w:name="_Ref14259349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bookmarkEnd w:id="19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压裂返排液及洗井废水污染物浓度表（单位：</w:t>
      </w:r>
      <w:r>
        <w:rPr>
          <w:color w:val="000000" w:themeColor="text1"/>
          <w:highlight w:val="none"/>
          <w14:textFill>
            <w14:solidFill>
              <w14:schemeClr w14:val="tx1"/>
            </w14:solidFill>
          </w14:textFill>
        </w:rPr>
        <w:t>mg/L）</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1"/>
        <w:gridCol w:w="1593"/>
        <w:gridCol w:w="1071"/>
        <w:gridCol w:w="1071"/>
        <w:gridCol w:w="1071"/>
        <w:gridCol w:w="940"/>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4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污染物名称</w:t>
            </w:r>
          </w:p>
        </w:tc>
        <w:tc>
          <w:tcPr>
            <w:tcW w:w="161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w:t>
            </w:r>
          </w:p>
        </w:tc>
        <w:tc>
          <w:tcPr>
            <w:tcW w:w="108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COD</w:t>
            </w:r>
          </w:p>
        </w:tc>
        <w:tc>
          <w:tcPr>
            <w:tcW w:w="108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SS</w:t>
            </w:r>
          </w:p>
        </w:tc>
        <w:tc>
          <w:tcPr>
            <w:tcW w:w="108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石油类</w:t>
            </w:r>
          </w:p>
        </w:tc>
        <w:tc>
          <w:tcPr>
            <w:tcW w:w="94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挥发酚</w:t>
            </w:r>
          </w:p>
        </w:tc>
        <w:tc>
          <w:tcPr>
            <w:tcW w:w="115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氯离子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34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浓度</w:t>
            </w:r>
          </w:p>
        </w:tc>
        <w:tc>
          <w:tcPr>
            <w:tcW w:w="161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6</w:t>
            </w:r>
          </w:p>
        </w:tc>
        <w:tc>
          <w:tcPr>
            <w:tcW w:w="10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≤5000</w:t>
            </w:r>
          </w:p>
        </w:tc>
        <w:tc>
          <w:tcPr>
            <w:tcW w:w="10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≤7500</w:t>
            </w:r>
          </w:p>
        </w:tc>
        <w:tc>
          <w:tcPr>
            <w:tcW w:w="10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94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115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≤4000</w:t>
            </w:r>
          </w:p>
        </w:tc>
      </w:tr>
    </w:tbl>
    <w:p>
      <w:pPr>
        <w:spacing w:before="120" w:beforeLines="50"/>
        <w:ind w:firstLine="482"/>
        <w:rPr>
          <w:rFonts w:cs="Times New Roman"/>
          <w:b/>
          <w:bCs/>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2</w:t>
      </w:r>
      <w:r>
        <w:rPr>
          <w:rFonts w:cs="Times New Roman"/>
          <w:b/>
          <w:bCs/>
          <w:color w:val="000000" w:themeColor="text1"/>
          <w:highlight w:val="none"/>
          <w14:textFill>
            <w14:solidFill>
              <w14:schemeClr w14:val="tx1"/>
            </w14:solidFill>
          </w14:textFill>
        </w:rPr>
        <w:t>）生活污水</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储层改造工程</w:t>
      </w:r>
      <w:r>
        <w:rPr>
          <w:rFonts w:cs="Times New Roman"/>
          <w:bCs/>
          <w:color w:val="000000" w:themeColor="text1"/>
          <w:highlight w:val="none"/>
          <w14:textFill>
            <w14:solidFill>
              <w14:schemeClr w14:val="tx1"/>
            </w14:solidFill>
          </w14:textFill>
        </w:rPr>
        <w:t>压裂作业时间约为3</w:t>
      </w:r>
      <w:r>
        <w:rPr>
          <w:rFonts w:hint="eastAsia" w:cs="Times New Roman"/>
          <w:bCs/>
          <w:color w:val="000000" w:themeColor="text1"/>
          <w:highlight w:val="none"/>
          <w14:textFill>
            <w14:solidFill>
              <w14:schemeClr w14:val="tx1"/>
            </w14:solidFill>
          </w14:textFill>
        </w:rPr>
        <w:t>7</w:t>
      </w:r>
      <w:r>
        <w:rPr>
          <w:rFonts w:cs="Times New Roman"/>
          <w:bCs/>
          <w:color w:val="000000" w:themeColor="text1"/>
          <w:highlight w:val="none"/>
          <w14:textFill>
            <w14:solidFill>
              <w14:schemeClr w14:val="tx1"/>
            </w14:solidFill>
          </w14:textFill>
        </w:rPr>
        <w:t>天，压裂作业人员40人，每人每天用水量为80L，排污系数为0.8，则</w:t>
      </w:r>
      <w:r>
        <w:rPr>
          <w:rFonts w:hint="eastAsia" w:cs="Times New Roman"/>
          <w:bCs/>
          <w:color w:val="000000" w:themeColor="text1"/>
          <w:highlight w:val="none"/>
          <w14:textFill>
            <w14:solidFill>
              <w14:schemeClr w14:val="tx1"/>
            </w14:solidFill>
          </w14:textFill>
        </w:rPr>
        <w:t>储层改造</w:t>
      </w:r>
      <w:r>
        <w:rPr>
          <w:rFonts w:cs="Times New Roman"/>
          <w:bCs/>
          <w:color w:val="000000" w:themeColor="text1"/>
          <w:highlight w:val="none"/>
          <w14:textFill>
            <w14:solidFill>
              <w14:schemeClr w14:val="tx1"/>
            </w14:solidFill>
          </w14:textFill>
        </w:rPr>
        <w:t>期间井场的生活用水量为3</w:t>
      </w:r>
      <w:r>
        <w:rPr>
          <w:rFonts w:hint="eastAsia" w:cs="Times New Roman"/>
          <w:bCs/>
          <w:color w:val="000000" w:themeColor="text1"/>
          <w:highlight w:val="none"/>
          <w14:textFill>
            <w14:solidFill>
              <w14:schemeClr w14:val="tx1"/>
            </w14:solidFill>
          </w14:textFill>
        </w:rPr>
        <w:t>2</w:t>
      </w:r>
      <w:r>
        <w:rPr>
          <w:rFonts w:cs="Times New Roman"/>
          <w:bCs/>
          <w:color w:val="000000" w:themeColor="text1"/>
          <w:highlight w:val="none"/>
          <w14:textFill>
            <w14:solidFill>
              <w14:schemeClr w14:val="tx1"/>
            </w14:solidFill>
          </w14:textFill>
        </w:rPr>
        <w:t>00L/d，污水产生量为2</w:t>
      </w:r>
      <w:r>
        <w:rPr>
          <w:rFonts w:hint="eastAsia" w:cs="Times New Roman"/>
          <w:bCs/>
          <w:color w:val="000000" w:themeColor="text1"/>
          <w:highlight w:val="none"/>
          <w14:textFill>
            <w14:solidFill>
              <w14:schemeClr w14:val="tx1"/>
            </w14:solidFill>
          </w14:textFill>
        </w:rPr>
        <w:t>56</w:t>
      </w:r>
      <w:r>
        <w:rPr>
          <w:rFonts w:cs="Times New Roman"/>
          <w:bCs/>
          <w:color w:val="000000" w:themeColor="text1"/>
          <w:highlight w:val="none"/>
          <w14:textFill>
            <w14:solidFill>
              <w14:schemeClr w14:val="tx1"/>
            </w14:solidFill>
          </w14:textFill>
        </w:rPr>
        <w:t>0L/d。生活污水经生态厕所收集后由密闭罐车定期拉运至周边生活污水处理厂处理，环境影响较小。本项目生活污水水质情况见</w:t>
      </w:r>
      <w:r>
        <w:rPr>
          <w:rFonts w:cs="Times New Roman"/>
          <w:bCs/>
          <w:color w:val="000000" w:themeColor="text1"/>
          <w:highlight w:val="none"/>
          <w14:textFill>
            <w14:solidFill>
              <w14:schemeClr w14:val="tx1"/>
            </w14:solidFill>
          </w14:textFill>
        </w:rPr>
        <w:fldChar w:fldCharType="begin"/>
      </w:r>
      <w:r>
        <w:rPr>
          <w:rFonts w:cs="Times New Roman"/>
          <w:bCs/>
          <w:color w:val="000000" w:themeColor="text1"/>
          <w:highlight w:val="none"/>
          <w14:textFill>
            <w14:solidFill>
              <w14:schemeClr w14:val="tx1"/>
            </w14:solidFill>
          </w14:textFill>
        </w:rPr>
        <w:instrText xml:space="preserve"> REF _Ref142593497 \h  \* MERGEFORMAT </w:instrText>
      </w:r>
      <w:r>
        <w:rPr>
          <w:rFonts w:cs="Times New Roman"/>
          <w:bCs/>
          <w:color w:val="000000" w:themeColor="text1"/>
          <w:highlight w:val="none"/>
          <w14:textFill>
            <w14:solidFill>
              <w14:schemeClr w14:val="tx1"/>
            </w14:solidFill>
          </w14:textFill>
        </w:rPr>
        <w:fldChar w:fldCharType="separate"/>
      </w:r>
      <w:r>
        <w:rPr>
          <w:rFonts w:cs="Times New Roman"/>
          <w:color w:val="000000" w:themeColor="text1"/>
          <w:highlight w:val="none"/>
          <w14:textFill>
            <w14:solidFill>
              <w14:schemeClr w14:val="tx1"/>
            </w14:solidFill>
          </w14:textFill>
        </w:rPr>
        <w:t>表3.4</w:t>
      </w:r>
      <w:r>
        <w:rPr>
          <w:rFonts w:cs="Times New Roman"/>
          <w:color w:val="000000" w:themeColor="text1"/>
          <w:highlight w:val="none"/>
          <w14:textFill>
            <w14:solidFill>
              <w14:schemeClr w14:val="tx1"/>
            </w14:solidFill>
          </w14:textFill>
        </w:rPr>
        <w:noBreakHyphen/>
      </w:r>
      <w:r>
        <w:rPr>
          <w:rFonts w:hint="eastAsia" w:cs="Times New Roman"/>
          <w:color w:val="000000" w:themeColor="text1"/>
          <w:highlight w:val="none"/>
          <w14:textFill>
            <w14:solidFill>
              <w14:schemeClr w14:val="tx1"/>
            </w14:solidFill>
          </w14:textFill>
        </w:rPr>
        <w:t>1</w:t>
      </w:r>
      <w:r>
        <w:rPr>
          <w:rFonts w:cs="Times New Roman"/>
          <w:bCs/>
          <w:color w:val="000000" w:themeColor="text1"/>
          <w:highlight w:val="none"/>
          <w14:textFill>
            <w14:solidFill>
              <w14:schemeClr w14:val="tx1"/>
            </w14:solidFill>
          </w14:textFill>
        </w:rPr>
        <w:fldChar w:fldCharType="end"/>
      </w:r>
      <w:r>
        <w:rPr>
          <w:rFonts w:hint="eastAsia" w:cs="Times New Roman"/>
          <w:bCs/>
          <w:color w:val="000000" w:themeColor="text1"/>
          <w:highlight w:val="none"/>
          <w14:textFill>
            <w14:solidFill>
              <w14:schemeClr w14:val="tx1"/>
            </w14:solidFill>
          </w14:textFill>
        </w:rPr>
        <w:t>1</w:t>
      </w:r>
      <w:r>
        <w:rPr>
          <w:rFonts w:cs="Times New Roman"/>
          <w:bCs/>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项目生活污水水质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841"/>
        <w:gridCol w:w="1501"/>
        <w:gridCol w:w="1370"/>
        <w:gridCol w:w="1371"/>
        <w:gridCol w:w="1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主要污染物名称</w:t>
            </w:r>
          </w:p>
        </w:tc>
        <w:tc>
          <w:tcPr>
            <w:tcW w:w="84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w:t>
            </w:r>
          </w:p>
        </w:tc>
        <w:tc>
          <w:tcPr>
            <w:tcW w:w="150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悬浮物（mg/L）</w:t>
            </w:r>
          </w:p>
        </w:tc>
        <w:tc>
          <w:tcPr>
            <w:tcW w:w="137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COD</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mg/L</w:t>
            </w:r>
            <w:r>
              <w:rPr>
                <w:rFonts w:hint="eastAsia"/>
                <w:b/>
                <w:bCs/>
                <w:color w:val="000000" w:themeColor="text1"/>
                <w:highlight w:val="none"/>
                <w14:textFill>
                  <w14:solidFill>
                    <w14:schemeClr w14:val="tx1"/>
                  </w14:solidFill>
                </w14:textFill>
              </w:rPr>
              <w:t>)</w:t>
            </w:r>
          </w:p>
        </w:tc>
        <w:tc>
          <w:tcPr>
            <w:tcW w:w="137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BOD</w:t>
            </w:r>
            <w:r>
              <w:rPr>
                <w:b/>
                <w:bCs/>
                <w:color w:val="000000" w:themeColor="text1"/>
                <w:highlight w:val="none"/>
                <w:vertAlign w:val="subscript"/>
                <w14:textFill>
                  <w14:solidFill>
                    <w14:schemeClr w14:val="tx1"/>
                  </w14:solidFill>
                </w14:textFill>
              </w:rPr>
              <w:t>5</w:t>
            </w:r>
            <w:r>
              <w:rPr>
                <w:rFonts w:hint="eastAsia"/>
                <w:b/>
                <w:bCs/>
                <w:color w:val="000000" w:themeColor="text1"/>
                <w:highlight w:val="none"/>
                <w:vertAlign w:val="subscript"/>
                <w14:textFill>
                  <w14:solidFill>
                    <w14:schemeClr w14:val="tx1"/>
                  </w14:solidFill>
                </w14:textFill>
              </w:rPr>
              <w:t>(</w:t>
            </w:r>
            <w:r>
              <w:rPr>
                <w:b/>
                <w:bCs/>
                <w:color w:val="000000" w:themeColor="text1"/>
                <w:highlight w:val="none"/>
                <w14:textFill>
                  <w14:solidFill>
                    <w14:schemeClr w14:val="tx1"/>
                  </w14:solidFill>
                </w14:textFill>
              </w:rPr>
              <w:t>mg/L</w:t>
            </w:r>
            <w:r>
              <w:rPr>
                <w:rFonts w:hint="eastAsia"/>
                <w:b/>
                <w:bCs/>
                <w:color w:val="000000" w:themeColor="text1"/>
                <w:highlight w:val="none"/>
                <w14:textFill>
                  <w14:solidFill>
                    <w14:schemeClr w14:val="tx1"/>
                  </w14:solidFill>
                </w14:textFill>
              </w:rPr>
              <w:t>)</w:t>
            </w:r>
          </w:p>
        </w:tc>
        <w:tc>
          <w:tcPr>
            <w:tcW w:w="137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氨氮（mg/L）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6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水质情况</w:t>
            </w:r>
          </w:p>
        </w:tc>
        <w:tc>
          <w:tcPr>
            <w:tcW w:w="84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7.0-9.0</w:t>
            </w:r>
          </w:p>
        </w:tc>
        <w:tc>
          <w:tcPr>
            <w:tcW w:w="15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250-300</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350-400</w:t>
            </w: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200-250</w:t>
            </w: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30-40</w:t>
            </w:r>
          </w:p>
        </w:tc>
      </w:tr>
    </w:tbl>
    <w:p>
      <w:pPr>
        <w:spacing w:before="120" w:beforeLines="50"/>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（3）噪声</w:t>
      </w:r>
    </w:p>
    <w:p>
      <w:pPr>
        <w:ind w:firstLine="480"/>
        <w:rPr>
          <w:rFonts w:cs="Times New Roman"/>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本项目压裂作业时间短，仅在白天施工</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压裂过程中噪声源主要来自于压裂泵车，单台噪声源强情况90~100dB（A）</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本项目最多同时6台压裂设备同时作业</w:t>
      </w:r>
      <w:r>
        <w:rPr>
          <w:rFonts w:hint="eastAsia" w:cs="Times New Roman"/>
          <w:color w:val="000000" w:themeColor="text1"/>
          <w:szCs w:val="24"/>
          <w:highlight w:val="none"/>
          <w14:textFill>
            <w14:solidFill>
              <w14:schemeClr w14:val="tx1"/>
            </w14:solidFill>
          </w14:textFill>
        </w:rPr>
        <w:t>；此外，在储层改造完成后进行测试放喷时，还将有</w:t>
      </w:r>
      <w:r>
        <w:rPr>
          <w:rFonts w:cs="Times New Roman"/>
          <w:color w:val="000000" w:themeColor="text1"/>
          <w:highlight w:val="none"/>
          <w14:textFill>
            <w14:solidFill>
              <w14:schemeClr w14:val="tx1"/>
            </w14:solidFill>
          </w14:textFill>
        </w:rPr>
        <w:t>放喷时产生的高压气流噪声，</w:t>
      </w:r>
      <w:r>
        <w:rPr>
          <w:rFonts w:cs="Times New Roman"/>
          <w:color w:val="000000" w:themeColor="text1"/>
          <w:szCs w:val="24"/>
          <w:highlight w:val="none"/>
          <w14:textFill>
            <w14:solidFill>
              <w14:schemeClr w14:val="tx1"/>
            </w14:solidFill>
          </w14:textFill>
        </w:rPr>
        <w:t>噪声源强度约为95~105dB（A）</w:t>
      </w:r>
      <w:r>
        <w:rPr>
          <w:rFonts w:hint="eastAsia" w:cs="Times New Roman"/>
          <w:color w:val="000000" w:themeColor="text1"/>
          <w:highlight w:val="none"/>
          <w14:textFill>
            <w14:solidFill>
              <w14:schemeClr w14:val="tx1"/>
            </w14:solidFill>
          </w14:textFill>
        </w:rPr>
        <w:t>。储层改造</w:t>
      </w:r>
      <w:r>
        <w:rPr>
          <w:rFonts w:cs="Times New Roman"/>
          <w:color w:val="000000" w:themeColor="text1"/>
          <w:highlight w:val="none"/>
          <w14:textFill>
            <w14:solidFill>
              <w14:schemeClr w14:val="tx1"/>
            </w14:solidFill>
          </w14:textFill>
        </w:rPr>
        <w:t>工程主要噪声源设备噪声值见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_Ref142593506 \h  \* MERGEFORMAT </w:instrText>
      </w:r>
      <w:r>
        <w:rPr>
          <w:rFonts w:cs="Times New Roman"/>
          <w:color w:val="000000" w:themeColor="text1"/>
          <w:highlight w:val="none"/>
          <w14:textFill>
            <w14:solidFill>
              <w14:schemeClr w14:val="tx1"/>
            </w14:solidFill>
          </w14:textFill>
        </w:rPr>
        <w:fldChar w:fldCharType="separate"/>
      </w:r>
      <w:r>
        <w:rPr>
          <w:rFonts w:cs="Times New Roman"/>
          <w:color w:val="000000" w:themeColor="text1"/>
          <w:highlight w:val="none"/>
          <w14:textFill>
            <w14:solidFill>
              <w14:schemeClr w14:val="tx1"/>
            </w14:solidFill>
          </w14:textFill>
        </w:rPr>
        <w:t>表3.4</w:t>
      </w:r>
      <w:r>
        <w:rPr>
          <w:rFonts w:cs="Times New Roman"/>
          <w:color w:val="000000" w:themeColor="text1"/>
          <w:highlight w:val="none"/>
          <w14:textFill>
            <w14:solidFill>
              <w14:schemeClr w14:val="tx1"/>
            </w14:solidFill>
          </w14:textFill>
        </w:rPr>
        <w:noBreakHyphen/>
      </w:r>
      <w:r>
        <w:rPr>
          <w:rFonts w:hint="eastAsia" w:cs="Times New Roman"/>
          <w:color w:val="000000" w:themeColor="text1"/>
          <w:highlight w:val="none"/>
          <w14:textFill>
            <w14:solidFill>
              <w14:schemeClr w14:val="tx1"/>
            </w14:solidFill>
          </w14:textFill>
        </w:rPr>
        <w:t>1</w:t>
      </w:r>
      <w:r>
        <w:rPr>
          <w:rFonts w:cs="Times New Roman"/>
          <w:color w:val="000000" w:themeColor="text1"/>
          <w:highlight w:val="none"/>
          <w14:textFill>
            <w14:solidFill>
              <w14:schemeClr w14:val="tx1"/>
            </w14:solidFill>
          </w14:textFill>
        </w:rPr>
        <w:fldChar w:fldCharType="end"/>
      </w:r>
      <w:r>
        <w:rPr>
          <w:rFonts w:hint="eastAsia" w:cs="Times New Roman"/>
          <w:color w:val="000000" w:themeColor="text1"/>
          <w:highlight w:val="none"/>
          <w14:textFill>
            <w14:solidFill>
              <w14:schemeClr w14:val="tx1"/>
            </w14:solidFill>
          </w14:textFill>
        </w:rPr>
        <w:t>2。</w:t>
      </w:r>
    </w:p>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项目钻井工程主要噪声源设备噪声值表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73"/>
        <w:gridCol w:w="1661"/>
        <w:gridCol w:w="1865"/>
        <w:gridCol w:w="995"/>
        <w:gridCol w:w="933"/>
        <w:gridCol w:w="631"/>
        <w:gridCol w:w="631"/>
        <w:gridCol w:w="6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噪声设备</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数量</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单台源强dB（A）（1m处）</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采取的降噪措施</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降噪后源强</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噪声特征</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排放时间</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声源种类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压裂设备</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14:textFill>
                  <w14:solidFill>
                    <w14:schemeClr w14:val="tx1"/>
                  </w14:solidFill>
                </w14:textFill>
              </w:rPr>
            </w:pPr>
            <w:r>
              <w:rPr>
                <w:rFonts w:cs="Times New Roman"/>
                <w:color w:val="000000" w:themeColor="text1"/>
                <w:kern w:val="0"/>
                <w:sz w:val="21"/>
                <w:szCs w:val="21"/>
                <w:highlight w:val="none"/>
                <w14:textFill>
                  <w14:solidFill>
                    <w14:schemeClr w14:val="tx1"/>
                  </w14:solidFill>
                </w14:textFill>
              </w:rPr>
              <w:t>8台（最多6台同时作业）</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95</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100</w:t>
            </w:r>
          </w:p>
        </w:tc>
        <w:tc>
          <w:tcPr>
            <w:tcW w:w="0" w:type="auto"/>
            <w:vAlign w:val="center"/>
          </w:tcPr>
          <w:p>
            <w:pPr>
              <w:widowControl/>
              <w:spacing w:line="240" w:lineRule="auto"/>
              <w:ind w:firstLine="420" w:firstLineChars="0"/>
              <w:jc w:val="center"/>
              <w:rPr>
                <w:rFonts w:cs="Times New Roman"/>
                <w:color w:val="000000" w:themeColor="text1"/>
                <w:kern w:val="0"/>
                <w:sz w:val="21"/>
                <w:szCs w:val="21"/>
                <w:highlight w:val="none"/>
                <w:lang w:eastAsia="en-US"/>
                <w14:textFill>
                  <w14:solidFill>
                    <w14:schemeClr w14:val="tx1"/>
                  </w14:solidFill>
                </w14:textFill>
              </w:rPr>
            </w:pP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95</w:t>
            </w:r>
            <w:r>
              <w:rPr>
                <w:rFonts w:hint="eastAsia" w:cs="Times New Roman"/>
                <w:color w:val="000000" w:themeColor="text1"/>
                <w:kern w:val="0"/>
                <w:sz w:val="21"/>
                <w:szCs w:val="21"/>
                <w:highlight w:val="none"/>
                <w14:textFill>
                  <w14:solidFill>
                    <w14:schemeClr w14:val="tx1"/>
                  </w14:solidFill>
                </w14:textFill>
              </w:rPr>
              <w:t>~</w:t>
            </w:r>
            <w:r>
              <w:rPr>
                <w:rFonts w:cs="Times New Roman"/>
                <w:color w:val="000000" w:themeColor="text1"/>
                <w:kern w:val="0"/>
                <w:sz w:val="21"/>
                <w:szCs w:val="21"/>
                <w:highlight w:val="none"/>
                <w:lang w:eastAsia="en-US"/>
                <w14:textFill>
                  <w14:solidFill>
                    <w14:schemeClr w14:val="tx1"/>
                  </w14:solidFill>
                </w14:textFill>
              </w:rPr>
              <w:t>100</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机械</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昼夜间断</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固定声源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放喷高压气流</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110</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105</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空气动力</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测试3h</w:t>
            </w:r>
          </w:p>
        </w:tc>
        <w:tc>
          <w:tcPr>
            <w:tcW w:w="0" w:type="auto"/>
            <w:vAlign w:val="center"/>
          </w:tcPr>
          <w:p>
            <w:pPr>
              <w:widowControl/>
              <w:spacing w:line="240" w:lineRule="auto"/>
              <w:ind w:firstLine="0" w:firstLineChars="0"/>
              <w:jc w:val="center"/>
              <w:rPr>
                <w:rFonts w:cs="Times New Roman"/>
                <w:color w:val="000000" w:themeColor="text1"/>
                <w:kern w:val="0"/>
                <w:sz w:val="21"/>
                <w:szCs w:val="21"/>
                <w:highlight w:val="none"/>
                <w:lang w:eastAsia="en-US"/>
                <w14:textFill>
                  <w14:solidFill>
                    <w14:schemeClr w14:val="tx1"/>
                  </w14:solidFill>
                </w14:textFill>
              </w:rPr>
            </w:pPr>
            <w:r>
              <w:rPr>
                <w:rFonts w:cs="Times New Roman"/>
                <w:color w:val="000000" w:themeColor="text1"/>
                <w:kern w:val="0"/>
                <w:sz w:val="21"/>
                <w:szCs w:val="21"/>
                <w:highlight w:val="none"/>
                <w:lang w:eastAsia="en-US"/>
                <w14:textFill>
                  <w14:solidFill>
                    <w14:schemeClr w14:val="tx1"/>
                  </w14:solidFill>
                </w14:textFill>
              </w:rPr>
              <w:t>固定声源</w:t>
            </w:r>
          </w:p>
        </w:tc>
      </w:tr>
    </w:tbl>
    <w:p>
      <w:pPr>
        <w:spacing w:before="120" w:beforeLines="50"/>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（4）固废</w:t>
      </w:r>
    </w:p>
    <w:p>
      <w:pPr>
        <w:pStyle w:val="52"/>
        <w:spacing w:after="0"/>
        <w:ind w:firstLine="480" w:firstLineChars="200"/>
        <w:rPr>
          <w:color w:val="000000" w:themeColor="text1"/>
          <w:sz w:val="24"/>
          <w:szCs w:val="22"/>
          <w:highlight w:val="none"/>
          <w14:textFill>
            <w14:solidFill>
              <w14:schemeClr w14:val="tx1"/>
            </w14:solidFill>
          </w14:textFill>
        </w:rPr>
      </w:pPr>
      <w:r>
        <w:rPr>
          <w:rFonts w:hint="eastAsia"/>
          <w:color w:val="000000" w:themeColor="text1"/>
          <w:sz w:val="24"/>
          <w:szCs w:val="22"/>
          <w:highlight w:val="none"/>
          <w14:textFill>
            <w14:solidFill>
              <w14:schemeClr w14:val="tx1"/>
            </w14:solidFill>
          </w14:textFill>
        </w:rPr>
        <w:t>储层改造工程主要的固体废弃物为储层改造施工人员生活垃圾及</w:t>
      </w:r>
      <w:r>
        <w:rPr>
          <w:color w:val="000000" w:themeColor="text1"/>
          <w:sz w:val="24"/>
          <w:szCs w:val="22"/>
          <w:highlight w:val="none"/>
          <w14:textFill>
            <w14:solidFill>
              <w14:schemeClr w14:val="tx1"/>
            </w14:solidFill>
          </w14:textFill>
        </w:rPr>
        <w:t>完井搬迁时可能产生少量建筑垃圾</w:t>
      </w:r>
      <w:r>
        <w:rPr>
          <w:rFonts w:hint="eastAsia"/>
          <w:color w:val="000000" w:themeColor="text1"/>
          <w:sz w:val="24"/>
          <w:szCs w:val="22"/>
          <w:highlight w:val="none"/>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1</w:t>
      </w:r>
      <w:r>
        <w:rPr>
          <w:rFonts w:cs="Times New Roman"/>
          <w:color w:val="000000" w:themeColor="text1"/>
          <w:highlight w:val="none"/>
          <w14:textFill>
            <w14:solidFill>
              <w14:schemeClr w14:val="tx1"/>
            </w14:solidFill>
          </w14:textFill>
        </w:rPr>
        <w:t>）生活垃圾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生活垃圾来源于</w:t>
      </w:r>
      <w:r>
        <w:rPr>
          <w:rFonts w:hint="eastAsia" w:cs="Times New Roman"/>
          <w:color w:val="000000" w:themeColor="text1"/>
          <w:highlight w:val="none"/>
          <w14:textFill>
            <w14:solidFill>
              <w14:schemeClr w14:val="tx1"/>
            </w14:solidFill>
          </w14:textFill>
        </w:rPr>
        <w:t>储层改造</w:t>
      </w:r>
      <w:r>
        <w:rPr>
          <w:rFonts w:cs="Times New Roman"/>
          <w:color w:val="000000" w:themeColor="text1"/>
          <w:highlight w:val="none"/>
          <w14:textFill>
            <w14:solidFill>
              <w14:schemeClr w14:val="tx1"/>
            </w14:solidFill>
          </w14:textFill>
        </w:rPr>
        <w:t>施工作业人员，</w:t>
      </w:r>
      <w:r>
        <w:rPr>
          <w:rFonts w:hint="eastAsia" w:cs="Times New Roman"/>
          <w:color w:val="000000" w:themeColor="text1"/>
          <w:highlight w:val="none"/>
          <w14:textFill>
            <w14:solidFill>
              <w14:schemeClr w14:val="tx1"/>
            </w14:solidFill>
          </w14:textFill>
        </w:rPr>
        <w:t>储层改造施工人员</w:t>
      </w:r>
      <w:r>
        <w:rPr>
          <w:rFonts w:cs="Times New Roman"/>
          <w:color w:val="000000" w:themeColor="text1"/>
          <w:highlight w:val="none"/>
          <w14:textFill>
            <w14:solidFill>
              <w14:schemeClr w14:val="tx1"/>
            </w14:solidFill>
          </w14:textFill>
        </w:rPr>
        <w:t>按4</w:t>
      </w:r>
      <w:r>
        <w:rPr>
          <w:rFonts w:hint="eastAsia" w:cs="Times New Roman"/>
          <w:color w:val="000000" w:themeColor="text1"/>
          <w:highlight w:val="none"/>
          <w14:textFill>
            <w14:solidFill>
              <w14:schemeClr w14:val="tx1"/>
            </w14:solidFill>
          </w14:textFill>
        </w:rPr>
        <w:t>0</w:t>
      </w:r>
      <w:r>
        <w:rPr>
          <w:rFonts w:cs="Times New Roman"/>
          <w:color w:val="000000" w:themeColor="text1"/>
          <w:highlight w:val="none"/>
          <w14:textFill>
            <w14:solidFill>
              <w14:schemeClr w14:val="tx1"/>
            </w14:solidFill>
          </w14:textFill>
        </w:rPr>
        <w:t>人计，每人每天产生的生活垃圾按0.5kg/d计算，则生活垃圾的产生量约为2</w:t>
      </w:r>
      <w:r>
        <w:rPr>
          <w:rFonts w:hint="eastAsia" w:cs="Times New Roman"/>
          <w:color w:val="000000" w:themeColor="text1"/>
          <w:highlight w:val="none"/>
          <w14:textFill>
            <w14:solidFill>
              <w14:schemeClr w14:val="tx1"/>
            </w14:solidFill>
          </w14:textFill>
        </w:rPr>
        <w:t>0</w:t>
      </w:r>
      <w:r>
        <w:rPr>
          <w:rFonts w:cs="Times New Roman"/>
          <w:color w:val="000000" w:themeColor="text1"/>
          <w:highlight w:val="none"/>
          <w14:textFill>
            <w14:solidFill>
              <w14:schemeClr w14:val="tx1"/>
            </w14:solidFill>
          </w14:textFill>
        </w:rPr>
        <w:t>kg/d。井场设置垃圾坑收集，定期按井场所在地环卫部门相关要求实施统一妥善处置。</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2）建筑垃圾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完井搬迁时可能产生少量建筑垃圾，主要如包装袋，废弃建筑材料等，其量小，由施工队伍统一收集清运至政府指定地方。</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（5）地下水污染</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1）地下水污染源类型分析</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储层改造工程的下属污染类型主要为</w:t>
      </w:r>
      <w:r>
        <w:rPr>
          <w:rFonts w:cs="Times New Roman"/>
          <w:color w:val="000000" w:themeColor="text1"/>
          <w:highlight w:val="none"/>
          <w14:textFill>
            <w14:solidFill>
              <w14:schemeClr w14:val="tx1"/>
            </w14:solidFill>
          </w14:textFill>
        </w:rPr>
        <w:t>压裂过程井筒破裂漏失的压裂液。</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2）污染途径分析</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在储层改造时的</w:t>
      </w:r>
      <w:r>
        <w:rPr>
          <w:rFonts w:cs="Times New Roman"/>
          <w:bCs/>
          <w:color w:val="000000" w:themeColor="text1"/>
          <w:szCs w:val="24"/>
          <w:highlight w:val="none"/>
          <w14:textFill>
            <w14:solidFill>
              <w14:schemeClr w14:val="tx1"/>
            </w14:solidFill>
          </w14:textFill>
        </w:rPr>
        <w:t>压裂过程中</w:t>
      </w:r>
      <w:r>
        <w:rPr>
          <w:rFonts w:hint="eastAsia" w:cs="Times New Roman"/>
          <w:bCs/>
          <w:color w:val="000000" w:themeColor="text1"/>
          <w:szCs w:val="24"/>
          <w:highlight w:val="none"/>
          <w14:textFill>
            <w14:solidFill>
              <w14:schemeClr w14:val="tx1"/>
            </w14:solidFill>
          </w14:textFill>
        </w:rPr>
        <w:t>，发生</w:t>
      </w:r>
      <w:r>
        <w:rPr>
          <w:rFonts w:cs="Times New Roman"/>
          <w:bCs/>
          <w:color w:val="000000" w:themeColor="text1"/>
          <w:szCs w:val="24"/>
          <w:highlight w:val="none"/>
          <w14:textFill>
            <w14:solidFill>
              <w14:schemeClr w14:val="tx1"/>
            </w14:solidFill>
          </w14:textFill>
        </w:rPr>
        <w:t>井筒破裂事故中，在水头压力差的作用下，将有少量压裂液滤失，并在含水层中扩散迁移，污染地下水，污染程度与所选用的钻井泥浆体系与压裂方案密切相关。</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3）地下水污染源源强分析</w:t>
      </w:r>
    </w:p>
    <w:p>
      <w:pPr>
        <w:ind w:firstLine="480"/>
        <w:rPr>
          <w:rFonts w:cs="Times New Roman"/>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压裂过程中</w:t>
      </w:r>
      <w:r>
        <w:rPr>
          <w:rFonts w:cs="Times New Roman"/>
          <w:bCs/>
          <w:color w:val="000000" w:themeColor="text1"/>
          <w:szCs w:val="24"/>
          <w:highlight w:val="none"/>
          <w14:textFill>
            <w14:solidFill>
              <w14:schemeClr w14:val="tx1"/>
            </w14:solidFill>
          </w14:textFill>
        </w:rPr>
        <w:t>监控系统一般在地层滤失量＜3m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/h时即可发现</w:t>
      </w:r>
      <w:r>
        <w:rPr>
          <w:rFonts w:hint="eastAsia" w:cs="Times New Roman"/>
          <w:bCs/>
          <w:color w:val="000000" w:themeColor="text1"/>
          <w:szCs w:val="24"/>
          <w:highlight w:val="none"/>
          <w14:textFill>
            <w14:solidFill>
              <w14:schemeClr w14:val="tx1"/>
            </w14:solidFill>
          </w14:textFill>
        </w:rPr>
        <w:t>压裂液滤失</w:t>
      </w:r>
      <w:r>
        <w:rPr>
          <w:rFonts w:cs="Times New Roman"/>
          <w:bCs/>
          <w:color w:val="000000" w:themeColor="text1"/>
          <w:szCs w:val="24"/>
          <w:highlight w:val="none"/>
          <w14:textFill>
            <w14:solidFill>
              <w14:schemeClr w14:val="tx1"/>
            </w14:solidFill>
          </w14:textFill>
        </w:rPr>
        <w:t>，以便及时采取堵漏措施。从措施上减少井筒内</w:t>
      </w:r>
      <w:r>
        <w:rPr>
          <w:rFonts w:hint="eastAsia" w:cs="Times New Roman"/>
          <w:bCs/>
          <w:color w:val="000000" w:themeColor="text1"/>
          <w:szCs w:val="24"/>
          <w:highlight w:val="none"/>
          <w14:textFill>
            <w14:solidFill>
              <w14:schemeClr w14:val="tx1"/>
            </w14:solidFill>
          </w14:textFill>
        </w:rPr>
        <w:t>压裂液</w:t>
      </w:r>
      <w:r>
        <w:rPr>
          <w:rFonts w:cs="Times New Roman"/>
          <w:bCs/>
          <w:color w:val="000000" w:themeColor="text1"/>
          <w:szCs w:val="24"/>
          <w:highlight w:val="none"/>
          <w14:textFill>
            <w14:solidFill>
              <w14:schemeClr w14:val="tx1"/>
            </w14:solidFill>
          </w14:textFill>
        </w:rPr>
        <w:t>滤失可能。</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油气集输</w:t>
      </w:r>
      <w:r>
        <w:rPr>
          <w:color w:val="000000" w:themeColor="text1"/>
          <w:highlight w:val="none"/>
          <w14:textFill>
            <w14:solidFill>
              <w14:schemeClr w14:val="tx1"/>
            </w14:solidFill>
          </w14:textFill>
        </w:rPr>
        <w:t>工程</w:t>
      </w:r>
      <w:r>
        <w:rPr>
          <w:rFonts w:hint="eastAsia"/>
          <w:color w:val="000000" w:themeColor="text1"/>
          <w:highlight w:val="none"/>
          <w14:textFill>
            <w14:solidFill>
              <w14:schemeClr w14:val="tx1"/>
            </w14:solidFill>
          </w14:textFill>
        </w:rPr>
        <w:t>（站场建设及管线工程）</w:t>
      </w:r>
    </w:p>
    <w:p>
      <w:pPr>
        <w:ind w:firstLine="480"/>
        <w:rPr>
          <w:rFonts w:cs="Times New Roman"/>
          <w:color w:val="000000" w:themeColor="text1"/>
          <w:kern w:val="0"/>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w:t>
      </w:r>
      <w:r>
        <w:rPr>
          <w:rFonts w:cs="Times New Roman"/>
          <w:color w:val="000000" w:themeColor="text1"/>
          <w:szCs w:val="24"/>
          <w:highlight w:val="none"/>
          <w14:textFill>
            <w14:solidFill>
              <w14:schemeClr w14:val="tx1"/>
            </w14:solidFill>
          </w14:textFill>
        </w:rPr>
        <w:t>完毕后，通过测试并获得天然气产量后，</w:t>
      </w:r>
      <w:r>
        <w:rPr>
          <w:rFonts w:hint="eastAsia" w:cs="Times New Roman"/>
          <w:color w:val="000000" w:themeColor="text1"/>
          <w:szCs w:val="24"/>
          <w:highlight w:val="none"/>
          <w14:textFill>
            <w14:solidFill>
              <w14:schemeClr w14:val="tx1"/>
            </w14:solidFill>
          </w14:textFill>
        </w:rPr>
        <w:t>进行油气集输工程建设，本次</w:t>
      </w:r>
      <w:r>
        <w:rPr>
          <w:rFonts w:hint="eastAsia"/>
          <w:color w:val="000000" w:themeColor="text1"/>
          <w:highlight w:val="none"/>
          <w14:textFill>
            <w14:solidFill>
              <w14:schemeClr w14:val="tx1"/>
            </w14:solidFill>
          </w14:textFill>
        </w:rPr>
        <w:t>新建大湾408-3采气井场，采用湿气混输工艺，井口来气经采气树一级节流后就近接入大湾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，依托大湾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内加热节流、计量分离后，依托其建设的</w:t>
      </w:r>
      <w:r>
        <w:rPr>
          <w:color w:val="000000" w:themeColor="text1"/>
          <w:highlight w:val="none"/>
          <w14:textFill>
            <w14:solidFill>
              <w14:schemeClr w14:val="tx1"/>
            </w14:solidFill>
          </w14:textFill>
        </w:rPr>
        <w:t>酸气管道</w:t>
      </w:r>
      <w:r>
        <w:rPr>
          <w:rFonts w:hint="eastAsia"/>
          <w:color w:val="000000" w:themeColor="text1"/>
          <w:highlight w:val="none"/>
          <w14:textFill>
            <w14:solidFill>
              <w14:schemeClr w14:val="tx1"/>
            </w14:solidFill>
          </w14:textFill>
        </w:rPr>
        <w:t>实现外输，最终</w:t>
      </w:r>
      <w:r>
        <w:rPr>
          <w:color w:val="000000" w:themeColor="text1"/>
          <w:highlight w:val="none"/>
          <w14:textFill>
            <w14:solidFill>
              <w14:schemeClr w14:val="tx1"/>
            </w14:solidFill>
          </w14:textFill>
        </w:rPr>
        <w:t>通过</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#线输至净化厂处理</w:t>
      </w:r>
      <w:r>
        <w:rPr>
          <w:rFonts w:cs="Times New Roman"/>
          <w:color w:val="000000" w:themeColor="text1"/>
          <w:kern w:val="0"/>
          <w:highlight w:val="none"/>
          <w14:textFill>
            <w14:solidFill>
              <w14:schemeClr w14:val="tx1"/>
            </w14:solidFill>
          </w14:textFill>
        </w:rPr>
        <w:t>。</w:t>
      </w:r>
      <w:r>
        <w:rPr>
          <w:color w:val="000000" w:themeColor="text1"/>
          <w:highlight w:val="none"/>
          <w14:textFill>
            <w14:solidFill>
              <w14:schemeClr w14:val="tx1"/>
            </w14:solidFill>
          </w14:textFill>
        </w:rPr>
        <w:t>分离器</w:t>
      </w:r>
      <w:r>
        <w:rPr>
          <w:rFonts w:hint="eastAsia"/>
          <w:color w:val="000000" w:themeColor="text1"/>
          <w:highlight w:val="none"/>
          <w14:textFill>
            <w14:solidFill>
              <w14:schemeClr w14:val="tx1"/>
            </w14:solidFill>
          </w14:textFill>
        </w:rPr>
        <w:t>产出的</w:t>
      </w:r>
      <w:r>
        <w:rPr>
          <w:color w:val="000000" w:themeColor="text1"/>
          <w:highlight w:val="none"/>
          <w14:textFill>
            <w14:solidFill>
              <w14:schemeClr w14:val="tx1"/>
            </w14:solidFill>
          </w14:textFill>
        </w:rPr>
        <w:t>气田水</w:t>
      </w:r>
      <w:r>
        <w:rPr>
          <w:rFonts w:hint="eastAsia"/>
          <w:color w:val="000000" w:themeColor="text1"/>
          <w:highlight w:val="none"/>
          <w14:textFill>
            <w14:solidFill>
              <w14:schemeClr w14:val="tx1"/>
            </w14:solidFill>
          </w14:textFill>
        </w:rPr>
        <w:t>依托大湾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内</w:t>
      </w:r>
      <w:r>
        <w:rPr>
          <w:rFonts w:hint="eastAsia"/>
          <w:color w:val="000000" w:themeColor="text1"/>
          <w:highlight w:val="none"/>
          <w14:textFill>
            <w14:solidFill>
              <w14:schemeClr w14:val="tx1"/>
            </w14:solidFill>
          </w14:textFill>
        </w:rPr>
        <w:t>已建的</w:t>
      </w:r>
      <w:r>
        <w:rPr>
          <w:color w:val="000000" w:themeColor="text1"/>
          <w:highlight w:val="none"/>
          <w14:textFill>
            <w14:solidFill>
              <w14:schemeClr w14:val="tx1"/>
            </w14:solidFill>
          </w14:textFill>
        </w:rPr>
        <w:t>火炬分液罐</w:t>
      </w:r>
      <w:r>
        <w:rPr>
          <w:rFonts w:hint="eastAsia"/>
          <w:color w:val="000000" w:themeColor="text1"/>
          <w:highlight w:val="none"/>
          <w14:textFill>
            <w14:solidFill>
              <w14:schemeClr w14:val="tx1"/>
            </w14:solidFill>
          </w14:textFill>
        </w:rPr>
        <w:t>暂存</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定期由密闭罐车</w:t>
      </w:r>
      <w:r>
        <w:rPr>
          <w:color w:val="000000" w:themeColor="text1"/>
          <w:highlight w:val="none"/>
          <w14:textFill>
            <w14:solidFill>
              <w14:schemeClr w14:val="tx1"/>
            </w14:solidFill>
          </w14:textFill>
        </w:rPr>
        <w:t>统一拉运至赵家坝污水处理站。</w:t>
      </w:r>
      <w:r>
        <w:rPr>
          <w:rFonts w:hint="eastAsia" w:cs="Times New Roman"/>
          <w:color w:val="000000" w:themeColor="text1"/>
          <w:kern w:val="0"/>
          <w:highlight w:val="none"/>
          <w14:textFill>
            <w14:solidFill>
              <w14:schemeClr w14:val="tx1"/>
            </w14:solidFill>
          </w14:textFill>
        </w:rPr>
        <w:t>本次</w:t>
      </w:r>
      <w:r>
        <w:rPr>
          <w:rFonts w:hint="eastAsia"/>
          <w:color w:val="000000" w:themeColor="text1"/>
          <w:highlight w:val="none"/>
          <w14:textFill>
            <w14:solidFill>
              <w14:schemeClr w14:val="tx1"/>
            </w14:solidFill>
          </w14:textFill>
        </w:rPr>
        <w:t>新建采气管道200米，并配套电力、通信、自控等设施</w:t>
      </w:r>
      <w:r>
        <w:rPr>
          <w:rFonts w:hint="eastAsia" w:cs="Times New Roman"/>
          <w:bCs/>
          <w:color w:val="000000" w:themeColor="text1"/>
          <w:highlight w:val="none"/>
          <w14:textFill>
            <w14:solidFill>
              <w14:schemeClr w14:val="tx1"/>
            </w14:solidFill>
          </w14:textFill>
        </w:rPr>
        <w:t>。同时本工程需新建大湾408-3井场试采站～大湾</w:t>
      </w:r>
      <w:r>
        <w:rPr>
          <w:rFonts w:hint="eastAsia" w:cs="Times New Roman"/>
          <w:bCs/>
          <w:color w:val="000000" w:themeColor="text1"/>
          <w:highlight w:val="none"/>
          <w:lang w:eastAsia="zh-CN"/>
          <w14:textFill>
            <w14:solidFill>
              <w14:schemeClr w14:val="tx1"/>
            </w14:solidFill>
          </w14:textFill>
        </w:rPr>
        <w:t>408试采站</w:t>
      </w:r>
      <w:r>
        <w:rPr>
          <w:rFonts w:hint="eastAsia" w:cs="Times New Roman"/>
          <w:bCs/>
          <w:color w:val="000000" w:themeColor="text1"/>
          <w:highlight w:val="none"/>
          <w14:textFill>
            <w14:solidFill>
              <w14:schemeClr w14:val="tx1"/>
            </w14:solidFill>
          </w14:textFill>
        </w:rPr>
        <w:t>之间的天然气管道1条，管道长度200m，管线规格DN65，材质为L360QS（GB/T9711），设计压力12.5MPa，埋深1.2m</w:t>
      </w:r>
      <w:r>
        <w:rPr>
          <w:rFonts w:cs="Times New Roman"/>
          <w:bCs/>
          <w:color w:val="000000" w:themeColor="text1"/>
          <w:highlight w:val="none"/>
          <w14:textFill>
            <w14:solidFill>
              <w14:schemeClr w14:val="tx1"/>
            </w14:solidFill>
          </w14:textFill>
        </w:rPr>
        <w:t>。站场施工工作均在完井后的井场内建设，</w:t>
      </w:r>
      <w:r>
        <w:rPr>
          <w:rFonts w:hint="eastAsia" w:cs="Times New Roman"/>
          <w:bCs/>
          <w:color w:val="000000" w:themeColor="text1"/>
          <w:highlight w:val="none"/>
          <w14:textFill>
            <w14:solidFill>
              <w14:schemeClr w14:val="tx1"/>
            </w14:solidFill>
          </w14:textFill>
        </w:rPr>
        <w:t>管线距离短，工程量相对较小，整个地面工程工程量小、</w:t>
      </w:r>
      <w:r>
        <w:rPr>
          <w:rFonts w:cs="Times New Roman"/>
          <w:bCs/>
          <w:color w:val="000000" w:themeColor="text1"/>
          <w:highlight w:val="none"/>
          <w14:textFill>
            <w14:solidFill>
              <w14:schemeClr w14:val="tx1"/>
            </w14:solidFill>
          </w14:textFill>
        </w:rPr>
        <w:t>施工期较短，其污染物产生量较少，对环境的影响较小。</w:t>
      </w:r>
    </w:p>
    <w:p>
      <w:pPr>
        <w:pStyle w:val="21"/>
        <w:spacing w:before="0"/>
        <w:ind w:left="0" w:firstLine="482"/>
        <w:jc w:val="both"/>
        <w:rPr>
          <w:rFonts w:ascii="Times New Roman" w:hAnsi="Times New Roman"/>
          <w:b/>
          <w:bCs/>
          <w:color w:val="000000" w:themeColor="text1"/>
          <w:highlight w:val="none"/>
          <w:lang w:eastAsia="zh-CN"/>
          <w14:textFill>
            <w14:solidFill>
              <w14:schemeClr w14:val="tx1"/>
            </w14:solidFill>
          </w14:textFill>
        </w:rPr>
      </w:pPr>
      <w:r>
        <w:rPr>
          <w:rFonts w:ascii="Times New Roman" w:hAnsi="Times New Roman"/>
          <w:b/>
          <w:bCs/>
          <w:color w:val="000000" w:themeColor="text1"/>
          <w:highlight w:val="none"/>
          <w:lang w:eastAsia="zh-CN"/>
          <w14:textFill>
            <w14:solidFill>
              <w14:schemeClr w14:val="tx1"/>
            </w14:solidFill>
          </w14:textFill>
        </w:rPr>
        <w:t>（1）生态环境</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由于站场施工工作全部在钻井井场内完成，占地均位于原占地范围内，生态影响主要为部分设备基础建设造成施工区域土地裸露，在雨季极易产生径流，加重土壤侵蚀程度，造成水土流失。本项目在设备安装完毕后及时进行场站内道路硬化和绿化，减少场站施工区水土流失。</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本项目管道施工的主要环境影响表现为管道施工过程中</w:t>
      </w:r>
      <w:r>
        <w:rPr>
          <w:rFonts w:hint="eastAsia" w:cs="Times New Roman"/>
          <w:bCs/>
          <w:color w:val="000000" w:themeColor="text1"/>
          <w:highlight w:val="none"/>
          <w14:textFill>
            <w14:solidFill>
              <w14:schemeClr w14:val="tx1"/>
            </w14:solidFill>
          </w14:textFill>
        </w:rPr>
        <w:t>场地平整压实作业</w:t>
      </w:r>
      <w:r>
        <w:rPr>
          <w:rFonts w:cs="Times New Roman"/>
          <w:bCs/>
          <w:color w:val="000000" w:themeColor="text1"/>
          <w:highlight w:val="none"/>
          <w14:textFill>
            <w14:solidFill>
              <w14:schemeClr w14:val="tx1"/>
            </w14:solidFill>
          </w14:textFill>
        </w:rPr>
        <w:t>，造成局部植被破坏、土壤扰动、土壤结构改变、地面裸露，短期内加深水土流失、破坏生境</w:t>
      </w:r>
      <w:r>
        <w:rPr>
          <w:rFonts w:hint="eastAsia" w:cs="Times New Roman"/>
          <w:bCs/>
          <w:color w:val="000000" w:themeColor="text1"/>
          <w:highlight w:val="none"/>
          <w14:textFill>
            <w14:solidFill>
              <w14:schemeClr w14:val="tx1"/>
            </w14:solidFill>
          </w14:textFill>
        </w:rPr>
        <w:t>。由于本工程集数管道的工程量小，产生的生态影响较小。</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（2）废气</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施工期废气主要为施工机具作业时产生的尾气，基础开挖、场地平整及物料装卸等施工过程产生的粉尘，车辆运输产生的二次扬尘</w:t>
      </w:r>
      <w:r>
        <w:rPr>
          <w:rFonts w:hint="eastAsia" w:cs="Times New Roman"/>
          <w:bCs/>
          <w:color w:val="000000" w:themeColor="text1"/>
          <w:highlight w:val="none"/>
          <w14:textFill>
            <w14:solidFill>
              <w14:schemeClr w14:val="tx1"/>
            </w14:solidFill>
          </w14:textFill>
        </w:rPr>
        <w:t>，焊接作业产生的焊接烟尘废气，以及防腐废气</w:t>
      </w:r>
      <w:r>
        <w:rPr>
          <w:rFonts w:cs="Times New Roman"/>
          <w:bCs/>
          <w:color w:val="000000" w:themeColor="text1"/>
          <w:highlight w:val="none"/>
          <w14:textFill>
            <w14:solidFill>
              <w14:schemeClr w14:val="tx1"/>
            </w14:solidFill>
          </w14:textFill>
        </w:rPr>
        <w:t>等，产生量较少，</w:t>
      </w:r>
      <w:r>
        <w:rPr>
          <w:rFonts w:hint="eastAsia" w:cs="Times New Roman"/>
          <w:bCs/>
          <w:color w:val="000000" w:themeColor="text1"/>
          <w:highlight w:val="none"/>
          <w14:textFill>
            <w14:solidFill>
              <w14:schemeClr w14:val="tx1"/>
            </w14:solidFill>
          </w14:textFill>
        </w:rPr>
        <w:t>废气</w:t>
      </w:r>
      <w:r>
        <w:rPr>
          <w:rFonts w:cs="Times New Roman"/>
          <w:bCs/>
          <w:color w:val="000000" w:themeColor="text1"/>
          <w:highlight w:val="none"/>
          <w14:textFill>
            <w14:solidFill>
              <w14:schemeClr w14:val="tx1"/>
            </w14:solidFill>
          </w14:textFill>
        </w:rPr>
        <w:t>通过自然扩散后对环境影响较小。</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（3）废水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废水主要施工废水</w:t>
      </w:r>
      <w:r>
        <w:rPr>
          <w:rFonts w:cs="Times New Roman"/>
          <w:bCs/>
          <w:color w:val="000000" w:themeColor="text1"/>
          <w:szCs w:val="24"/>
          <w:highlight w:val="none"/>
          <w14:textFill>
            <w14:solidFill>
              <w14:schemeClr w14:val="tx1"/>
            </w14:solidFill>
          </w14:textFill>
        </w:rPr>
        <w:t>（主要污染物为SS）</w:t>
      </w:r>
      <w:r>
        <w:rPr>
          <w:rFonts w:cs="Times New Roman"/>
          <w:color w:val="000000" w:themeColor="text1"/>
          <w:szCs w:val="24"/>
          <w:highlight w:val="none"/>
          <w14:textFill>
            <w14:solidFill>
              <w14:schemeClr w14:val="tx1"/>
            </w14:solidFill>
          </w14:textFill>
        </w:rPr>
        <w:t>以及施工人员的生活污水（主要污染物为</w:t>
      </w:r>
      <w:r>
        <w:rPr>
          <w:rFonts w:cs="Times New Roman"/>
          <w:bCs/>
          <w:color w:val="000000" w:themeColor="text1"/>
          <w:szCs w:val="24"/>
          <w:highlight w:val="none"/>
          <w14:textFill>
            <w14:solidFill>
              <w14:schemeClr w14:val="tx1"/>
            </w14:solidFill>
          </w14:textFill>
        </w:rPr>
        <w:t>COD、SS和NH</w:t>
      </w:r>
      <w:r>
        <w:rPr>
          <w:rFonts w:cs="Times New Roman"/>
          <w:bCs/>
          <w:color w:val="000000" w:themeColor="text1"/>
          <w:szCs w:val="24"/>
          <w:highlight w:val="none"/>
          <w:vertAlign w:val="sub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-N等</w:t>
      </w:r>
      <w:r>
        <w:rPr>
          <w:rFonts w:cs="Times New Roman"/>
          <w:color w:val="000000" w:themeColor="text1"/>
          <w:szCs w:val="24"/>
          <w:highlight w:val="none"/>
          <w14:textFill>
            <w14:solidFill>
              <w14:schemeClr w14:val="tx1"/>
            </w14:solidFill>
          </w14:textFill>
        </w:rPr>
        <w:t>）。生活污水经生态厕所收集后由密闭罐车定期拉运至周边生活污水处理厂处理；少量生产废水在施工现场设置沉淀池，施工废水经隔油沉淀处理后回用于洒水降尘，不外排。</w:t>
      </w:r>
    </w:p>
    <w:p>
      <w:pPr>
        <w:pStyle w:val="591"/>
        <w:spacing w:line="360" w:lineRule="auto"/>
        <w:rPr>
          <w:rFonts w:ascii="Times New Roman" w:hAnsi="Times New Roman"/>
          <w:color w:val="000000" w:themeColor="text1"/>
          <w:highlight w:val="none"/>
          <w:lang w:bidi="en-US"/>
          <w14:textFill>
            <w14:solidFill>
              <w14:schemeClr w14:val="tx1"/>
            </w14:solidFill>
          </w14:textFill>
        </w:rPr>
      </w:pPr>
      <w:r>
        <w:rPr>
          <w:rFonts w:hint="eastAsia" w:ascii="Times New Roman" w:hAnsi="Times New Roman"/>
          <w:color w:val="000000" w:themeColor="text1"/>
          <w:highlight w:val="none"/>
          <w:lang w:bidi="en-US"/>
          <w14:textFill>
            <w14:solidFill>
              <w14:schemeClr w14:val="tx1"/>
            </w14:solidFill>
          </w14:textFill>
        </w:rPr>
        <w:t>此外，集输</w:t>
      </w:r>
      <w:r>
        <w:rPr>
          <w:rFonts w:ascii="Times New Roman" w:hAnsi="Times New Roman"/>
          <w:color w:val="000000" w:themeColor="text1"/>
          <w:highlight w:val="none"/>
          <w:lang w:bidi="en-US"/>
          <w14:textFill>
            <w14:solidFill>
              <w14:schemeClr w14:val="tx1"/>
            </w14:solidFill>
          </w14:textFill>
        </w:rPr>
        <w:t>线路采用清洁水进行试压作业，根据管线长度及管道直径，本项目试压废水的</w:t>
      </w:r>
      <w:r>
        <w:rPr>
          <w:rFonts w:hint="eastAsia" w:ascii="Times New Roman" w:hAnsi="Times New Roman"/>
          <w:color w:val="000000" w:themeColor="text1"/>
          <w:highlight w:val="none"/>
          <w:lang w:bidi="en-US"/>
          <w14:textFill>
            <w14:solidFill>
              <w14:schemeClr w14:val="tx1"/>
            </w14:solidFill>
          </w14:textFill>
        </w:rPr>
        <w:t>用量约为0.07m</w:t>
      </w:r>
      <w:r>
        <w:rPr>
          <w:rFonts w:ascii="Times New Roman" w:hAnsi="Times New Roman"/>
          <w:color w:val="000000" w:themeColor="text1"/>
          <w:highlight w:val="none"/>
          <w:vertAlign w:val="superscript"/>
          <w:lang w:bidi="en-US"/>
          <w14:textFill>
            <w14:solidFill>
              <w14:schemeClr w14:val="tx1"/>
            </w14:solidFill>
          </w14:textFill>
        </w:rPr>
        <w:t>3</w:t>
      </w:r>
      <w:r>
        <w:rPr>
          <w:rFonts w:ascii="Times New Roman" w:hAnsi="Times New Roman"/>
          <w:color w:val="000000" w:themeColor="text1"/>
          <w:highlight w:val="none"/>
          <w:lang w:bidi="en-US"/>
          <w14:textFill>
            <w14:solidFill>
              <w14:schemeClr w14:val="tx1"/>
            </w14:solidFill>
          </w14:textFill>
        </w:rPr>
        <w:t>，试压过程中无试压水的损耗，故试压废水的产生</w:t>
      </w:r>
      <w:r>
        <w:rPr>
          <w:rFonts w:hint="eastAsia" w:ascii="Times New Roman" w:hAnsi="Times New Roman"/>
          <w:color w:val="000000" w:themeColor="text1"/>
          <w:highlight w:val="none"/>
          <w:lang w:bidi="en-US"/>
          <w14:textFill>
            <w14:solidFill>
              <w14:schemeClr w14:val="tx1"/>
            </w14:solidFill>
          </w14:textFill>
        </w:rPr>
        <w:t>量为0.07m</w:t>
      </w:r>
      <w:r>
        <w:rPr>
          <w:rFonts w:ascii="Times New Roman" w:hAnsi="Times New Roman"/>
          <w:color w:val="000000" w:themeColor="text1"/>
          <w:highlight w:val="none"/>
          <w:vertAlign w:val="superscript"/>
          <w:lang w:bidi="en-US"/>
          <w14:textFill>
            <w14:solidFill>
              <w14:schemeClr w14:val="tx1"/>
            </w14:solidFill>
          </w14:textFill>
        </w:rPr>
        <w:t>3</w:t>
      </w:r>
      <w:r>
        <w:rPr>
          <w:rFonts w:ascii="Times New Roman" w:hAnsi="Times New Roman"/>
          <w:color w:val="000000" w:themeColor="text1"/>
          <w:highlight w:val="none"/>
          <w:lang w:bidi="en-US"/>
          <w14:textFill>
            <w14:solidFill>
              <w14:schemeClr w14:val="tx1"/>
            </w14:solidFill>
          </w14:textFill>
        </w:rPr>
        <w:t>。</w:t>
      </w:r>
      <w:bookmarkStart w:id="197" w:name="OLE_LINK101"/>
      <w:r>
        <w:rPr>
          <w:rFonts w:ascii="Times New Roman" w:hAnsi="Times New Roman"/>
          <w:color w:val="000000" w:themeColor="text1"/>
          <w:highlight w:val="none"/>
          <w:lang w:bidi="en-US"/>
          <w14:textFill>
            <w14:solidFill>
              <w14:schemeClr w14:val="tx1"/>
            </w14:solidFill>
          </w14:textFill>
        </w:rPr>
        <w:t>试压完成沉淀后</w:t>
      </w:r>
      <w:bookmarkEnd w:id="197"/>
      <w:r>
        <w:rPr>
          <w:rFonts w:ascii="Times New Roman" w:hAnsi="Times New Roman"/>
          <w:color w:val="000000" w:themeColor="text1"/>
          <w:highlight w:val="none"/>
          <w:lang w:bidi="en-US"/>
          <w14:textFill>
            <w14:solidFill>
              <w14:schemeClr w14:val="tx1"/>
            </w14:solidFill>
          </w14:textFill>
        </w:rPr>
        <w:t>用于洒水降尘，不外排。由于</w:t>
      </w:r>
      <w:bookmarkStart w:id="198" w:name="OLE_LINK100"/>
      <w:r>
        <w:rPr>
          <w:rFonts w:ascii="Times New Roman" w:hAnsi="Times New Roman"/>
          <w:color w:val="000000" w:themeColor="text1"/>
          <w:highlight w:val="none"/>
          <w:lang w:bidi="en-US"/>
          <w14:textFill>
            <w14:solidFill>
              <w14:schemeClr w14:val="tx1"/>
            </w14:solidFill>
          </w14:textFill>
        </w:rPr>
        <w:t>清管试压废水中的污染物主要为SS，</w:t>
      </w:r>
      <w:bookmarkEnd w:id="198"/>
      <w:r>
        <w:rPr>
          <w:rFonts w:ascii="Times New Roman" w:hAnsi="Times New Roman"/>
          <w:color w:val="000000" w:themeColor="text1"/>
          <w:highlight w:val="none"/>
          <w:lang w:bidi="en-US"/>
          <w14:textFill>
            <w14:solidFill>
              <w14:schemeClr w14:val="tx1"/>
            </w14:solidFill>
          </w14:textFill>
        </w:rPr>
        <w:t>经沉淀后用于降尘使用，不外排。项目产生的试压废水对周围地表水环境影响较小。</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（4）噪声</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站场建设的噪声主要是推土机、电焊机、载重汽车等运行中产生的，工程量小、时间短，噪声源强小，夜间不施工，对环境影响小。项目</w:t>
      </w:r>
      <w:r>
        <w:rPr>
          <w:rFonts w:hint="eastAsia" w:cs="Times New Roman"/>
          <w:color w:val="000000" w:themeColor="text1"/>
          <w:szCs w:val="24"/>
          <w:highlight w:val="none"/>
          <w14:textFill>
            <w14:solidFill>
              <w14:schemeClr w14:val="tx1"/>
            </w14:solidFill>
          </w14:textFill>
        </w:rPr>
        <w:t>集输管道</w:t>
      </w:r>
      <w:r>
        <w:rPr>
          <w:rFonts w:cs="Times New Roman"/>
          <w:color w:val="000000" w:themeColor="text1"/>
          <w:szCs w:val="24"/>
          <w:highlight w:val="none"/>
          <w14:textFill>
            <w14:solidFill>
              <w14:schemeClr w14:val="tx1"/>
            </w14:solidFill>
          </w14:textFill>
        </w:rPr>
        <w:t>工程管材的运输、</w:t>
      </w:r>
      <w:r>
        <w:rPr>
          <w:rFonts w:hint="eastAsia" w:cs="Times New Roman"/>
          <w:bCs/>
          <w:color w:val="000000" w:themeColor="text1"/>
          <w:highlight w:val="none"/>
          <w14:textFill>
            <w14:solidFill>
              <w14:schemeClr w14:val="tx1"/>
            </w14:solidFill>
          </w14:textFill>
        </w:rPr>
        <w:t>场地平整压实作业</w:t>
      </w:r>
      <w:r>
        <w:rPr>
          <w:rFonts w:cs="Times New Roman"/>
          <w:color w:val="000000" w:themeColor="text1"/>
          <w:szCs w:val="24"/>
          <w:highlight w:val="none"/>
          <w14:textFill>
            <w14:solidFill>
              <w14:schemeClr w14:val="tx1"/>
            </w14:solidFill>
          </w14:textFill>
        </w:rPr>
        <w:t>等施工过程中，因使用各种机械工具和车辆而产生噪声污染，其排放强度根据装卸、运输的车辆和工具的型号不同有所不同，具有间断性和暂时性</w:t>
      </w:r>
      <w:r>
        <w:rPr>
          <w:rFonts w:hint="eastAsia" w:cs="Times New Roman"/>
          <w:color w:val="000000" w:themeColor="text1"/>
          <w:szCs w:val="24"/>
          <w:highlight w:val="none"/>
          <w14:textFill>
            <w14:solidFill>
              <w14:schemeClr w14:val="tx1"/>
            </w14:solidFill>
          </w14:textFill>
        </w:rPr>
        <w:t>。由于管道工程</w:t>
      </w:r>
      <w:r>
        <w:rPr>
          <w:rFonts w:cs="Times New Roman"/>
          <w:color w:val="000000" w:themeColor="text1"/>
          <w:szCs w:val="24"/>
          <w:highlight w:val="none"/>
          <w14:textFill>
            <w14:solidFill>
              <w14:schemeClr w14:val="tx1"/>
            </w14:solidFill>
          </w14:textFill>
        </w:rPr>
        <w:t>量小、时间短，噪声源强小，夜间不施工，对环境影响小</w:t>
      </w:r>
      <w:r>
        <w:rPr>
          <w:rFonts w:hint="eastAsia" w:cs="Times New Roman"/>
          <w:color w:val="000000" w:themeColor="text1"/>
          <w:szCs w:val="24"/>
          <w:highlight w:val="none"/>
          <w14:textFill>
            <w14:solidFill>
              <w14:schemeClr w14:val="tx1"/>
            </w14:solidFill>
          </w14:textFill>
        </w:rPr>
        <w:t>。</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（5）固废</w:t>
      </w:r>
    </w:p>
    <w:p>
      <w:pPr>
        <w:ind w:firstLine="480"/>
        <w:rPr>
          <w:rFonts w:cs="Times New Roman"/>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站场建设</w:t>
      </w:r>
      <w:r>
        <w:rPr>
          <w:rFonts w:hint="eastAsia" w:cs="Times New Roman"/>
          <w:color w:val="000000" w:themeColor="text1"/>
          <w:szCs w:val="24"/>
          <w:highlight w:val="none"/>
          <w14:textFill>
            <w14:solidFill>
              <w14:schemeClr w14:val="tx1"/>
            </w14:solidFill>
          </w14:textFill>
        </w:rPr>
        <w:t>和集输管线施工</w:t>
      </w:r>
      <w:r>
        <w:rPr>
          <w:rFonts w:cs="Times New Roman"/>
          <w:color w:val="000000" w:themeColor="text1"/>
          <w:szCs w:val="24"/>
          <w:highlight w:val="none"/>
          <w14:textFill>
            <w14:solidFill>
              <w14:schemeClr w14:val="tx1"/>
            </w14:solidFill>
          </w14:textFill>
        </w:rPr>
        <w:t>产生少量建筑垃圾，如包装袋，废弃建筑材料等，其量小</w:t>
      </w:r>
      <w:r>
        <w:rPr>
          <w:rFonts w:hint="eastAsia" w:cs="Times New Roman"/>
          <w:color w:val="000000" w:themeColor="text1"/>
          <w:szCs w:val="24"/>
          <w:highlight w:val="none"/>
          <w14:textFill>
            <w14:solidFill>
              <w14:schemeClr w14:val="tx1"/>
            </w14:solidFill>
          </w14:textFill>
        </w:rPr>
        <w:t>，共计约30t，</w:t>
      </w:r>
      <w:r>
        <w:rPr>
          <w:rFonts w:cs="Times New Roman"/>
          <w:color w:val="000000" w:themeColor="text1"/>
          <w:szCs w:val="24"/>
          <w:highlight w:val="none"/>
          <w14:textFill>
            <w14:solidFill>
              <w14:schemeClr w14:val="tx1"/>
            </w14:solidFill>
          </w14:textFill>
        </w:rPr>
        <w:t>由施工队伍统一收集清运至政府指定地方。施工人员多为当地民工，租住在附近农户，无集中生活垃圾产生，其产生的生活垃圾利用附近农户现有的设施进行收集处置，无集中生活垃圾产生。</w:t>
      </w:r>
      <w:r>
        <w:rPr>
          <w:rFonts w:hint="eastAsia" w:cs="Times New Roman"/>
          <w:color w:val="000000" w:themeColor="text1"/>
          <w:szCs w:val="24"/>
          <w:highlight w:val="none"/>
          <w14:textFill>
            <w14:solidFill>
              <w14:schemeClr w14:val="tx1"/>
            </w14:solidFill>
          </w14:textFill>
        </w:rPr>
        <w:t>此外，</w:t>
      </w:r>
      <w:r>
        <w:rPr>
          <w:rFonts w:cs="Times New Roman"/>
          <w:color w:val="000000" w:themeColor="text1"/>
          <w:szCs w:val="24"/>
          <w:highlight w:val="none"/>
          <w14:textFill>
            <w14:solidFill>
              <w14:schemeClr w14:val="tx1"/>
            </w14:solidFill>
          </w14:textFill>
        </w:rPr>
        <w:t>项目站场建设</w:t>
      </w:r>
      <w:r>
        <w:rPr>
          <w:rFonts w:hint="eastAsia" w:cs="Times New Roman"/>
          <w:color w:val="000000" w:themeColor="text1"/>
          <w:szCs w:val="24"/>
          <w:highlight w:val="none"/>
          <w14:textFill>
            <w14:solidFill>
              <w14:schemeClr w14:val="tx1"/>
            </w14:solidFill>
          </w14:textFill>
        </w:rPr>
        <w:t>和集输管线施工还会</w:t>
      </w:r>
      <w:r>
        <w:rPr>
          <w:rFonts w:cs="Times New Roman"/>
          <w:color w:val="000000" w:themeColor="text1"/>
          <w:szCs w:val="24"/>
          <w:highlight w:val="none"/>
          <w14:textFill>
            <w14:solidFill>
              <w14:schemeClr w14:val="tx1"/>
            </w14:solidFill>
          </w14:textFill>
        </w:rPr>
        <w:t>产生</w:t>
      </w:r>
      <w:r>
        <w:rPr>
          <w:rFonts w:hint="eastAsia" w:cs="Times New Roman"/>
          <w:color w:val="000000" w:themeColor="text1"/>
          <w:szCs w:val="24"/>
          <w:highlight w:val="none"/>
          <w14:textFill>
            <w14:solidFill>
              <w14:schemeClr w14:val="tx1"/>
            </w14:solidFill>
          </w14:textFill>
        </w:rPr>
        <w:t>少量</w:t>
      </w:r>
      <w:r>
        <w:rPr>
          <w:rFonts w:cs="Times New Roman"/>
          <w:color w:val="000000" w:themeColor="text1"/>
          <w:szCs w:val="24"/>
          <w:highlight w:val="none"/>
          <w14:textFill>
            <w14:solidFill>
              <w14:schemeClr w14:val="tx1"/>
            </w14:solidFill>
          </w14:textFill>
        </w:rPr>
        <w:t>管道焊接、防腐作业中产生的废材料</w:t>
      </w:r>
      <w:r>
        <w:rPr>
          <w:rFonts w:hint="eastAsia" w:cs="Times New Roman"/>
          <w:color w:val="000000" w:themeColor="text1"/>
          <w:szCs w:val="24"/>
          <w:highlight w:val="none"/>
          <w14:textFill>
            <w14:solidFill>
              <w14:schemeClr w14:val="tx1"/>
            </w14:solidFill>
          </w14:textFill>
        </w:rPr>
        <w:t>，如废焊条、废材料桶等，由施工单位带走处置，不在现场暂存</w:t>
      </w:r>
      <w:r>
        <w:rPr>
          <w:rFonts w:cs="Times New Roman"/>
          <w:color w:val="000000" w:themeColor="text1"/>
          <w:szCs w:val="24"/>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r>
        <w:rPr>
          <w:rFonts w:ascii="宋体" w:hAnsi="宋体"/>
          <w:color w:val="000000" w:themeColor="text1"/>
          <w:highlight w:val="none"/>
          <w14:textFill>
            <w14:solidFill>
              <w14:schemeClr w14:val="tx1"/>
            </w14:solidFill>
          </w14:textFill>
        </w:rPr>
        <w:t>“</w:t>
      </w:r>
      <w:r>
        <w:rPr>
          <w:rFonts w:ascii="黑体" w:hAnsi="黑体"/>
          <w:color w:val="000000" w:themeColor="text1"/>
          <w:highlight w:val="none"/>
          <w14:textFill>
            <w14:solidFill>
              <w14:schemeClr w14:val="tx1"/>
            </w14:solidFill>
          </w14:textFill>
        </w:rPr>
        <w:t>三废</w:t>
      </w:r>
      <w:r>
        <w:rPr>
          <w:rFonts w:ascii="宋体"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汇总表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综上所</w:t>
      </w:r>
      <w:r>
        <w:rPr>
          <w:rFonts w:hint="eastAsia" w:cs="Times New Roman"/>
          <w:color w:val="000000" w:themeColor="text1"/>
          <w:highlight w:val="none"/>
          <w14:textFill>
            <w14:solidFill>
              <w14:schemeClr w14:val="tx1"/>
            </w14:solidFill>
          </w14:textFill>
        </w:rPr>
        <w:t>述</w:t>
      </w:r>
      <w:r>
        <w:rPr>
          <w:rFonts w:cs="Times New Roman"/>
          <w:color w:val="000000" w:themeColor="text1"/>
          <w:highlight w:val="none"/>
          <w14:textFill>
            <w14:solidFill>
              <w14:schemeClr w14:val="tx1"/>
            </w14:solidFill>
          </w14:textFill>
        </w:rPr>
        <w:t>，本项目施工期污染物产生量及排放状况与生态影响见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_Ref142593545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3</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199" w:name="_Ref142593545"/>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bookmarkEnd w:id="19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本项目施工期正常工况下“三废”及生态影响汇总表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4"/>
        <w:gridCol w:w="435"/>
        <w:gridCol w:w="1394"/>
        <w:gridCol w:w="1439"/>
        <w:gridCol w:w="971"/>
        <w:gridCol w:w="992"/>
        <w:gridCol w:w="2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263" w:type="dxa"/>
            <w:gridSpan w:val="3"/>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污染源</w:t>
            </w:r>
          </w:p>
        </w:tc>
        <w:tc>
          <w:tcPr>
            <w:tcW w:w="143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主要污染物</w:t>
            </w:r>
          </w:p>
        </w:tc>
        <w:tc>
          <w:tcPr>
            <w:tcW w:w="97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产生量</w:t>
            </w:r>
          </w:p>
        </w:tc>
        <w:tc>
          <w:tcPr>
            <w:tcW w:w="99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排放量</w:t>
            </w:r>
          </w:p>
        </w:tc>
        <w:tc>
          <w:tcPr>
            <w:tcW w:w="255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废气</w:t>
            </w: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钻前工程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施工扬尘</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9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短期排放，定期洒水抑尘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施工机械和运输车辆尾气</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CO、NOx等</w:t>
            </w:r>
          </w:p>
        </w:tc>
        <w:tc>
          <w:tcPr>
            <w:tcW w:w="9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选用尾气排放达标机械车辆，加强保养维护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钻井工程</w:t>
            </w:r>
          </w:p>
        </w:tc>
        <w:tc>
          <w:tcPr>
            <w:tcW w:w="1394"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备用柴油发电机尾气</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p>
        </w:tc>
        <w:tc>
          <w:tcPr>
            <w:tcW w:w="1963"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1.17kg/h</w:t>
            </w:r>
          </w:p>
        </w:tc>
        <w:tc>
          <w:tcPr>
            <w:tcW w:w="2557"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自带消烟除尘装置处理后6m高排气筒排放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Merge w:val="continue"/>
            <w:vAlign w:val="center"/>
          </w:tcPr>
          <w:p>
            <w:pPr>
              <w:pStyle w:val="297"/>
              <w:rPr>
                <w:color w:val="000000" w:themeColor="text1"/>
                <w:highlight w:val="none"/>
                <w14:textFill>
                  <w14:solidFill>
                    <w14:schemeClr w14:val="tx1"/>
                  </w14:solidFill>
                </w14:textFill>
              </w:rPr>
            </w:pP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p>
        </w:tc>
        <w:tc>
          <w:tcPr>
            <w:tcW w:w="1963"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0.008kg/h</w:t>
            </w:r>
          </w:p>
        </w:tc>
        <w:tc>
          <w:tcPr>
            <w:tcW w:w="2557"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Merge w:val="continue"/>
            <w:vAlign w:val="center"/>
          </w:tcPr>
          <w:p>
            <w:pPr>
              <w:pStyle w:val="297"/>
              <w:rPr>
                <w:color w:val="000000" w:themeColor="text1"/>
                <w:highlight w:val="none"/>
                <w14:textFill>
                  <w14:solidFill>
                    <w14:schemeClr w14:val="tx1"/>
                  </w14:solidFill>
                </w14:textFill>
              </w:rPr>
            </w:pP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颗粒物</w:t>
            </w:r>
          </w:p>
        </w:tc>
        <w:tc>
          <w:tcPr>
            <w:tcW w:w="1963"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0.33kg/h</w:t>
            </w:r>
          </w:p>
        </w:tc>
        <w:tc>
          <w:tcPr>
            <w:tcW w:w="2557"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无组织挥发性废气</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无组织挥发性有机物</w:t>
            </w:r>
          </w:p>
        </w:tc>
        <w:tc>
          <w:tcPr>
            <w:tcW w:w="4520"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少量，短期排放，自然扩散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事故放喷废气</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r>
              <w:rPr>
                <w:rFonts w:hint="eastAsia"/>
                <w:color w:val="000000" w:themeColor="text1"/>
                <w:highlight w:val="none"/>
                <w:lang w:val="en-US" w:eastAsia="zh-CN"/>
                <w14:textFill>
                  <w14:solidFill>
                    <w14:schemeClr w14:val="tx1"/>
                  </w14:solidFill>
                </w14:textFill>
              </w:rPr>
              <w:t>SO</w:t>
            </w:r>
            <w:r>
              <w:rPr>
                <w:rFonts w:hint="eastAsia"/>
                <w:color w:val="000000" w:themeColor="text1"/>
                <w:highlight w:val="none"/>
                <w:vertAlign w:val="subscript"/>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w:t>
            </w:r>
            <w:r>
              <w:rPr>
                <w:color w:val="000000" w:themeColor="text1"/>
                <w:highlight w:val="none"/>
                <w14:textFill>
                  <w14:solidFill>
                    <w14:schemeClr w14:val="tx1"/>
                  </w14:solidFill>
                </w14:textFill>
              </w:rPr>
              <w:t>CO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、颗粒物</w:t>
            </w:r>
          </w:p>
        </w:tc>
        <w:tc>
          <w:tcPr>
            <w:tcW w:w="4520"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少量，短期排放，点火燃烧处理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储层改造工程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压裂作业废气</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CO、NOx等</w:t>
            </w:r>
          </w:p>
        </w:tc>
        <w:tc>
          <w:tcPr>
            <w:tcW w:w="971"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少量</w:t>
            </w:r>
          </w:p>
        </w:tc>
        <w:tc>
          <w:tcPr>
            <w:tcW w:w="992"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少量</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选用尾气排放达标机械车辆，加强保养维护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测试放喷废气</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NOx、</w:t>
            </w:r>
            <w:r>
              <w:rPr>
                <w:rFonts w:hint="eastAsia"/>
                <w:color w:val="000000" w:themeColor="text1"/>
                <w:szCs w:val="21"/>
                <w:highlight w:val="none"/>
                <w:lang w:val="en-US" w:eastAsia="zh-CN"/>
                <w14:textFill>
                  <w14:solidFill>
                    <w14:schemeClr w14:val="tx1"/>
                  </w14:solidFill>
                </w14:textFill>
              </w:rPr>
              <w:t>SO</w:t>
            </w:r>
            <w:r>
              <w:rPr>
                <w:rFonts w:hint="eastAsia"/>
                <w:color w:val="000000" w:themeColor="text1"/>
                <w:szCs w:val="21"/>
                <w:highlight w:val="none"/>
                <w:vertAlign w:val="subscript"/>
                <w:lang w:val="en-US" w:eastAsia="zh-CN"/>
                <w14:textFill>
                  <w14:solidFill>
                    <w14:schemeClr w14:val="tx1"/>
                  </w14:solidFill>
                </w14:textFill>
              </w:rPr>
              <w:t>2</w:t>
            </w:r>
            <w:r>
              <w:rPr>
                <w:rFonts w:hint="eastAsia"/>
                <w:color w:val="000000" w:themeColor="text1"/>
                <w:szCs w:val="21"/>
                <w:highlight w:val="none"/>
                <w:lang w:val="en-US" w:eastAsia="zh-CN"/>
                <w14:textFill>
                  <w14:solidFill>
                    <w14:schemeClr w14:val="tx1"/>
                  </w14:solidFill>
                </w14:textFill>
              </w:rPr>
              <w:t>、</w:t>
            </w:r>
            <w:r>
              <w:rPr>
                <w:color w:val="000000" w:themeColor="text1"/>
                <w:szCs w:val="21"/>
                <w:highlight w:val="none"/>
                <w14:textFill>
                  <w14:solidFill>
                    <w14:schemeClr w14:val="tx1"/>
                  </w14:solidFill>
                </w14:textFill>
              </w:rPr>
              <w:t>CO</w:t>
            </w:r>
            <w:r>
              <w:rPr>
                <w:color w:val="000000" w:themeColor="text1"/>
                <w:szCs w:val="21"/>
                <w:highlight w:val="none"/>
                <w:vertAlign w:val="subscript"/>
                <w14:textFill>
                  <w14:solidFill>
                    <w14:schemeClr w14:val="tx1"/>
                  </w14:solidFill>
                </w14:textFill>
              </w:rPr>
              <w:t>2</w:t>
            </w:r>
            <w:r>
              <w:rPr>
                <w:color w:val="000000" w:themeColor="text1"/>
                <w:szCs w:val="21"/>
                <w:highlight w:val="none"/>
                <w14:textFill>
                  <w14:solidFill>
                    <w14:schemeClr w14:val="tx1"/>
                  </w14:solidFill>
                </w14:textFill>
              </w:rPr>
              <w:t>、颗粒物</w:t>
            </w:r>
          </w:p>
        </w:tc>
        <w:tc>
          <w:tcPr>
            <w:tcW w:w="4520"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少量，短期排放，点火燃烧处理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油气集输工程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施工扬尘</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TSP</w:t>
            </w:r>
          </w:p>
        </w:tc>
        <w:tc>
          <w:tcPr>
            <w:tcW w:w="971"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少量</w:t>
            </w:r>
          </w:p>
        </w:tc>
        <w:tc>
          <w:tcPr>
            <w:tcW w:w="99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少量</w:t>
            </w:r>
          </w:p>
        </w:tc>
        <w:tc>
          <w:tcPr>
            <w:tcW w:w="2557"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短期排放，定期洒水抑尘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施工机械和运输车辆尾气</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防腐</w:t>
            </w:r>
            <w:r>
              <w:rPr>
                <w:color w:val="000000" w:themeColor="text1"/>
                <w:highlight w:val="none"/>
                <w14:textFill>
                  <w14:solidFill>
                    <w14:schemeClr w14:val="tx1"/>
                  </w14:solidFill>
                </w14:textFill>
              </w:rPr>
              <w:t>废气</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CO、NOx等</w:t>
            </w:r>
          </w:p>
        </w:tc>
        <w:tc>
          <w:tcPr>
            <w:tcW w:w="971"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少量</w:t>
            </w:r>
          </w:p>
        </w:tc>
        <w:tc>
          <w:tcPr>
            <w:tcW w:w="99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少量</w:t>
            </w:r>
          </w:p>
        </w:tc>
        <w:tc>
          <w:tcPr>
            <w:tcW w:w="2557"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选用尾气排放达标机械车辆，加强保养维护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焊接烟尘</w:t>
            </w:r>
          </w:p>
        </w:tc>
        <w:tc>
          <w:tcPr>
            <w:tcW w:w="143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烟尘</w:t>
            </w:r>
          </w:p>
        </w:tc>
        <w:tc>
          <w:tcPr>
            <w:tcW w:w="9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2557"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自带焊烟净化器处理后排放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废水</w:t>
            </w: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钻前工程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施工废水</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SS和石油类</w:t>
            </w:r>
          </w:p>
        </w:tc>
        <w:tc>
          <w:tcPr>
            <w:tcW w:w="9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经隔油池沉淀处理后回用于洒水降尘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1439" w:type="dxa"/>
            <w:vAlign w:val="center"/>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t>COD、SS和NH</w:t>
            </w:r>
            <w:r>
              <w:rPr>
                <w:bCs/>
                <w:color w:val="000000" w:themeColor="text1"/>
                <w:szCs w:val="21"/>
                <w:highlight w:val="none"/>
                <w:vertAlign w:val="subscript"/>
                <w14:textFill>
                  <w14:solidFill>
                    <w14:schemeClr w14:val="tx1"/>
                  </w14:solidFill>
                </w14:textFill>
              </w:rPr>
              <w:t>3</w:t>
            </w:r>
            <w:r>
              <w:rPr>
                <w:bCs/>
                <w:color w:val="000000" w:themeColor="text1"/>
                <w:szCs w:val="21"/>
                <w:highlight w:val="none"/>
                <w14:textFill>
                  <w14:solidFill>
                    <w14:schemeClr w14:val="tx1"/>
                  </w14:solidFill>
                </w14:textFill>
              </w:rPr>
              <w:t>-N等</w:t>
            </w:r>
          </w:p>
        </w:tc>
        <w:tc>
          <w:tcPr>
            <w:tcW w:w="971" w:type="dxa"/>
            <w:vAlign w:val="center"/>
          </w:tcPr>
          <w:p>
            <w:pPr>
              <w:widowControl/>
              <w:spacing w:line="240" w:lineRule="auto"/>
              <w:ind w:firstLine="0" w:firstLineChars="0"/>
              <w:jc w:val="center"/>
              <w:textAlignment w:val="baseline"/>
              <w:rPr>
                <w:color w:val="000000" w:themeColor="text1"/>
                <w:szCs w:val="20"/>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1.92m</w:t>
            </w:r>
            <w:r>
              <w:rPr>
                <w:rFonts w:hint="eastAsia" w:cs="Times New Roman"/>
                <w:color w:val="000000" w:themeColor="text1"/>
                <w:sz w:val="21"/>
                <w:szCs w:val="21"/>
                <w:highlight w:val="none"/>
                <w:vertAlign w:val="superscript"/>
                <w14:textFill>
                  <w14:solidFill>
                    <w14:schemeClr w14:val="tx1"/>
                  </w14:solidFill>
                </w14:textFill>
              </w:rPr>
              <w:t>3</w:t>
            </w:r>
            <w:r>
              <w:rPr>
                <w:rFonts w:hint="eastAsia" w:cs="Times New Roman"/>
                <w:color w:val="000000" w:themeColor="text1"/>
                <w:sz w:val="21"/>
                <w:szCs w:val="21"/>
                <w:highlight w:val="none"/>
                <w14:textFill>
                  <w14:solidFill>
                    <w14:schemeClr w14:val="tx1"/>
                  </w14:solidFill>
                </w14:textFill>
              </w:rPr>
              <w:t>/d</w:t>
            </w:r>
          </w:p>
        </w:tc>
        <w:tc>
          <w:tcPr>
            <w:tcW w:w="99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利用农户已有的设施进行收集处置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钻井工程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钻井废水</w:t>
            </w:r>
          </w:p>
        </w:tc>
        <w:tc>
          <w:tcPr>
            <w:tcW w:w="1439" w:type="dxa"/>
            <w:vAlign w:val="center"/>
          </w:tcPr>
          <w:p>
            <w:pPr>
              <w:pStyle w:val="297"/>
              <w:rPr>
                <w:color w:val="000000" w:themeColor="text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pH</w:t>
            </w: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SS、石油类等</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1331</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992" w:type="dxa"/>
            <w:vAlign w:val="center"/>
          </w:tcPr>
          <w:p>
            <w:pPr>
              <w:pStyle w:val="297"/>
              <w:rPr>
                <w:color w:val="000000" w:themeColor="text1"/>
                <w:highlight w:val="none"/>
                <w14:textFill>
                  <w14:solidFill>
                    <w14:schemeClr w14:val="tx1"/>
                  </w14:solidFill>
                </w14:textFill>
              </w:rPr>
            </w:pPr>
          </w:p>
        </w:tc>
        <w:tc>
          <w:tcPr>
            <w:tcW w:w="2557"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钻井废水经清洁化操作平台处理后回用于配制钻井液，剩余部分</w:t>
            </w:r>
            <w:r>
              <w:rPr>
                <w:color w:val="000000" w:themeColor="text1"/>
                <w:szCs w:val="21"/>
                <w:highlight w:val="none"/>
                <w14:textFill>
                  <w14:solidFill>
                    <w14:schemeClr w14:val="tx1"/>
                  </w14:solidFill>
                </w14:textFill>
              </w:rPr>
              <w:t>由罐车拉运至</w:t>
            </w:r>
            <w:r>
              <w:rPr>
                <w:rFonts w:hint="eastAsia"/>
                <w:color w:val="000000" w:themeColor="text1"/>
                <w:szCs w:val="21"/>
                <w:highlight w:val="none"/>
                <w14:textFill>
                  <w14:solidFill>
                    <w14:schemeClr w14:val="tx1"/>
                  </w14:solidFill>
                </w14:textFill>
              </w:rPr>
              <w:t>赵家坝污水处理站</w:t>
            </w:r>
            <w:r>
              <w:rPr>
                <w:color w:val="000000" w:themeColor="text1"/>
                <w:szCs w:val="21"/>
                <w:highlight w:val="none"/>
                <w14:textFill>
                  <w14:solidFill>
                    <w14:schemeClr w14:val="tx1"/>
                  </w14:solidFill>
                </w14:textFill>
              </w:rPr>
              <w:t>达标后管输至</w:t>
            </w:r>
            <w:r>
              <w:rPr>
                <w:rFonts w:hint="eastAsia"/>
                <w:color w:val="000000" w:themeColor="text1"/>
                <w:szCs w:val="21"/>
                <w:highlight w:val="none"/>
                <w14:textFill>
                  <w14:solidFill>
                    <w14:schemeClr w14:val="tx1"/>
                  </w14:solidFill>
                </w14:textFill>
              </w:rPr>
              <w:t>普光3井回注站</w:t>
            </w:r>
            <w:r>
              <w:rPr>
                <w:color w:val="000000" w:themeColor="text1"/>
                <w:szCs w:val="21"/>
                <w:highlight w:val="none"/>
                <w14:textFill>
                  <w14:solidFill>
                    <w14:schemeClr w14:val="tx1"/>
                  </w14:solidFill>
                </w14:textFill>
              </w:rPr>
              <w:t>回注，不外排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生活污水</w:t>
            </w:r>
          </w:p>
        </w:tc>
        <w:tc>
          <w:tcPr>
            <w:tcW w:w="1439" w:type="dxa"/>
            <w:vAlign w:val="center"/>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t>COD、SS和NH</w:t>
            </w:r>
            <w:r>
              <w:rPr>
                <w:bCs/>
                <w:color w:val="000000" w:themeColor="text1"/>
                <w:szCs w:val="21"/>
                <w:highlight w:val="none"/>
                <w:vertAlign w:val="subscript"/>
                <w14:textFill>
                  <w14:solidFill>
                    <w14:schemeClr w14:val="tx1"/>
                  </w14:solidFill>
                </w14:textFill>
              </w:rPr>
              <w:t>3</w:t>
            </w:r>
            <w:r>
              <w:rPr>
                <w:bCs/>
                <w:color w:val="000000" w:themeColor="text1"/>
                <w:szCs w:val="21"/>
                <w:highlight w:val="none"/>
                <w14:textFill>
                  <w14:solidFill>
                    <w14:schemeClr w14:val="tx1"/>
                  </w14:solidFill>
                </w14:textFill>
              </w:rPr>
              <w:t>-N等</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2.88m</w:t>
            </w:r>
            <w:r>
              <w:rPr>
                <w:rFonts w:hint="eastAsia"/>
                <w:color w:val="000000" w:themeColor="text1"/>
                <w:szCs w:val="21"/>
                <w:highlight w:val="none"/>
                <w:vertAlign w:val="superscript"/>
                <w14:textFill>
                  <w14:solidFill>
                    <w14:schemeClr w14:val="tx1"/>
                  </w14:solidFill>
                </w14:textFill>
              </w:rPr>
              <w:t>3</w:t>
            </w:r>
            <w:r>
              <w:rPr>
                <w:rFonts w:hint="eastAsia"/>
                <w:color w:val="000000" w:themeColor="text1"/>
                <w:szCs w:val="21"/>
                <w:highlight w:val="none"/>
                <w14:textFill>
                  <w14:solidFill>
                    <w14:schemeClr w14:val="tx1"/>
                  </w14:solidFill>
                </w14:textFill>
              </w:rPr>
              <w:t>/d</w:t>
            </w:r>
          </w:p>
        </w:tc>
        <w:tc>
          <w:tcPr>
            <w:tcW w:w="992"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t>经生态厕所收集后定期由密闭罐车拉运至周边生活污水处理厂处理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初期雨水</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石油类、悬浮物、COD等</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208.4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/次</w:t>
            </w:r>
          </w:p>
        </w:tc>
        <w:tc>
          <w:tcPr>
            <w:tcW w:w="992"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初期雨水同钻井废水一并经不落地装置处理后大部分回用于配制钻井液，剩余不能回用部分暂存于清洁生产操作平台的废水罐内，定期装车拉运至赵家坝污水处理站处理达标后经普光3井回注站回注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储层改造工程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洗井废水</w:t>
            </w:r>
          </w:p>
        </w:tc>
        <w:tc>
          <w:tcPr>
            <w:tcW w:w="1439"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石油类、悬浮物、COD及氯化物等</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3</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557" w:type="dxa"/>
            <w:vMerge w:val="restart"/>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临时暂存于放喷池或者压裂液储罐中</w:t>
            </w:r>
            <w:r>
              <w:rPr>
                <w:color w:val="000000" w:themeColor="text1"/>
                <w:szCs w:val="21"/>
                <w:highlight w:val="none"/>
                <w14:textFill>
                  <w14:solidFill>
                    <w14:schemeClr w14:val="tx1"/>
                  </w14:solidFill>
                </w14:textFill>
              </w:rPr>
              <w:t>，优先回用于钻井工段及周边平台钻井工段</w:t>
            </w:r>
            <w:r>
              <w:rPr>
                <w:rFonts w:hint="eastAsia"/>
                <w:color w:val="000000" w:themeColor="text1"/>
                <w:szCs w:val="21"/>
                <w:highlight w:val="none"/>
                <w14:textFill>
                  <w14:solidFill>
                    <w14:schemeClr w14:val="tx1"/>
                  </w14:solidFill>
                </w14:textFill>
              </w:rPr>
              <w:t>或配置压裂液</w:t>
            </w:r>
            <w:r>
              <w:rPr>
                <w:color w:val="000000" w:themeColor="text1"/>
                <w:szCs w:val="21"/>
                <w:highlight w:val="none"/>
                <w14:textFill>
                  <w14:solidFill>
                    <w14:schemeClr w14:val="tx1"/>
                  </w14:solidFill>
                </w14:textFill>
              </w:rPr>
              <w:t>，不能回用的用罐车拉运至</w:t>
            </w:r>
            <w:r>
              <w:rPr>
                <w:rFonts w:hint="eastAsia"/>
                <w:color w:val="000000" w:themeColor="text1"/>
                <w:szCs w:val="21"/>
                <w:highlight w:val="none"/>
                <w14:textFill>
                  <w14:solidFill>
                    <w14:schemeClr w14:val="tx1"/>
                  </w14:solidFill>
                </w14:textFill>
              </w:rPr>
              <w:t>赵家坝污水处理站</w:t>
            </w:r>
            <w:r>
              <w:rPr>
                <w:color w:val="000000" w:themeColor="text1"/>
                <w:szCs w:val="21"/>
                <w:highlight w:val="none"/>
                <w14:textFill>
                  <w14:solidFill>
                    <w14:schemeClr w14:val="tx1"/>
                  </w14:solidFill>
                </w14:textFill>
              </w:rPr>
              <w:t>处理达标后经</w:t>
            </w:r>
            <w:r>
              <w:rPr>
                <w:rFonts w:hint="eastAsia"/>
                <w:color w:val="000000" w:themeColor="text1"/>
                <w:szCs w:val="21"/>
                <w:highlight w:val="none"/>
                <w14:textFill>
                  <w14:solidFill>
                    <w14:schemeClr w14:val="tx1"/>
                  </w14:solidFill>
                </w14:textFill>
              </w:rPr>
              <w:t>普光3井回注站</w:t>
            </w:r>
            <w:r>
              <w:rPr>
                <w:color w:val="000000" w:themeColor="text1"/>
                <w:szCs w:val="21"/>
                <w:highlight w:val="none"/>
                <w14:textFill>
                  <w14:solidFill>
                    <w14:schemeClr w14:val="tx1"/>
                  </w14:solidFill>
                </w14:textFill>
              </w:rPr>
              <w:t>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压裂返排液</w:t>
            </w:r>
          </w:p>
        </w:tc>
        <w:tc>
          <w:tcPr>
            <w:tcW w:w="1439" w:type="dxa"/>
            <w:vMerge w:val="continue"/>
            <w:vAlign w:val="center"/>
          </w:tcPr>
          <w:p>
            <w:pPr>
              <w:pStyle w:val="297"/>
              <w:rPr>
                <w:color w:val="000000" w:themeColor="text1"/>
                <w:highlight w:val="none"/>
                <w14:textFill>
                  <w14:solidFill>
                    <w14:schemeClr w14:val="tx1"/>
                  </w14:solidFill>
                </w14:textFill>
              </w:rPr>
            </w:pP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557"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生活污水</w:t>
            </w:r>
          </w:p>
        </w:tc>
        <w:tc>
          <w:tcPr>
            <w:tcW w:w="1439" w:type="dxa"/>
            <w:vAlign w:val="center"/>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t>COD、SS和NH</w:t>
            </w:r>
            <w:r>
              <w:rPr>
                <w:bCs/>
                <w:color w:val="000000" w:themeColor="text1"/>
                <w:szCs w:val="21"/>
                <w:highlight w:val="none"/>
                <w:vertAlign w:val="subscript"/>
                <w14:textFill>
                  <w14:solidFill>
                    <w14:schemeClr w14:val="tx1"/>
                  </w14:solidFill>
                </w14:textFill>
              </w:rPr>
              <w:t>3</w:t>
            </w:r>
            <w:r>
              <w:rPr>
                <w:bCs/>
                <w:color w:val="000000" w:themeColor="text1"/>
                <w:szCs w:val="21"/>
                <w:highlight w:val="none"/>
                <w14:textFill>
                  <w14:solidFill>
                    <w14:schemeClr w14:val="tx1"/>
                  </w14:solidFill>
                </w14:textFill>
              </w:rPr>
              <w:t>-N等</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2.56m</w:t>
            </w:r>
            <w:r>
              <w:rPr>
                <w:rFonts w:hint="eastAsia"/>
                <w:color w:val="000000" w:themeColor="text1"/>
                <w:szCs w:val="21"/>
                <w:highlight w:val="none"/>
                <w:vertAlign w:val="superscript"/>
                <w14:textFill>
                  <w14:solidFill>
                    <w14:schemeClr w14:val="tx1"/>
                  </w14:solidFill>
                </w14:textFill>
              </w:rPr>
              <w:t>3</w:t>
            </w:r>
            <w:r>
              <w:rPr>
                <w:rFonts w:hint="eastAsia"/>
                <w:color w:val="000000" w:themeColor="text1"/>
                <w:szCs w:val="21"/>
                <w:highlight w:val="none"/>
                <w14:textFill>
                  <w14:solidFill>
                    <w14:schemeClr w14:val="tx1"/>
                  </w14:solidFill>
                </w14:textFill>
              </w:rPr>
              <w:t>/d</w:t>
            </w:r>
          </w:p>
        </w:tc>
        <w:tc>
          <w:tcPr>
            <w:tcW w:w="992"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t>经生态厕所收集后定期由密闭罐车拉运至周边生活污水处理厂处理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油气集输工程</w:t>
            </w: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生活污水</w:t>
            </w:r>
          </w:p>
        </w:tc>
        <w:tc>
          <w:tcPr>
            <w:tcW w:w="1439" w:type="dxa"/>
            <w:vAlign w:val="center"/>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t>COD、SS和NH</w:t>
            </w:r>
            <w:r>
              <w:rPr>
                <w:bCs/>
                <w:color w:val="000000" w:themeColor="text1"/>
                <w:szCs w:val="21"/>
                <w:highlight w:val="none"/>
                <w:vertAlign w:val="subscript"/>
                <w14:textFill>
                  <w14:solidFill>
                    <w14:schemeClr w14:val="tx1"/>
                  </w14:solidFill>
                </w14:textFill>
              </w:rPr>
              <w:t>3</w:t>
            </w:r>
            <w:r>
              <w:rPr>
                <w:bCs/>
                <w:color w:val="000000" w:themeColor="text1"/>
                <w:szCs w:val="21"/>
                <w:highlight w:val="none"/>
                <w14:textFill>
                  <w14:solidFill>
                    <w14:schemeClr w14:val="tx1"/>
                  </w14:solidFill>
                </w14:textFill>
              </w:rPr>
              <w:t>-N等</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少量</w:t>
            </w:r>
          </w:p>
        </w:tc>
        <w:tc>
          <w:tcPr>
            <w:tcW w:w="992"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t>经生态厕所收集后定期由密闭罐车拉运至周边生活污水处理厂处理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管道试压废水</w:t>
            </w:r>
          </w:p>
        </w:tc>
        <w:tc>
          <w:tcPr>
            <w:tcW w:w="143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w:t>
            </w:r>
            <w:r>
              <w:rPr>
                <w:color w:val="000000" w:themeColor="text1"/>
                <w:highlight w:val="none"/>
                <w14:textFill>
                  <w14:solidFill>
                    <w14:schemeClr w14:val="tx1"/>
                  </w14:solidFill>
                </w14:textFill>
              </w:rPr>
              <w:t>S</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0.07</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992"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经沉淀后用于降尘使用，不外排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噪声</w:t>
            </w:r>
          </w:p>
        </w:tc>
        <w:tc>
          <w:tcPr>
            <w:tcW w:w="435" w:type="dxa"/>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钻前工程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钻前工程施工</w:t>
            </w:r>
            <w:r>
              <w:rPr>
                <w:rFonts w:hint="eastAsia"/>
                <w:color w:val="000000" w:themeColor="text1"/>
                <w:szCs w:val="24"/>
                <w:highlight w:val="none"/>
                <w14:textFill>
                  <w14:solidFill>
                    <w14:schemeClr w14:val="tx1"/>
                  </w14:solidFill>
                </w14:textFill>
              </w:rPr>
              <w:t>噪声</w:t>
            </w:r>
          </w:p>
        </w:tc>
        <w:tc>
          <w:tcPr>
            <w:tcW w:w="3402" w:type="dxa"/>
            <w:gridSpan w:val="3"/>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82~101dB</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A</w:t>
            </w:r>
            <w:r>
              <w:rPr>
                <w:rFonts w:hint="eastAsia"/>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选用低噪声设备、加强维护保养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钻井工程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钻井设备噪声</w:t>
            </w:r>
          </w:p>
        </w:tc>
        <w:tc>
          <w:tcPr>
            <w:tcW w:w="3402"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75~103dB</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选用低噪声设备、加强维护保养，置于钻井井场内，基础安装减振垫层，柴油发电机设置于室内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事故放喷噪声</w:t>
            </w:r>
          </w:p>
        </w:tc>
        <w:tc>
          <w:tcPr>
            <w:tcW w:w="3402"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110dB</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仅事故情况下产生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储层改造工程</w:t>
            </w: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压裂作业设备</w:t>
            </w:r>
          </w:p>
        </w:tc>
        <w:tc>
          <w:tcPr>
            <w:tcW w:w="3402" w:type="dxa"/>
            <w:gridSpan w:val="3"/>
            <w:vAlign w:val="center"/>
          </w:tcPr>
          <w:p>
            <w:pPr>
              <w:pStyle w:val="297"/>
              <w:rPr>
                <w:color w:val="000000" w:themeColor="text1"/>
                <w:highlight w:val="none"/>
                <w14:textFill>
                  <w14:solidFill>
                    <w14:schemeClr w14:val="tx1"/>
                  </w14:solidFill>
                </w14:textFill>
              </w:rPr>
            </w:pPr>
            <w:r>
              <w:rPr>
                <w:color w:val="000000" w:themeColor="text1"/>
                <w:kern w:val="0"/>
                <w:szCs w:val="21"/>
                <w:highlight w:val="none"/>
                <w:lang w:eastAsia="en-US"/>
                <w14:textFill>
                  <w14:solidFill>
                    <w14:schemeClr w14:val="tx1"/>
                  </w14:solidFill>
                </w14:textFill>
              </w:rPr>
              <w:t>95</w:t>
            </w:r>
            <w:r>
              <w:rPr>
                <w:rFonts w:hint="eastAsia"/>
                <w:color w:val="000000" w:themeColor="text1"/>
                <w:kern w:val="0"/>
                <w:szCs w:val="21"/>
                <w:highlight w:val="none"/>
                <w14:textFill>
                  <w14:solidFill>
                    <w14:schemeClr w14:val="tx1"/>
                  </w14:solidFill>
                </w14:textFill>
              </w:rPr>
              <w:t>~</w:t>
            </w:r>
            <w:r>
              <w:rPr>
                <w:color w:val="000000" w:themeColor="text1"/>
                <w:kern w:val="0"/>
                <w:szCs w:val="21"/>
                <w:highlight w:val="none"/>
                <w:lang w:eastAsia="en-US"/>
                <w14:textFill>
                  <w14:solidFill>
                    <w14:schemeClr w14:val="tx1"/>
                  </w14:solidFill>
                </w14:textFill>
              </w:rPr>
              <w:t>100</w:t>
            </w:r>
            <w:r>
              <w:rPr>
                <w:color w:val="000000" w:themeColor="text1"/>
                <w:szCs w:val="21"/>
                <w:highlight w:val="none"/>
                <w14:textFill>
                  <w14:solidFill>
                    <w14:schemeClr w14:val="tx1"/>
                  </w14:solidFill>
                </w14:textFill>
              </w:rPr>
              <w:t>dB</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A</w:t>
            </w:r>
            <w:r>
              <w:rPr>
                <w:rFonts w:hint="eastAsia"/>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选用低噪声设备、加强维护保养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测试放喷噪声</w:t>
            </w:r>
          </w:p>
        </w:tc>
        <w:tc>
          <w:tcPr>
            <w:tcW w:w="3402" w:type="dxa"/>
            <w:gridSpan w:val="3"/>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110dB</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A</w:t>
            </w:r>
            <w:r>
              <w:rPr>
                <w:rFonts w:hint="eastAsia"/>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仅</w:t>
            </w:r>
            <w:r>
              <w:rPr>
                <w:rFonts w:hint="eastAsia"/>
                <w:color w:val="000000" w:themeColor="text1"/>
                <w:szCs w:val="21"/>
                <w:highlight w:val="none"/>
                <w14:textFill>
                  <w14:solidFill>
                    <w14:schemeClr w14:val="tx1"/>
                  </w14:solidFill>
                </w14:textFill>
              </w:rPr>
              <w:t>测试放喷</w:t>
            </w:r>
            <w:r>
              <w:rPr>
                <w:color w:val="000000" w:themeColor="text1"/>
                <w:szCs w:val="21"/>
                <w:highlight w:val="none"/>
                <w14:textFill>
                  <w14:solidFill>
                    <w14:schemeClr w14:val="tx1"/>
                  </w14:solidFill>
                </w14:textFill>
              </w:rPr>
              <w:t>情况下产生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油气集输工程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施工</w:t>
            </w:r>
            <w:r>
              <w:rPr>
                <w:rFonts w:hint="eastAsia"/>
                <w:color w:val="000000" w:themeColor="text1"/>
                <w:szCs w:val="24"/>
                <w:highlight w:val="none"/>
                <w14:textFill>
                  <w14:solidFill>
                    <w14:schemeClr w14:val="tx1"/>
                  </w14:solidFill>
                </w14:textFill>
              </w:rPr>
              <w:t>噪声</w:t>
            </w:r>
          </w:p>
        </w:tc>
        <w:tc>
          <w:tcPr>
            <w:tcW w:w="3402" w:type="dxa"/>
            <w:gridSpan w:val="3"/>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82~101dB</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A</w:t>
            </w:r>
            <w:r>
              <w:rPr>
                <w:rFonts w:hint="eastAsia"/>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选用低噪声设备、加强维护保养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固废</w:t>
            </w: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钻前工程</w:t>
            </w: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基础开挖表土</w:t>
            </w:r>
          </w:p>
        </w:tc>
        <w:tc>
          <w:tcPr>
            <w:tcW w:w="3402"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约2</w:t>
            </w:r>
            <w:r>
              <w:rPr>
                <w:rFonts w:hint="eastAsia"/>
                <w:color w:val="000000" w:themeColor="text1"/>
                <w:highlight w:val="none"/>
                <w:lang w:val="en-US" w:eastAsia="zh-CN"/>
                <w14:textFill>
                  <w14:solidFill>
                    <w14:schemeClr w14:val="tx1"/>
                  </w14:solidFill>
                </w14:textFill>
              </w:rPr>
              <w:t>4</w:t>
            </w:r>
            <w:r>
              <w:rPr>
                <w:rFonts w:hint="eastAsia"/>
                <w:color w:val="000000" w:themeColor="text1"/>
                <w:highlight w:val="none"/>
                <w14:textFill>
                  <w14:solidFill>
                    <w14:schemeClr w14:val="tx1"/>
                  </w14:solidFill>
                </w14:textFill>
              </w:rPr>
              <w:t>00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2557" w:type="dxa"/>
            <w:vAlign w:val="center"/>
          </w:tcPr>
          <w:p>
            <w:pPr>
              <w:pStyle w:val="297"/>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集中堆放至井场</w:t>
            </w:r>
            <w:r>
              <w:rPr>
                <w:rFonts w:hint="eastAsia"/>
                <w:color w:val="000000" w:themeColor="text1"/>
                <w:szCs w:val="24"/>
                <w:highlight w:val="none"/>
                <w14:textFill>
                  <w14:solidFill>
                    <w14:schemeClr w14:val="tx1"/>
                  </w14:solidFill>
                </w14:textFill>
              </w:rPr>
              <w:t>设置</w:t>
            </w:r>
            <w:r>
              <w:rPr>
                <w:color w:val="000000" w:themeColor="text1"/>
                <w:szCs w:val="24"/>
                <w:highlight w:val="none"/>
                <w14:textFill>
                  <w14:solidFill>
                    <w14:schemeClr w14:val="tx1"/>
                  </w14:solidFill>
                </w14:textFill>
              </w:rPr>
              <w:t>的表土堆场，表土用于后期生态恢复，综合利用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建筑垃圾</w:t>
            </w:r>
          </w:p>
        </w:tc>
        <w:tc>
          <w:tcPr>
            <w:tcW w:w="3402"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约40t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由施工队伍统一收集清运至政府指定地方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生活垃圾</w:t>
            </w:r>
          </w:p>
        </w:tc>
        <w:tc>
          <w:tcPr>
            <w:tcW w:w="5959" w:type="dxa"/>
            <w:gridSpan w:val="4"/>
            <w:vAlign w:val="center"/>
          </w:tcPr>
          <w:p>
            <w:pPr>
              <w:pStyle w:val="297"/>
              <w:rPr>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施工人员多为当地民工，租住在附近农户，无集中生活垃圾产生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钻井工程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清水岩屑</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清水岩屑</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85.59m</w:t>
            </w:r>
            <w:r>
              <w:rPr>
                <w:color w:val="000000" w:themeColor="text1"/>
                <w:highlight w:val="none"/>
                <w:vertAlign w:val="superscript"/>
                <w14:textFill>
                  <w14:solidFill>
                    <w14:schemeClr w14:val="tx1"/>
                  </w14:solidFill>
                </w14:textFill>
              </w:rPr>
              <w:t>3</w:t>
            </w:r>
          </w:p>
        </w:tc>
        <w:tc>
          <w:tcPr>
            <w:tcW w:w="992"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2557"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泥浆不落地工艺进行固液分离后暂存于钻井固废暂存区，定期用密闭罐车及时就近交给依法取得生态环境部门关于利用和处置相关工业固体废物项目环评批复、具有处理处置相应固体废物能力并配套建设有废气、废水、固废等污染物治理设施的单位进行资源化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水基钻井固废</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废水基泥浆、岩屑</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3816.95t</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557"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油基钻井固废</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废油基泥浆、油基岩屑</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612.37m</w:t>
            </w:r>
            <w:r>
              <w:rPr>
                <w:color w:val="000000" w:themeColor="text1"/>
                <w:szCs w:val="21"/>
                <w:highlight w:val="none"/>
                <w:vertAlign w:val="superscript"/>
                <w14:textFill>
                  <w14:solidFill>
                    <w14:schemeClr w14:val="tx1"/>
                  </w14:solidFill>
                </w14:textFill>
              </w:rPr>
              <w:t>3</w:t>
            </w:r>
          </w:p>
        </w:tc>
        <w:tc>
          <w:tcPr>
            <w:tcW w:w="992"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0</w:t>
            </w:r>
          </w:p>
        </w:tc>
        <w:tc>
          <w:tcPr>
            <w:tcW w:w="2557" w:type="dxa"/>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三开采用</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14:textFill>
                  <w14:solidFill>
                    <w14:schemeClr w14:val="tx1"/>
                  </w14:solidFill>
                </w14:textFill>
              </w:rPr>
              <w:t>钻井液（若三开钻遇特地层，则采用油基钻井液）</w:t>
            </w:r>
            <w:r>
              <w:rPr>
                <w:color w:val="000000" w:themeColor="text1"/>
                <w:szCs w:val="21"/>
                <w:highlight w:val="none"/>
                <w14:textFill>
                  <w14:solidFill>
                    <w14:schemeClr w14:val="tx1"/>
                  </w14:solidFill>
                </w14:textFill>
              </w:rPr>
              <w:t>废泥浆、岩屑暂存于新建的60m</w:t>
            </w:r>
            <w:r>
              <w:rPr>
                <w:color w:val="000000" w:themeColor="text1"/>
                <w:szCs w:val="21"/>
                <w:highlight w:val="none"/>
                <w:vertAlign w:val="superscript"/>
                <w14:textFill>
                  <w14:solidFill>
                    <w14:schemeClr w14:val="tx1"/>
                  </w14:solidFill>
                </w14:textFill>
              </w:rPr>
              <w:t>2</w:t>
            </w:r>
            <w:r>
              <w:rPr>
                <w:color w:val="000000" w:themeColor="text1"/>
                <w:szCs w:val="21"/>
                <w:highlight w:val="none"/>
                <w14:textFill>
                  <w14:solidFill>
                    <w14:schemeClr w14:val="tx1"/>
                  </w14:solidFill>
                </w14:textFill>
              </w:rPr>
              <w:t>危险废物暂存场所（采取必要的防风、防晒、防雨、防漏、防渗、防腐以及其他环境污染防治措施，不得露天堆放危险废物），泥浆和油基钻井岩屑</w:t>
            </w:r>
            <w:r>
              <w:rPr>
                <w:rFonts w:hint="eastAsia"/>
                <w:color w:val="000000" w:themeColor="text1"/>
                <w:szCs w:val="21"/>
                <w:highlight w:val="none"/>
                <w14:textFill>
                  <w14:solidFill>
                    <w14:schemeClr w14:val="tx1"/>
                  </w14:solidFill>
                </w14:textFill>
              </w:rPr>
              <w:t>及时</w:t>
            </w:r>
            <w:r>
              <w:rPr>
                <w:color w:val="000000" w:themeColor="text1"/>
                <w:szCs w:val="21"/>
                <w:highlight w:val="none"/>
                <w14:textFill>
                  <w14:solidFill>
                    <w14:schemeClr w14:val="tx1"/>
                  </w14:solidFill>
                </w14:textFill>
              </w:rPr>
              <w:t>交由有资质的单位处置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废油</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润滑油等</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557"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通过</w:t>
            </w:r>
            <w:r>
              <w:rPr>
                <w:color w:val="000000" w:themeColor="text1"/>
                <w:highlight w:val="none"/>
                <w14:textFill>
                  <w14:solidFill>
                    <w14:schemeClr w14:val="tx1"/>
                  </w14:solidFill>
                </w14:textFill>
              </w:rPr>
              <w:t>设置废油桶</w:t>
            </w:r>
            <w:r>
              <w:rPr>
                <w:rFonts w:hint="eastAsia"/>
                <w:color w:val="000000" w:themeColor="text1"/>
                <w:highlight w:val="none"/>
                <w14:textFill>
                  <w14:solidFill>
                    <w14:schemeClr w14:val="tx1"/>
                  </w14:solidFill>
                </w14:textFill>
              </w:rPr>
              <w:t>收集，</w:t>
            </w:r>
            <w:r>
              <w:rPr>
                <w:color w:val="000000" w:themeColor="text1"/>
                <w:highlight w:val="none"/>
                <w14:textFill>
                  <w14:solidFill>
                    <w14:schemeClr w14:val="tx1"/>
                  </w14:solidFill>
                </w14:textFill>
              </w:rPr>
              <w:t>暂存于泥浆不落地装置区临时堆放区内，</w:t>
            </w:r>
            <w:r>
              <w:rPr>
                <w:rFonts w:hint="eastAsia"/>
                <w:color w:val="000000" w:themeColor="text1"/>
                <w:highlight w:val="none"/>
                <w14:textFill>
                  <w14:solidFill>
                    <w14:schemeClr w14:val="tx1"/>
                  </w14:solidFill>
                </w14:textFill>
              </w:rPr>
              <w:t>最终由</w:t>
            </w:r>
            <w:r>
              <w:rPr>
                <w:color w:val="000000" w:themeColor="text1"/>
                <w:highlight w:val="none"/>
                <w14:textFill>
                  <w14:solidFill>
                    <w14:schemeClr w14:val="tx1"/>
                  </w14:solidFill>
                </w14:textFill>
              </w:rPr>
              <w:t>钻井队综合利用或交由有资质的单位处理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含油抹布和手套</w:t>
            </w:r>
          </w:p>
        </w:tc>
        <w:tc>
          <w:tcPr>
            <w:tcW w:w="143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废油</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少量</w:t>
            </w:r>
          </w:p>
        </w:tc>
        <w:tc>
          <w:tcPr>
            <w:tcW w:w="992"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2557"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通过</w:t>
            </w:r>
            <w:r>
              <w:rPr>
                <w:color w:val="000000" w:themeColor="text1"/>
                <w:highlight w:val="none"/>
                <w14:textFill>
                  <w14:solidFill>
                    <w14:schemeClr w14:val="tx1"/>
                  </w14:solidFill>
                </w14:textFill>
              </w:rPr>
              <w:t>设置废油桶</w:t>
            </w:r>
            <w:r>
              <w:rPr>
                <w:rFonts w:hint="eastAsia"/>
                <w:color w:val="000000" w:themeColor="text1"/>
                <w:highlight w:val="none"/>
                <w14:textFill>
                  <w14:solidFill>
                    <w14:schemeClr w14:val="tx1"/>
                  </w14:solidFill>
                </w14:textFill>
              </w:rPr>
              <w:t>收集，</w:t>
            </w:r>
            <w:r>
              <w:rPr>
                <w:color w:val="000000" w:themeColor="text1"/>
                <w:highlight w:val="none"/>
                <w14:textFill>
                  <w14:solidFill>
                    <w14:schemeClr w14:val="tx1"/>
                  </w14:solidFill>
                </w14:textFill>
              </w:rPr>
              <w:t>暂存于泥浆不落地装置区临时堆放区内，交由有资质的单位处理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废包装材料</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包装袋等</w:t>
            </w:r>
          </w:p>
        </w:tc>
        <w:tc>
          <w:tcPr>
            <w:tcW w:w="9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2.0t</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集中收集后部分回用，剩余的送当地废品回收站处理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9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22.5kg/d</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集中收集，交由当地环卫部门处置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38" w:hRule="atLeas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储层改造工程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生活垃圾</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生活垃圾</w:t>
            </w:r>
          </w:p>
        </w:tc>
        <w:tc>
          <w:tcPr>
            <w:tcW w:w="971"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0.0</w:t>
            </w:r>
            <w:r>
              <w:rPr>
                <w:color w:val="000000" w:themeColor="text1"/>
                <w:szCs w:val="21"/>
                <w:highlight w:val="none"/>
                <w14:textFill>
                  <w14:solidFill>
                    <w14:schemeClr w14:val="tx1"/>
                  </w14:solidFill>
                </w14:textFill>
              </w:rPr>
              <w:t>kg/d</w:t>
            </w:r>
          </w:p>
        </w:tc>
        <w:tc>
          <w:tcPr>
            <w:tcW w:w="992"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0</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集中收集，交由当地环卫部门处置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完井搬迁建筑垃圾</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包装袋，废弃建筑施工材料</w:t>
            </w:r>
          </w:p>
        </w:tc>
        <w:tc>
          <w:tcPr>
            <w:tcW w:w="971"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少量</w:t>
            </w:r>
          </w:p>
        </w:tc>
        <w:tc>
          <w:tcPr>
            <w:tcW w:w="992"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施工队伍统一收集清运至政府指定地方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restart"/>
            <w:tcMar>
              <w:left w:w="0" w:type="dxa"/>
              <w:right w:w="0" w:type="dxa"/>
            </w:tcMar>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油气集输工程</w:t>
            </w: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建筑垃圾</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包装袋，废弃建筑</w:t>
            </w:r>
            <w:r>
              <w:rPr>
                <w:rFonts w:hint="eastAsia"/>
                <w:color w:val="000000" w:themeColor="text1"/>
                <w:highlight w:val="none"/>
                <w14:textFill>
                  <w14:solidFill>
                    <w14:schemeClr w14:val="tx1"/>
                  </w14:solidFill>
                </w14:textFill>
              </w:rPr>
              <w:t>施工</w:t>
            </w:r>
            <w:r>
              <w:rPr>
                <w:color w:val="000000" w:themeColor="text1"/>
                <w:highlight w:val="none"/>
                <w14:textFill>
                  <w14:solidFill>
                    <w14:schemeClr w14:val="tx1"/>
                  </w14:solidFill>
                </w14:textFill>
              </w:rPr>
              <w:t>材料</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w:t>
            </w:r>
            <w:r>
              <w:rPr>
                <w:color w:val="000000" w:themeColor="text1"/>
                <w:highlight w:val="none"/>
                <w14:textFill>
                  <w14:solidFill>
                    <w14:schemeClr w14:val="tx1"/>
                  </w14:solidFill>
                </w14:textFill>
              </w:rPr>
              <w:t>t</w:t>
            </w:r>
          </w:p>
        </w:tc>
        <w:tc>
          <w:tcPr>
            <w:tcW w:w="99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施工队伍统一收集清运至政府指定地方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b/>
                <w:bCs/>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废材料</w:t>
            </w:r>
          </w:p>
        </w:tc>
        <w:tc>
          <w:tcPr>
            <w:tcW w:w="143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废焊条、废材料桶等</w:t>
            </w:r>
          </w:p>
        </w:tc>
        <w:tc>
          <w:tcPr>
            <w:tcW w:w="9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少量</w:t>
            </w:r>
          </w:p>
        </w:tc>
        <w:tc>
          <w:tcPr>
            <w:tcW w:w="992"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由施工单位带走处置，不在现场暂存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3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435"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szCs w:val="24"/>
                <w:highlight w:val="none"/>
                <w14:textFill>
                  <w14:solidFill>
                    <w14:schemeClr w14:val="tx1"/>
                  </w14:solidFill>
                </w14:textFill>
              </w:rPr>
              <w:t>生活垃圾</w:t>
            </w:r>
          </w:p>
        </w:tc>
        <w:tc>
          <w:tcPr>
            <w:tcW w:w="5959" w:type="dxa"/>
            <w:gridSpan w:val="4"/>
            <w:vAlign w:val="center"/>
          </w:tcPr>
          <w:p>
            <w:pPr>
              <w:pStyle w:val="297"/>
              <w:rPr>
                <w:color w:val="000000" w:themeColor="text1"/>
                <w:highlight w:val="none"/>
                <w14:textFill>
                  <w14:solidFill>
                    <w14:schemeClr w14:val="tx1"/>
                  </w14:solidFill>
                </w14:textFill>
              </w:rPr>
            </w:pPr>
            <w:r>
              <w:rPr>
                <w:color w:val="000000" w:themeColor="text1"/>
                <w:szCs w:val="24"/>
                <w:highlight w:val="none"/>
                <w14:textFill>
                  <w14:solidFill>
                    <w14:schemeClr w14:val="tx1"/>
                  </w14:solidFill>
                </w14:textFill>
              </w:rPr>
              <w:t>施工人员多为当地民工，租住在附近农户，无集中生活垃圾产生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869" w:type="dxa"/>
            <w:gridSpan w:val="2"/>
            <w:tcMar>
              <w:left w:w="0" w:type="dxa"/>
              <w:right w:w="0"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生态</w:t>
            </w:r>
          </w:p>
        </w:tc>
        <w:tc>
          <w:tcPr>
            <w:tcW w:w="1394"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井场及集输管道</w:t>
            </w:r>
            <w:r>
              <w:rPr>
                <w:color w:val="000000" w:themeColor="text1"/>
                <w:highlight w:val="none"/>
                <w14:textFill>
                  <w14:solidFill>
                    <w14:schemeClr w14:val="tx1"/>
                  </w14:solidFill>
                </w14:textFill>
              </w:rPr>
              <w:t>占地</w:t>
            </w:r>
          </w:p>
        </w:tc>
        <w:tc>
          <w:tcPr>
            <w:tcW w:w="3402"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井场</w:t>
            </w:r>
            <w:r>
              <w:rPr>
                <w:rFonts w:hint="eastAsia"/>
                <w:color w:val="000000" w:themeColor="text1"/>
                <w:highlight w:val="none"/>
                <w14:textFill>
                  <w14:solidFill>
                    <w14:schemeClr w14:val="tx1"/>
                  </w14:solidFill>
                </w14:textFill>
              </w:rPr>
              <w:t>及集输管道</w:t>
            </w:r>
            <w:r>
              <w:rPr>
                <w:color w:val="000000" w:themeColor="text1"/>
                <w:highlight w:val="none"/>
                <w14:textFill>
                  <w14:solidFill>
                    <w14:schemeClr w14:val="tx1"/>
                  </w14:solidFill>
                </w14:textFill>
              </w:rPr>
              <w:t>为新建，</w:t>
            </w:r>
            <w:r>
              <w:rPr>
                <w:rFonts w:hint="eastAsia"/>
                <w:color w:val="000000" w:themeColor="text1"/>
                <w:szCs w:val="24"/>
                <w:highlight w:val="none"/>
                <w14:textFill>
                  <w14:solidFill>
                    <w14:schemeClr w14:val="tx1"/>
                  </w14:solidFill>
                </w14:textFill>
              </w:rPr>
              <w:t>井场</w:t>
            </w:r>
            <w:r>
              <w:rPr>
                <w:color w:val="000000" w:themeColor="text1"/>
                <w:szCs w:val="24"/>
                <w:highlight w:val="none"/>
                <w14:textFill>
                  <w14:solidFill>
                    <w14:schemeClr w14:val="tx1"/>
                  </w14:solidFill>
                </w14:textFill>
              </w:rPr>
              <w:t>场地基础开挖、土石方回填</w:t>
            </w:r>
            <w:r>
              <w:rPr>
                <w:rFonts w:hint="eastAsia"/>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构筑物建设等活动对土地的扰动作用</w:t>
            </w:r>
            <w:r>
              <w:rPr>
                <w:rFonts w:hint="eastAsia"/>
                <w:color w:val="000000" w:themeColor="text1"/>
                <w:szCs w:val="24"/>
                <w:highlight w:val="none"/>
                <w14:textFill>
                  <w14:solidFill>
                    <w14:schemeClr w14:val="tx1"/>
                  </w14:solidFill>
                </w14:textFill>
              </w:rPr>
              <w:t>，进而</w:t>
            </w:r>
            <w:r>
              <w:rPr>
                <w:color w:val="000000" w:themeColor="text1"/>
                <w:szCs w:val="24"/>
                <w:highlight w:val="none"/>
                <w14:textFill>
                  <w14:solidFill>
                    <w14:schemeClr w14:val="tx1"/>
                  </w14:solidFill>
                </w14:textFill>
              </w:rPr>
              <w:t>改变土地利用性质、造成</w:t>
            </w:r>
            <w:r>
              <w:rPr>
                <w:color w:val="000000" w:themeColor="text1"/>
                <w:highlight w:val="none"/>
                <w14:textFill>
                  <w14:solidFill>
                    <w14:schemeClr w14:val="tx1"/>
                  </w14:solidFill>
                </w14:textFill>
              </w:rPr>
              <w:t>地表、植被破坏，水土流失</w:t>
            </w:r>
            <w:r>
              <w:rPr>
                <w:rFonts w:hint="eastAsia"/>
                <w:color w:val="000000" w:themeColor="text1"/>
                <w:highlight w:val="none"/>
                <w14:textFill>
                  <w14:solidFill>
                    <w14:schemeClr w14:val="tx1"/>
                  </w14:solidFill>
                </w14:textFill>
              </w:rPr>
              <w:t>等</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w:t>
            </w:r>
            <w:r>
              <w:rPr>
                <w:rFonts w:hint="eastAsia"/>
                <w:color w:val="000000" w:themeColor="text1"/>
                <w:highlight w:val="none"/>
                <w14:textFill>
                  <w14:solidFill>
                    <w14:schemeClr w14:val="tx1"/>
                  </w14:solidFill>
                </w14:textFill>
              </w:rPr>
              <w:t>完成</w:t>
            </w:r>
            <w:r>
              <w:rPr>
                <w:color w:val="000000" w:themeColor="text1"/>
                <w:highlight w:val="none"/>
                <w14:textFill>
                  <w14:solidFill>
                    <w14:schemeClr w14:val="tx1"/>
                  </w14:solidFill>
                </w14:textFill>
              </w:rPr>
              <w:t>后，无后续使用需求的临时占地恢复原有使用功能，进行植被恢复工作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869" w:type="dxa"/>
            <w:gridSpan w:val="2"/>
            <w:tcMar>
              <w:left w:w="0" w:type="dxa"/>
              <w:right w:w="0"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环境风险</w:t>
            </w:r>
          </w:p>
        </w:tc>
        <w:tc>
          <w:tcPr>
            <w:tcW w:w="7353" w:type="dxa"/>
            <w:gridSpan w:val="5"/>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钻井井喷失控或泄漏的天然气导致的火灾爆炸环境风险事故，以及泄漏天然气导致的环境风险事故；污染物渗漏污染地表土壤和浅层地下水；污染物外运处理中的运输风险等</w:t>
            </w:r>
          </w:p>
        </w:tc>
      </w:tr>
    </w:tbl>
    <w:p>
      <w:pPr>
        <w:pStyle w:val="4"/>
        <w:spacing w:before="120"/>
        <w:ind w:firstLine="480"/>
        <w:rPr>
          <w:b/>
          <w:color w:val="000000" w:themeColor="text1"/>
          <w:highlight w:val="none"/>
          <w:lang w:eastAsia="zh-CN"/>
          <w14:textFill>
            <w14:solidFill>
              <w14:schemeClr w14:val="tx1"/>
            </w14:solidFill>
          </w14:textFill>
        </w:rPr>
      </w:pPr>
      <w:bookmarkStart w:id="200" w:name="3.4.2运营期污染源强分析"/>
      <w:bookmarkEnd w:id="200"/>
      <w:bookmarkStart w:id="201" w:name="_Toc120173113"/>
      <w:r>
        <w:rPr>
          <w:color w:val="000000" w:themeColor="text1"/>
          <w:highlight w:val="none"/>
          <w:lang w:eastAsia="zh-CN"/>
          <w14:textFill>
            <w14:solidFill>
              <w14:schemeClr w14:val="tx1"/>
            </w14:solidFill>
          </w14:textFill>
        </w:rPr>
        <w:t>试采期污染源强分析</w:t>
      </w:r>
      <w:bookmarkEnd w:id="201"/>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试采期</w:t>
      </w:r>
      <w:r>
        <w:rPr>
          <w:rFonts w:hint="eastAsia" w:cs="Times New Roman"/>
          <w:bCs/>
          <w:color w:val="000000" w:themeColor="text1"/>
          <w:highlight w:val="none"/>
          <w14:textFill>
            <w14:solidFill>
              <w14:schemeClr w14:val="tx1"/>
            </w14:solidFill>
          </w14:textFill>
        </w:rPr>
        <w:t>大湾408-3</w:t>
      </w:r>
      <w:r>
        <w:rPr>
          <w:rFonts w:cs="Times New Roman"/>
          <w:bCs/>
          <w:color w:val="000000" w:themeColor="text1"/>
          <w:highlight w:val="none"/>
          <w14:textFill>
            <w14:solidFill>
              <w14:schemeClr w14:val="tx1"/>
            </w14:solidFill>
          </w14:textFill>
        </w:rPr>
        <w:t>试采站正常生产情况下，流程设备、管线、阀室等工艺设备为高压密闭作业，无</w:t>
      </w:r>
      <w:r>
        <w:rPr>
          <w:rFonts w:hint="eastAsia" w:cs="Times New Roman"/>
          <w:bCs/>
          <w:color w:val="000000" w:themeColor="text1"/>
          <w:highlight w:val="none"/>
          <w14:textFill>
            <w14:solidFill>
              <w14:schemeClr w14:val="tx1"/>
            </w14:solidFill>
          </w14:textFill>
        </w:rPr>
        <w:t>天然气泄漏</w:t>
      </w:r>
      <w:r>
        <w:rPr>
          <w:rFonts w:cs="Times New Roman"/>
          <w:bCs/>
          <w:color w:val="000000" w:themeColor="text1"/>
          <w:highlight w:val="none"/>
          <w14:textFill>
            <w14:solidFill>
              <w14:schemeClr w14:val="tx1"/>
            </w14:solidFill>
          </w14:textFill>
        </w:rPr>
        <w:t>废气产生；本项目试采期用电由</w:t>
      </w:r>
      <w:r>
        <w:rPr>
          <w:rFonts w:hint="eastAsia" w:cs="Times New Roman"/>
          <w:bCs/>
          <w:color w:val="000000" w:themeColor="text1"/>
          <w:highlight w:val="none"/>
          <w14:textFill>
            <w14:solidFill>
              <w14:schemeClr w14:val="tx1"/>
            </w14:solidFill>
          </w14:textFill>
        </w:rPr>
        <w:t>大湾</w:t>
      </w:r>
      <w:r>
        <w:rPr>
          <w:rFonts w:hint="eastAsia" w:cs="Times New Roman"/>
          <w:bCs/>
          <w:color w:val="000000" w:themeColor="text1"/>
          <w:highlight w:val="none"/>
          <w:lang w:eastAsia="zh-CN"/>
          <w14:textFill>
            <w14:solidFill>
              <w14:schemeClr w14:val="tx1"/>
            </w14:solidFill>
          </w14:textFill>
        </w:rPr>
        <w:t>408试采站</w:t>
      </w:r>
      <w:r>
        <w:rPr>
          <w:rFonts w:cs="Times New Roman"/>
          <w:color w:val="000000" w:themeColor="text1"/>
          <w:highlight w:val="none"/>
          <w14:textFill>
            <w14:solidFill>
              <w14:schemeClr w14:val="tx1"/>
            </w14:solidFill>
          </w14:textFill>
        </w:rPr>
        <w:t>外已建的35kV架空线路</w:t>
      </w:r>
      <w:r>
        <w:rPr>
          <w:rFonts w:cs="Times New Roman"/>
          <w:bCs/>
          <w:color w:val="000000" w:themeColor="text1"/>
          <w:highlight w:val="none"/>
          <w14:textFill>
            <w14:solidFill>
              <w14:schemeClr w14:val="tx1"/>
            </w14:solidFill>
          </w14:textFill>
        </w:rPr>
        <w:t>接入，不单独设置备用燃气发电机，也无备用发电机燃气废气产生。试采期正常情况下主要废气为依托使用</w:t>
      </w:r>
      <w:r>
        <w:rPr>
          <w:rFonts w:hint="eastAsia" w:cs="Times New Roman"/>
          <w:bCs/>
          <w:color w:val="000000" w:themeColor="text1"/>
          <w:highlight w:val="none"/>
          <w14:textFill>
            <w14:solidFill>
              <w14:schemeClr w14:val="tx1"/>
            </w14:solidFill>
          </w14:textFill>
        </w:rPr>
        <w:t>大湾</w:t>
      </w:r>
      <w:r>
        <w:rPr>
          <w:rFonts w:hint="eastAsia" w:cs="Times New Roman"/>
          <w:bCs/>
          <w:color w:val="000000" w:themeColor="text1"/>
          <w:highlight w:val="none"/>
          <w:lang w:eastAsia="zh-CN"/>
          <w14:textFill>
            <w14:solidFill>
              <w14:schemeClr w14:val="tx1"/>
            </w14:solidFill>
          </w14:textFill>
        </w:rPr>
        <w:t>408试采站</w:t>
      </w:r>
      <w:r>
        <w:rPr>
          <w:rFonts w:cs="Times New Roman"/>
          <w:bCs/>
          <w:color w:val="000000" w:themeColor="text1"/>
          <w:highlight w:val="none"/>
          <w14:textFill>
            <w14:solidFill>
              <w14:schemeClr w14:val="tx1"/>
            </w14:solidFill>
          </w14:textFill>
        </w:rPr>
        <w:t>水套加热炉废气，</w:t>
      </w:r>
      <w:r>
        <w:rPr>
          <w:rFonts w:cs="Times New Roman"/>
          <w:bCs/>
          <w:color w:val="000000" w:themeColor="text1"/>
          <w:szCs w:val="24"/>
          <w:highlight w:val="none"/>
          <w14:textFill>
            <w14:solidFill>
              <w14:schemeClr w14:val="tx1"/>
            </w14:solidFill>
          </w14:textFill>
        </w:rPr>
        <w:t>本项目依托</w:t>
      </w:r>
      <w:r>
        <w:rPr>
          <w:rFonts w:hint="eastAsia" w:cs="Times New Roman"/>
          <w:bCs/>
          <w:color w:val="000000" w:themeColor="text1"/>
          <w:szCs w:val="24"/>
          <w:highlight w:val="none"/>
          <w14:textFill>
            <w14:solidFill>
              <w14:schemeClr w14:val="tx1"/>
            </w14:solidFill>
          </w14:textFill>
        </w:rPr>
        <w:t>大湾</w:t>
      </w:r>
      <w:r>
        <w:rPr>
          <w:rFonts w:hint="eastAsia" w:cs="Times New Roman"/>
          <w:bCs/>
          <w:color w:val="000000" w:themeColor="text1"/>
          <w:szCs w:val="24"/>
          <w:highlight w:val="none"/>
          <w:lang w:eastAsia="zh-CN"/>
          <w14:textFill>
            <w14:solidFill>
              <w14:schemeClr w14:val="tx1"/>
            </w14:solidFill>
          </w14:textFill>
        </w:rPr>
        <w:t>408试采站</w:t>
      </w:r>
      <w:r>
        <w:rPr>
          <w:rFonts w:cs="Times New Roman"/>
          <w:bCs/>
          <w:color w:val="000000" w:themeColor="text1"/>
          <w:szCs w:val="24"/>
          <w:highlight w:val="none"/>
          <w14:textFill>
            <w14:solidFill>
              <w14:schemeClr w14:val="tx1"/>
            </w14:solidFill>
          </w14:textFill>
        </w:rPr>
        <w:t>内使用的水套加热炉，</w:t>
      </w:r>
      <w:r>
        <w:rPr>
          <w:color w:val="000000" w:themeColor="text1"/>
          <w:highlight w:val="none"/>
          <w14:textFill>
            <w14:solidFill>
              <w14:schemeClr w14:val="tx1"/>
            </w14:solidFill>
          </w14:textFill>
        </w:rPr>
        <w:t>经计算</w:t>
      </w:r>
      <w:r>
        <w:rPr>
          <w:rFonts w:hint="eastAsia"/>
          <w:color w:val="000000" w:themeColor="text1"/>
          <w:highlight w:val="none"/>
          <w14:textFill>
            <w14:solidFill>
              <w14:schemeClr w14:val="tx1"/>
            </w14:solidFill>
          </w14:textFill>
        </w:rPr>
        <w:t>，既有水套加热炉的容量已按照最大负荷设计，本项目不会突破其最大负荷</w:t>
      </w:r>
      <w:r>
        <w:rPr>
          <w:rFonts w:cs="Times New Roman"/>
          <w:bCs/>
          <w:color w:val="000000" w:themeColor="text1"/>
          <w:szCs w:val="24"/>
          <w:highlight w:val="none"/>
          <w14:textFill>
            <w14:solidFill>
              <w14:schemeClr w14:val="tx1"/>
            </w14:solidFill>
          </w14:textFill>
        </w:rPr>
        <w:t>，因此不会增加水套炉燃气使用量，不会导致新增水套加热炉废气排放</w:t>
      </w:r>
      <w:r>
        <w:rPr>
          <w:rFonts w:cs="Times New Roman"/>
          <w:bCs/>
          <w:color w:val="000000" w:themeColor="text1"/>
          <w:highlight w:val="none"/>
          <w14:textFill>
            <w14:solidFill>
              <w14:schemeClr w14:val="tx1"/>
            </w14:solidFill>
          </w14:textFill>
        </w:rPr>
        <w:t>。非正常运行状态主要有检修废气或系统超压等情况产生的事故放空燃烧废气。</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根据普光气田D4031-3H井钻井及试采工程竣工环境保护验收调查报告：</w:t>
      </w:r>
      <w:r>
        <w:rPr>
          <w:rFonts w:hint="eastAsia" w:cs="Times New Roman"/>
          <w:color w:val="000000" w:themeColor="text1"/>
          <w:highlight w:val="none"/>
          <w14:textFill>
            <w14:solidFill>
              <w14:schemeClr w14:val="tx1"/>
            </w14:solidFill>
          </w14:textFill>
        </w:rPr>
        <w:t>大湾</w:t>
      </w:r>
      <w:r>
        <w:rPr>
          <w:rFonts w:hint="eastAsia" w:cs="Times New Roman"/>
          <w:color w:val="000000" w:themeColor="text1"/>
          <w:highlight w:val="none"/>
          <w:lang w:eastAsia="zh-CN"/>
          <w14:textFill>
            <w14:solidFill>
              <w14:schemeClr w14:val="tx1"/>
            </w14:solidFill>
          </w14:textFill>
        </w:rPr>
        <w:t>408试采站</w:t>
      </w:r>
      <w:r>
        <w:rPr>
          <w:rFonts w:cs="Times New Roman"/>
          <w:color w:val="000000" w:themeColor="text1"/>
          <w:highlight w:val="none"/>
          <w14:textFill>
            <w14:solidFill>
              <w14:schemeClr w14:val="tx1"/>
            </w14:solidFill>
          </w14:textFill>
        </w:rPr>
        <w:t>水套炉燃烧</w:t>
      </w:r>
      <w:r>
        <w:rPr>
          <w:rFonts w:cs="Times New Roman"/>
          <w:bCs/>
          <w:color w:val="000000" w:themeColor="text1"/>
          <w:highlight w:val="none"/>
          <w14:textFill>
            <w14:solidFill>
              <w14:schemeClr w14:val="tx1"/>
            </w14:solidFill>
          </w14:textFill>
        </w:rPr>
        <w:t>废气经8m高排气筒排放，属于有组织排放。因水套炉排气筒不具备动力，</w:t>
      </w:r>
      <w:r>
        <w:rPr>
          <w:rFonts w:cs="Times New Roman"/>
          <w:color w:val="000000" w:themeColor="text1"/>
          <w:highlight w:val="none"/>
          <w14:textFill>
            <w14:solidFill>
              <w14:schemeClr w14:val="tx1"/>
            </w14:solidFill>
          </w14:textFill>
        </w:rPr>
        <w:t>水套炉燃烧</w:t>
      </w:r>
      <w:r>
        <w:rPr>
          <w:rFonts w:cs="Times New Roman"/>
          <w:bCs/>
          <w:color w:val="000000" w:themeColor="text1"/>
          <w:highlight w:val="none"/>
          <w14:textFill>
            <w14:solidFill>
              <w14:schemeClr w14:val="tx1"/>
            </w14:solidFill>
          </w14:textFill>
        </w:rPr>
        <w:t>废气排气筒不能进行采样，所以现场采取了对厂界无组织废气监测的方式来评价工程废气排放达标情况。</w:t>
      </w:r>
      <w:r>
        <w:rPr>
          <w:rFonts w:cs="Times New Roman"/>
          <w:color w:val="000000" w:themeColor="text1"/>
          <w:highlight w:val="none"/>
          <w14:textFill>
            <w14:solidFill>
              <w14:schemeClr w14:val="tx1"/>
            </w14:solidFill>
          </w14:textFill>
        </w:rPr>
        <w:t>通过对厂界无组织大气环境进行现场监测可知，厂界颗粒物、二氧化硫、氮氧化物低于《大气污染物综合排放标准》（GB 16297-1996）中无组织排放监控点浓度限值的规定，非甲烷总烃检测结果低于《陆上石油天然气开采工业大气污染物排放标准》（GB39728-2020），厂界硫化氢低于《恶臭污染物排放标准》（GB14554-93）中无组织排放监控浓度限值的规定。</w:t>
      </w:r>
    </w:p>
    <w:p>
      <w:pPr>
        <w:pStyle w:val="163"/>
        <w:spacing w:line="360" w:lineRule="auto"/>
        <w:ind w:firstLine="480"/>
        <w:jc w:val="both"/>
        <w:rPr>
          <w:rFonts w:ascii="Times New Roman" w:hAnsi="Times New Roman"/>
          <w:color w:val="000000" w:themeColor="text1"/>
          <w:sz w:val="24"/>
          <w:szCs w:val="24"/>
          <w:highlight w:val="none"/>
          <w14:textFill>
            <w14:solidFill>
              <w14:schemeClr w14:val="tx1"/>
            </w14:solidFill>
          </w14:textFill>
        </w:rPr>
      </w:pPr>
      <w:r>
        <w:rPr>
          <w:bCs/>
          <w:color w:val="000000" w:themeColor="text1"/>
          <w:sz w:val="24"/>
          <w:szCs w:val="24"/>
          <w:highlight w:val="none"/>
          <w14:textFill>
            <w14:solidFill>
              <w14:schemeClr w14:val="tx1"/>
            </w14:solidFill>
          </w14:textFill>
        </w:rPr>
        <w:t>非正常工况主要废气为站场检修/事故放空废气，项目装置检修时为保证检修过程的安全，需排空装置及管道内的残留天然气，残留天然气通过放空系统点火排放。本项目试采期依托</w:t>
      </w:r>
      <w:r>
        <w:rPr>
          <w:rFonts w:hint="eastAsia"/>
          <w:bCs/>
          <w:color w:val="000000" w:themeColor="text1"/>
          <w:sz w:val="24"/>
          <w:szCs w:val="24"/>
          <w:highlight w:val="none"/>
          <w14:textFill>
            <w14:solidFill>
              <w14:schemeClr w14:val="tx1"/>
            </w14:solidFill>
          </w14:textFill>
        </w:rPr>
        <w:t>大湾</w:t>
      </w:r>
      <w:r>
        <w:rPr>
          <w:rFonts w:hint="eastAsia"/>
          <w:bCs/>
          <w:color w:val="000000" w:themeColor="text1"/>
          <w:sz w:val="24"/>
          <w:szCs w:val="24"/>
          <w:highlight w:val="none"/>
          <w:lang w:eastAsia="zh-CN"/>
          <w14:textFill>
            <w14:solidFill>
              <w14:schemeClr w14:val="tx1"/>
            </w14:solidFill>
          </w14:textFill>
        </w:rPr>
        <w:t>408试采站</w:t>
      </w:r>
      <w:r>
        <w:rPr>
          <w:bCs/>
          <w:color w:val="000000" w:themeColor="text1"/>
          <w:sz w:val="24"/>
          <w:szCs w:val="24"/>
          <w:highlight w:val="none"/>
          <w14:textFill>
            <w14:solidFill>
              <w14:schemeClr w14:val="tx1"/>
            </w14:solidFill>
          </w14:textFill>
        </w:rPr>
        <w:t>已建的放空火炬，本项目的实施不会增加火炬头长明灯废气量</w:t>
      </w:r>
      <w:r>
        <w:rPr>
          <w:rFonts w:ascii="Times New Roman" w:hAnsi="Times New Roman"/>
          <w:color w:val="000000" w:themeColor="text1"/>
          <w:sz w:val="24"/>
          <w:szCs w:val="24"/>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本项目建成后，试采期废水主要为采气废水、非正常工况井下作业废水</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本项目依托</w:t>
      </w:r>
      <w:r>
        <w:rPr>
          <w:rFonts w:hint="eastAsia" w:cs="Times New Roman"/>
          <w:bCs/>
          <w:color w:val="000000" w:themeColor="text1"/>
          <w:highlight w:val="none"/>
          <w14:textFill>
            <w14:solidFill>
              <w14:schemeClr w14:val="tx1"/>
            </w14:solidFill>
          </w14:textFill>
        </w:rPr>
        <w:t>大湾</w:t>
      </w:r>
      <w:r>
        <w:rPr>
          <w:rFonts w:hint="eastAsia" w:cs="Times New Roman"/>
          <w:bCs/>
          <w:color w:val="000000" w:themeColor="text1"/>
          <w:highlight w:val="none"/>
          <w:lang w:eastAsia="zh-CN"/>
          <w14:textFill>
            <w14:solidFill>
              <w14:schemeClr w14:val="tx1"/>
            </w14:solidFill>
          </w14:textFill>
        </w:rPr>
        <w:t>408试采站</w:t>
      </w:r>
      <w:r>
        <w:rPr>
          <w:rFonts w:hint="eastAsia" w:cs="Times New Roman"/>
          <w:bCs/>
          <w:color w:val="000000" w:themeColor="text1"/>
          <w:highlight w:val="none"/>
          <w14:textFill>
            <w14:solidFill>
              <w14:schemeClr w14:val="tx1"/>
            </w14:solidFill>
          </w14:textFill>
        </w:rPr>
        <w:t>采气，试采站为无人值守井站，</w:t>
      </w:r>
      <w:r>
        <w:rPr>
          <w:rFonts w:cs="Times New Roman"/>
          <w:bCs/>
          <w:color w:val="000000" w:themeColor="text1"/>
          <w:highlight w:val="none"/>
          <w14:textFill>
            <w14:solidFill>
              <w14:schemeClr w14:val="tx1"/>
            </w14:solidFill>
          </w14:textFill>
        </w:rPr>
        <w:t>工作人员不新增，因此无新增生活污水产生。具体产生情况分析如下：</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1）采气废水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类比区块普光气田多个已建天然气井日产气田水情况，预估本项目单井气田水产生量约为10m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/d（</w:t>
      </w:r>
      <w:r>
        <w:rPr>
          <w:rFonts w:hint="eastAsia" w:cs="Times New Roman"/>
          <w:bCs/>
          <w:color w:val="000000" w:themeColor="text1"/>
          <w:highlight w:val="none"/>
          <w14:textFill>
            <w14:solidFill>
              <w14:schemeClr w14:val="tx1"/>
            </w14:solidFill>
          </w14:textFill>
        </w:rPr>
        <w:t>初期储层改造期间未返排完全压裂返排液会和采出水一起返排，预计共计约50</w:t>
      </w:r>
      <w:r>
        <w:rPr>
          <w:rFonts w:cs="Times New Roman"/>
          <w:bCs/>
          <w:color w:val="000000" w:themeColor="text1"/>
          <w:highlight w:val="none"/>
          <w14:textFill>
            <w14:solidFill>
              <w14:schemeClr w14:val="tx1"/>
            </w14:solidFill>
          </w14:textFill>
        </w:rPr>
        <w:t>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，在试采初期需严格控制转运频次，确保井场内随时有气田水转运罐车备用，避免发生气田水外溢事故</w:t>
      </w:r>
      <w:r>
        <w:rPr>
          <w:rFonts w:cs="Times New Roman"/>
          <w:bCs/>
          <w:color w:val="000000" w:themeColor="text1"/>
          <w:highlight w:val="none"/>
          <w14:textFill>
            <w14:solidFill>
              <w14:schemeClr w14:val="tx1"/>
            </w14:solidFill>
          </w14:textFill>
        </w:rPr>
        <w:t>）。酸气采取全湿气加热保温混输工艺，为防止酸化压裂液返排对地面</w:t>
      </w:r>
      <w:r>
        <w:rPr>
          <w:rFonts w:cs="Times New Roman"/>
          <w:color w:val="000000" w:themeColor="text1"/>
          <w:highlight w:val="none"/>
          <w14:textFill>
            <w14:solidFill>
              <w14:schemeClr w14:val="tx1"/>
            </w14:solidFill>
          </w14:textFill>
        </w:rPr>
        <w:t>试采</w:t>
      </w:r>
      <w:r>
        <w:rPr>
          <w:rFonts w:cs="Times New Roman"/>
          <w:bCs/>
          <w:color w:val="000000" w:themeColor="text1"/>
          <w:highlight w:val="none"/>
          <w14:textFill>
            <w14:solidFill>
              <w14:schemeClr w14:val="tx1"/>
            </w14:solidFill>
          </w14:textFill>
        </w:rPr>
        <w:t>管道造成腐蚀，工艺流程中在集气站内设计了临时分酸分离器。酸</w:t>
      </w:r>
      <w:r>
        <w:rPr>
          <w:rFonts w:hint="eastAsia" w:cs="Times New Roman"/>
          <w:bCs/>
          <w:color w:val="000000" w:themeColor="text1"/>
          <w:highlight w:val="none"/>
          <w14:textFill>
            <w14:solidFill>
              <w14:schemeClr w14:val="tx1"/>
            </w14:solidFill>
          </w14:textFill>
        </w:rPr>
        <w:t>气</w:t>
      </w:r>
      <w:r>
        <w:rPr>
          <w:rFonts w:cs="Times New Roman"/>
          <w:bCs/>
          <w:color w:val="000000" w:themeColor="text1"/>
          <w:highlight w:val="none"/>
          <w14:textFill>
            <w14:solidFill>
              <w14:schemeClr w14:val="tx1"/>
            </w14:solidFill>
          </w14:textFill>
        </w:rPr>
        <w:t>液</w:t>
      </w:r>
      <w:r>
        <w:rPr>
          <w:rFonts w:hint="eastAsia" w:cs="Times New Roman"/>
          <w:bCs/>
          <w:color w:val="000000" w:themeColor="text1"/>
          <w:highlight w:val="none"/>
          <w14:textFill>
            <w14:solidFill>
              <w14:schemeClr w14:val="tx1"/>
            </w14:solidFill>
          </w14:textFill>
        </w:rPr>
        <w:t>依托大湾</w:t>
      </w:r>
      <w:r>
        <w:rPr>
          <w:rFonts w:hint="eastAsia" w:cs="Times New Roman"/>
          <w:bCs/>
          <w:color w:val="000000" w:themeColor="text1"/>
          <w:highlight w:val="none"/>
          <w:lang w:eastAsia="zh-CN"/>
          <w14:textFill>
            <w14:solidFill>
              <w14:schemeClr w14:val="tx1"/>
            </w14:solidFill>
          </w14:textFill>
        </w:rPr>
        <w:t>408试采站</w:t>
      </w:r>
      <w:r>
        <w:rPr>
          <w:rFonts w:hint="eastAsia" w:cs="Times New Roman"/>
          <w:bCs/>
          <w:color w:val="000000" w:themeColor="text1"/>
          <w:highlight w:val="none"/>
          <w14:textFill>
            <w14:solidFill>
              <w14:schemeClr w14:val="tx1"/>
            </w14:solidFill>
          </w14:textFill>
        </w:rPr>
        <w:t>已建</w:t>
      </w:r>
      <w:r>
        <w:rPr>
          <w:rFonts w:cs="Times New Roman"/>
          <w:bCs/>
          <w:color w:val="000000" w:themeColor="text1"/>
          <w:highlight w:val="none"/>
          <w14:textFill>
            <w14:solidFill>
              <w14:schemeClr w14:val="tx1"/>
            </w14:solidFill>
          </w14:textFill>
        </w:rPr>
        <w:t>的分酸分离器进行气液分离，分</w:t>
      </w:r>
      <w:r>
        <w:rPr>
          <w:rFonts w:hint="eastAsia" w:cs="Times New Roman"/>
          <w:bCs/>
          <w:color w:val="000000" w:themeColor="text1"/>
          <w:highlight w:val="none"/>
          <w14:textFill>
            <w14:solidFill>
              <w14:schemeClr w14:val="tx1"/>
            </w14:solidFill>
          </w14:textFill>
        </w:rPr>
        <w:t>离的</w:t>
      </w:r>
      <w:r>
        <w:rPr>
          <w:rFonts w:cs="Times New Roman"/>
          <w:bCs/>
          <w:color w:val="000000" w:themeColor="text1"/>
          <w:highlight w:val="none"/>
          <w14:textFill>
            <w14:solidFill>
              <w14:schemeClr w14:val="tx1"/>
            </w14:solidFill>
          </w14:textFill>
        </w:rPr>
        <w:t>气田水进入集气站建设的火炬分液罐暂存，暂存一定量后用密闭罐车拉运至赵家坝污水处理站处理达到《气田水回注方法》（SY/T6596-2016）中注入水基本要求后管输至</w:t>
      </w:r>
      <w:r>
        <w:rPr>
          <w:rFonts w:hint="eastAsia" w:cs="Times New Roman"/>
          <w:bCs/>
          <w:color w:val="000000" w:themeColor="text1"/>
          <w:highlight w:val="none"/>
          <w14:textFill>
            <w14:solidFill>
              <w14:schemeClr w14:val="tx1"/>
            </w14:solidFill>
          </w14:textFill>
        </w:rPr>
        <w:t>普光3井</w:t>
      </w:r>
      <w:r>
        <w:rPr>
          <w:rFonts w:cs="Times New Roman"/>
          <w:bCs/>
          <w:color w:val="000000" w:themeColor="text1"/>
          <w:highlight w:val="none"/>
          <w14:textFill>
            <w14:solidFill>
              <w14:schemeClr w14:val="tx1"/>
            </w14:solidFill>
          </w14:textFill>
        </w:rPr>
        <w:t>回注站回注处理，不外排。</w:t>
      </w:r>
    </w:p>
    <w:p>
      <w:pPr>
        <w:ind w:firstLine="480"/>
        <w:rPr>
          <w:rFonts w:cs="Times New Roman"/>
          <w:b/>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气田水水质情况参照2021年12月31日D403集气站外输污水管道监测数据，详见</w:t>
      </w:r>
      <w:r>
        <w:rPr>
          <w:rFonts w:cs="Times New Roman"/>
          <w:bCs/>
          <w:color w:val="000000" w:themeColor="text1"/>
          <w:highlight w:val="none"/>
          <w14:textFill>
            <w14:solidFill>
              <w14:schemeClr w14:val="tx1"/>
            </w14:solidFill>
          </w14:textFill>
        </w:rPr>
        <w:fldChar w:fldCharType="begin"/>
      </w:r>
      <w:r>
        <w:rPr>
          <w:rFonts w:cs="Times New Roman"/>
          <w:bCs/>
          <w:color w:val="000000" w:themeColor="text1"/>
          <w:highlight w:val="none"/>
          <w14:textFill>
            <w14:solidFill>
              <w14:schemeClr w14:val="tx1"/>
            </w14:solidFill>
          </w14:textFill>
        </w:rPr>
        <w:instrText xml:space="preserve"> REF _Ref142593553 \h  \* MERGEFORMAT </w:instrText>
      </w:r>
      <w:r>
        <w:rPr>
          <w:rFonts w:cs="Times New Roman"/>
          <w:bCs/>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12</w:t>
      </w:r>
      <w:r>
        <w:rPr>
          <w:rFonts w:cs="Times New Roman"/>
          <w:bCs/>
          <w:color w:val="000000" w:themeColor="text1"/>
          <w:highlight w:val="none"/>
          <w14:textFill>
            <w14:solidFill>
              <w14:schemeClr w14:val="tx1"/>
            </w14:solidFill>
          </w14:textFill>
        </w:rPr>
        <w:fldChar w:fldCharType="end"/>
      </w:r>
      <w:r>
        <w:rPr>
          <w:rFonts w:cs="Times New Roman"/>
          <w:bCs/>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02" w:name="_Ref14259355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fldChar w:fldCharType="end"/>
      </w:r>
      <w:bookmarkEnd w:id="20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采出水水质一览表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3"/>
        <w:gridCol w:w="913"/>
        <w:gridCol w:w="913"/>
        <w:gridCol w:w="913"/>
        <w:gridCol w:w="913"/>
        <w:gridCol w:w="913"/>
        <w:gridCol w:w="913"/>
        <w:gridCol w:w="741"/>
        <w:gridCol w:w="10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3" w:type="dxa"/>
            <w:shd w:val="clear" w:color="auto" w:fill="FFFFFF"/>
            <w:tcMar>
              <w:top w:w="15" w:type="dxa"/>
              <w:left w:w="46" w:type="dxa"/>
              <w:bottom w:w="0" w:type="dxa"/>
              <w:right w:w="46"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w:t>
            </w:r>
          </w:p>
        </w:tc>
        <w:tc>
          <w:tcPr>
            <w:tcW w:w="913" w:type="dxa"/>
            <w:shd w:val="clear" w:color="auto" w:fill="FFFFFF"/>
            <w:tcMar>
              <w:top w:w="15" w:type="dxa"/>
              <w:left w:w="46" w:type="dxa"/>
              <w:bottom w:w="0" w:type="dxa"/>
              <w:right w:w="46"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pH值</w:t>
            </w:r>
          </w:p>
        </w:tc>
        <w:tc>
          <w:tcPr>
            <w:tcW w:w="913"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溶解氧</w:t>
            </w:r>
          </w:p>
        </w:tc>
        <w:tc>
          <w:tcPr>
            <w:tcW w:w="913"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硫化物</w:t>
            </w:r>
          </w:p>
        </w:tc>
        <w:tc>
          <w:tcPr>
            <w:tcW w:w="913" w:type="dxa"/>
            <w:shd w:val="clear" w:color="auto" w:fill="FFFFFF"/>
            <w:tcMar>
              <w:top w:w="15" w:type="dxa"/>
              <w:left w:w="46" w:type="dxa"/>
              <w:bottom w:w="0" w:type="dxa"/>
              <w:right w:w="46"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含油量</w:t>
            </w:r>
          </w:p>
        </w:tc>
        <w:tc>
          <w:tcPr>
            <w:tcW w:w="913" w:type="dxa"/>
            <w:shd w:val="clear" w:color="auto" w:fill="FFFFFF"/>
            <w:tcMar>
              <w:top w:w="15" w:type="dxa"/>
              <w:left w:w="46" w:type="dxa"/>
              <w:bottom w:w="0" w:type="dxa"/>
              <w:right w:w="46"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悬浮固体含量</w:t>
            </w:r>
          </w:p>
        </w:tc>
        <w:tc>
          <w:tcPr>
            <w:tcW w:w="913" w:type="dxa"/>
            <w:shd w:val="clear" w:color="auto" w:fill="FFFFFF"/>
            <w:tcMar>
              <w:top w:w="15" w:type="dxa"/>
              <w:left w:w="46" w:type="dxa"/>
              <w:bottom w:w="0" w:type="dxa"/>
              <w:right w:w="46" w:type="dxa"/>
            </w:tcMar>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二价铁含量</w:t>
            </w:r>
          </w:p>
        </w:tc>
        <w:tc>
          <w:tcPr>
            <w:tcW w:w="741"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总铁含量</w:t>
            </w:r>
          </w:p>
        </w:tc>
        <w:tc>
          <w:tcPr>
            <w:tcW w:w="1088"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悬浮物颗粒直径中值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13" w:type="dxa"/>
            <w:shd w:val="clear" w:color="auto" w:fill="FFFFFF"/>
            <w:tcMar>
              <w:top w:w="15" w:type="dxa"/>
              <w:left w:w="46" w:type="dxa"/>
              <w:bottom w:w="0" w:type="dxa"/>
              <w:right w:w="46"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浓度</w:t>
            </w:r>
          </w:p>
        </w:tc>
        <w:tc>
          <w:tcPr>
            <w:tcW w:w="913" w:type="dxa"/>
            <w:shd w:val="clear" w:color="auto" w:fill="FFFFFF"/>
            <w:tcMar>
              <w:top w:w="15" w:type="dxa"/>
              <w:left w:w="15" w:type="dxa"/>
              <w:bottom w:w="0" w:type="dxa"/>
              <w:right w:w="15"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913"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0.20</w:t>
            </w:r>
          </w:p>
        </w:tc>
        <w:tc>
          <w:tcPr>
            <w:tcW w:w="913"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w:t>
            </w:r>
          </w:p>
        </w:tc>
        <w:tc>
          <w:tcPr>
            <w:tcW w:w="913" w:type="dxa"/>
            <w:shd w:val="clear" w:color="auto" w:fill="FFFFFF"/>
            <w:tcMar>
              <w:top w:w="15" w:type="dxa"/>
              <w:left w:w="46" w:type="dxa"/>
              <w:bottom w:w="0" w:type="dxa"/>
              <w:right w:w="46"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2.3</w:t>
            </w:r>
          </w:p>
        </w:tc>
        <w:tc>
          <w:tcPr>
            <w:tcW w:w="913" w:type="dxa"/>
            <w:shd w:val="clear" w:color="auto" w:fill="FFFFFF"/>
            <w:tcMar>
              <w:top w:w="15" w:type="dxa"/>
              <w:left w:w="46" w:type="dxa"/>
              <w:bottom w:w="0" w:type="dxa"/>
              <w:right w:w="46"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913" w:type="dxa"/>
            <w:shd w:val="clear" w:color="auto" w:fill="FFFFFF"/>
            <w:tcMar>
              <w:top w:w="15" w:type="dxa"/>
              <w:left w:w="46" w:type="dxa"/>
              <w:bottom w:w="0" w:type="dxa"/>
              <w:right w:w="46"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741"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88"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w:t>
            </w:r>
          </w:p>
        </w:tc>
      </w:tr>
    </w:tbl>
    <w:p>
      <w:pPr>
        <w:autoSpaceDE w:val="0"/>
        <w:autoSpaceDN w:val="0"/>
        <w:spacing w:before="120" w:beforeLines="50"/>
        <w:ind w:firstLine="480"/>
        <w:textAlignment w:val="baseline"/>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2）非正常工况井下作业废水</w:t>
      </w:r>
    </w:p>
    <w:p>
      <w:pPr>
        <w:autoSpaceDE w:val="0"/>
        <w:autoSpaceDN w:val="0"/>
        <w:ind w:firstLine="480"/>
        <w:textAlignment w:val="baseline"/>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正常试采期，当地层堵塞时，为提高地层渗透率，需进行压裂酸化等作业，属于试采期非正常工况。根据类比调查，作业频次为1次/a，单井排放量为50m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/a</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废水用密闭罐车拉运至赵家坝污水处理站处理达标后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经</w:t>
      </w:r>
      <w:r>
        <w:rPr>
          <w:rFonts w:hint="eastAsia" w:cs="Times New Roman"/>
          <w:bCs/>
          <w:color w:val="000000" w:themeColor="text1"/>
          <w:highlight w:val="none"/>
          <w14:textFill>
            <w14:solidFill>
              <w14:schemeClr w14:val="tx1"/>
            </w14:solidFill>
          </w14:textFill>
        </w:rPr>
        <w:t>普光3井回注站回注，不外排。</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本项目试采站噪声主要来自水套加热炉、分离器等设备的气流摩擦噪声，气流摩擦噪声大小与天然气产量及气质组分有关。通过大量钻井项目的试采期气流噪声源类比调查结果，预计本项目试采期</w:t>
      </w:r>
      <w:r>
        <w:rPr>
          <w:rFonts w:hint="eastAsia"/>
          <w:bCs/>
          <w:color w:val="000000" w:themeColor="text1"/>
          <w:highlight w:val="none"/>
          <w14:textFill>
            <w14:solidFill>
              <w14:schemeClr w14:val="tx1"/>
            </w14:solidFill>
          </w14:textFill>
        </w:rPr>
        <w:t>水套加热炉、分离器、节流阀等设备</w:t>
      </w:r>
      <w:r>
        <w:rPr>
          <w:bCs/>
          <w:color w:val="000000" w:themeColor="text1"/>
          <w:highlight w:val="none"/>
          <w14:textFill>
            <w14:solidFill>
              <w14:schemeClr w14:val="tx1"/>
            </w14:solidFill>
          </w14:textFill>
        </w:rPr>
        <w:t>噪声级约60dB（A）。为有效控制噪声，首先在平面布置时进行合理布局，控制气流速度，减少站场工艺管线的弯头、三通等管件，降低试采站内噪声；其次，选用高效低噪声的水套加热炉、分离器和调压设备。通过采取这些噪声控制措施后，单井噪声源的声级值约55dB（A）以下。</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事故状况下，安全放空阀、放空管的放空噪声可达80dB左右，持续时间在2</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5min。</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p>
    <w:p>
      <w:pPr>
        <w:ind w:firstLine="480"/>
        <w:rPr>
          <w:rFonts w:cs="Times New Roman"/>
          <w:color w:val="000000" w:themeColor="text1"/>
          <w:szCs w:val="24"/>
          <w:highlight w:val="none"/>
          <w14:textFill>
            <w14:solidFill>
              <w14:schemeClr w14:val="tx1"/>
            </w14:solidFill>
          </w14:textFill>
        </w:rPr>
      </w:pPr>
      <w:bookmarkStart w:id="203" w:name="_Hlk139554817"/>
      <w:r>
        <w:rPr>
          <w:bCs/>
          <w:color w:val="000000" w:themeColor="text1"/>
          <w:szCs w:val="21"/>
          <w:highlight w:val="none"/>
          <w14:textFill>
            <w14:solidFill>
              <w14:schemeClr w14:val="tx1"/>
            </w14:solidFill>
          </w14:textFill>
        </w:rPr>
        <w:t>本项目拟建工程内容只新增井口采气装置、乙二醇加注橇、流量计及站内连接管线</w:t>
      </w:r>
      <w:r>
        <w:rPr>
          <w:color w:val="000000" w:themeColor="text1"/>
          <w:highlight w:val="none"/>
          <w14:textFill>
            <w14:solidFill>
              <w14:schemeClr w14:val="tx1"/>
            </w14:solidFill>
          </w14:textFill>
        </w:rPr>
        <w:t>，在正常运行过程中不会产生固体废物。本项目拟建工程内容不新增清管收发球装置，试采期无清管废渣产生。日常管理依托</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color w:val="000000" w:themeColor="text1"/>
          <w:highlight w:val="none"/>
          <w14:textFill>
            <w14:solidFill>
              <w14:schemeClr w14:val="tx1"/>
            </w14:solidFill>
          </w14:textFill>
        </w:rPr>
        <w:t>进行，无新增定员，无生活垃圾产生</w:t>
      </w:r>
      <w:r>
        <w:rPr>
          <w:rFonts w:hint="eastAsia" w:cs="Times New Roman"/>
          <w:color w:val="000000" w:themeColor="text1"/>
          <w:szCs w:val="24"/>
          <w:highlight w:val="none"/>
          <w14:textFill>
            <w14:solidFill>
              <w14:schemeClr w14:val="tx1"/>
            </w14:solidFill>
          </w14:textFill>
        </w:rPr>
        <w:t>。</w:t>
      </w:r>
    </w:p>
    <w:bookmarkEnd w:id="203"/>
    <w:p>
      <w:pPr>
        <w:pStyle w:val="5"/>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生态环境</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本项目试采期不涉及新增占地（</w:t>
      </w:r>
      <w:r>
        <w:rPr>
          <w:rFonts w:hint="eastAsia" w:cs="Times New Roman"/>
          <w:bCs/>
          <w:color w:val="000000" w:themeColor="text1"/>
          <w:highlight w:val="none"/>
          <w14:textFill>
            <w14:solidFill>
              <w14:schemeClr w14:val="tx1"/>
            </w14:solidFill>
          </w14:textFill>
        </w:rPr>
        <w:t>试采期</w:t>
      </w:r>
      <w:r>
        <w:rPr>
          <w:rFonts w:cs="Times New Roman"/>
          <w:bCs/>
          <w:color w:val="000000" w:themeColor="text1"/>
          <w:highlight w:val="none"/>
          <w14:textFill>
            <w14:solidFill>
              <w14:schemeClr w14:val="tx1"/>
            </w14:solidFill>
          </w14:textFill>
        </w:rPr>
        <w:t>仅增加该部分用地占地时长）。</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w:t>
      </w:r>
      <w:r>
        <w:rPr>
          <w:rFonts w:hint="eastAsia"/>
          <w:color w:val="000000" w:themeColor="text1"/>
          <w:highlight w:val="none"/>
          <w14:textFill>
            <w14:solidFill>
              <w14:schemeClr w14:val="tx1"/>
            </w14:solidFill>
          </w14:textFill>
        </w:rPr>
        <w:t>及地下水</w:t>
      </w:r>
      <w:r>
        <w:rPr>
          <w:color w:val="000000" w:themeColor="text1"/>
          <w:highlight w:val="none"/>
          <w14:textFill>
            <w14:solidFill>
              <w14:schemeClr w14:val="tx1"/>
            </w14:solidFill>
          </w14:textFill>
        </w:rPr>
        <w:t>环境</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试采期若</w:t>
      </w:r>
      <w:r>
        <w:rPr>
          <w:rFonts w:hint="eastAsia" w:cs="Times New Roman"/>
          <w:bCs/>
          <w:color w:val="000000" w:themeColor="text1"/>
          <w:highlight w:val="none"/>
          <w14:textFill>
            <w14:solidFill>
              <w14:schemeClr w14:val="tx1"/>
            </w14:solidFill>
          </w14:textFill>
        </w:rPr>
        <w:t>废水</w:t>
      </w:r>
      <w:r>
        <w:rPr>
          <w:rFonts w:cs="Times New Roman"/>
          <w:bCs/>
          <w:color w:val="000000" w:themeColor="text1"/>
          <w:highlight w:val="none"/>
          <w14:textFill>
            <w14:solidFill>
              <w14:schemeClr w14:val="tx1"/>
            </w14:solidFill>
          </w14:textFill>
        </w:rPr>
        <w:t>未妥善处置转运，</w:t>
      </w:r>
      <w:r>
        <w:rPr>
          <w:rFonts w:hint="eastAsia" w:cs="Times New Roman"/>
          <w:bCs/>
          <w:color w:val="000000" w:themeColor="text1"/>
          <w:highlight w:val="none"/>
          <w14:textFill>
            <w14:solidFill>
              <w14:schemeClr w14:val="tx1"/>
            </w14:solidFill>
          </w14:textFill>
        </w:rPr>
        <w:t>储存或转时</w:t>
      </w:r>
      <w:r>
        <w:rPr>
          <w:rFonts w:cs="Times New Roman"/>
          <w:bCs/>
          <w:color w:val="000000" w:themeColor="text1"/>
          <w:highlight w:val="none"/>
          <w14:textFill>
            <w14:solidFill>
              <w14:schemeClr w14:val="tx1"/>
            </w14:solidFill>
          </w14:textFill>
        </w:rPr>
        <w:t>发生泄漏后可能会对区域土壤</w:t>
      </w:r>
      <w:r>
        <w:rPr>
          <w:rFonts w:hint="eastAsia" w:cs="Times New Roman"/>
          <w:bCs/>
          <w:color w:val="000000" w:themeColor="text1"/>
          <w:highlight w:val="none"/>
          <w14:textFill>
            <w14:solidFill>
              <w14:schemeClr w14:val="tx1"/>
            </w14:solidFill>
          </w14:textFill>
        </w:rPr>
        <w:t>及地下水</w:t>
      </w:r>
      <w:r>
        <w:rPr>
          <w:rFonts w:cs="Times New Roman"/>
          <w:bCs/>
          <w:color w:val="000000" w:themeColor="text1"/>
          <w:highlight w:val="none"/>
          <w14:textFill>
            <w14:solidFill>
              <w14:schemeClr w14:val="tx1"/>
            </w14:solidFill>
          </w14:textFill>
        </w:rPr>
        <w:t>环境造成污染影响。试采期放空火炬排放的废气与水套加热炉燃烧烟气</w:t>
      </w:r>
      <w:r>
        <w:rPr>
          <w:rFonts w:hint="eastAsia" w:cs="Times New Roman"/>
          <w:bCs/>
          <w:color w:val="000000" w:themeColor="text1"/>
          <w:highlight w:val="none"/>
          <w14:textFill>
            <w14:solidFill>
              <w14:schemeClr w14:val="tx1"/>
            </w14:solidFill>
          </w14:textFill>
        </w:rPr>
        <w:t>中污染物浓度低，</w:t>
      </w:r>
      <w:r>
        <w:rPr>
          <w:rFonts w:cs="Times New Roman"/>
          <w:bCs/>
          <w:color w:val="000000" w:themeColor="text1"/>
          <w:highlight w:val="none"/>
          <w14:textFill>
            <w14:solidFill>
              <w14:schemeClr w14:val="tx1"/>
            </w14:solidFill>
          </w14:textFill>
        </w:rPr>
        <w:t>沉降后对周边土壤环境影响</w:t>
      </w:r>
      <w:r>
        <w:rPr>
          <w:rFonts w:hint="eastAsia" w:cs="Times New Roman"/>
          <w:bCs/>
          <w:color w:val="000000" w:themeColor="text1"/>
          <w:highlight w:val="none"/>
          <w14:textFill>
            <w14:solidFill>
              <w14:schemeClr w14:val="tx1"/>
            </w14:solidFill>
          </w14:textFill>
        </w:rPr>
        <w:t>小</w:t>
      </w:r>
      <w:r>
        <w:rPr>
          <w:rFonts w:cs="Times New Roman"/>
          <w:bCs/>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本项目试采期环境风险主要表现为站内采气管线或设备发生破裂造成</w:t>
      </w:r>
      <w:r>
        <w:rPr>
          <w:rFonts w:hint="eastAsia" w:cs="Times New Roman"/>
          <w:bCs/>
          <w:color w:val="000000" w:themeColor="text1"/>
          <w:szCs w:val="24"/>
          <w:highlight w:val="none"/>
          <w14:textFill>
            <w14:solidFill>
              <w14:schemeClr w14:val="tx1"/>
            </w14:solidFill>
          </w14:textFill>
        </w:rPr>
        <w:t>含硫</w:t>
      </w:r>
      <w:r>
        <w:rPr>
          <w:rFonts w:cs="Times New Roman"/>
          <w:bCs/>
          <w:color w:val="000000" w:themeColor="text1"/>
          <w:szCs w:val="24"/>
          <w:highlight w:val="none"/>
          <w14:textFill>
            <w14:solidFill>
              <w14:schemeClr w14:val="tx1"/>
            </w14:solidFill>
          </w14:textFill>
        </w:rPr>
        <w:t>天然气泄漏事故以及</w:t>
      </w:r>
      <w:r>
        <w:rPr>
          <w:rFonts w:hint="eastAsia" w:cs="Times New Roman"/>
          <w:bCs/>
          <w:color w:val="000000" w:themeColor="text1"/>
          <w:szCs w:val="24"/>
          <w:highlight w:val="none"/>
          <w14:textFill>
            <w14:solidFill>
              <w14:schemeClr w14:val="tx1"/>
            </w14:solidFill>
          </w14:textFill>
        </w:rPr>
        <w:t>泄漏</w:t>
      </w:r>
      <w:r>
        <w:rPr>
          <w:rFonts w:cs="Times New Roman"/>
          <w:bCs/>
          <w:color w:val="000000" w:themeColor="text1"/>
          <w:szCs w:val="24"/>
          <w:highlight w:val="none"/>
          <w14:textFill>
            <w14:solidFill>
              <w14:schemeClr w14:val="tx1"/>
            </w14:solidFill>
          </w14:textFill>
        </w:rPr>
        <w:t>气体遇明火引起火灾或爆炸对附近人群生命财产造成伤害与损失，集气站事故时的天然气放空，对附近人群生命财产造成伤害与损失。</w:t>
      </w:r>
      <w:r>
        <w:rPr>
          <w:rFonts w:hint="eastAsia" w:cs="Times New Roman"/>
          <w:bCs/>
          <w:color w:val="000000" w:themeColor="text1"/>
          <w:highlight w:val="none"/>
          <w:lang w:eastAsia="zh-CN"/>
          <w14:textFill>
            <w14:solidFill>
              <w14:schemeClr w14:val="tx1"/>
            </w14:solidFill>
          </w14:textFill>
        </w:rPr>
        <w:t>酸液缓冲</w:t>
      </w:r>
      <w:r>
        <w:rPr>
          <w:rFonts w:hint="eastAsia" w:cs="Times New Roman"/>
          <w:bCs/>
          <w:color w:val="000000" w:themeColor="text1"/>
          <w:highlight w:val="none"/>
          <w14:textFill>
            <w14:solidFill>
              <w14:schemeClr w14:val="tx1"/>
            </w14:solidFill>
          </w14:textFill>
        </w:rPr>
        <w:t>罐</w:t>
      </w:r>
      <w:r>
        <w:rPr>
          <w:rFonts w:cs="Times New Roman"/>
          <w:bCs/>
          <w:color w:val="000000" w:themeColor="text1"/>
          <w:szCs w:val="24"/>
          <w:highlight w:val="none"/>
          <w14:textFill>
            <w14:solidFill>
              <w14:schemeClr w14:val="tx1"/>
            </w14:solidFill>
          </w14:textFill>
        </w:rPr>
        <w:t>存储的</w:t>
      </w:r>
      <w:r>
        <w:rPr>
          <w:rFonts w:hint="eastAsia" w:cs="Times New Roman"/>
          <w:bCs/>
          <w:color w:val="000000" w:themeColor="text1"/>
          <w:szCs w:val="24"/>
          <w:highlight w:val="none"/>
          <w14:textFill>
            <w14:solidFill>
              <w14:schemeClr w14:val="tx1"/>
            </w14:solidFill>
          </w14:textFill>
        </w:rPr>
        <w:t>采出水</w:t>
      </w:r>
      <w:r>
        <w:rPr>
          <w:rFonts w:cs="Times New Roman"/>
          <w:bCs/>
          <w:color w:val="000000" w:themeColor="text1"/>
          <w:szCs w:val="24"/>
          <w:highlight w:val="none"/>
          <w14:textFill>
            <w14:solidFill>
              <w14:schemeClr w14:val="tx1"/>
            </w14:solidFill>
          </w14:textFill>
        </w:rPr>
        <w:t>泄漏环境风险；污染物外运处理中的运输风险等。</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ascii="黑体" w:hAnsi="黑体" w:cs="黑体"/>
          <w:color w:val="000000" w:themeColor="text1"/>
          <w:highlight w:val="none"/>
          <w14:textFill>
            <w14:solidFill>
              <w14:schemeClr w14:val="tx1"/>
            </w14:solidFill>
          </w14:textFill>
        </w:rPr>
        <w:t>“三废”</w:t>
      </w:r>
      <w:r>
        <w:rPr>
          <w:color w:val="000000" w:themeColor="text1"/>
          <w:highlight w:val="none"/>
          <w14:textFill>
            <w14:solidFill>
              <w14:schemeClr w14:val="tx1"/>
            </w14:solidFill>
          </w14:textFill>
        </w:rPr>
        <w:t>汇总表</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综上所述，本项目试采期污染物产生量及排放状况与生态影响见下表。</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本项目试采期正常工况下“三废”及生态影响汇总表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4"/>
        <w:gridCol w:w="1559"/>
        <w:gridCol w:w="1134"/>
        <w:gridCol w:w="1276"/>
        <w:gridCol w:w="10"/>
        <w:gridCol w:w="982"/>
        <w:gridCol w:w="25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2263" w:type="dxa"/>
            <w:gridSpan w:val="2"/>
            <w:vAlign w:val="center"/>
          </w:tcPr>
          <w:p>
            <w:pPr>
              <w:pStyle w:val="297"/>
              <w:rPr>
                <w:b/>
                <w:bCs/>
                <w:color w:val="000000" w:themeColor="text1"/>
                <w:highlight w:val="none"/>
                <w14:textFill>
                  <w14:solidFill>
                    <w14:schemeClr w14:val="tx1"/>
                  </w14:solidFill>
                </w14:textFill>
              </w:rPr>
            </w:pPr>
            <w:bookmarkStart w:id="204" w:name="3.4.4污染物排放情况汇总"/>
            <w:bookmarkEnd w:id="204"/>
            <w:bookmarkStart w:id="205" w:name="第四章__环境现状调查与评价"/>
            <w:bookmarkEnd w:id="205"/>
            <w:bookmarkStart w:id="206" w:name="_bookmark22"/>
            <w:bookmarkEnd w:id="206"/>
            <w:r>
              <w:rPr>
                <w:b/>
                <w:bCs/>
                <w:color w:val="000000" w:themeColor="text1"/>
                <w:highlight w:val="none"/>
                <w14:textFill>
                  <w14:solidFill>
                    <w14:schemeClr w14:val="tx1"/>
                  </w14:solidFill>
                </w14:textFill>
              </w:rPr>
              <w:t>污染源</w:t>
            </w:r>
          </w:p>
        </w:tc>
        <w:tc>
          <w:tcPr>
            <w:tcW w:w="113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主要污染物</w:t>
            </w:r>
          </w:p>
        </w:tc>
        <w:tc>
          <w:tcPr>
            <w:tcW w:w="127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产生量</w:t>
            </w:r>
          </w:p>
        </w:tc>
        <w:tc>
          <w:tcPr>
            <w:tcW w:w="992" w:type="dxa"/>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排放量</w:t>
            </w:r>
          </w:p>
        </w:tc>
        <w:tc>
          <w:tcPr>
            <w:tcW w:w="255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restart"/>
            <w:tcMar>
              <w:left w:w="0" w:type="dxa"/>
              <w:right w:w="0" w:type="dxa"/>
            </w:tcMar>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废气</w:t>
            </w:r>
          </w:p>
        </w:tc>
        <w:tc>
          <w:tcPr>
            <w:tcW w:w="155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设备检修或系统超压时排放少量</w:t>
            </w:r>
            <w:r>
              <w:rPr>
                <w:rFonts w:hint="eastAsia"/>
                <w:color w:val="000000" w:themeColor="text1"/>
                <w:highlight w:val="none"/>
                <w14:textFill>
                  <w14:solidFill>
                    <w14:schemeClr w14:val="tx1"/>
                  </w14:solidFill>
                </w14:textFill>
              </w:rPr>
              <w:t>放空燃烧废</w:t>
            </w:r>
            <w:r>
              <w:rPr>
                <w:color w:val="000000" w:themeColor="text1"/>
                <w:highlight w:val="none"/>
                <w14:textFill>
                  <w14:solidFill>
                    <w14:schemeClr w14:val="tx1"/>
                  </w14:solidFill>
                </w14:textFill>
              </w:rPr>
              <w:t>气</w:t>
            </w:r>
          </w:p>
        </w:tc>
        <w:tc>
          <w:tcPr>
            <w:tcW w:w="113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r>
              <w:rPr>
                <w:rFonts w:hint="eastAsia"/>
                <w:color w:val="000000" w:themeColor="text1"/>
                <w:highlight w:val="none"/>
                <w14:textFill>
                  <w14:solidFill>
                    <w14:schemeClr w14:val="tx1"/>
                  </w14:solidFill>
                </w14:textFill>
              </w:rPr>
              <w:t>、颗粒物、</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p>
        </w:tc>
        <w:tc>
          <w:tcPr>
            <w:tcW w:w="2268"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本工程依托，不会增加废气污染物排放量</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放空火炬系统和点火排放，火炬系统排气筒高度55m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continue"/>
            <w:tcMar>
              <w:left w:w="0" w:type="dxa"/>
              <w:right w:w="0" w:type="dxa"/>
            </w:tcMar>
            <w:vAlign w:val="center"/>
          </w:tcPr>
          <w:p>
            <w:pPr>
              <w:pStyle w:val="297"/>
              <w:rPr>
                <w:rFonts w:hint="eastAsia"/>
                <w:color w:val="000000" w:themeColor="text1"/>
                <w:highlight w:val="none"/>
                <w14:textFill>
                  <w14:solidFill>
                    <w14:schemeClr w14:val="tx1"/>
                  </w14:solidFill>
                </w14:textFill>
              </w:rPr>
            </w:pPr>
          </w:p>
        </w:tc>
        <w:tc>
          <w:tcPr>
            <w:tcW w:w="1559" w:type="dxa"/>
            <w:vAlign w:val="center"/>
          </w:tcPr>
          <w:p>
            <w:pPr>
              <w:pStyle w:val="297"/>
              <w:rPr>
                <w:color w:val="000000" w:themeColor="text1"/>
                <w:highlight w:val="none"/>
                <w14:textFill>
                  <w14:solidFill>
                    <w14:schemeClr w14:val="tx1"/>
                  </w14:solidFill>
                </w14:textFill>
              </w:rPr>
            </w:pPr>
            <w:r>
              <w:rPr>
                <w:color w:val="000000" w:themeColor="text1"/>
                <w14:textFill>
                  <w14:solidFill>
                    <w14:schemeClr w14:val="tx1"/>
                  </w14:solidFill>
                </w14:textFill>
              </w:rPr>
              <w:t>加热炉燃烧产生的烟气</w:t>
            </w:r>
          </w:p>
        </w:tc>
        <w:tc>
          <w:tcPr>
            <w:tcW w:w="113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r>
              <w:rPr>
                <w:rFonts w:hint="eastAsia"/>
                <w:color w:val="000000" w:themeColor="text1"/>
                <w:highlight w:val="none"/>
                <w14:textFill>
                  <w14:solidFill>
                    <w14:schemeClr w14:val="tx1"/>
                  </w14:solidFill>
                </w14:textFill>
              </w:rPr>
              <w:t>、颗粒物、</w:t>
            </w: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p>
        </w:tc>
        <w:tc>
          <w:tcPr>
            <w:tcW w:w="2268" w:type="dxa"/>
            <w:gridSpan w:val="3"/>
            <w:vAlign w:val="center"/>
          </w:tcPr>
          <w:p>
            <w:pPr>
              <w:pStyle w:val="297"/>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本工程依托，不会增加废气污染物排放量</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14:textFill>
                  <w14:solidFill>
                    <w14:schemeClr w14:val="tx1"/>
                  </w14:solidFill>
                </w14:textFill>
              </w:rPr>
              <w:t>水套加热炉燃烧废气通过自带8m高排气筒排放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restart"/>
            <w:tcMar>
              <w:left w:w="0" w:type="dxa"/>
              <w:right w:w="0"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w:t>
            </w:r>
          </w:p>
        </w:tc>
        <w:tc>
          <w:tcPr>
            <w:tcW w:w="155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采气废水</w:t>
            </w:r>
          </w:p>
        </w:tc>
        <w:tc>
          <w:tcPr>
            <w:tcW w:w="1134"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石油类、悬浮物、COD及氯化物等</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（初期约</w:t>
            </w:r>
            <w:r>
              <w:rPr>
                <w:color w:val="000000" w:themeColor="text1"/>
                <w:highlight w:val="none"/>
                <w14:textFill>
                  <w14:solidFill>
                    <w14:schemeClr w14:val="tx1"/>
                  </w14:solidFill>
                </w14:textFill>
              </w:rPr>
              <w:t>10m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，后逐渐减少）</w:t>
            </w:r>
          </w:p>
        </w:tc>
        <w:tc>
          <w:tcPr>
            <w:tcW w:w="992"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557"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将废水用密闭罐车拉运至</w:t>
            </w:r>
            <w:r>
              <w:rPr>
                <w:bCs/>
                <w:color w:val="000000" w:themeColor="text1"/>
                <w:szCs w:val="24"/>
                <w:highlight w:val="none"/>
                <w14:textFill>
                  <w14:solidFill>
                    <w14:schemeClr w14:val="tx1"/>
                  </w14:solidFill>
                </w14:textFill>
              </w:rPr>
              <w:t>赵家坝污水处理站</w:t>
            </w:r>
            <w:r>
              <w:rPr>
                <w:color w:val="000000" w:themeColor="text1"/>
                <w:highlight w:val="none"/>
                <w14:textFill>
                  <w14:solidFill>
                    <w14:schemeClr w14:val="tx1"/>
                  </w14:solidFill>
                </w14:textFill>
              </w:rPr>
              <w:t>处理达标后经</w:t>
            </w:r>
            <w:r>
              <w:rPr>
                <w:rFonts w:hint="eastAsia"/>
                <w:color w:val="000000" w:themeColor="text1"/>
                <w:highlight w:val="none"/>
                <w14:textFill>
                  <w14:solidFill>
                    <w14:schemeClr w14:val="tx1"/>
                  </w14:solidFill>
                </w14:textFill>
              </w:rPr>
              <w:t>普光3井</w:t>
            </w:r>
            <w:r>
              <w:rPr>
                <w:color w:val="000000" w:themeColor="text1"/>
                <w:highlight w:val="none"/>
                <w14:textFill>
                  <w14:solidFill>
                    <w14:schemeClr w14:val="tx1"/>
                  </w14:solidFill>
                </w14:textFill>
              </w:rPr>
              <w:t>回注站回注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155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非正常工况井下作业废水</w:t>
            </w:r>
          </w:p>
        </w:tc>
        <w:tc>
          <w:tcPr>
            <w:tcW w:w="1134" w:type="dxa"/>
            <w:vMerge w:val="continue"/>
            <w:vAlign w:val="center"/>
          </w:tcPr>
          <w:p>
            <w:pPr>
              <w:pStyle w:val="297"/>
              <w:rPr>
                <w:color w:val="000000" w:themeColor="text1"/>
                <w:highlight w:val="none"/>
                <w14:textFill>
                  <w14:solidFill>
                    <w14:schemeClr w14:val="tx1"/>
                  </w14:solidFill>
                </w14:textFill>
              </w:rPr>
            </w:pPr>
          </w:p>
        </w:tc>
        <w:tc>
          <w:tcPr>
            <w:tcW w:w="1286" w:type="dxa"/>
            <w:gridSpan w:val="2"/>
            <w:vAlign w:val="center"/>
          </w:tcPr>
          <w:p>
            <w:pPr>
              <w:pStyle w:val="297"/>
              <w:rPr>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5</w:t>
            </w:r>
            <w:r>
              <w:rPr>
                <w:bCs/>
                <w:color w:val="000000" w:themeColor="text1"/>
                <w:highlight w:val="none"/>
                <w14:textFill>
                  <w14:solidFill>
                    <w14:schemeClr w14:val="tx1"/>
                  </w14:solidFill>
                </w14:textFill>
              </w:rPr>
              <w:t>0m</w:t>
            </w:r>
            <w:r>
              <w:rPr>
                <w:bCs/>
                <w:color w:val="000000" w:themeColor="text1"/>
                <w:highlight w:val="none"/>
                <w:vertAlign w:val="superscript"/>
                <w14:textFill>
                  <w14:solidFill>
                    <w14:schemeClr w14:val="tx1"/>
                  </w14:solidFill>
                </w14:textFill>
              </w:rPr>
              <w:t>3</w:t>
            </w:r>
            <w:r>
              <w:rPr>
                <w:bCs/>
                <w:color w:val="000000" w:themeColor="text1"/>
                <w:highlight w:val="none"/>
                <w14:textFill>
                  <w14:solidFill>
                    <w14:schemeClr w14:val="tx1"/>
                  </w14:solidFill>
                </w14:textFill>
              </w:rPr>
              <w:t>/a</w:t>
            </w:r>
          </w:p>
        </w:tc>
        <w:tc>
          <w:tcPr>
            <w:tcW w:w="98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557"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vMerge w:val="continue"/>
            <w:tcMar>
              <w:left w:w="0" w:type="dxa"/>
              <w:right w:w="0" w:type="dxa"/>
            </w:tcMar>
            <w:vAlign w:val="center"/>
          </w:tcPr>
          <w:p>
            <w:pPr>
              <w:pStyle w:val="297"/>
              <w:rPr>
                <w:color w:val="000000" w:themeColor="text1"/>
                <w:highlight w:val="none"/>
                <w14:textFill>
                  <w14:solidFill>
                    <w14:schemeClr w14:val="tx1"/>
                  </w14:solidFill>
                </w14:textFill>
              </w:rPr>
            </w:pPr>
          </w:p>
        </w:tc>
        <w:tc>
          <w:tcPr>
            <w:tcW w:w="155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w:t>
            </w:r>
          </w:p>
        </w:tc>
        <w:tc>
          <w:tcPr>
            <w:tcW w:w="113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COD、</w:t>
            </w:r>
            <w:r>
              <w:rPr>
                <w:bCs/>
                <w:color w:val="000000" w:themeColor="text1"/>
                <w:highlight w:val="none"/>
                <w14:textFill>
                  <w14:solidFill>
                    <w14:schemeClr w14:val="tx1"/>
                  </w14:solidFill>
                </w14:textFill>
              </w:rPr>
              <w:t>BOD</w:t>
            </w:r>
            <w:r>
              <w:rPr>
                <w:bCs/>
                <w:color w:val="000000" w:themeColor="text1"/>
                <w:highlight w:val="none"/>
                <w:vertAlign w:val="subscript"/>
                <w14:textFill>
                  <w14:solidFill>
                    <w14:schemeClr w14:val="tx1"/>
                  </w14:solidFill>
                </w14:textFill>
              </w:rPr>
              <w:t>5</w:t>
            </w:r>
            <w:r>
              <w:rPr>
                <w:bCs/>
                <w:color w:val="000000" w:themeColor="text1"/>
                <w:highlight w:val="none"/>
                <w14:textFill>
                  <w14:solidFill>
                    <w14:schemeClr w14:val="tx1"/>
                  </w14:solidFill>
                </w14:textFill>
              </w:rPr>
              <w:t>等</w:t>
            </w:r>
          </w:p>
        </w:tc>
        <w:tc>
          <w:tcPr>
            <w:tcW w:w="1286" w:type="dxa"/>
            <w:gridSpan w:val="2"/>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98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依托</w:t>
            </w:r>
            <w:r>
              <w:rPr>
                <w:rFonts w:hint="eastAsia"/>
                <w:color w:val="000000" w:themeColor="text1"/>
                <w:szCs w:val="21"/>
                <w:highlight w:val="none"/>
                <w14:textFill>
                  <w14:solidFill>
                    <w14:schemeClr w14:val="tx1"/>
                  </w14:solidFill>
                </w14:textFill>
              </w:rPr>
              <w:t>大湾</w:t>
            </w:r>
            <w:r>
              <w:rPr>
                <w:rFonts w:hint="eastAsia"/>
                <w:color w:val="000000" w:themeColor="text1"/>
                <w:szCs w:val="21"/>
                <w:highlight w:val="none"/>
                <w:lang w:eastAsia="zh-CN"/>
                <w14:textFill>
                  <w14:solidFill>
                    <w14:schemeClr w14:val="tx1"/>
                  </w14:solidFill>
                </w14:textFill>
              </w:rPr>
              <w:t>408试采站</w:t>
            </w:r>
            <w:r>
              <w:rPr>
                <w:color w:val="000000" w:themeColor="text1"/>
                <w:szCs w:val="21"/>
                <w:highlight w:val="none"/>
                <w14:textFill>
                  <w14:solidFill>
                    <w14:schemeClr w14:val="tx1"/>
                  </w14:solidFill>
                </w14:textFill>
              </w:rPr>
              <w:t>值守人员，本次不新增生活污水。既有值守人员生活污水经站场化粪池处理后定期由密闭罐车拉运至周边生活污水处理厂处理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tcMar>
              <w:left w:w="0" w:type="dxa"/>
              <w:right w:w="0"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155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设备噪声</w:t>
            </w:r>
          </w:p>
        </w:tc>
        <w:tc>
          <w:tcPr>
            <w:tcW w:w="5959" w:type="dxa"/>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设备选型时选择低噪声设备，设置减震基础；工艺管道的设计考虑合理的流速，减少气流噪声；站内设备合理布局。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93" w:hRule="atLeast"/>
          <w:jc w:val="center"/>
        </w:trPr>
        <w:tc>
          <w:tcPr>
            <w:tcW w:w="704" w:type="dxa"/>
            <w:tcMar>
              <w:left w:w="0" w:type="dxa"/>
              <w:right w:w="0"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p>
        </w:tc>
        <w:tc>
          <w:tcPr>
            <w:tcW w:w="7518" w:type="dxa"/>
            <w:gridSpan w:val="6"/>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本项目依托</w:t>
            </w:r>
            <w:r>
              <w:rPr>
                <w:rFonts w:hint="eastAsia"/>
                <w:color w:val="000000" w:themeColor="text1"/>
                <w:szCs w:val="21"/>
                <w:highlight w:val="none"/>
                <w14:textFill>
                  <w14:solidFill>
                    <w14:schemeClr w14:val="tx1"/>
                  </w14:solidFill>
                </w14:textFill>
              </w:rPr>
              <w:t>大湾</w:t>
            </w:r>
            <w:r>
              <w:rPr>
                <w:rFonts w:hint="eastAsia"/>
                <w:color w:val="000000" w:themeColor="text1"/>
                <w:szCs w:val="21"/>
                <w:highlight w:val="none"/>
                <w:lang w:eastAsia="zh-CN"/>
                <w14:textFill>
                  <w14:solidFill>
                    <w14:schemeClr w14:val="tx1"/>
                  </w14:solidFill>
                </w14:textFill>
              </w:rPr>
              <w:t>408试采站</w:t>
            </w:r>
            <w:r>
              <w:rPr>
                <w:color w:val="000000" w:themeColor="text1"/>
                <w:szCs w:val="21"/>
                <w:highlight w:val="none"/>
                <w14:textFill>
                  <w14:solidFill>
                    <w14:schemeClr w14:val="tx1"/>
                  </w14:solidFill>
                </w14:textFill>
              </w:rPr>
              <w:t>已建工艺流程进行生产，外输管线依托</w:t>
            </w:r>
            <w:r>
              <w:rPr>
                <w:rFonts w:hint="eastAsia"/>
                <w:color w:val="000000" w:themeColor="text1"/>
                <w:szCs w:val="21"/>
                <w:highlight w:val="none"/>
                <w14:textFill>
                  <w14:solidFill>
                    <w14:schemeClr w14:val="tx1"/>
                  </w14:solidFill>
                </w14:textFill>
              </w:rPr>
              <w:t>大湾</w:t>
            </w:r>
            <w:r>
              <w:rPr>
                <w:rFonts w:hint="eastAsia"/>
                <w:color w:val="000000" w:themeColor="text1"/>
                <w:szCs w:val="21"/>
                <w:highlight w:val="none"/>
                <w:lang w:eastAsia="zh-CN"/>
                <w14:textFill>
                  <w14:solidFill>
                    <w14:schemeClr w14:val="tx1"/>
                  </w14:solidFill>
                </w14:textFill>
              </w:rPr>
              <w:t>408试采站</w:t>
            </w:r>
            <w:r>
              <w:rPr>
                <w:color w:val="000000" w:themeColor="text1"/>
                <w:szCs w:val="21"/>
                <w:highlight w:val="none"/>
                <w14:textFill>
                  <w14:solidFill>
                    <w14:schemeClr w14:val="tx1"/>
                  </w14:solidFill>
                </w14:textFill>
              </w:rPr>
              <w:t>外输管线，依托</w:t>
            </w:r>
            <w:r>
              <w:rPr>
                <w:rFonts w:hint="eastAsia"/>
                <w:color w:val="000000" w:themeColor="text1"/>
                <w:szCs w:val="21"/>
                <w:highlight w:val="none"/>
                <w14:textFill>
                  <w14:solidFill>
                    <w14:schemeClr w14:val="tx1"/>
                  </w14:solidFill>
                </w14:textFill>
              </w:rPr>
              <w:t>大湾</w:t>
            </w:r>
            <w:r>
              <w:rPr>
                <w:rFonts w:hint="eastAsia"/>
                <w:color w:val="000000" w:themeColor="text1"/>
                <w:szCs w:val="21"/>
                <w:highlight w:val="none"/>
                <w:lang w:eastAsia="zh-CN"/>
                <w14:textFill>
                  <w14:solidFill>
                    <w14:schemeClr w14:val="tx1"/>
                  </w14:solidFill>
                </w14:textFill>
              </w:rPr>
              <w:t>408试采站</w:t>
            </w:r>
            <w:r>
              <w:rPr>
                <w:color w:val="000000" w:themeColor="text1"/>
                <w:szCs w:val="21"/>
                <w:highlight w:val="none"/>
                <w14:textFill>
                  <w14:solidFill>
                    <w14:schemeClr w14:val="tx1"/>
                  </w14:solidFill>
                </w14:textFill>
              </w:rPr>
              <w:t>值守人员，本次不新增。因此本项目不新增清管废渣与生活垃圾。既有值守人员生活垃圾交由</w:t>
            </w:r>
            <w:r>
              <w:rPr>
                <w:rFonts w:hint="eastAsia"/>
                <w:color w:val="000000" w:themeColor="text1"/>
                <w:szCs w:val="21"/>
                <w:highlight w:val="none"/>
                <w14:textFill>
                  <w14:solidFill>
                    <w14:schemeClr w14:val="tx1"/>
                  </w14:solidFill>
                </w14:textFill>
              </w:rPr>
              <w:t>毛坝镇</w:t>
            </w:r>
            <w:r>
              <w:rPr>
                <w:color w:val="000000" w:themeColor="text1"/>
                <w:szCs w:val="21"/>
                <w:highlight w:val="none"/>
                <w14:textFill>
                  <w14:solidFill>
                    <w14:schemeClr w14:val="tx1"/>
                  </w14:solidFill>
                </w14:textFill>
              </w:rPr>
              <w:t>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tcMar>
              <w:left w:w="0" w:type="dxa"/>
              <w:right w:w="0"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w:t>
            </w:r>
          </w:p>
        </w:tc>
        <w:tc>
          <w:tcPr>
            <w:tcW w:w="155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站</w:t>
            </w:r>
          </w:p>
        </w:tc>
        <w:tc>
          <w:tcPr>
            <w:tcW w:w="3402"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改变土地利用类型</w:t>
            </w:r>
          </w:p>
        </w:tc>
        <w:tc>
          <w:tcPr>
            <w:tcW w:w="255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加强站场绿化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04" w:type="dxa"/>
            <w:tcMar>
              <w:left w:w="0" w:type="dxa"/>
              <w:right w:w="0" w:type="dxa"/>
            </w:tcMar>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w:t>
            </w:r>
          </w:p>
        </w:tc>
        <w:tc>
          <w:tcPr>
            <w:tcW w:w="7518" w:type="dxa"/>
            <w:gridSpan w:val="6"/>
            <w:vAlign w:val="center"/>
          </w:tcPr>
          <w:p>
            <w:pPr>
              <w:pStyle w:val="297"/>
              <w:jc w:val="left"/>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1、试采期环境风险主要是采气管线发生破裂造成</w:t>
            </w:r>
            <w:r>
              <w:rPr>
                <w:rFonts w:hint="eastAsia"/>
                <w:bCs/>
                <w:color w:val="000000" w:themeColor="text1"/>
                <w:highlight w:val="none"/>
                <w14:textFill>
                  <w14:solidFill>
                    <w14:schemeClr w14:val="tx1"/>
                  </w14:solidFill>
                </w14:textFill>
              </w:rPr>
              <w:t>含硫</w:t>
            </w:r>
            <w:r>
              <w:rPr>
                <w:bCs/>
                <w:color w:val="000000" w:themeColor="text1"/>
                <w:highlight w:val="none"/>
                <w14:textFill>
                  <w14:solidFill>
                    <w14:schemeClr w14:val="tx1"/>
                  </w14:solidFill>
                </w14:textFill>
              </w:rPr>
              <w:t>天然气泄漏事故以及泄漏气体遇明火引起火灾或爆炸对附近人群生命财产造成伤害与损失。</w:t>
            </w:r>
          </w:p>
          <w:p>
            <w:pPr>
              <w:pStyle w:val="297"/>
              <w:jc w:val="both"/>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w:t>
            </w:r>
            <w:r>
              <w:rPr>
                <w:rFonts w:hint="eastAsia"/>
                <w:bCs/>
                <w:color w:val="000000" w:themeColor="text1"/>
                <w:highlight w:val="none"/>
                <w14:textFill>
                  <w14:solidFill>
                    <w14:schemeClr w14:val="tx1"/>
                  </w14:solidFill>
                </w14:textFill>
              </w:rPr>
              <w:t>试采</w:t>
            </w:r>
            <w:r>
              <w:rPr>
                <w:bCs/>
                <w:color w:val="000000" w:themeColor="text1"/>
                <w:highlight w:val="none"/>
                <w14:textFill>
                  <w14:solidFill>
                    <w14:schemeClr w14:val="tx1"/>
                  </w14:solidFill>
                </w14:textFill>
              </w:rPr>
              <w:t>站事故时的天然气放空，对附近人群生命财产造成伤害与损失。</w:t>
            </w:r>
          </w:p>
          <w:p>
            <w:pPr>
              <w:pStyle w:val="297"/>
              <w:jc w:val="both"/>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3、火炬分液罐存储的采气废水泄漏环境风险；污染物外运处理中的运输风险等</w:t>
            </w:r>
          </w:p>
        </w:tc>
      </w:tr>
    </w:tbl>
    <w:p>
      <w:pPr>
        <w:pStyle w:val="2"/>
        <w:spacing w:before="480" w:beforeLines="200" w:after="0" w:line="480" w:lineRule="auto"/>
        <w:ind w:firstLine="560"/>
        <w:rPr>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2"/>
        <w:rPr>
          <w:b/>
          <w:color w:val="000000" w:themeColor="text1"/>
          <w:highlight w:val="none"/>
          <w:lang w:eastAsia="zh-CN"/>
          <w14:textFill>
            <w14:solidFill>
              <w14:schemeClr w14:val="tx1"/>
            </w14:solidFill>
          </w14:textFill>
        </w:rPr>
      </w:pPr>
      <w:bookmarkStart w:id="207" w:name="_Toc12182"/>
      <w:r>
        <w:rPr>
          <w:color w:val="000000" w:themeColor="text1"/>
          <w:highlight w:val="none"/>
          <w:lang w:eastAsia="zh-CN"/>
          <w14:textFill>
            <w14:solidFill>
              <w14:schemeClr w14:val="tx1"/>
            </w14:solidFill>
          </w14:textFill>
        </w:rPr>
        <w:t>环境现状调查与评价</w:t>
      </w:r>
      <w:bookmarkEnd w:id="207"/>
    </w:p>
    <w:p>
      <w:pPr>
        <w:pStyle w:val="3"/>
        <w:spacing w:before="120"/>
        <w:rPr>
          <w:color w:val="000000" w:themeColor="text1"/>
          <w:highlight w:val="none"/>
          <w:lang w:eastAsia="zh-CN"/>
          <w14:textFill>
            <w14:solidFill>
              <w14:schemeClr w14:val="tx1"/>
            </w14:solidFill>
          </w14:textFill>
        </w:rPr>
      </w:pPr>
      <w:bookmarkStart w:id="208" w:name="_bookmark23"/>
      <w:bookmarkEnd w:id="208"/>
      <w:bookmarkStart w:id="209" w:name="4.1自然环境现状"/>
      <w:bookmarkEnd w:id="209"/>
      <w:bookmarkStart w:id="210" w:name="_Toc14159"/>
      <w:r>
        <w:rPr>
          <w:color w:val="000000" w:themeColor="text1"/>
          <w:highlight w:val="none"/>
          <w:lang w:eastAsia="zh-CN"/>
          <w14:textFill>
            <w14:solidFill>
              <w14:schemeClr w14:val="tx1"/>
            </w14:solidFill>
          </w14:textFill>
        </w:rPr>
        <w:t>自然环境现状</w:t>
      </w:r>
      <w:bookmarkEnd w:id="210"/>
    </w:p>
    <w:p>
      <w:pPr>
        <w:pStyle w:val="4"/>
        <w:spacing w:before="0" w:beforeLines="0"/>
        <w:ind w:firstLine="480"/>
        <w:rPr>
          <w:color w:val="000000" w:themeColor="text1"/>
          <w:highlight w:val="none"/>
          <w:lang w:eastAsia="zh-CN"/>
          <w14:textFill>
            <w14:solidFill>
              <w14:schemeClr w14:val="tx1"/>
            </w14:solidFill>
          </w14:textFill>
        </w:rPr>
      </w:pPr>
      <w:bookmarkStart w:id="211" w:name="4.1.1地理位置"/>
      <w:bookmarkEnd w:id="211"/>
      <w:bookmarkStart w:id="212" w:name="_Toc120173119"/>
      <w:r>
        <w:rPr>
          <w:color w:val="000000" w:themeColor="text1"/>
          <w:highlight w:val="none"/>
          <w:lang w:eastAsia="zh-CN"/>
          <w14:textFill>
            <w14:solidFill>
              <w14:schemeClr w14:val="tx1"/>
            </w14:solidFill>
          </w14:textFill>
        </w:rPr>
        <w:t>地理位置</w:t>
      </w:r>
      <w:bookmarkEnd w:id="212"/>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宣汉县介于东经107°22′至108°32′和北纬31°06′～31°49′之间。东北与城口接壤，东与开县相邻，南连开江，西接达川、通川和平昌，北与万源交界，是北通陕西、东达湖北的要口。境内地形地貌复杂、山势逶迤，由东北向西南倾斜绵延，呈</w:t>
      </w:r>
      <w:r>
        <w:rPr>
          <w:rFonts w:ascii="宋体" w:hAnsi="宋体" w:cs="Times New Roman"/>
          <w:color w:val="000000" w:themeColor="text1"/>
          <w:szCs w:val="24"/>
          <w:highlight w:val="none"/>
          <w14:textFill>
            <w14:solidFill>
              <w14:schemeClr w14:val="tx1"/>
            </w14:solidFill>
          </w14:textFill>
        </w:rPr>
        <w:t>“七山一水两分田”</w:t>
      </w:r>
      <w:r>
        <w:rPr>
          <w:rFonts w:cs="Times New Roman"/>
          <w:color w:val="000000" w:themeColor="text1"/>
          <w:szCs w:val="24"/>
          <w:highlight w:val="none"/>
          <w14:textFill>
            <w14:solidFill>
              <w14:schemeClr w14:val="tx1"/>
            </w14:solidFill>
          </w14:textFill>
        </w:rPr>
        <w:t>总体地貌。县境东西最长110.6km，南北最78.8km，边界线总长590.6km。</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本项目位于达州市</w:t>
      </w:r>
      <w:r>
        <w:rPr>
          <w:rFonts w:hint="eastAsia" w:cs="Times New Roman"/>
          <w:color w:val="000000" w:themeColor="text1"/>
          <w:szCs w:val="24"/>
          <w:highlight w:val="none"/>
          <w14:textFill>
            <w14:solidFill>
              <w14:schemeClr w14:val="tx1"/>
            </w14:solidFill>
          </w14:textFill>
        </w:rPr>
        <w:t>宣汉县</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。项目地理位置见附图1。</w:t>
      </w:r>
    </w:p>
    <w:p>
      <w:pPr>
        <w:pStyle w:val="4"/>
        <w:spacing w:before="0" w:beforeLines="0"/>
        <w:ind w:firstLine="480"/>
        <w:rPr>
          <w:color w:val="000000" w:themeColor="text1"/>
          <w:highlight w:val="none"/>
          <w:lang w:eastAsia="zh-CN"/>
          <w14:textFill>
            <w14:solidFill>
              <w14:schemeClr w14:val="tx1"/>
            </w14:solidFill>
          </w14:textFill>
        </w:rPr>
      </w:pPr>
      <w:bookmarkStart w:id="213" w:name="4.1.2地形、地貌"/>
      <w:bookmarkEnd w:id="213"/>
      <w:bookmarkStart w:id="214" w:name="_Toc120173120"/>
      <w:r>
        <w:rPr>
          <w:color w:val="000000" w:themeColor="text1"/>
          <w:highlight w:val="none"/>
          <w:lang w:eastAsia="zh-CN"/>
          <w14:textFill>
            <w14:solidFill>
              <w14:schemeClr w14:val="tx1"/>
            </w14:solidFill>
          </w14:textFill>
        </w:rPr>
        <w:t>地形、地貌</w:t>
      </w:r>
      <w:bookmarkEnd w:id="214"/>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宣汉县按地形、地貌形态可分为3区：一、丘陵河谷区，约占县境内四川地貌区划中属米仓山大巴山中山区和盆北低山区、盆东平行岭谷区的一部分，以低山和低中山为主。低山、中山面积占全县总幅员的90.2%；二、低山区，约占25%；三、低中山区，约占65.2%，可分为平坝、台地或高阶台地、浅丘陵、深丘陵、低山。</w:t>
      </w:r>
    </w:p>
    <w:p>
      <w:pPr>
        <w:ind w:firstLine="480"/>
        <w:rPr>
          <w:rFonts w:cs="Times New Roman"/>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拟建井场位于半山腰的</w:t>
      </w:r>
      <w:r>
        <w:rPr>
          <w:rFonts w:cs="Times New Roman"/>
          <w:color w:val="000000" w:themeColor="text1"/>
          <w:szCs w:val="24"/>
          <w:highlight w:val="none"/>
          <w14:textFill>
            <w14:solidFill>
              <w14:schemeClr w14:val="tx1"/>
            </w14:solidFill>
          </w14:textFill>
        </w:rPr>
        <w:t>高阶台地</w:t>
      </w:r>
      <w:r>
        <w:rPr>
          <w:rFonts w:hint="eastAsia" w:cs="Times New Roman"/>
          <w:color w:val="000000" w:themeColor="text1"/>
          <w:szCs w:val="24"/>
          <w:highlight w:val="none"/>
          <w14:textFill>
            <w14:solidFill>
              <w14:schemeClr w14:val="tx1"/>
            </w14:solidFill>
          </w14:textFill>
        </w:rPr>
        <w:t>上，</w:t>
      </w:r>
      <w:r>
        <w:rPr>
          <w:color w:val="000000" w:themeColor="text1"/>
          <w:highlight w:val="none"/>
          <w14:textFill>
            <w14:solidFill>
              <w14:schemeClr w14:val="tx1"/>
            </w14:solidFill>
          </w14:textFill>
        </w:rPr>
        <w:t>斜坡坡角约5～</w:t>
      </w:r>
      <w:r>
        <w:rPr>
          <w:rFonts w:hint="eastAsia"/>
          <w:color w:val="000000" w:themeColor="text1"/>
          <w:highlight w:val="none"/>
          <w14:textFill>
            <w14:solidFill>
              <w14:schemeClr w14:val="tx1"/>
            </w14:solidFill>
          </w14:textFill>
        </w:rPr>
        <w:t>17</w:t>
      </w:r>
      <w:r>
        <w:rPr>
          <w:color w:val="000000" w:themeColor="text1"/>
          <w:highlight w:val="none"/>
          <w14:textFill>
            <w14:solidFill>
              <w14:schemeClr w14:val="tx1"/>
            </w14:solidFill>
          </w14:textFill>
        </w:rPr>
        <w:t>°，场地地形总体</w:t>
      </w:r>
      <w:r>
        <w:rPr>
          <w:rFonts w:hint="eastAsia"/>
          <w:color w:val="000000" w:themeColor="text1"/>
          <w:highlight w:val="none"/>
          <w14:textFill>
            <w14:solidFill>
              <w14:schemeClr w14:val="tx1"/>
            </w14:solidFill>
          </w14:textFill>
        </w:rPr>
        <w:t>相对较平缓</w:t>
      </w:r>
      <w:r>
        <w:rPr>
          <w:color w:val="000000" w:themeColor="text1"/>
          <w:highlight w:val="none"/>
          <w14:textFill>
            <w14:solidFill>
              <w14:schemeClr w14:val="tx1"/>
            </w14:solidFill>
          </w14:textFill>
        </w:rPr>
        <w:t>，总体地势</w:t>
      </w:r>
      <w:r>
        <w:rPr>
          <w:rFonts w:hint="eastAsia"/>
          <w:color w:val="000000" w:themeColor="text1"/>
          <w:highlight w:val="none"/>
          <w14:textFill>
            <w14:solidFill>
              <w14:schemeClr w14:val="tx1"/>
            </w14:solidFill>
          </w14:textFill>
        </w:rPr>
        <w:t>西北部高，东南部偏低</w:t>
      </w:r>
      <w:r>
        <w:rPr>
          <w:color w:val="000000" w:themeColor="text1"/>
          <w:highlight w:val="none"/>
          <w14:textFill>
            <w14:solidFill>
              <w14:schemeClr w14:val="tx1"/>
            </w14:solidFill>
          </w14:textFill>
        </w:rPr>
        <w:t>。</w:t>
      </w:r>
    </w:p>
    <w:p>
      <w:pPr>
        <w:pStyle w:val="4"/>
        <w:spacing w:before="0" w:beforeLines="0"/>
        <w:ind w:firstLine="480"/>
        <w:rPr>
          <w:color w:val="000000" w:themeColor="text1"/>
          <w:highlight w:val="none"/>
          <w:lang w:eastAsia="zh-CN"/>
          <w14:textFill>
            <w14:solidFill>
              <w14:schemeClr w14:val="tx1"/>
            </w14:solidFill>
          </w14:textFill>
        </w:rPr>
      </w:pPr>
      <w:bookmarkStart w:id="215" w:name="4.1.3水文水系"/>
      <w:bookmarkEnd w:id="215"/>
      <w:bookmarkStart w:id="216" w:name="_Toc120173121"/>
      <w:r>
        <w:rPr>
          <w:color w:val="000000" w:themeColor="text1"/>
          <w:highlight w:val="none"/>
          <w:lang w:eastAsia="zh-CN"/>
          <w14:textFill>
            <w14:solidFill>
              <w14:schemeClr w14:val="tx1"/>
            </w14:solidFill>
          </w14:textFill>
        </w:rPr>
        <w:t>水文水系</w:t>
      </w:r>
      <w:bookmarkEnd w:id="216"/>
    </w:p>
    <w:p>
      <w:pPr>
        <w:pStyle w:val="21"/>
        <w:spacing w:before="0"/>
        <w:ind w:left="0" w:firstLine="480"/>
        <w:jc w:val="both"/>
        <w:rPr>
          <w:rFonts w:ascii="Times New Roman" w:hAnsi="Times New Roman" w:eastAsia="黑体"/>
          <w:color w:val="000000" w:themeColor="text1"/>
          <w:highlight w:val="none"/>
          <w:lang w:eastAsia="zh-CN"/>
          <w14:textFill>
            <w14:solidFill>
              <w14:schemeClr w14:val="tx1"/>
            </w14:solidFill>
          </w14:textFill>
        </w:rPr>
      </w:pPr>
      <w:r>
        <w:rPr>
          <w:rFonts w:ascii="Times New Roman" w:hAnsi="Times New Roman" w:eastAsia="黑体"/>
          <w:color w:val="000000" w:themeColor="text1"/>
          <w:highlight w:val="none"/>
          <w:lang w:eastAsia="zh-CN"/>
          <w14:textFill>
            <w14:solidFill>
              <w14:schemeClr w14:val="tx1"/>
            </w14:solidFill>
          </w14:textFill>
        </w:rPr>
        <w:t>1、地表水</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本工程建设区域属渠江流域。渠江流域位于四川盆地东北部，是四川省五大水系（嘉、涪、渠、岷、乌）之一，是嘉陵江右岸的最大支流。渠江源出流域北、东北部的大巴山南麓，流域面积为39220km</w:t>
      </w:r>
      <w:r>
        <w:rPr>
          <w:rFonts w:ascii="Times New Roman" w:hAnsi="Times New Roman"/>
          <w:color w:val="000000" w:themeColor="text1"/>
          <w:highlight w:val="none"/>
          <w:vertAlign w:val="superscript"/>
          <w:lang w:eastAsia="zh-CN"/>
          <w14:textFill>
            <w14:solidFill>
              <w14:schemeClr w14:val="tx1"/>
            </w14:solidFill>
          </w14:textFill>
        </w:rPr>
        <w:t>2</w:t>
      </w:r>
      <w:r>
        <w:rPr>
          <w:rFonts w:ascii="Times New Roman" w:hAnsi="Times New Roman"/>
          <w:color w:val="000000" w:themeColor="text1"/>
          <w:highlight w:val="none"/>
          <w:lang w:eastAsia="zh-CN"/>
          <w14:textFill>
            <w14:solidFill>
              <w14:schemeClr w14:val="tx1"/>
            </w14:solidFill>
          </w14:textFill>
        </w:rPr>
        <w:t>。渠江为多源头河流，其主要支流有前河、中河、后河；南江河、恩阳河、通江河。前三支流在宣汉汇而为州河；正流由南江、巴河、渠江三段自然河段组成。本工程建设区域内主要河流为</w:t>
      </w:r>
      <w:r>
        <w:rPr>
          <w:rFonts w:hint="eastAsia"/>
          <w:bCs/>
          <w:color w:val="000000" w:themeColor="text1"/>
          <w:highlight w:val="none"/>
          <w:lang w:eastAsia="zh-CN"/>
          <w14:textFill>
            <w14:solidFill>
              <w14:schemeClr w14:val="tx1"/>
            </w14:solidFill>
          </w14:textFill>
        </w:rPr>
        <w:t>州河</w:t>
      </w:r>
      <w:r>
        <w:rPr>
          <w:rFonts w:ascii="Times New Roman" w:hAnsi="Times New Roman"/>
          <w:color w:val="000000" w:themeColor="text1"/>
          <w:highlight w:val="none"/>
          <w:lang w:eastAsia="zh-CN"/>
          <w14:textFill>
            <w14:solidFill>
              <w14:schemeClr w14:val="tx1"/>
            </w14:solidFill>
          </w14:textFill>
        </w:rPr>
        <w:t>。</w:t>
      </w:r>
      <w:r>
        <w:rPr>
          <w:rFonts w:hint="eastAsia"/>
          <w:bCs/>
          <w:color w:val="000000" w:themeColor="text1"/>
          <w:highlight w:val="none"/>
          <w:lang w:eastAsia="zh-CN"/>
          <w14:textFill>
            <w14:solidFill>
              <w14:schemeClr w14:val="tx1"/>
            </w14:solidFill>
          </w14:textFill>
        </w:rPr>
        <w:t>州河</w:t>
      </w:r>
      <w:r>
        <w:rPr>
          <w:rFonts w:ascii="Times New Roman" w:hAnsi="Times New Roman"/>
          <w:color w:val="000000" w:themeColor="text1"/>
          <w:highlight w:val="none"/>
          <w:lang w:eastAsia="zh-CN"/>
          <w14:textFill>
            <w14:solidFill>
              <w14:schemeClr w14:val="tx1"/>
            </w14:solidFill>
          </w14:textFill>
        </w:rPr>
        <w:t>在渠县三汇镇汇入渠江，南流至合川后注入嘉陵江。</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hint="eastAsia"/>
          <w:bCs/>
          <w:color w:val="000000" w:themeColor="text1"/>
          <w:highlight w:val="none"/>
          <w:lang w:eastAsia="zh-CN"/>
          <w14:textFill>
            <w14:solidFill>
              <w14:schemeClr w14:val="tx1"/>
            </w14:solidFill>
          </w14:textFill>
        </w:rPr>
        <w:t>州河</w:t>
      </w:r>
      <w:r>
        <w:rPr>
          <w:rFonts w:ascii="Times New Roman" w:hAnsi="Times New Roman"/>
          <w:color w:val="000000" w:themeColor="text1"/>
          <w:highlight w:val="none"/>
          <w:lang w:eastAsia="zh-CN"/>
          <w14:textFill>
            <w14:solidFill>
              <w14:schemeClr w14:val="tx1"/>
            </w14:solidFill>
          </w14:textFill>
        </w:rPr>
        <w:t>均属山溪性河流，河谷狭窄，河道弯曲，落差大。河道开阔段与峡谷段相间出现，滩沱交错，水量丰富。</w:t>
      </w:r>
    </w:p>
    <w:p>
      <w:pPr>
        <w:pStyle w:val="21"/>
        <w:spacing w:before="0"/>
        <w:ind w:left="0" w:firstLine="480"/>
        <w:jc w:val="both"/>
        <w:rPr>
          <w:rFonts w:ascii="Times New Roman" w:hAnsi="Times New Roman" w:eastAsia="黑体"/>
          <w:color w:val="000000" w:themeColor="text1"/>
          <w:highlight w:val="none"/>
          <w:lang w:eastAsia="zh-CN"/>
          <w14:textFill>
            <w14:solidFill>
              <w14:schemeClr w14:val="tx1"/>
            </w14:solidFill>
          </w14:textFill>
        </w:rPr>
      </w:pPr>
      <w:bookmarkStart w:id="217" w:name="_Toc19816012"/>
      <w:r>
        <w:rPr>
          <w:rFonts w:ascii="Times New Roman" w:hAnsi="Times New Roman" w:eastAsia="黑体"/>
          <w:color w:val="000000" w:themeColor="text1"/>
          <w:highlight w:val="none"/>
          <w:lang w:eastAsia="zh-CN"/>
          <w14:textFill>
            <w14:solidFill>
              <w14:schemeClr w14:val="tx1"/>
            </w14:solidFill>
          </w14:textFill>
        </w:rPr>
        <w:t>2、</w:t>
      </w:r>
      <w:bookmarkEnd w:id="217"/>
      <w:r>
        <w:rPr>
          <w:rFonts w:ascii="Times New Roman" w:hAnsi="Times New Roman" w:eastAsia="黑体"/>
          <w:color w:val="000000" w:themeColor="text1"/>
          <w:highlight w:val="none"/>
          <w:lang w:eastAsia="zh-CN"/>
          <w14:textFill>
            <w14:solidFill>
              <w14:schemeClr w14:val="tx1"/>
            </w14:solidFill>
          </w14:textFill>
        </w:rPr>
        <w:t>地下水</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普光气田开发区内地下水类型包括松散堆积层孔隙水、碎屑岩裂隙孔隙水和基岩裂隙水，其中本项目所在区域以基岩裂隙水与碎屑岩类裂隙水为主。沟谷地段为地下水的排泄区。岩性变化地段和结构松散的卸荷岩体具有较强的透水性能，岩体的透水性具有随着深度的增加、卸荷的减弱而递减的一般规律。地层富水性差、水量较小，水位埋深一般小于20m，含水层顶板埋深一般小于50m。</w:t>
      </w:r>
    </w:p>
    <w:p>
      <w:pPr>
        <w:pStyle w:val="4"/>
        <w:spacing w:before="0" w:beforeLines="0"/>
        <w:ind w:firstLine="480"/>
        <w:rPr>
          <w:b/>
          <w:color w:val="000000" w:themeColor="text1"/>
          <w:highlight w:val="none"/>
          <w:lang w:eastAsia="zh-CN"/>
          <w14:textFill>
            <w14:solidFill>
              <w14:schemeClr w14:val="tx1"/>
            </w14:solidFill>
          </w14:textFill>
        </w:rPr>
      </w:pPr>
      <w:bookmarkStart w:id="218" w:name="4.1.4气候气象"/>
      <w:bookmarkEnd w:id="218"/>
      <w:bookmarkStart w:id="219" w:name="_Toc120173122"/>
      <w:r>
        <w:rPr>
          <w:color w:val="000000" w:themeColor="text1"/>
          <w:highlight w:val="none"/>
          <w:lang w:eastAsia="zh-CN"/>
          <w14:textFill>
            <w14:solidFill>
              <w14:schemeClr w14:val="tx1"/>
            </w14:solidFill>
          </w14:textFill>
        </w:rPr>
        <w:t>气候气象</w:t>
      </w:r>
      <w:bookmarkEnd w:id="219"/>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境内气象属中亚热带湿润季风气候区，由于地处四川盆地东北缘，北有秦岭、大巴山的天然屏障，因此气候温和，热量丰富，四季分明，雨量充沛，季风气候明显，立体气候突出。冬季属大陆性气候，常受西北冷空气影响，气候干冷；常受东南及西南暖湿空气影响，湿热多雷雨。受海拔高度影响区内立体气候明显，海拔500m以下地区春早夏热，雨水集中，旱涝交错，多风雹，秋雨，冬暖霜雪少，属四川盆地亚热带气候；海拔800m以上地区春迟秋早，夏短冬长，具有盆缘同地温带气候特征。低山、高丘云雾较多，日照较浅丘平坝少。</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灾害性天气主要有干旱，暴雨山洪，雷电，低温冷害，冰雹及大风等，其中暴雨山洪、大风等对管道及</w:t>
      </w:r>
      <w:r>
        <w:rPr>
          <w:rFonts w:hint="eastAsia" w:ascii="Times New Roman" w:hAnsi="Times New Roman"/>
          <w:color w:val="000000" w:themeColor="text1"/>
          <w:highlight w:val="none"/>
          <w:lang w:eastAsia="zh-CN"/>
          <w14:textFill>
            <w14:solidFill>
              <w14:schemeClr w14:val="tx1"/>
            </w14:solidFill>
          </w14:textFill>
        </w:rPr>
        <w:t>试采</w:t>
      </w:r>
      <w:r>
        <w:rPr>
          <w:rFonts w:ascii="Times New Roman" w:hAnsi="Times New Roman"/>
          <w:color w:val="000000" w:themeColor="text1"/>
          <w:highlight w:val="none"/>
          <w:lang w:eastAsia="zh-CN"/>
          <w14:textFill>
            <w14:solidFill>
              <w14:schemeClr w14:val="tx1"/>
            </w14:solidFill>
          </w14:textFill>
        </w:rPr>
        <w:t>站建设构成一定危害。</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宣汉县多年平均降水量1132.69mm，多年平均气温16.8℃，相对湿度77%，每年5~10月份为多雨季，降水量占全年总降水量约80%，3月份为旱季，降水量约占全年降水量</w:t>
      </w:r>
      <w:r>
        <w:rPr>
          <w:rFonts w:hint="eastAsia" w:ascii="Times New Roman" w:hAnsi="Times New Roman"/>
          <w:color w:val="000000" w:themeColor="text1"/>
          <w:highlight w:val="none"/>
          <w:lang w:eastAsia="zh-CN"/>
          <w14:textFill>
            <w14:solidFill>
              <w14:schemeClr w14:val="tx1"/>
            </w14:solidFill>
          </w14:textFill>
        </w:rPr>
        <w:t>8%～12%</w:t>
      </w:r>
      <w:r>
        <w:rPr>
          <w:rFonts w:ascii="Times New Roman" w:hAnsi="Times New Roman"/>
          <w:color w:val="000000" w:themeColor="text1"/>
          <w:highlight w:val="none"/>
          <w:lang w:eastAsia="zh-CN"/>
          <w14:textFill>
            <w14:solidFill>
              <w14:schemeClr w14:val="tx1"/>
            </w14:solidFill>
          </w14:textFill>
        </w:rPr>
        <w:t>，无霜期长达10个月，冬季多雾，雨季多暴雨，雨后往往形成洪流。</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宣汉县主要气象要素见</w:t>
      </w:r>
      <w:r>
        <w:rPr>
          <w:rFonts w:ascii="Times New Roman" w:hAnsi="Times New Roman"/>
          <w:color w:val="000000" w:themeColor="text1"/>
          <w:highlight w:val="none"/>
          <w:lang w:eastAsia="zh-CN"/>
          <w14:textFill>
            <w14:solidFill>
              <w14:schemeClr w14:val="tx1"/>
            </w14:solidFill>
          </w14:textFill>
        </w:rPr>
        <w:fldChar w:fldCharType="begin"/>
      </w:r>
      <w:r>
        <w:rPr>
          <w:rFonts w:ascii="Times New Roman" w:hAnsi="Times New Roman"/>
          <w:color w:val="000000" w:themeColor="text1"/>
          <w:highlight w:val="none"/>
          <w:lang w:eastAsia="zh-CN"/>
          <w14:textFill>
            <w14:solidFill>
              <w14:schemeClr w14:val="tx1"/>
            </w14:solidFill>
          </w14:textFill>
        </w:rPr>
        <w:instrText xml:space="preserve"> REF _Ref142907039 \h  \* MERGEFORMAT </w:instrText>
      </w:r>
      <w:r>
        <w:rPr>
          <w:rFonts w:ascii="Times New Roman" w:hAnsi="Times New Roman"/>
          <w:color w:val="000000" w:themeColor="text1"/>
          <w:highlight w:val="none"/>
          <w:lang w:eastAsia="zh-CN"/>
          <w14:textFill>
            <w14:solidFill>
              <w14:schemeClr w14:val="tx1"/>
            </w14:solidFill>
          </w14:textFill>
        </w:rPr>
        <w:fldChar w:fldCharType="separate"/>
      </w:r>
      <w:r>
        <w:rPr>
          <w:rFonts w:hint="eastAsia" w:ascii="Times New Roman" w:hAnsi="Times New Roman"/>
          <w:color w:val="000000" w:themeColor="text1"/>
          <w:highlight w:val="none"/>
          <w:lang w:eastAsia="zh-CN"/>
          <w14:textFill>
            <w14:solidFill>
              <w14:schemeClr w14:val="tx1"/>
            </w14:solidFill>
          </w14:textFill>
        </w:rPr>
        <w:t>表</w:t>
      </w:r>
      <w:r>
        <w:rPr>
          <w:rFonts w:ascii="Times New Roman" w:hAnsi="Times New Roman"/>
          <w:color w:val="000000" w:themeColor="text1"/>
          <w:highlight w:val="none"/>
          <w:lang w:eastAsia="zh-CN"/>
          <w14:textFill>
            <w14:solidFill>
              <w14:schemeClr w14:val="tx1"/>
            </w14:solidFill>
          </w14:textFill>
        </w:rPr>
        <w:t>4.1</w:t>
      </w:r>
      <w:r>
        <w:rPr>
          <w:rFonts w:ascii="Times New Roman" w:hAnsi="Times New Roman"/>
          <w:color w:val="000000" w:themeColor="text1"/>
          <w:highlight w:val="none"/>
          <w:lang w:eastAsia="zh-CN"/>
          <w14:textFill>
            <w14:solidFill>
              <w14:schemeClr w14:val="tx1"/>
            </w14:solidFill>
          </w14:textFill>
        </w:rPr>
        <w:noBreakHyphen/>
      </w:r>
      <w:r>
        <w:rPr>
          <w:rFonts w:ascii="Times New Roman" w:hAnsi="Times New Roman"/>
          <w:color w:val="000000" w:themeColor="text1"/>
          <w:highlight w:val="none"/>
          <w:lang w:eastAsia="zh-CN"/>
          <w14:textFill>
            <w14:solidFill>
              <w14:schemeClr w14:val="tx1"/>
            </w14:solidFill>
          </w14:textFill>
        </w:rPr>
        <w:t>1</w:t>
      </w:r>
      <w:r>
        <w:rPr>
          <w:rFonts w:ascii="Times New Roman" w:hAnsi="Times New Roman"/>
          <w:color w:val="000000" w:themeColor="text1"/>
          <w:highlight w:val="none"/>
          <w:lang w:eastAsia="zh-CN"/>
          <w14:textFill>
            <w14:solidFill>
              <w14:schemeClr w14:val="tx1"/>
            </w14:solidFill>
          </w14:textFill>
        </w:rPr>
        <w:fldChar w:fldCharType="end"/>
      </w:r>
      <w:r>
        <w:rPr>
          <w:rFonts w:ascii="Times New Roman" w:hAnsi="Times New Roman"/>
          <w:color w:val="000000" w:themeColor="text1"/>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20" w:name="_Ref14290703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22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宣汉县主要气象资料一览表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08"/>
        <w:gridCol w:w="2708"/>
        <w:gridCol w:w="1170"/>
        <w:gridCol w:w="1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气象要素</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单位</w:t>
            </w:r>
          </w:p>
        </w:tc>
        <w:tc>
          <w:tcPr>
            <w:tcW w:w="0" w:type="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气温</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年平均气温</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极端最高气温</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极端最低气温</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年降水量</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mm</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1132.69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mm</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最小</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mm</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风速</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平均</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m/s</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m/s</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主导风向</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m/s</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多年平均地温</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地面</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-0.2m</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年平均日照时数</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年平均蒸发量</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mm</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1215.9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年均无霜期</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相对湿度</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0" w:type="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77</w:t>
            </w:r>
          </w:p>
        </w:tc>
      </w:tr>
    </w:tbl>
    <w:p>
      <w:pPr>
        <w:pStyle w:val="4"/>
        <w:spacing w:before="120"/>
        <w:ind w:firstLine="480"/>
        <w:rPr>
          <w:b/>
          <w:color w:val="000000" w:themeColor="text1"/>
          <w:highlight w:val="none"/>
          <w:lang w:eastAsia="zh-CN"/>
          <w14:textFill>
            <w14:solidFill>
              <w14:schemeClr w14:val="tx1"/>
            </w14:solidFill>
          </w14:textFill>
        </w:rPr>
      </w:pPr>
      <w:bookmarkStart w:id="221" w:name="4.1.5动植物及生物多样性"/>
      <w:bookmarkEnd w:id="221"/>
      <w:bookmarkStart w:id="222" w:name="_Toc120173123"/>
      <w:r>
        <w:rPr>
          <w:color w:val="000000" w:themeColor="text1"/>
          <w:highlight w:val="none"/>
          <w:lang w:eastAsia="zh-CN"/>
          <w14:textFill>
            <w14:solidFill>
              <w14:schemeClr w14:val="tx1"/>
            </w14:solidFill>
          </w14:textFill>
        </w:rPr>
        <w:t>地质构造与地震</w:t>
      </w:r>
      <w:bookmarkEnd w:id="222"/>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1、地质构造</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本项目区位于</w:t>
      </w:r>
      <w:r>
        <w:rPr>
          <w:rFonts w:hint="eastAsia" w:ascii="Times New Roman" w:hAnsi="Times New Roman"/>
          <w:color w:val="000000" w:themeColor="text1"/>
          <w:highlight w:val="none"/>
          <w:lang w:eastAsia="zh-CN"/>
          <w14:textFill>
            <w14:solidFill>
              <w14:schemeClr w14:val="tx1"/>
            </w14:solidFill>
          </w14:textFill>
        </w:rPr>
        <w:t>宣汉县***</w:t>
      </w:r>
      <w:r>
        <w:rPr>
          <w:rFonts w:ascii="Times New Roman" w:hAnsi="Times New Roman"/>
          <w:color w:val="000000" w:themeColor="text1"/>
          <w:highlight w:val="none"/>
          <w:lang w:eastAsia="zh-CN"/>
          <w14:textFill>
            <w14:solidFill>
              <w14:schemeClr w14:val="tx1"/>
            </w14:solidFill>
          </w14:textFill>
        </w:rPr>
        <w:t>，</w:t>
      </w:r>
      <w:r>
        <w:rPr>
          <w:color w:val="000000" w:themeColor="text1"/>
          <w:highlight w:val="none"/>
          <w:lang w:eastAsia="zh-CN"/>
          <w14:textFill>
            <w14:solidFill>
              <w14:schemeClr w14:val="tx1"/>
            </w14:solidFill>
          </w14:textFill>
        </w:rPr>
        <w:t>区域构造上位于四川盆地川东北褶皱带的东北段，华蓥山断裂带北端黄金口构造带，因受燕山、喜山运动影响，断裂发育，但构造变形强</w:t>
      </w:r>
      <w:r>
        <w:rPr>
          <w:rFonts w:ascii="Times New Roman" w:hAnsi="Times New Roman"/>
          <w:color w:val="000000" w:themeColor="text1"/>
          <w:highlight w:val="none"/>
          <w:lang w:eastAsia="zh-CN"/>
          <w14:textFill>
            <w14:solidFill>
              <w14:schemeClr w14:val="tx1"/>
            </w14:solidFill>
          </w14:textFill>
        </w:rPr>
        <w:t>度较弱，平面上分两组，即：北西向断层和北东向断层。其中，北东向断层数量少，仅在西部高部位有少量发育，北西向断层较为发育但断距通常较小，断距为50～100m，断层一般消失于千佛崖组。千佛崖组顶、自流井组顶、千佛崖组顶和下沙溪庙组顶部构造形态是相似的，地层均呈西高东低、南高北低的大斜坡，沿普光302-1—普光9—普光3井以东一线，构造相对较低。在普光1—普光3—普光7井一线以西，地层很陡，而在普光3井以东构造非常平缓。此外，工区内地面海拔300-1200m，属中－低山区，相对高差20～600m。项目所在区域乡村公路纵横交错，交通较为便利。</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2、地震</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根据《建筑抗震设计规范》（GB50011-2010），宣汉抗震设防烈度为6度，设计基本地震加速度值为0.05g，属第一组，可不考虑地震液化问题。另查阅县志，整个宣汉县境尚无地震活动的记载。因此总体上区域稳定性良好，适宜工程修建。</w:t>
      </w:r>
    </w:p>
    <w:p>
      <w:pPr>
        <w:pStyle w:val="4"/>
        <w:spacing w:before="0" w:beforeLines="0"/>
        <w:ind w:firstLine="480"/>
        <w:rPr>
          <w:b/>
          <w:color w:val="000000" w:themeColor="text1"/>
          <w:highlight w:val="none"/>
          <w:lang w:eastAsia="zh-CN"/>
          <w14:textFill>
            <w14:solidFill>
              <w14:schemeClr w14:val="tx1"/>
            </w14:solidFill>
          </w14:textFill>
        </w:rPr>
      </w:pPr>
      <w:bookmarkStart w:id="223" w:name="_Toc120173124"/>
      <w:r>
        <w:rPr>
          <w:color w:val="000000" w:themeColor="text1"/>
          <w:highlight w:val="none"/>
          <w:lang w:eastAsia="zh-CN"/>
          <w14:textFill>
            <w14:solidFill>
              <w14:schemeClr w14:val="tx1"/>
            </w14:solidFill>
          </w14:textFill>
        </w:rPr>
        <w:t>土壤</w:t>
      </w:r>
      <w:bookmarkEnd w:id="223"/>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所在地面（区域硬化前）以残坡积和崩坡积之砂质粘土夹碎块石为主，局部有小卵石混杂其中。区内土壤多由灰岩和砂页岩发育而成的砾石土、砾质土为主。土壤质地与母岩和地形关系密切，一般由砂岩发育的多为沙质土；由砂页岩互层发育的多为壤质土；泥岩和灰岩发育的多为粘质土，陡坡地和二迭系以前母岩发育的多为砾石土和砾质土。土壤剖面各发生层的质地上下变化较小，仅少数土壤剖面物粘含量有随深度增加而增加的趋势。</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土壤以中性和微碱性为主，其次是微酸性，少数酸性。pH值在4.5～5.4之间的占6.4%；5.5～6.4之间的占34%；6.5～7.5之间的占34.2%；7.6～8.5之间的占25.3%。</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工程区域地层岩性较为单一，上部主要为第四系松散覆盖层，包括残坡积层、崩坡积层，下伏基岩为侏罗系中统沙溪庙组（J</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S）。沿线出露地层由上至下分别为：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1）第四系残坡积层：</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主要为砂土、砂质粘土、粘土，干燥，松散，分布很广。坡体及坡体上覆盖层厚度很薄，一般0.2～0.5m。沟谷中为砂质粘土、粘土。厚度较大，一般为1.0～2.5m左右，为可塑状。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2）第四系崩坡积层：</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主要分布于陡坡下部，为含碎块石土，厚度一般为1.0～3.0m。碎块石</w:t>
      </w:r>
      <w:r>
        <w:rPr>
          <w:rFonts w:hint="eastAsia"/>
          <w:color w:val="000000" w:themeColor="text1"/>
          <w:highlight w:val="none"/>
          <w14:textFill>
            <w14:solidFill>
              <w14:schemeClr w14:val="tx1"/>
            </w14:solidFill>
          </w14:textFill>
        </w:rPr>
        <w:t>成分</w:t>
      </w:r>
      <w:r>
        <w:rPr>
          <w:color w:val="000000" w:themeColor="text1"/>
          <w:highlight w:val="none"/>
          <w14:textFill>
            <w14:solidFill>
              <w14:schemeClr w14:val="tx1"/>
            </w14:solidFill>
          </w14:textFill>
        </w:rPr>
        <w:t>主要为砂岩碎块石，另外可见巨大孤石。</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3）基岩</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侏罗系中统沙溪庙组为含钙质结核的紫红色砂质泥岩、粉砂岩、泥质粉砂岩与黄灰色块状长石岩屑石英砂岩不等厚互层。砂岩坚硬性脆，常形成陡坎陡崖，泥岩易风化剥落，多形成缓坡</w:t>
      </w:r>
      <w:r>
        <w:rPr>
          <w:rFonts w:ascii="Times New Roman" w:hAnsi="Times New Roman"/>
          <w:color w:val="000000" w:themeColor="text1"/>
          <w:highlight w:val="none"/>
          <w:lang w:eastAsia="zh-CN"/>
          <w14:textFill>
            <w14:solidFill>
              <w14:schemeClr w14:val="tx1"/>
            </w14:solidFill>
          </w14:textFill>
        </w:rPr>
        <w:t>。</w:t>
      </w:r>
    </w:p>
    <w:p>
      <w:pPr>
        <w:pStyle w:val="4"/>
        <w:spacing w:before="0" w:beforeLines="0"/>
        <w:ind w:firstLine="480"/>
        <w:rPr>
          <w:b/>
          <w:color w:val="000000" w:themeColor="text1"/>
          <w:highlight w:val="none"/>
          <w:lang w:eastAsia="zh-CN"/>
          <w14:textFill>
            <w14:solidFill>
              <w14:schemeClr w14:val="tx1"/>
            </w14:solidFill>
          </w14:textFill>
        </w:rPr>
      </w:pPr>
      <w:bookmarkStart w:id="224" w:name="_Toc120173125"/>
      <w:r>
        <w:rPr>
          <w:color w:val="000000" w:themeColor="text1"/>
          <w:highlight w:val="none"/>
          <w:lang w:eastAsia="zh-CN"/>
          <w14:textFill>
            <w14:solidFill>
              <w14:schemeClr w14:val="tx1"/>
            </w14:solidFill>
          </w14:textFill>
        </w:rPr>
        <w:t>矿产资源</w:t>
      </w:r>
      <w:bookmarkEnd w:id="224"/>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截至2018年，宣汉县共探测到的资源达28种，主要矿产资源概括为：一煤（煤炭），二气（石油、天然气），三土（粘土、高岭土、膨润土），五石（滑石、长石、大理石、石英石、石灰石），八矿（铁、砷、硅、硫磺、石膏、铝、卤钾、岩盐）。天然气预测储量高达1.5万亿立方米，居中国第2位，已探明开发储量达3000-6000亿立方米，系西南地区天然气气田中心、国家“西气东输工程”重要基地。原煤储量达1.6亿吨，发热量6000大卡以上。富钾卤水储量达1.3亿立方米，是国家盐化工业基地自贡黑卤的10倍。此外，还有大理石30亿立方米，石灰石30亿立方米，石英石3000万立方米，硫磺矿867万吨，铁矿1800万吨等。</w:t>
      </w:r>
    </w:p>
    <w:p>
      <w:pPr>
        <w:pStyle w:val="4"/>
        <w:spacing w:before="0" w:beforeLines="0"/>
        <w:ind w:firstLine="480"/>
        <w:rPr>
          <w:b/>
          <w:color w:val="000000" w:themeColor="text1"/>
          <w:highlight w:val="none"/>
          <w:lang w:eastAsia="zh-CN"/>
          <w14:textFill>
            <w14:solidFill>
              <w14:schemeClr w14:val="tx1"/>
            </w14:solidFill>
          </w14:textFill>
        </w:rPr>
      </w:pPr>
      <w:bookmarkStart w:id="225" w:name="_Toc120173126"/>
      <w:r>
        <w:rPr>
          <w:color w:val="000000" w:themeColor="text1"/>
          <w:highlight w:val="none"/>
          <w:lang w:eastAsia="zh-CN"/>
          <w14:textFill>
            <w14:solidFill>
              <w14:schemeClr w14:val="tx1"/>
            </w14:solidFill>
          </w14:textFill>
        </w:rPr>
        <w:t>周边自然遗迹、自然保护区的分布情况</w:t>
      </w:r>
      <w:bookmarkEnd w:id="225"/>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评价区域无自然保护区、风景名胜区、自然遗迹、文物古迹等，在项目建设过程中如果发现有保护价值的文物遗迹，建设单位应保护好现场，并报告文物主管部门。</w:t>
      </w:r>
    </w:p>
    <w:p>
      <w:pPr>
        <w:pStyle w:val="3"/>
        <w:spacing w:before="120"/>
        <w:rPr>
          <w:color w:val="000000" w:themeColor="text1"/>
          <w:highlight w:val="none"/>
          <w:lang w:eastAsia="zh-CN"/>
          <w14:textFill>
            <w14:solidFill>
              <w14:schemeClr w14:val="tx1"/>
            </w14:solidFill>
          </w14:textFill>
        </w:rPr>
      </w:pPr>
      <w:bookmarkStart w:id="226" w:name="4.2项目周边环境概况"/>
      <w:bookmarkEnd w:id="226"/>
      <w:bookmarkStart w:id="227" w:name="_bookmark24"/>
      <w:bookmarkEnd w:id="227"/>
      <w:bookmarkStart w:id="228" w:name="4.3环境质量现状评价"/>
      <w:bookmarkEnd w:id="228"/>
      <w:bookmarkStart w:id="229" w:name="_bookmark25"/>
      <w:bookmarkEnd w:id="229"/>
      <w:bookmarkStart w:id="230" w:name="_Toc6884"/>
      <w:r>
        <w:rPr>
          <w:color w:val="000000" w:themeColor="text1"/>
          <w:highlight w:val="none"/>
          <w:lang w:eastAsia="zh-CN"/>
          <w14:textFill>
            <w14:solidFill>
              <w14:schemeClr w14:val="tx1"/>
            </w14:solidFill>
          </w14:textFill>
        </w:rPr>
        <w:t>环境质量现状评价</w:t>
      </w:r>
      <w:bookmarkEnd w:id="230"/>
    </w:p>
    <w:p>
      <w:pPr>
        <w:pStyle w:val="4"/>
        <w:spacing w:before="0" w:beforeLines="0"/>
        <w:ind w:firstLine="480"/>
        <w:rPr>
          <w:b/>
          <w:color w:val="000000" w:themeColor="text1"/>
          <w:highlight w:val="none"/>
          <w:lang w:eastAsia="zh-CN"/>
          <w14:textFill>
            <w14:solidFill>
              <w14:schemeClr w14:val="tx1"/>
            </w14:solidFill>
          </w14:textFill>
        </w:rPr>
      </w:pPr>
      <w:bookmarkStart w:id="231" w:name="_Toc120173128"/>
      <w:r>
        <w:rPr>
          <w:color w:val="000000" w:themeColor="text1"/>
          <w:highlight w:val="none"/>
          <w:lang w:eastAsia="zh-CN"/>
          <w14:textFill>
            <w14:solidFill>
              <w14:schemeClr w14:val="tx1"/>
            </w14:solidFill>
          </w14:textFill>
        </w:rPr>
        <w:t>环境空气质量现状</w:t>
      </w:r>
      <w:bookmarkEnd w:id="231"/>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本次评价采用了现场实测和资料复用相结合的方法。</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根据项目工程特点和各工艺站场的具体情况，以项目涉及区域作为本项目大气环境质量现状调查、评价的对象。本评价对</w:t>
      </w:r>
      <w:r>
        <w:rPr>
          <w:rFonts w:hint="eastAsia"/>
          <w:color w:val="000000" w:themeColor="text1"/>
          <w:szCs w:val="24"/>
          <w:highlight w:val="none"/>
          <w14:textFill>
            <w14:solidFill>
              <w14:schemeClr w14:val="tx1"/>
            </w14:solidFill>
          </w14:textFill>
        </w:rPr>
        <w:t>大湾408-3井场</w:t>
      </w:r>
      <w:r>
        <w:rPr>
          <w:color w:val="000000" w:themeColor="text1"/>
          <w:szCs w:val="24"/>
          <w:highlight w:val="none"/>
          <w14:textFill>
            <w14:solidFill>
              <w14:schemeClr w14:val="tx1"/>
            </w14:solidFill>
          </w14:textFill>
        </w:rPr>
        <w:t>所在地进行大气环境质量现状监测数据以及引用《</w:t>
      </w:r>
      <w:r>
        <w:rPr>
          <w:color w:val="000000" w:themeColor="text1"/>
          <w:highlight w:val="none"/>
          <w14:textFill>
            <w14:solidFill>
              <w14:schemeClr w14:val="tx1"/>
            </w14:solidFill>
          </w14:textFill>
        </w:rPr>
        <w:t>达州市202</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年环境空气质量状况</w:t>
      </w:r>
      <w:r>
        <w:rPr>
          <w:color w:val="000000" w:themeColor="text1"/>
          <w:szCs w:val="24"/>
          <w:highlight w:val="none"/>
          <w14:textFill>
            <w14:solidFill>
              <w14:schemeClr w14:val="tx1"/>
            </w14:solidFill>
          </w14:textFill>
        </w:rPr>
        <w:t>》环境空气质量公报数据。</w:t>
      </w:r>
    </w:p>
    <w:p>
      <w:pPr>
        <w:pStyle w:val="21"/>
        <w:spacing w:before="0"/>
        <w:ind w:left="0" w:firstLine="482"/>
        <w:rPr>
          <w:rFonts w:ascii="Times New Roman" w:hAnsi="Times New Roman"/>
          <w:b/>
          <w:bCs/>
          <w:color w:val="000000" w:themeColor="text1"/>
          <w:highlight w:val="none"/>
          <w:lang w:eastAsia="zh-CN"/>
          <w14:textFill>
            <w14:solidFill>
              <w14:schemeClr w14:val="tx1"/>
            </w14:solidFill>
          </w14:textFill>
        </w:rPr>
      </w:pPr>
      <w:r>
        <w:rPr>
          <w:rFonts w:ascii="Times New Roman" w:hAnsi="Times New Roman"/>
          <w:b/>
          <w:bCs/>
          <w:color w:val="000000" w:themeColor="text1"/>
          <w:highlight w:val="none"/>
          <w:lang w:eastAsia="zh-CN"/>
          <w14:textFill>
            <w14:solidFill>
              <w14:schemeClr w14:val="tx1"/>
            </w14:solidFill>
          </w14:textFill>
        </w:rPr>
        <w:t>1、达标</w:t>
      </w:r>
      <w:r>
        <w:rPr>
          <w:rFonts w:hint="eastAsia" w:ascii="Times New Roman" w:hAnsi="Times New Roman"/>
          <w:b/>
          <w:bCs/>
          <w:color w:val="000000" w:themeColor="text1"/>
          <w:highlight w:val="none"/>
          <w:lang w:eastAsia="zh-CN"/>
          <w14:textFill>
            <w14:solidFill>
              <w14:schemeClr w14:val="tx1"/>
            </w14:solidFill>
          </w14:textFill>
        </w:rPr>
        <w:t>区判定</w:t>
      </w:r>
    </w:p>
    <w:p>
      <w:pPr>
        <w:wordWrap w:val="0"/>
        <w:ind w:firstLine="480"/>
        <w:rPr>
          <w:rFonts w:cs="Times New Roman"/>
          <w:color w:val="000000" w:themeColor="text1"/>
          <w:kern w:val="0"/>
          <w:szCs w:val="21"/>
          <w:highlight w:val="none"/>
          <w14:textFill>
            <w14:solidFill>
              <w14:schemeClr w14:val="tx1"/>
            </w14:solidFill>
          </w14:textFill>
        </w:rPr>
      </w:pPr>
      <w:r>
        <w:rPr>
          <w:color w:val="000000" w:themeColor="text1"/>
          <w:szCs w:val="24"/>
          <w:highlight w:val="none"/>
          <w14:textFill>
            <w14:solidFill>
              <w14:schemeClr w14:val="tx1"/>
            </w14:solidFill>
          </w14:textFill>
        </w:rPr>
        <w:t>本项目位于达州市宣汉县，项目所在区环境空气功能分区为二类区。根据《环境影响评价技术导则 总纲》（HJ2.1-2016）与《环境影响评价技术导则 大气环境》（HJ2.2-2018）的要求，本次评价收集了《</w:t>
      </w:r>
      <w:r>
        <w:rPr>
          <w:color w:val="000000" w:themeColor="text1"/>
          <w:highlight w:val="none"/>
          <w14:textFill>
            <w14:solidFill>
              <w14:schemeClr w14:val="tx1"/>
            </w14:solidFill>
          </w14:textFill>
        </w:rPr>
        <w:t>达州市202</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年环境空气质量状况</w:t>
      </w:r>
      <w:r>
        <w:rPr>
          <w:color w:val="000000" w:themeColor="text1"/>
          <w:szCs w:val="24"/>
          <w:highlight w:val="none"/>
          <w14:textFill>
            <w14:solidFill>
              <w14:schemeClr w14:val="tx1"/>
            </w14:solidFill>
          </w14:textFill>
        </w:rPr>
        <w:t>》，宣汉县202</w:t>
      </w:r>
      <w:r>
        <w:rPr>
          <w:rFonts w:hint="eastAsia"/>
          <w:color w:val="000000" w:themeColor="text1"/>
          <w:szCs w:val="24"/>
          <w:highlight w:val="none"/>
          <w14:textFill>
            <w14:solidFill>
              <w14:schemeClr w14:val="tx1"/>
            </w14:solidFill>
          </w14:textFill>
        </w:rPr>
        <w:t>3</w:t>
      </w:r>
      <w:r>
        <w:rPr>
          <w:color w:val="000000" w:themeColor="text1"/>
          <w:szCs w:val="24"/>
          <w:highlight w:val="none"/>
          <w14:textFill>
            <w14:solidFill>
              <w14:schemeClr w14:val="tx1"/>
            </w14:solidFill>
          </w14:textFill>
        </w:rPr>
        <w:t>年1月1日至12月31日对城区环境空气质量进行了连续自动监测。全年有效监测天数365天，达标天数</w:t>
      </w:r>
      <w:r>
        <w:rPr>
          <w:rFonts w:hint="eastAsia"/>
          <w:color w:val="000000" w:themeColor="text1"/>
          <w:szCs w:val="24"/>
          <w:highlight w:val="none"/>
          <w14:textFill>
            <w14:solidFill>
              <w14:schemeClr w14:val="tx1"/>
            </w14:solidFill>
          </w14:textFill>
        </w:rPr>
        <w:t>339</w:t>
      </w:r>
      <w:r>
        <w:rPr>
          <w:color w:val="000000" w:themeColor="text1"/>
          <w:szCs w:val="24"/>
          <w:highlight w:val="none"/>
          <w14:textFill>
            <w14:solidFill>
              <w14:schemeClr w14:val="tx1"/>
            </w14:solidFill>
          </w14:textFill>
        </w:rPr>
        <w:t>天，达标率为9</w:t>
      </w:r>
      <w:r>
        <w:rPr>
          <w:rFonts w:hint="eastAsia"/>
          <w:color w:val="000000" w:themeColor="text1"/>
          <w:szCs w:val="24"/>
          <w:highlight w:val="none"/>
          <w14:textFill>
            <w14:solidFill>
              <w14:schemeClr w14:val="tx1"/>
            </w14:solidFill>
          </w14:textFill>
        </w:rPr>
        <w:t>2.9</w:t>
      </w:r>
      <w:r>
        <w:rPr>
          <w:color w:val="000000" w:themeColor="text1"/>
          <w:szCs w:val="24"/>
          <w:highlight w:val="none"/>
          <w14:textFill>
            <w14:solidFill>
              <w14:schemeClr w14:val="tx1"/>
            </w14:solidFill>
          </w14:textFill>
        </w:rPr>
        <w:t>%。其中：优</w:t>
      </w:r>
      <w:r>
        <w:rPr>
          <w:rFonts w:hint="eastAsia"/>
          <w:color w:val="000000" w:themeColor="text1"/>
          <w:szCs w:val="24"/>
          <w:highlight w:val="none"/>
          <w14:textFill>
            <w14:solidFill>
              <w14:schemeClr w14:val="tx1"/>
            </w14:solidFill>
          </w14:textFill>
        </w:rPr>
        <w:t>203</w:t>
      </w:r>
      <w:r>
        <w:rPr>
          <w:color w:val="000000" w:themeColor="text1"/>
          <w:szCs w:val="24"/>
          <w:highlight w:val="none"/>
          <w14:textFill>
            <w14:solidFill>
              <w14:schemeClr w14:val="tx1"/>
            </w14:solidFill>
          </w14:textFill>
        </w:rPr>
        <w:t>天，良1</w:t>
      </w:r>
      <w:r>
        <w:rPr>
          <w:rFonts w:hint="eastAsia"/>
          <w:color w:val="000000" w:themeColor="text1"/>
          <w:szCs w:val="24"/>
          <w:highlight w:val="none"/>
          <w14:textFill>
            <w14:solidFill>
              <w14:schemeClr w14:val="tx1"/>
            </w14:solidFill>
          </w14:textFill>
        </w:rPr>
        <w:t>36</w:t>
      </w:r>
      <w:r>
        <w:rPr>
          <w:color w:val="000000" w:themeColor="text1"/>
          <w:szCs w:val="24"/>
          <w:highlight w:val="none"/>
          <w14:textFill>
            <w14:solidFill>
              <w14:schemeClr w14:val="tx1"/>
            </w14:solidFill>
          </w14:textFill>
        </w:rPr>
        <w:t>天，轻度污染</w:t>
      </w:r>
      <w:r>
        <w:rPr>
          <w:rFonts w:hint="eastAsia"/>
          <w:color w:val="000000" w:themeColor="text1"/>
          <w:szCs w:val="24"/>
          <w:highlight w:val="none"/>
          <w14:textFill>
            <w14:solidFill>
              <w14:schemeClr w14:val="tx1"/>
            </w14:solidFill>
          </w14:textFill>
        </w:rPr>
        <w:t>17</w:t>
      </w:r>
      <w:r>
        <w:rPr>
          <w:color w:val="000000" w:themeColor="text1"/>
          <w:szCs w:val="24"/>
          <w:highlight w:val="none"/>
          <w14:textFill>
            <w14:solidFill>
              <w14:schemeClr w14:val="tx1"/>
            </w14:solidFill>
          </w14:textFill>
        </w:rPr>
        <w:t>天，中度污染</w:t>
      </w:r>
      <w:r>
        <w:rPr>
          <w:rFonts w:hint="eastAsia"/>
          <w:color w:val="000000" w:themeColor="text1"/>
          <w:szCs w:val="24"/>
          <w:highlight w:val="none"/>
          <w14:textFill>
            <w14:solidFill>
              <w14:schemeClr w14:val="tx1"/>
            </w14:solidFill>
          </w14:textFill>
        </w:rPr>
        <w:t>4</w:t>
      </w:r>
      <w:r>
        <w:rPr>
          <w:color w:val="000000" w:themeColor="text1"/>
          <w:szCs w:val="24"/>
          <w:highlight w:val="none"/>
          <w14:textFill>
            <w14:solidFill>
              <w14:schemeClr w14:val="tx1"/>
            </w14:solidFill>
          </w14:textFill>
        </w:rPr>
        <w:t>天，重度污染</w:t>
      </w:r>
      <w:r>
        <w:rPr>
          <w:rFonts w:hint="eastAsia"/>
          <w:color w:val="000000" w:themeColor="text1"/>
          <w:szCs w:val="24"/>
          <w:highlight w:val="none"/>
          <w14:textFill>
            <w14:solidFill>
              <w14:schemeClr w14:val="tx1"/>
            </w14:solidFill>
          </w14:textFill>
        </w:rPr>
        <w:t>5天</w:t>
      </w:r>
      <w:r>
        <w:rPr>
          <w:color w:val="000000" w:themeColor="text1"/>
          <w:szCs w:val="24"/>
          <w:highlight w:val="none"/>
          <w14:textFill>
            <w14:solidFill>
              <w14:schemeClr w14:val="tx1"/>
            </w14:solidFill>
          </w14:textFill>
        </w:rPr>
        <w:t>。</w:t>
      </w:r>
      <w:r>
        <w:rPr>
          <w:rFonts w:cs="Times New Roman"/>
          <w:color w:val="000000" w:themeColor="text1"/>
          <w:kern w:val="0"/>
          <w:szCs w:val="21"/>
          <w:highlight w:val="none"/>
          <w14:textFill>
            <w14:solidFill>
              <w14:schemeClr w14:val="tx1"/>
            </w14:solidFill>
          </w14:textFill>
        </w:rPr>
        <w:t>具体见</w:t>
      </w:r>
      <w:r>
        <w:rPr>
          <w:rFonts w:cs="Times New Roman"/>
          <w:color w:val="000000" w:themeColor="text1"/>
          <w:kern w:val="0"/>
          <w:szCs w:val="21"/>
          <w:highlight w:val="none"/>
          <w14:textFill>
            <w14:solidFill>
              <w14:schemeClr w14:val="tx1"/>
            </w14:solidFill>
          </w14:textFill>
        </w:rPr>
        <w:fldChar w:fldCharType="begin"/>
      </w:r>
      <w:r>
        <w:rPr>
          <w:rFonts w:cs="Times New Roman"/>
          <w:color w:val="000000" w:themeColor="text1"/>
          <w:kern w:val="0"/>
          <w:szCs w:val="21"/>
          <w:highlight w:val="none"/>
          <w14:textFill>
            <w14:solidFill>
              <w14:schemeClr w14:val="tx1"/>
            </w14:solidFill>
          </w14:textFill>
        </w:rPr>
        <w:instrText xml:space="preserve"> REF _Ref142907064 \h  \* MERGEFORMAT </w:instrText>
      </w:r>
      <w:r>
        <w:rPr>
          <w:rFonts w:cs="Times New Roman"/>
          <w:color w:val="000000" w:themeColor="text1"/>
          <w:kern w:val="0"/>
          <w:szCs w:val="2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kern w:val="0"/>
          <w:szCs w:val="21"/>
          <w:highlight w:val="none"/>
          <w14:textFill>
            <w14:solidFill>
              <w14:schemeClr w14:val="tx1"/>
            </w14:solidFill>
          </w14:textFill>
        </w:rPr>
        <w:fldChar w:fldCharType="end"/>
      </w:r>
      <w:r>
        <w:rPr>
          <w:rFonts w:cs="Times New Roman"/>
          <w:color w:val="000000" w:themeColor="text1"/>
          <w:kern w:val="0"/>
          <w:szCs w:val="2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32" w:name="_Ref142907064"/>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23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202</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年宣汉县环境空气质量状况统计表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766"/>
        <w:gridCol w:w="3616"/>
        <w:gridCol w:w="1634"/>
        <w:gridCol w:w="1283"/>
        <w:gridCol w:w="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66" w:type="dxa"/>
            <w:vAlign w:val="center"/>
          </w:tcPr>
          <w:p>
            <w:pPr>
              <w:pStyle w:val="297"/>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污染物</w:t>
            </w:r>
          </w:p>
        </w:tc>
        <w:tc>
          <w:tcPr>
            <w:tcW w:w="3616" w:type="dxa"/>
            <w:vAlign w:val="center"/>
          </w:tcPr>
          <w:p>
            <w:pPr>
              <w:pStyle w:val="297"/>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评价指标</w:t>
            </w:r>
          </w:p>
        </w:tc>
        <w:tc>
          <w:tcPr>
            <w:tcW w:w="1634" w:type="dxa"/>
            <w:vAlign w:val="center"/>
          </w:tcPr>
          <w:p>
            <w:pPr>
              <w:pStyle w:val="297"/>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现状浓度</w:t>
            </w:r>
          </w:p>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w:t>
            </w:r>
            <w:r>
              <w:rPr>
                <w:b/>
                <w:bCs/>
                <w:color w:val="000000" w:themeColor="text1"/>
                <w:highlight w:val="none"/>
                <w:shd w:val="clear" w:color="auto" w:fill="FFFFFF"/>
                <w14:textFill>
                  <w14:solidFill>
                    <w14:schemeClr w14:val="tx1"/>
                  </w14:solidFill>
                </w14:textFill>
              </w:rPr>
              <w:t>ug/ m</w:t>
            </w:r>
            <w:r>
              <w:rPr>
                <w:b/>
                <w:bCs/>
                <w:color w:val="000000" w:themeColor="text1"/>
                <w:highlight w:val="none"/>
                <w:shd w:val="clear" w:color="auto" w:fill="FFFFFF"/>
                <w:vertAlign w:val="superscript"/>
                <w14:textFill>
                  <w14:solidFill>
                    <w14:schemeClr w14:val="tx1"/>
                  </w14:solidFill>
                </w14:textFill>
              </w:rPr>
              <w:t>3</w:t>
            </w:r>
            <w:r>
              <w:rPr>
                <w:rFonts w:hint="eastAsia"/>
                <w:b/>
                <w:bCs/>
                <w:color w:val="000000" w:themeColor="text1"/>
                <w:highlight w:val="none"/>
                <w:shd w:val="clear" w:color="auto" w:fill="FFFFFF"/>
                <w:vertAlign w:val="superscript"/>
                <w14:textFill>
                  <w14:solidFill>
                    <w14:schemeClr w14:val="tx1"/>
                  </w14:solidFill>
                </w14:textFill>
              </w:rPr>
              <w:t>)</w:t>
            </w:r>
          </w:p>
        </w:tc>
        <w:tc>
          <w:tcPr>
            <w:tcW w:w="1283" w:type="dxa"/>
            <w:vAlign w:val="center"/>
          </w:tcPr>
          <w:p>
            <w:pPr>
              <w:pStyle w:val="297"/>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标准值</w:t>
            </w:r>
          </w:p>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w:t>
            </w:r>
            <w:r>
              <w:rPr>
                <w:b/>
                <w:bCs/>
                <w:color w:val="000000" w:themeColor="text1"/>
                <w:highlight w:val="none"/>
                <w:shd w:val="clear" w:color="auto" w:fill="FFFFFF"/>
                <w14:textFill>
                  <w14:solidFill>
                    <w14:schemeClr w14:val="tx1"/>
                  </w14:solidFill>
                </w14:textFill>
              </w:rPr>
              <w:t>ug/ m</w:t>
            </w:r>
            <w:r>
              <w:rPr>
                <w:b/>
                <w:bCs/>
                <w:color w:val="000000" w:themeColor="text1"/>
                <w:highlight w:val="none"/>
                <w:shd w:val="clear" w:color="auto" w:fill="FFFFFF"/>
                <w:vertAlign w:val="superscript"/>
                <w14:textFill>
                  <w14:solidFill>
                    <w14:schemeClr w14:val="tx1"/>
                  </w14:solidFill>
                </w14:textFill>
              </w:rPr>
              <w:t>3</w:t>
            </w:r>
            <w:r>
              <w:rPr>
                <w:rFonts w:hint="eastAsia"/>
                <w:b/>
                <w:bCs/>
                <w:color w:val="000000" w:themeColor="text1"/>
                <w:highlight w:val="none"/>
                <w:shd w:val="clear" w:color="auto" w:fill="FFFFFF"/>
                <w:vertAlign w:val="superscript"/>
                <w14:textFill>
                  <w14:solidFill>
                    <w14:schemeClr w14:val="tx1"/>
                  </w14:solidFill>
                </w14:textFill>
              </w:rPr>
              <w:t>)</w:t>
            </w:r>
          </w:p>
        </w:tc>
        <w:tc>
          <w:tcPr>
            <w:tcW w:w="921" w:type="dxa"/>
            <w:vAlign w:val="center"/>
          </w:tcPr>
          <w:p>
            <w:pPr>
              <w:pStyle w:val="297"/>
              <w:rPr>
                <w:b/>
                <w:bCs/>
                <w:color w:val="000000" w:themeColor="text1"/>
                <w:highlight w:val="none"/>
                <w:shd w:val="clear" w:color="auto" w:fill="FFFFFF"/>
                <w14:textFill>
                  <w14:solidFill>
                    <w14:schemeClr w14:val="tx1"/>
                  </w14:solidFill>
                </w14:textFill>
              </w:rPr>
            </w:pPr>
            <w:r>
              <w:rPr>
                <w:b/>
                <w:bCs/>
                <w:color w:val="000000" w:themeColor="text1"/>
                <w:highlight w:val="none"/>
                <w:shd w:val="clear" w:color="auto" w:fill="FFFFFF"/>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66"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SO</w:t>
            </w:r>
            <w:r>
              <w:rPr>
                <w:color w:val="000000" w:themeColor="text1"/>
                <w:highlight w:val="none"/>
                <w:shd w:val="clear" w:color="auto" w:fill="FFFFFF"/>
                <w:vertAlign w:val="subscript"/>
                <w14:textFill>
                  <w14:solidFill>
                    <w14:schemeClr w14:val="tx1"/>
                  </w14:solidFill>
                </w14:textFill>
              </w:rPr>
              <w:t>2</w:t>
            </w:r>
          </w:p>
        </w:tc>
        <w:tc>
          <w:tcPr>
            <w:tcW w:w="3616" w:type="dxa"/>
            <w:vMerge w:val="restart"/>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年评价质量浓度</w:t>
            </w:r>
          </w:p>
        </w:tc>
        <w:tc>
          <w:tcPr>
            <w:tcW w:w="1634" w:type="dxa"/>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6</w:t>
            </w:r>
          </w:p>
        </w:tc>
        <w:tc>
          <w:tcPr>
            <w:tcW w:w="1283"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60</w:t>
            </w:r>
          </w:p>
        </w:tc>
        <w:tc>
          <w:tcPr>
            <w:tcW w:w="921"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66"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NO</w:t>
            </w:r>
            <w:r>
              <w:rPr>
                <w:color w:val="000000" w:themeColor="text1"/>
                <w:highlight w:val="none"/>
                <w:shd w:val="clear" w:color="auto" w:fill="FFFFFF"/>
                <w:vertAlign w:val="subscript"/>
                <w14:textFill>
                  <w14:solidFill>
                    <w14:schemeClr w14:val="tx1"/>
                  </w14:solidFill>
                </w14:textFill>
              </w:rPr>
              <w:t>2</w:t>
            </w:r>
          </w:p>
        </w:tc>
        <w:tc>
          <w:tcPr>
            <w:tcW w:w="3616" w:type="dxa"/>
            <w:vMerge w:val="continue"/>
            <w:vAlign w:val="center"/>
          </w:tcPr>
          <w:p>
            <w:pPr>
              <w:pStyle w:val="297"/>
              <w:rPr>
                <w:color w:val="000000" w:themeColor="text1"/>
                <w:highlight w:val="none"/>
                <w:shd w:val="clear" w:color="auto" w:fill="FFFFFF"/>
                <w14:textFill>
                  <w14:solidFill>
                    <w14:schemeClr w14:val="tx1"/>
                  </w14:solidFill>
                </w14:textFill>
              </w:rPr>
            </w:pPr>
          </w:p>
        </w:tc>
        <w:tc>
          <w:tcPr>
            <w:tcW w:w="1634" w:type="dxa"/>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w:t>
            </w:r>
          </w:p>
        </w:tc>
        <w:tc>
          <w:tcPr>
            <w:tcW w:w="1283"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40</w:t>
            </w:r>
          </w:p>
        </w:tc>
        <w:tc>
          <w:tcPr>
            <w:tcW w:w="921"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66"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PM</w:t>
            </w:r>
            <w:r>
              <w:rPr>
                <w:color w:val="000000" w:themeColor="text1"/>
                <w:highlight w:val="none"/>
                <w:shd w:val="clear" w:color="auto" w:fill="FFFFFF"/>
                <w:vertAlign w:val="subscript"/>
                <w14:textFill>
                  <w14:solidFill>
                    <w14:schemeClr w14:val="tx1"/>
                  </w14:solidFill>
                </w14:textFill>
              </w:rPr>
              <w:t>10</w:t>
            </w:r>
          </w:p>
        </w:tc>
        <w:tc>
          <w:tcPr>
            <w:tcW w:w="3616" w:type="dxa"/>
            <w:vMerge w:val="continue"/>
            <w:vAlign w:val="center"/>
          </w:tcPr>
          <w:p>
            <w:pPr>
              <w:pStyle w:val="297"/>
              <w:rPr>
                <w:color w:val="000000" w:themeColor="text1"/>
                <w:highlight w:val="none"/>
                <w:shd w:val="clear" w:color="auto" w:fill="FFFFFF"/>
                <w14:textFill>
                  <w14:solidFill>
                    <w14:schemeClr w14:val="tx1"/>
                  </w14:solidFill>
                </w14:textFill>
              </w:rPr>
            </w:pPr>
          </w:p>
        </w:tc>
        <w:tc>
          <w:tcPr>
            <w:tcW w:w="1634" w:type="dxa"/>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55</w:t>
            </w:r>
          </w:p>
        </w:tc>
        <w:tc>
          <w:tcPr>
            <w:tcW w:w="1283"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70</w:t>
            </w:r>
          </w:p>
        </w:tc>
        <w:tc>
          <w:tcPr>
            <w:tcW w:w="921"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66"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PM</w:t>
            </w:r>
            <w:r>
              <w:rPr>
                <w:color w:val="000000" w:themeColor="text1"/>
                <w:highlight w:val="none"/>
                <w:shd w:val="clear" w:color="auto" w:fill="FFFFFF"/>
                <w:vertAlign w:val="subscript"/>
                <w14:textFill>
                  <w14:solidFill>
                    <w14:schemeClr w14:val="tx1"/>
                  </w14:solidFill>
                </w14:textFill>
              </w:rPr>
              <w:t>2.5</w:t>
            </w:r>
          </w:p>
        </w:tc>
        <w:tc>
          <w:tcPr>
            <w:tcW w:w="3616" w:type="dxa"/>
            <w:vMerge w:val="continue"/>
            <w:vAlign w:val="center"/>
          </w:tcPr>
          <w:p>
            <w:pPr>
              <w:pStyle w:val="297"/>
              <w:rPr>
                <w:color w:val="000000" w:themeColor="text1"/>
                <w:highlight w:val="none"/>
                <w:shd w:val="clear" w:color="auto" w:fill="FFFFFF"/>
                <w14:textFill>
                  <w14:solidFill>
                    <w14:schemeClr w14:val="tx1"/>
                  </w14:solidFill>
                </w14:textFill>
              </w:rPr>
            </w:pPr>
          </w:p>
        </w:tc>
        <w:tc>
          <w:tcPr>
            <w:tcW w:w="1634"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2</w:t>
            </w:r>
            <w:r>
              <w:rPr>
                <w:rFonts w:hint="eastAsia"/>
                <w:color w:val="000000" w:themeColor="text1"/>
                <w:highlight w:val="none"/>
                <w:shd w:val="clear" w:color="auto" w:fill="FFFFFF"/>
                <w14:textFill>
                  <w14:solidFill>
                    <w14:schemeClr w14:val="tx1"/>
                  </w14:solidFill>
                </w14:textFill>
              </w:rPr>
              <w:t>9</w:t>
            </w:r>
          </w:p>
        </w:tc>
        <w:tc>
          <w:tcPr>
            <w:tcW w:w="1283"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35</w:t>
            </w:r>
          </w:p>
        </w:tc>
        <w:tc>
          <w:tcPr>
            <w:tcW w:w="921"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66"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CO</w:t>
            </w:r>
          </w:p>
        </w:tc>
        <w:tc>
          <w:tcPr>
            <w:tcW w:w="3616"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日均浓度的第95百分位数</w:t>
            </w:r>
          </w:p>
        </w:tc>
        <w:tc>
          <w:tcPr>
            <w:tcW w:w="1634" w:type="dxa"/>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1200</w:t>
            </w:r>
          </w:p>
        </w:tc>
        <w:tc>
          <w:tcPr>
            <w:tcW w:w="1283"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4000</w:t>
            </w:r>
          </w:p>
        </w:tc>
        <w:tc>
          <w:tcPr>
            <w:tcW w:w="921"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66"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O</w:t>
            </w:r>
            <w:r>
              <w:rPr>
                <w:color w:val="000000" w:themeColor="text1"/>
                <w:highlight w:val="none"/>
                <w:shd w:val="clear" w:color="auto" w:fill="FFFFFF"/>
                <w:vertAlign w:val="subscript"/>
                <w14:textFill>
                  <w14:solidFill>
                    <w14:schemeClr w14:val="tx1"/>
                  </w14:solidFill>
                </w14:textFill>
              </w:rPr>
              <w:t>3</w:t>
            </w:r>
          </w:p>
        </w:tc>
        <w:tc>
          <w:tcPr>
            <w:tcW w:w="3616"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日最大8h平均浓度的第90百分位数</w:t>
            </w:r>
          </w:p>
        </w:tc>
        <w:tc>
          <w:tcPr>
            <w:tcW w:w="1634"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9</w:t>
            </w:r>
            <w:r>
              <w:rPr>
                <w:rFonts w:hint="eastAsia"/>
                <w:color w:val="000000" w:themeColor="text1"/>
                <w:highlight w:val="none"/>
                <w:shd w:val="clear" w:color="auto" w:fill="FFFFFF"/>
                <w14:textFill>
                  <w14:solidFill>
                    <w14:schemeClr w14:val="tx1"/>
                  </w14:solidFill>
                </w14:textFill>
              </w:rPr>
              <w:t>0</w:t>
            </w:r>
          </w:p>
        </w:tc>
        <w:tc>
          <w:tcPr>
            <w:tcW w:w="1283"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160</w:t>
            </w:r>
          </w:p>
        </w:tc>
        <w:tc>
          <w:tcPr>
            <w:tcW w:w="921" w:type="dxa"/>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达标</w:t>
            </w:r>
          </w:p>
        </w:tc>
      </w:tr>
    </w:tbl>
    <w:p>
      <w:pPr>
        <w:pStyle w:val="252"/>
        <w:spacing w:before="120" w:beforeLines="50"/>
        <w:ind w:firstLine="480"/>
        <w:rPr>
          <w:color w:val="000000" w:themeColor="text1"/>
          <w:szCs w:val="24"/>
          <w:highlight w:val="none"/>
          <w14:textFill>
            <w14:solidFill>
              <w14:schemeClr w14:val="tx1"/>
            </w14:solidFill>
          </w14:textFill>
        </w:rPr>
      </w:pPr>
      <w:r>
        <w:rPr>
          <w:color w:val="000000" w:themeColor="text1"/>
          <w:szCs w:val="21"/>
          <w:highlight w:val="none"/>
          <w14:textFill>
            <w14:solidFill>
              <w14:schemeClr w14:val="tx1"/>
            </w14:solidFill>
          </w14:textFill>
        </w:rPr>
        <w:t>根据《</w:t>
      </w:r>
      <w:r>
        <w:rPr>
          <w:rFonts w:hint="eastAsia"/>
          <w:color w:val="000000" w:themeColor="text1"/>
          <w:szCs w:val="21"/>
          <w:highlight w:val="none"/>
          <w14:textFill>
            <w14:solidFill>
              <w14:schemeClr w14:val="tx1"/>
            </w14:solidFill>
          </w14:textFill>
        </w:rPr>
        <w:t>达州市2023年环境空气质量状况</w:t>
      </w:r>
      <w:r>
        <w:rPr>
          <w:color w:val="000000" w:themeColor="text1"/>
          <w:szCs w:val="21"/>
          <w:highlight w:val="none"/>
          <w14:textFill>
            <w14:solidFill>
              <w14:schemeClr w14:val="tx1"/>
            </w14:solidFill>
          </w14:textFill>
        </w:rPr>
        <w:t>》内容，宣汉县202</w:t>
      </w: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年度主要污染物SO</w:t>
      </w:r>
      <w:r>
        <w:rPr>
          <w:color w:val="000000" w:themeColor="text1"/>
          <w:szCs w:val="21"/>
          <w:highlight w:val="none"/>
          <w:vertAlign w:val="subscript"/>
          <w14:textFill>
            <w14:solidFill>
              <w14:schemeClr w14:val="tx1"/>
            </w14:solidFill>
          </w14:textFill>
        </w:rPr>
        <w:t>2</w:t>
      </w:r>
      <w:r>
        <w:rPr>
          <w:color w:val="000000" w:themeColor="text1"/>
          <w:szCs w:val="21"/>
          <w:highlight w:val="none"/>
          <w14:textFill>
            <w14:solidFill>
              <w14:schemeClr w14:val="tx1"/>
            </w14:solidFill>
          </w14:textFill>
        </w:rPr>
        <w:t>、NO</w:t>
      </w:r>
      <w:r>
        <w:rPr>
          <w:color w:val="000000" w:themeColor="text1"/>
          <w:szCs w:val="21"/>
          <w:highlight w:val="none"/>
          <w:vertAlign w:val="subscript"/>
          <w14:textFill>
            <w14:solidFill>
              <w14:schemeClr w14:val="tx1"/>
            </w14:solidFill>
          </w14:textFill>
        </w:rPr>
        <w:t>2</w:t>
      </w:r>
      <w:r>
        <w:rPr>
          <w:color w:val="000000" w:themeColor="text1"/>
          <w:szCs w:val="21"/>
          <w:highlight w:val="none"/>
          <w14:textFill>
            <w14:solidFill>
              <w14:schemeClr w14:val="tx1"/>
            </w14:solidFill>
          </w14:textFill>
        </w:rPr>
        <w:t>、PM</w:t>
      </w:r>
      <w:r>
        <w:rPr>
          <w:color w:val="000000" w:themeColor="text1"/>
          <w:szCs w:val="21"/>
          <w:highlight w:val="none"/>
          <w:vertAlign w:val="subscript"/>
          <w14:textFill>
            <w14:solidFill>
              <w14:schemeClr w14:val="tx1"/>
            </w14:solidFill>
          </w14:textFill>
        </w:rPr>
        <w:t>10</w:t>
      </w:r>
      <w:r>
        <w:rPr>
          <w:color w:val="000000" w:themeColor="text1"/>
          <w:szCs w:val="21"/>
          <w:highlight w:val="none"/>
          <w14:textFill>
            <w14:solidFill>
              <w14:schemeClr w14:val="tx1"/>
            </w14:solidFill>
          </w14:textFill>
        </w:rPr>
        <w:t>、PM</w:t>
      </w:r>
      <w:r>
        <w:rPr>
          <w:color w:val="000000" w:themeColor="text1"/>
          <w:szCs w:val="21"/>
          <w:highlight w:val="none"/>
          <w:vertAlign w:val="subscript"/>
          <w14:textFill>
            <w14:solidFill>
              <w14:schemeClr w14:val="tx1"/>
            </w14:solidFill>
          </w14:textFill>
        </w:rPr>
        <w:t>2.5</w:t>
      </w:r>
      <w:r>
        <w:rPr>
          <w:color w:val="000000" w:themeColor="text1"/>
          <w:szCs w:val="21"/>
          <w:highlight w:val="none"/>
          <w14:textFill>
            <w14:solidFill>
              <w14:schemeClr w14:val="tx1"/>
            </w14:solidFill>
          </w14:textFill>
        </w:rPr>
        <w:t>、CO、O</w:t>
      </w:r>
      <w:r>
        <w:rPr>
          <w:color w:val="000000" w:themeColor="text1"/>
          <w:szCs w:val="21"/>
          <w:highlight w:val="none"/>
          <w:vertAlign w:val="subscript"/>
          <w14:textFill>
            <w14:solidFill>
              <w14:schemeClr w14:val="tx1"/>
            </w14:solidFill>
          </w14:textFill>
        </w:rPr>
        <w:t>3</w:t>
      </w:r>
      <w:r>
        <w:rPr>
          <w:color w:val="000000" w:themeColor="text1"/>
          <w:szCs w:val="21"/>
          <w:highlight w:val="none"/>
          <w14:textFill>
            <w14:solidFill>
              <w14:schemeClr w14:val="tx1"/>
            </w14:solidFill>
          </w14:textFill>
        </w:rPr>
        <w:t>均满足《环境空气质量标准》</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GB3095-2012</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二级标准要求，按《环境影响评价技术导则 大气环境》（HJ2.2-2018）区域达标判断标准，宣汉县202</w:t>
      </w: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年度区域环境空气质量为达标区。</w:t>
      </w:r>
    </w:p>
    <w:p>
      <w:pPr>
        <w:pStyle w:val="252"/>
        <w:ind w:firstLine="482"/>
        <w:rPr>
          <w:b/>
          <w:bCs/>
          <w:color w:val="000000" w:themeColor="text1"/>
          <w:szCs w:val="24"/>
          <w:highlight w:val="none"/>
          <w14:textFill>
            <w14:solidFill>
              <w14:schemeClr w14:val="tx1"/>
            </w14:solidFill>
          </w14:textFill>
        </w:rPr>
      </w:pPr>
      <w:r>
        <w:rPr>
          <w:b/>
          <w:bCs/>
          <w:color w:val="000000" w:themeColor="text1"/>
          <w:szCs w:val="24"/>
          <w:highlight w:val="none"/>
          <w14:textFill>
            <w14:solidFill>
              <w14:schemeClr w14:val="tx1"/>
            </w14:solidFill>
          </w14:textFill>
        </w:rPr>
        <w:t>2、特征污染物</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（1）监测点布设</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根据项目工程特点的具体情况，共布设1个大气环境监测点，</w:t>
      </w:r>
      <w:r>
        <w:rPr>
          <w:rFonts w:hint="eastAsia"/>
          <w:color w:val="000000" w:themeColor="text1"/>
          <w:szCs w:val="24"/>
          <w:highlight w:val="none"/>
          <w14:textFill>
            <w14:solidFill>
              <w14:schemeClr w14:val="tx1"/>
            </w14:solidFill>
          </w14:textFill>
        </w:rPr>
        <w:t>位于井场拟建地处</w:t>
      </w:r>
      <w:r>
        <w:rPr>
          <w:color w:val="000000" w:themeColor="text1"/>
          <w:szCs w:val="24"/>
          <w:highlight w:val="none"/>
          <w14:textFill>
            <w14:solidFill>
              <w14:schemeClr w14:val="tx1"/>
            </w14:solidFill>
          </w14:textFill>
        </w:rPr>
        <w:t>。</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（2）监测项目：非甲烷总烃</w:t>
      </w:r>
      <w:r>
        <w:rPr>
          <w:rFonts w:hint="eastAsia"/>
          <w:color w:val="000000" w:themeColor="text1"/>
          <w:szCs w:val="24"/>
          <w:highlight w:val="none"/>
          <w14:textFill>
            <w14:solidFill>
              <w14:schemeClr w14:val="tx1"/>
            </w14:solidFill>
          </w14:textFill>
        </w:rPr>
        <w:t>、总悬浮颗粒物、硫化氢</w:t>
      </w:r>
      <w:r>
        <w:rPr>
          <w:color w:val="000000" w:themeColor="text1"/>
          <w:szCs w:val="24"/>
          <w:highlight w:val="none"/>
          <w14:textFill>
            <w14:solidFill>
              <w14:schemeClr w14:val="tx1"/>
            </w14:solidFill>
          </w14:textFill>
        </w:rPr>
        <w:t>。</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（3）监测频次：连续采样7天。</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（4）采样及分析方法</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采样及分析方法按国家有关规定进行。</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（5）评价标准</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本次非甲烷总烃环境质量现状评价，执行标准采用《大气污染物综合排放标准详解》</w:t>
      </w:r>
      <w:r>
        <w:rPr>
          <w:rFonts w:hint="eastAsia"/>
          <w:color w:val="000000" w:themeColor="text1"/>
          <w:szCs w:val="24"/>
          <w:highlight w:val="none"/>
          <w14:textFill>
            <w14:solidFill>
              <w14:schemeClr w14:val="tx1"/>
            </w14:solidFill>
          </w14:textFill>
        </w:rPr>
        <w:t>小时平均</w:t>
      </w:r>
      <w:r>
        <w:rPr>
          <w:color w:val="000000" w:themeColor="text1"/>
          <w:szCs w:val="24"/>
          <w:highlight w:val="none"/>
          <w14:textFill>
            <w14:solidFill>
              <w14:schemeClr w14:val="tx1"/>
            </w14:solidFill>
          </w14:textFill>
        </w:rPr>
        <w:t>浓度限值2.0mg/m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w:t>
      </w:r>
      <w:r>
        <w:rPr>
          <w:rFonts w:hint="eastAsia"/>
          <w:color w:val="000000" w:themeColor="text1"/>
          <w:szCs w:val="24"/>
          <w:highlight w:val="none"/>
          <w14:textFill>
            <w14:solidFill>
              <w14:schemeClr w14:val="tx1"/>
            </w14:solidFill>
          </w14:textFill>
        </w:rPr>
        <w:t>总悬浮颗粒物</w:t>
      </w:r>
      <w:r>
        <w:rPr>
          <w:bCs/>
          <w:color w:val="000000" w:themeColor="text1"/>
          <w:szCs w:val="24"/>
          <w:highlight w:val="none"/>
          <w14:textFill>
            <w14:solidFill>
              <w14:schemeClr w14:val="tx1"/>
            </w14:solidFill>
          </w14:textFill>
        </w:rPr>
        <w:t>执行《环境空气质量标准》（GB3095-2012）二级标准</w:t>
      </w:r>
      <w:r>
        <w:rPr>
          <w:rFonts w:hint="eastAsia"/>
          <w:bCs/>
          <w:color w:val="000000" w:themeColor="text1"/>
          <w:szCs w:val="24"/>
          <w:highlight w:val="none"/>
          <w14:textFill>
            <w14:solidFill>
              <w14:schemeClr w14:val="tx1"/>
            </w14:solidFill>
          </w14:textFill>
        </w:rPr>
        <w:t>，日平均值为</w:t>
      </w:r>
      <w:r>
        <w:rPr>
          <w:bCs/>
          <w:color w:val="000000" w:themeColor="text1"/>
          <w:szCs w:val="24"/>
          <w:highlight w:val="none"/>
          <w14:textFill>
            <w14:solidFill>
              <w14:schemeClr w14:val="tx1"/>
            </w14:solidFill>
          </w14:textFill>
        </w:rPr>
        <w:t>300μg/m</w:t>
      </w:r>
      <w:r>
        <w:rPr>
          <w:bCs/>
          <w:color w:val="000000" w:themeColor="text1"/>
          <w:szCs w:val="24"/>
          <w:highlight w:val="none"/>
          <w:vertAlign w:val="superscript"/>
          <w14:textFill>
            <w14:solidFill>
              <w14:schemeClr w14:val="tx1"/>
            </w14:solidFill>
          </w14:textFill>
        </w:rPr>
        <w:t>3</w:t>
      </w:r>
      <w:r>
        <w:rPr>
          <w:rFonts w:hint="eastAsia"/>
          <w:bCs/>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硫化氢环境质量现状评价，执行标准采用《环境影响评价技术导则大气环境》（HJ2.2-2018）中附录D</w:t>
      </w:r>
      <w:r>
        <w:rPr>
          <w:rFonts w:hint="eastAsia"/>
          <w:color w:val="000000" w:themeColor="text1"/>
          <w:szCs w:val="24"/>
          <w:highlight w:val="none"/>
          <w14:textFill>
            <w14:solidFill>
              <w14:schemeClr w14:val="tx1"/>
            </w14:solidFill>
          </w14:textFill>
        </w:rPr>
        <w:t>小时平均</w:t>
      </w:r>
      <w:r>
        <w:rPr>
          <w:color w:val="000000" w:themeColor="text1"/>
          <w:szCs w:val="24"/>
          <w:highlight w:val="none"/>
          <w14:textFill>
            <w14:solidFill>
              <w14:schemeClr w14:val="tx1"/>
            </w14:solidFill>
          </w14:textFill>
        </w:rPr>
        <w:t>浓度限值10μg/m</w:t>
      </w:r>
      <w:r>
        <w:rPr>
          <w:color w:val="000000" w:themeColor="text1"/>
          <w:szCs w:val="24"/>
          <w:highlight w:val="none"/>
          <w:vertAlign w:val="superscript"/>
          <w14:textFill>
            <w14:solidFill>
              <w14:schemeClr w14:val="tx1"/>
            </w14:solidFill>
          </w14:textFill>
        </w:rPr>
        <w:t>3</w:t>
      </w:r>
      <w:r>
        <w:rPr>
          <w:rFonts w:hint="eastAsia"/>
          <w:color w:val="000000" w:themeColor="text1"/>
          <w:szCs w:val="24"/>
          <w:highlight w:val="none"/>
          <w:vertAlign w:val="superscript"/>
          <w14:textFill>
            <w14:solidFill>
              <w14:schemeClr w14:val="tx1"/>
            </w14:solidFill>
          </w14:textFill>
        </w:rPr>
        <w:t>。</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（6）评价方法</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根据《环境影响评价技术导则大气环境》（HJ2.2-2018），采用最大监测浓度占标率对评价区域大气环境质量现状进行评价，评价模式如下：</w:t>
      </w:r>
    </w:p>
    <w:p>
      <w:pPr>
        <w:pStyle w:val="252"/>
        <w:ind w:firstLine="480"/>
        <w:rPr>
          <w:color w:val="000000" w:themeColor="text1"/>
          <w:szCs w:val="24"/>
          <w:highlight w:val="none"/>
          <w14:textFill>
            <w14:solidFill>
              <w14:schemeClr w14:val="tx1"/>
            </w14:solidFill>
          </w14:textFill>
        </w:rPr>
      </w:pPr>
      <m:oMathPara>
        <m:oMath>
          <m:sSub>
            <m:sSubPr>
              <m:ctrlPr>
                <w:rPr>
                  <w:rFonts w:ascii="Cambria Math" w:hAnsi="Cambria Math"/>
                  <w:color w:val="000000" w:themeColor="text1"/>
                  <w:kern w:val="2"/>
                  <w:szCs w:val="24"/>
                  <w:highlight w:val="none"/>
                  <w14:textFill>
                    <w14:solidFill>
                      <w14:schemeClr w14:val="tx1"/>
                    </w14:solidFill>
                  </w14:textFill>
                </w:rPr>
              </m:ctrlPr>
            </m:sSubPr>
            <m:e>
              <m:r>
                <m:rPr>
                  <m:sty m:val="p"/>
                </m:rPr>
                <w:rPr>
                  <w:rFonts w:ascii="Cambria Math" w:hAnsi="Cambria Math"/>
                  <w:color w:val="000000" w:themeColor="text1"/>
                  <w:szCs w:val="24"/>
                  <w:highlight w:val="none"/>
                  <w14:textFill>
                    <w14:solidFill>
                      <w14:schemeClr w14:val="tx1"/>
                    </w14:solidFill>
                  </w14:textFill>
                </w:rPr>
                <m:t>P</m:t>
              </m:r>
              <m:ctrlPr>
                <w:rPr>
                  <w:rFonts w:ascii="Cambria Math" w:hAnsi="Cambria Math"/>
                  <w:color w:val="000000" w:themeColor="text1"/>
                  <w:kern w:val="2"/>
                  <w:szCs w:val="24"/>
                  <w:highlight w:val="none"/>
                  <w14:textFill>
                    <w14:solidFill>
                      <w14:schemeClr w14:val="tx1"/>
                    </w14:solidFill>
                  </w14:textFill>
                </w:rPr>
              </m:ctrlPr>
            </m:e>
            <m:sub>
              <m:r>
                <m:rPr>
                  <m:sty m:val="p"/>
                </m:rPr>
                <w:rPr>
                  <w:rFonts w:ascii="Cambria Math" w:hAnsi="Cambria Math"/>
                  <w:color w:val="000000" w:themeColor="text1"/>
                  <w:szCs w:val="24"/>
                  <w:highlight w:val="none"/>
                  <w14:textFill>
                    <w14:solidFill>
                      <w14:schemeClr w14:val="tx1"/>
                    </w14:solidFill>
                  </w14:textFill>
                </w:rPr>
                <m:t>i</m:t>
              </m:r>
              <m:ctrlPr>
                <w:rPr>
                  <w:rFonts w:ascii="Cambria Math" w:hAnsi="Cambria Math"/>
                  <w:color w:val="000000" w:themeColor="text1"/>
                  <w:kern w:val="2"/>
                  <w:szCs w:val="24"/>
                  <w:highlight w:val="none"/>
                  <w14:textFill>
                    <w14:solidFill>
                      <w14:schemeClr w14:val="tx1"/>
                    </w14:solidFill>
                  </w14:textFill>
                </w:rPr>
              </m:ctrlPr>
            </m:sub>
          </m:sSub>
          <m:r>
            <m:rPr>
              <m:sty m:val="p"/>
            </m:rPr>
            <w:rPr>
              <w:rFonts w:ascii="Cambria Math" w:hAnsi="Cambria Math"/>
              <w:color w:val="000000" w:themeColor="text1"/>
              <w:szCs w:val="24"/>
              <w:highlight w:val="none"/>
              <w14:textFill>
                <w14:solidFill>
                  <w14:schemeClr w14:val="tx1"/>
                </w14:solidFill>
              </w14:textFill>
            </w:rPr>
            <m:t>=</m:t>
          </m:r>
          <m:f>
            <m:fPr>
              <m:ctrlPr>
                <w:rPr>
                  <w:rFonts w:ascii="Cambria Math" w:hAnsi="Cambria Math"/>
                  <w:color w:val="000000" w:themeColor="text1"/>
                  <w:kern w:val="2"/>
                  <w:szCs w:val="24"/>
                  <w:highlight w:val="none"/>
                  <w14:textFill>
                    <w14:solidFill>
                      <w14:schemeClr w14:val="tx1"/>
                    </w14:solidFill>
                  </w14:textFill>
                </w:rPr>
              </m:ctrlPr>
            </m:fPr>
            <m:num>
              <m:sSub>
                <m:sSubPr>
                  <m:ctrlPr>
                    <w:rPr>
                      <w:rFonts w:ascii="Cambria Math" w:hAnsi="Cambria Math"/>
                      <w:color w:val="000000" w:themeColor="text1"/>
                      <w:kern w:val="2"/>
                      <w:szCs w:val="24"/>
                      <w:highlight w:val="none"/>
                      <w14:textFill>
                        <w14:solidFill>
                          <w14:schemeClr w14:val="tx1"/>
                        </w14:solidFill>
                      </w14:textFill>
                    </w:rPr>
                  </m:ctrlPr>
                </m:sSubPr>
                <m:e>
                  <m:r>
                    <m:rPr>
                      <m:sty m:val="p"/>
                    </m:rPr>
                    <w:rPr>
                      <w:rFonts w:ascii="Cambria Math" w:hAnsi="Cambria Math"/>
                      <w:color w:val="000000" w:themeColor="text1"/>
                      <w:szCs w:val="24"/>
                      <w:highlight w:val="none"/>
                      <w14:textFill>
                        <w14:solidFill>
                          <w14:schemeClr w14:val="tx1"/>
                        </w14:solidFill>
                      </w14:textFill>
                    </w:rPr>
                    <m:t>C</m:t>
                  </m:r>
                  <m:ctrlPr>
                    <w:rPr>
                      <w:rFonts w:ascii="Cambria Math" w:hAnsi="Cambria Math"/>
                      <w:color w:val="000000" w:themeColor="text1"/>
                      <w:kern w:val="2"/>
                      <w:szCs w:val="24"/>
                      <w:highlight w:val="none"/>
                      <w14:textFill>
                        <w14:solidFill>
                          <w14:schemeClr w14:val="tx1"/>
                        </w14:solidFill>
                      </w14:textFill>
                    </w:rPr>
                  </m:ctrlPr>
                </m:e>
                <m:sub>
                  <m:r>
                    <m:rPr>
                      <m:sty m:val="p"/>
                    </m:rPr>
                    <w:rPr>
                      <w:rFonts w:ascii="Cambria Math" w:hAnsi="Cambria Math"/>
                      <w:color w:val="000000" w:themeColor="text1"/>
                      <w:szCs w:val="24"/>
                      <w:highlight w:val="none"/>
                      <w14:textFill>
                        <w14:solidFill>
                          <w14:schemeClr w14:val="tx1"/>
                        </w14:solidFill>
                      </w14:textFill>
                    </w:rPr>
                    <m:t>i</m:t>
                  </m:r>
                  <m:ctrlPr>
                    <w:rPr>
                      <w:rFonts w:ascii="Cambria Math" w:hAnsi="Cambria Math"/>
                      <w:color w:val="000000" w:themeColor="text1"/>
                      <w:kern w:val="2"/>
                      <w:szCs w:val="24"/>
                      <w:highlight w:val="none"/>
                      <w14:textFill>
                        <w14:solidFill>
                          <w14:schemeClr w14:val="tx1"/>
                        </w14:solidFill>
                      </w14:textFill>
                    </w:rPr>
                  </m:ctrlPr>
                </m:sub>
              </m:sSub>
              <m:ctrlPr>
                <w:rPr>
                  <w:rFonts w:ascii="Cambria Math" w:hAnsi="Cambria Math"/>
                  <w:color w:val="000000" w:themeColor="text1"/>
                  <w:kern w:val="2"/>
                  <w:szCs w:val="24"/>
                  <w:highlight w:val="none"/>
                  <w14:textFill>
                    <w14:solidFill>
                      <w14:schemeClr w14:val="tx1"/>
                    </w14:solidFill>
                  </w14:textFill>
                </w:rPr>
              </m:ctrlPr>
            </m:num>
            <m:den>
              <m:sSub>
                <m:sSubPr>
                  <m:ctrlPr>
                    <w:rPr>
                      <w:rFonts w:ascii="Cambria Math" w:hAnsi="Cambria Math"/>
                      <w:color w:val="000000" w:themeColor="text1"/>
                      <w:kern w:val="2"/>
                      <w:szCs w:val="24"/>
                      <w:highlight w:val="none"/>
                      <w14:textFill>
                        <w14:solidFill>
                          <w14:schemeClr w14:val="tx1"/>
                        </w14:solidFill>
                      </w14:textFill>
                    </w:rPr>
                  </m:ctrlPr>
                </m:sSubPr>
                <m:e>
                  <m:r>
                    <m:rPr>
                      <m:sty m:val="p"/>
                    </m:rPr>
                    <w:rPr>
                      <w:rFonts w:ascii="Cambria Math" w:hAnsi="Cambria Math"/>
                      <w:color w:val="000000" w:themeColor="text1"/>
                      <w:szCs w:val="24"/>
                      <w:highlight w:val="none"/>
                      <w14:textFill>
                        <w14:solidFill>
                          <w14:schemeClr w14:val="tx1"/>
                        </w14:solidFill>
                      </w14:textFill>
                    </w:rPr>
                    <m:t>C</m:t>
                  </m:r>
                  <m:ctrlPr>
                    <w:rPr>
                      <w:rFonts w:ascii="Cambria Math" w:hAnsi="Cambria Math"/>
                      <w:color w:val="000000" w:themeColor="text1"/>
                      <w:kern w:val="2"/>
                      <w:szCs w:val="24"/>
                      <w:highlight w:val="none"/>
                      <w14:textFill>
                        <w14:solidFill>
                          <w14:schemeClr w14:val="tx1"/>
                        </w14:solidFill>
                      </w14:textFill>
                    </w:rPr>
                  </m:ctrlPr>
                </m:e>
                <m:sub>
                  <m:r>
                    <m:rPr>
                      <m:sty m:val="p"/>
                    </m:rPr>
                    <w:rPr>
                      <w:rFonts w:ascii="Cambria Math" w:hAnsi="Cambria Math"/>
                      <w:color w:val="000000" w:themeColor="text1"/>
                      <w:szCs w:val="24"/>
                      <w:highlight w:val="none"/>
                      <w14:textFill>
                        <w14:solidFill>
                          <w14:schemeClr w14:val="tx1"/>
                        </w14:solidFill>
                      </w14:textFill>
                    </w:rPr>
                    <m:t>oi</m:t>
                  </m:r>
                  <m:ctrlPr>
                    <w:rPr>
                      <w:rFonts w:ascii="Cambria Math" w:hAnsi="Cambria Math"/>
                      <w:color w:val="000000" w:themeColor="text1"/>
                      <w:kern w:val="2"/>
                      <w:szCs w:val="24"/>
                      <w:highlight w:val="none"/>
                      <w14:textFill>
                        <w14:solidFill>
                          <w14:schemeClr w14:val="tx1"/>
                        </w14:solidFill>
                      </w14:textFill>
                    </w:rPr>
                  </m:ctrlPr>
                </m:sub>
              </m:sSub>
              <m:ctrlPr>
                <w:rPr>
                  <w:rFonts w:ascii="Cambria Math" w:hAnsi="Cambria Math"/>
                  <w:i/>
                  <w:color w:val="000000" w:themeColor="text1"/>
                  <w:kern w:val="2"/>
                  <w:szCs w:val="24"/>
                  <w:highlight w:val="none"/>
                  <w14:textFill>
                    <w14:solidFill>
                      <w14:schemeClr w14:val="tx1"/>
                    </w14:solidFill>
                  </w14:textFill>
                </w:rPr>
              </m:ctrlPr>
            </m:den>
          </m:f>
          <m:r>
            <m:rPr>
              <m:sty m:val="p"/>
            </m:rPr>
            <w:rPr>
              <w:rFonts w:ascii="Cambria Math" w:hAnsi="Cambria Math"/>
              <w:color w:val="000000" w:themeColor="text1"/>
              <w:szCs w:val="24"/>
              <w:highlight w:val="none"/>
              <w14:textFill>
                <w14:solidFill>
                  <w14:schemeClr w14:val="tx1"/>
                </w14:solidFill>
              </w14:textFill>
            </w:rPr>
            <m:t>×100%</m:t>
          </m:r>
        </m:oMath>
      </m:oMathPara>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Pi——为第i个污染物的最大监测浓度占标率，%；</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Ci——为第i个污染因子的最大实测浓度（mg/m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Coi——为第i个污染物相对应的评价标准（mg/m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w:t>
      </w:r>
    </w:p>
    <w:p>
      <w:pPr>
        <w:pStyle w:val="25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根据HJ2.2-2018，现状监测结果以列表的方式给出各监测点大气污染物的不同取值时间的变化范围，并给出各取值时间最大浓度值占相应标准浓度限值的百分比和超标率，并评价达标情况。</w:t>
      </w:r>
    </w:p>
    <w:p>
      <w:pPr>
        <w:pStyle w:val="21"/>
        <w:spacing w:before="0"/>
        <w:ind w:left="0" w:firstLine="480"/>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（7）监测结果及评价结论见~</w:t>
      </w:r>
      <w:r>
        <w:rPr>
          <w:rFonts w:ascii="Times New Roman" w:hAnsi="Times New Roman"/>
          <w:color w:val="000000" w:themeColor="text1"/>
          <w:highlight w:val="none"/>
          <w:lang w:eastAsia="zh-CN"/>
          <w14:textFill>
            <w14:solidFill>
              <w14:schemeClr w14:val="tx1"/>
            </w14:solidFill>
          </w14:textFill>
        </w:rPr>
        <w:fldChar w:fldCharType="begin"/>
      </w:r>
      <w:r>
        <w:rPr>
          <w:rFonts w:ascii="Times New Roman" w:hAnsi="Times New Roman"/>
          <w:color w:val="000000" w:themeColor="text1"/>
          <w:highlight w:val="none"/>
          <w:lang w:eastAsia="zh-CN"/>
          <w14:textFill>
            <w14:solidFill>
              <w14:schemeClr w14:val="tx1"/>
            </w14:solidFill>
          </w14:textFill>
        </w:rPr>
        <w:instrText xml:space="preserve"> REF _Ref142907107 \h  \* MERGEFORMAT </w:instrText>
      </w:r>
      <w:r>
        <w:rPr>
          <w:rFonts w:ascii="Times New Roman" w:hAnsi="Times New Roman"/>
          <w:color w:val="000000" w:themeColor="text1"/>
          <w:highlight w:val="none"/>
          <w:lang w:eastAsia="zh-CN"/>
          <w14:textFill>
            <w14:solidFill>
              <w14:schemeClr w14:val="tx1"/>
            </w14:solidFill>
          </w14:textFill>
        </w:rPr>
        <w:fldChar w:fldCharType="separate"/>
      </w:r>
      <w:r>
        <w:rPr>
          <w:rFonts w:hint="eastAsia" w:ascii="Times New Roman" w:hAnsi="Times New Roman"/>
          <w:color w:val="000000" w:themeColor="text1"/>
          <w:highlight w:val="none"/>
          <w:lang w:eastAsia="zh-CN"/>
          <w14:textFill>
            <w14:solidFill>
              <w14:schemeClr w14:val="tx1"/>
            </w14:solidFill>
          </w14:textFill>
        </w:rPr>
        <w:t>表</w:t>
      </w:r>
      <w:r>
        <w:rPr>
          <w:rFonts w:ascii="Times New Roman" w:hAnsi="Times New Roman"/>
          <w:color w:val="000000" w:themeColor="text1"/>
          <w:highlight w:val="none"/>
          <w:lang w:eastAsia="zh-CN"/>
          <w14:textFill>
            <w14:solidFill>
              <w14:schemeClr w14:val="tx1"/>
            </w14:solidFill>
          </w14:textFill>
        </w:rPr>
        <w:t>4.2</w:t>
      </w:r>
      <w:r>
        <w:rPr>
          <w:rFonts w:ascii="Times New Roman" w:hAnsi="Times New Roman"/>
          <w:color w:val="000000" w:themeColor="text1"/>
          <w:highlight w:val="none"/>
          <w:lang w:eastAsia="zh-CN"/>
          <w14:textFill>
            <w14:solidFill>
              <w14:schemeClr w14:val="tx1"/>
            </w14:solidFill>
          </w14:textFill>
        </w:rPr>
        <w:noBreakHyphen/>
      </w:r>
      <w:r>
        <w:rPr>
          <w:rFonts w:ascii="Times New Roman" w:hAnsi="Times New Roman"/>
          <w:color w:val="000000" w:themeColor="text1"/>
          <w:highlight w:val="none"/>
          <w:lang w:eastAsia="zh-CN"/>
          <w14:textFill>
            <w14:solidFill>
              <w14:schemeClr w14:val="tx1"/>
            </w14:solidFill>
          </w14:textFill>
        </w:rPr>
        <w:t>4</w:t>
      </w:r>
      <w:r>
        <w:rPr>
          <w:rFonts w:ascii="Times New Roman" w:hAnsi="Times New Roman"/>
          <w:color w:val="000000" w:themeColor="text1"/>
          <w:highlight w:val="none"/>
          <w:lang w:eastAsia="zh-CN"/>
          <w14:textFill>
            <w14:solidFill>
              <w14:schemeClr w14:val="tx1"/>
            </w14:solidFill>
          </w14:textFill>
        </w:rPr>
        <w:fldChar w:fldCharType="end"/>
      </w:r>
      <w:r>
        <w:rPr>
          <w:rFonts w:ascii="Times New Roman" w:hAnsi="Times New Roman"/>
          <w:color w:val="000000" w:themeColor="text1"/>
          <w:highlight w:val="none"/>
          <w:lang w:eastAsia="zh-CN"/>
          <w14:textFill>
            <w14:solidFill>
              <w14:schemeClr w14:val="tx1"/>
            </w14:solidFill>
          </w14:textFill>
        </w:rPr>
        <w:t>。</w:t>
      </w:r>
    </w:p>
    <w:p>
      <w:pPr>
        <w:pStyle w:val="203"/>
        <w:spacing w:before="0" w:beforeLines="0"/>
        <w:rPr>
          <w:color w:val="000000" w:themeColor="text1"/>
          <w:highlight w:val="none"/>
          <w14:textFill>
            <w14:solidFill>
              <w14:schemeClr w14:val="tx1"/>
            </w14:solidFill>
          </w14:textFill>
        </w:rPr>
      </w:pPr>
      <w:bookmarkStart w:id="233" w:name="_Ref14290708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23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 xml:space="preserve"> 环境空气质量现状监测结果</w:t>
      </w:r>
      <w:r>
        <w:rPr>
          <w:color w:val="000000" w:themeColor="text1"/>
          <w:highlight w:val="none"/>
          <w14:textFill>
            <w14:solidFill>
              <w14:schemeClr w14:val="tx1"/>
            </w14:solidFill>
          </w14:textFill>
        </w:rPr>
        <w:t xml:space="preserve">  单位：mg/m</w:t>
      </w:r>
      <w:r>
        <w:rPr>
          <w:color w:val="000000" w:themeColor="text1"/>
          <w:highlight w:val="none"/>
          <w:vertAlign w:val="superscript"/>
          <w14:textFill>
            <w14:solidFill>
              <w14:schemeClr w14:val="tx1"/>
            </w14:solidFill>
          </w14:textFill>
        </w:rPr>
        <w:t>3</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145"/>
        <w:gridCol w:w="1572"/>
        <w:gridCol w:w="1000"/>
        <w:gridCol w:w="1151"/>
        <w:gridCol w:w="1054"/>
        <w:gridCol w:w="1143"/>
        <w:gridCol w:w="1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监测点位</w:t>
            </w:r>
          </w:p>
        </w:tc>
        <w:tc>
          <w:tcPr>
            <w:tcW w:w="1572"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监测日期</w:t>
            </w:r>
          </w:p>
        </w:tc>
        <w:tc>
          <w:tcPr>
            <w:tcW w:w="1000"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项目</w:t>
            </w:r>
          </w:p>
        </w:tc>
        <w:tc>
          <w:tcPr>
            <w:tcW w:w="1151"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第一次</w:t>
            </w:r>
          </w:p>
        </w:tc>
        <w:tc>
          <w:tcPr>
            <w:tcW w:w="1054"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第二次</w:t>
            </w:r>
          </w:p>
        </w:tc>
        <w:tc>
          <w:tcPr>
            <w:tcW w:w="1143"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第三次</w:t>
            </w:r>
          </w:p>
        </w:tc>
        <w:tc>
          <w:tcPr>
            <w:tcW w:w="1155"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第四次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restart"/>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井场拟建地旁</w:t>
            </w: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2024.12.4</w:t>
            </w:r>
          </w:p>
        </w:tc>
        <w:tc>
          <w:tcPr>
            <w:tcW w:w="1000" w:type="dxa"/>
            <w:vMerge w:val="restart"/>
            <w:shd w:val="clear" w:color="auto" w:fill="auto"/>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非甲烷总烃</w:t>
            </w: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0.30</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0.35</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0.40</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2024.12.5</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0.28</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0.36</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0.42</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2024.12.6</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0.16</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0.40</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0.48</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2024.12.7</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0.26</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0.35</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0.38</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2024.12.8</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0.26</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0.38</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0.44</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2024.12.9</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0.23</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0.49</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0.47</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2024.12.10</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0.38</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0.44</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0.46</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2024.12.11</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0.30</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0.35</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0.40</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restart"/>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井场拟建地旁</w:t>
            </w: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2024.12.4</w:t>
            </w:r>
          </w:p>
        </w:tc>
        <w:tc>
          <w:tcPr>
            <w:tcW w:w="1000" w:type="dxa"/>
            <w:vMerge w:val="restart"/>
            <w:shd w:val="clear" w:color="auto" w:fill="auto"/>
            <w:vAlign w:val="center"/>
          </w:tcPr>
          <w:p>
            <w:pPr>
              <w:pStyle w:val="297"/>
              <w:rPr>
                <w:color w:val="000000" w:themeColor="text1"/>
                <w:highlight w:val="none"/>
                <w:shd w:val="clear" w:color="auto" w:fill="FFFFFF"/>
                <w14:textFill>
                  <w14:solidFill>
                    <w14:schemeClr w14:val="tx1"/>
                  </w14:solidFill>
                </w14:textFill>
              </w:rPr>
            </w:pPr>
            <w:r>
              <w:rPr>
                <w:color w:val="000000" w:themeColor="text1"/>
                <w:szCs w:val="21"/>
                <w:highlight w:val="none"/>
                <w14:textFill>
                  <w14:solidFill>
                    <w14:schemeClr w14:val="tx1"/>
                  </w14:solidFill>
                </w14:textFill>
              </w:rPr>
              <w:t>硫化氢</w:t>
            </w: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2024.12.5</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2:00~3:00</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8:00~9:00</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14:00~15:00</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shd w:val="clear" w:color="auto" w:fill="FFFFFF"/>
                <w14:textFill>
                  <w14:solidFill>
                    <w14:schemeClr w14:val="tx1"/>
                  </w14:solidFill>
                </w14:textFill>
              </w:rPr>
              <w:t>20:00~21:00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2024.12.6</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2024.12.7</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2024.12.8</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0.002</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0.002</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2024.12.9</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0.002</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0.004</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2024.12.10</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0.004</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145"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572"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2024.12.11</w:t>
            </w:r>
          </w:p>
        </w:tc>
        <w:tc>
          <w:tcPr>
            <w:tcW w:w="1000" w:type="dxa"/>
            <w:vMerge w:val="continue"/>
            <w:shd w:val="clear" w:color="auto" w:fill="auto"/>
            <w:vAlign w:val="center"/>
          </w:tcPr>
          <w:p>
            <w:pPr>
              <w:pStyle w:val="297"/>
              <w:rPr>
                <w:color w:val="000000" w:themeColor="text1"/>
                <w:highlight w:val="none"/>
                <w:shd w:val="clear" w:color="auto" w:fill="FFFFFF"/>
                <w14:textFill>
                  <w14:solidFill>
                    <w14:schemeClr w14:val="tx1"/>
                  </w14:solidFill>
                </w14:textFill>
              </w:rPr>
            </w:pPr>
          </w:p>
        </w:tc>
        <w:tc>
          <w:tcPr>
            <w:tcW w:w="115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0.002</w:t>
            </w:r>
          </w:p>
        </w:tc>
        <w:tc>
          <w:tcPr>
            <w:tcW w:w="1054"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4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c>
          <w:tcPr>
            <w:tcW w:w="1155"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&lt;0.002</w:t>
            </w:r>
          </w:p>
        </w:tc>
      </w:tr>
    </w:tbl>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环境空气质量现状监测结果</w:t>
      </w:r>
      <w:r>
        <w:rPr>
          <w:color w:val="000000" w:themeColor="text1"/>
          <w:highlight w:val="none"/>
          <w14:textFill>
            <w14:solidFill>
              <w14:schemeClr w14:val="tx1"/>
            </w14:solidFill>
          </w14:textFill>
        </w:rPr>
        <w:t xml:space="preserve">  单位：</w:t>
      </w:r>
      <w:r>
        <w:rPr>
          <w:rFonts w:eastAsia="宋体"/>
          <w:color w:val="000000" w:themeColor="text1"/>
          <w:highlight w:val="none"/>
          <w14:textFill>
            <w14:solidFill>
              <w14:schemeClr w14:val="tx1"/>
            </w14:solidFill>
          </w14:textFill>
        </w:rPr>
        <w:t>µ</w:t>
      </w:r>
      <w:r>
        <w:rPr>
          <w:color w:val="000000" w:themeColor="text1"/>
          <w:highlight w:val="none"/>
          <w14:textFill>
            <w14:solidFill>
              <w14:schemeClr w14:val="tx1"/>
            </w14:solidFill>
          </w14:textFill>
        </w:rPr>
        <w:t>g/m</w:t>
      </w:r>
      <w:r>
        <w:rPr>
          <w:color w:val="000000" w:themeColor="text1"/>
          <w:highlight w:val="none"/>
          <w:vertAlign w:val="superscript"/>
          <w14:textFill>
            <w14:solidFill>
              <w14:schemeClr w14:val="tx1"/>
            </w14:solidFill>
          </w14:textFill>
        </w:rPr>
        <w:t>3</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456"/>
        <w:gridCol w:w="4683"/>
        <w:gridCol w:w="1010"/>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456"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监测点位</w:t>
            </w:r>
          </w:p>
        </w:tc>
        <w:tc>
          <w:tcPr>
            <w:tcW w:w="4683"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监测日期</w:t>
            </w:r>
          </w:p>
        </w:tc>
        <w:tc>
          <w:tcPr>
            <w:tcW w:w="1010"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w:t>
            </w:r>
          </w:p>
        </w:tc>
        <w:tc>
          <w:tcPr>
            <w:tcW w:w="1071" w:type="dxa"/>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456" w:type="dxa"/>
            <w:vMerge w:val="restar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井场拟建地旁</w:t>
            </w:r>
          </w:p>
        </w:tc>
        <w:tc>
          <w:tcPr>
            <w:tcW w:w="468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2024.12.4</w:t>
            </w:r>
          </w:p>
        </w:tc>
        <w:tc>
          <w:tcPr>
            <w:tcW w:w="1010" w:type="dxa"/>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总悬浮颗粒物</w:t>
            </w:r>
          </w:p>
        </w:tc>
        <w:tc>
          <w:tcPr>
            <w:tcW w:w="107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456"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468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2024.12.5</w:t>
            </w:r>
          </w:p>
        </w:tc>
        <w:tc>
          <w:tcPr>
            <w:tcW w:w="1010"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07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456"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468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2024.12.6</w:t>
            </w:r>
          </w:p>
        </w:tc>
        <w:tc>
          <w:tcPr>
            <w:tcW w:w="1010"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07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456"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468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2024.12.7</w:t>
            </w:r>
          </w:p>
        </w:tc>
        <w:tc>
          <w:tcPr>
            <w:tcW w:w="1010"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07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456"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468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2024.12.8</w:t>
            </w:r>
          </w:p>
        </w:tc>
        <w:tc>
          <w:tcPr>
            <w:tcW w:w="1010"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07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456"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468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2024.12.9</w:t>
            </w:r>
          </w:p>
        </w:tc>
        <w:tc>
          <w:tcPr>
            <w:tcW w:w="1010"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07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456"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4683"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2024.12.10</w:t>
            </w:r>
          </w:p>
        </w:tc>
        <w:tc>
          <w:tcPr>
            <w:tcW w:w="1010" w:type="dxa"/>
            <w:vMerge w:val="continue"/>
            <w:shd w:val="clear" w:color="auto" w:fill="auto"/>
            <w:vAlign w:val="center"/>
          </w:tcPr>
          <w:p>
            <w:pPr>
              <w:pStyle w:val="297"/>
              <w:rPr>
                <w:color w:val="000000" w:themeColor="text1"/>
                <w:highlight w:val="none"/>
                <w14:textFill>
                  <w14:solidFill>
                    <w14:schemeClr w14:val="tx1"/>
                  </w14:solidFill>
                </w14:textFill>
              </w:rPr>
            </w:pPr>
          </w:p>
        </w:tc>
        <w:tc>
          <w:tcPr>
            <w:tcW w:w="107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10</w:t>
            </w:r>
          </w:p>
        </w:tc>
      </w:tr>
    </w:tbl>
    <w:p>
      <w:pPr>
        <w:pStyle w:val="203"/>
        <w:spacing w:before="120"/>
        <w:rPr>
          <w:color w:val="000000" w:themeColor="text1"/>
          <w:highlight w:val="none"/>
          <w14:textFill>
            <w14:solidFill>
              <w14:schemeClr w14:val="tx1"/>
            </w14:solidFill>
          </w14:textFill>
        </w:rPr>
      </w:pPr>
      <w:bookmarkStart w:id="234" w:name="_Ref14290710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bookmarkEnd w:id="234"/>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环境空气质量现状及评价</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967"/>
        <w:gridCol w:w="1115"/>
        <w:gridCol w:w="817"/>
        <w:gridCol w:w="600"/>
        <w:gridCol w:w="1279"/>
        <w:gridCol w:w="1075"/>
        <w:gridCol w:w="1163"/>
        <w:gridCol w:w="600"/>
        <w:gridCol w:w="6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96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监测点位</w:t>
            </w:r>
          </w:p>
        </w:tc>
        <w:tc>
          <w:tcPr>
            <w:tcW w:w="111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采样时间</w:t>
            </w:r>
          </w:p>
        </w:tc>
        <w:tc>
          <w:tcPr>
            <w:tcW w:w="81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监测项目</w:t>
            </w:r>
          </w:p>
        </w:tc>
        <w:tc>
          <w:tcPr>
            <w:tcW w:w="60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采样个数</w:t>
            </w:r>
          </w:p>
        </w:tc>
        <w:tc>
          <w:tcPr>
            <w:tcW w:w="127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浓度范围</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m</w:t>
            </w:r>
            <w:r>
              <w:rPr>
                <w:b/>
                <w:bCs/>
                <w:color w:val="000000" w:themeColor="text1"/>
                <w:highlight w:val="none"/>
                <w:lang w:val="zh-CN"/>
                <w14:textFill>
                  <w14:solidFill>
                    <w14:schemeClr w14:val="tx1"/>
                  </w14:solidFill>
                </w14:textFill>
              </w:rPr>
              <w:t>g</w:t>
            </w:r>
            <w:r>
              <w:rPr>
                <w:b/>
                <w:bCs/>
                <w:color w:val="000000" w:themeColor="text1"/>
                <w:highlight w:val="none"/>
                <w14:textFill>
                  <w14:solidFill>
                    <w14:schemeClr w14:val="tx1"/>
                  </w14:solidFill>
                </w14:textFill>
              </w:rPr>
              <w:t>/m</w:t>
            </w:r>
            <w:r>
              <w:rPr>
                <w:b/>
                <w:bCs/>
                <w:color w:val="000000" w:themeColor="text1"/>
                <w:highlight w:val="none"/>
                <w:vertAlign w:val="superscript"/>
                <w14:textFill>
                  <w14:solidFill>
                    <w14:schemeClr w14:val="tx1"/>
                  </w14:solidFill>
                </w14:textFill>
              </w:rPr>
              <w:t>3</w:t>
            </w:r>
          </w:p>
        </w:tc>
        <w:tc>
          <w:tcPr>
            <w:tcW w:w="1075"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标准限值</w:t>
            </w:r>
            <w:r>
              <w:rPr>
                <w:b/>
                <w:bCs/>
                <w:color w:val="000000" w:themeColor="text1"/>
                <w:highlight w:val="none"/>
                <w14:textFill>
                  <w14:solidFill>
                    <w14:schemeClr w14:val="tx1"/>
                  </w14:solidFill>
                </w14:textFill>
              </w:rPr>
              <w:t>m</w:t>
            </w:r>
            <w:r>
              <w:rPr>
                <w:b/>
                <w:bCs/>
                <w:color w:val="000000" w:themeColor="text1"/>
                <w:highlight w:val="none"/>
                <w:lang w:val="zh-CN"/>
                <w14:textFill>
                  <w14:solidFill>
                    <w14:schemeClr w14:val="tx1"/>
                  </w14:solidFill>
                </w14:textFill>
              </w:rPr>
              <w:t>g</w:t>
            </w:r>
            <w:r>
              <w:rPr>
                <w:b/>
                <w:bCs/>
                <w:color w:val="000000" w:themeColor="text1"/>
                <w:highlight w:val="none"/>
                <w14:textFill>
                  <w14:solidFill>
                    <w14:schemeClr w14:val="tx1"/>
                  </w14:solidFill>
                </w14:textFill>
              </w:rPr>
              <w:t>/m</w:t>
            </w:r>
            <w:r>
              <w:rPr>
                <w:b/>
                <w:bCs/>
                <w:color w:val="000000" w:themeColor="text1"/>
                <w:highlight w:val="none"/>
                <w:vertAlign w:val="superscript"/>
                <w14:textFill>
                  <w14:solidFill>
                    <w14:schemeClr w14:val="tx1"/>
                  </w14:solidFill>
                </w14:textFill>
              </w:rPr>
              <w:t>3</w:t>
            </w:r>
          </w:p>
        </w:tc>
        <w:tc>
          <w:tcPr>
            <w:tcW w:w="1163"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最大浓度占标率P</w:t>
            </w:r>
            <w:r>
              <w:rPr>
                <w:b/>
                <w:bCs/>
                <w:color w:val="000000" w:themeColor="text1"/>
                <w:highlight w:val="none"/>
                <w:vertAlign w:val="subscript"/>
                <w14:textFill>
                  <w14:solidFill>
                    <w14:schemeClr w14:val="tx1"/>
                  </w14:solidFill>
                </w14:textFill>
              </w:rPr>
              <w:t>i</w:t>
            </w:r>
            <w:r>
              <w:rPr>
                <w:rFonts w:hint="eastAsia"/>
                <w:b/>
                <w:bCs/>
                <w:color w:val="000000" w:themeColor="text1"/>
                <w:highlight w:val="none"/>
                <w14:textFill>
                  <w14:solidFill>
                    <w14:schemeClr w14:val="tx1"/>
                  </w14:solidFill>
                </w14:textFill>
              </w:rPr>
              <w:t>（%）</w:t>
            </w:r>
          </w:p>
        </w:tc>
        <w:tc>
          <w:tcPr>
            <w:tcW w:w="60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超标率</w:t>
            </w:r>
          </w:p>
        </w:tc>
        <w:tc>
          <w:tcPr>
            <w:tcW w:w="60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达标</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967" w:type="dxa"/>
            <w:vMerge w:val="restart"/>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井场拟建地旁</w:t>
            </w:r>
          </w:p>
        </w:tc>
        <w:tc>
          <w:tcPr>
            <w:tcW w:w="1115" w:type="dxa"/>
            <w:vMerge w:val="restart"/>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2024.12.4~2024.12.10</w:t>
            </w:r>
          </w:p>
        </w:tc>
        <w:tc>
          <w:tcPr>
            <w:tcW w:w="817"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非甲烷总烃</w:t>
            </w:r>
          </w:p>
        </w:tc>
        <w:tc>
          <w:tcPr>
            <w:tcW w:w="6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28</w:t>
            </w:r>
          </w:p>
        </w:tc>
        <w:tc>
          <w:tcPr>
            <w:tcW w:w="1279"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w:t>
            </w:r>
            <w:r>
              <w:rPr>
                <w:rFonts w:hint="eastAsia"/>
                <w:color w:val="000000" w:themeColor="text1"/>
                <w:szCs w:val="21"/>
                <w:highlight w:val="none"/>
                <w14:textFill>
                  <w14:solidFill>
                    <w14:schemeClr w14:val="tx1"/>
                  </w14:solidFill>
                </w14:textFill>
              </w:rPr>
              <w:t>16</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0.60</w:t>
            </w:r>
          </w:p>
        </w:tc>
        <w:tc>
          <w:tcPr>
            <w:tcW w:w="107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2.0</w:t>
            </w:r>
          </w:p>
        </w:tc>
        <w:tc>
          <w:tcPr>
            <w:tcW w:w="116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30%</w:t>
            </w:r>
          </w:p>
        </w:tc>
        <w:tc>
          <w:tcPr>
            <w:tcW w:w="6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w:t>
            </w:r>
          </w:p>
        </w:tc>
        <w:tc>
          <w:tcPr>
            <w:tcW w:w="604"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967" w:type="dxa"/>
            <w:vMerge w:val="continue"/>
            <w:vAlign w:val="center"/>
          </w:tcPr>
          <w:p>
            <w:pPr>
              <w:pStyle w:val="297"/>
              <w:rPr>
                <w:color w:val="000000" w:themeColor="text1"/>
                <w:szCs w:val="21"/>
                <w:highlight w:val="none"/>
                <w14:textFill>
                  <w14:solidFill>
                    <w14:schemeClr w14:val="tx1"/>
                  </w14:solidFill>
                </w14:textFill>
              </w:rPr>
            </w:pPr>
          </w:p>
        </w:tc>
        <w:tc>
          <w:tcPr>
            <w:tcW w:w="1115" w:type="dxa"/>
            <w:vMerge w:val="continue"/>
            <w:vAlign w:val="center"/>
          </w:tcPr>
          <w:p>
            <w:pPr>
              <w:pStyle w:val="297"/>
              <w:rPr>
                <w:color w:val="000000" w:themeColor="text1"/>
                <w:szCs w:val="21"/>
                <w:highlight w:val="none"/>
                <w14:textFill>
                  <w14:solidFill>
                    <w14:schemeClr w14:val="tx1"/>
                  </w14:solidFill>
                </w14:textFill>
              </w:rPr>
            </w:pPr>
          </w:p>
        </w:tc>
        <w:tc>
          <w:tcPr>
            <w:tcW w:w="817"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总悬浮颗粒物</w:t>
            </w:r>
          </w:p>
        </w:tc>
        <w:tc>
          <w:tcPr>
            <w:tcW w:w="6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w:t>
            </w:r>
          </w:p>
        </w:tc>
        <w:tc>
          <w:tcPr>
            <w:tcW w:w="1279"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0.008</w:t>
            </w:r>
            <w:r>
              <w:rPr>
                <w:color w:val="000000" w:themeColor="text1"/>
                <w:szCs w:val="21"/>
                <w:highlight w:val="none"/>
                <w14:textFill>
                  <w14:solidFill>
                    <w14:schemeClr w14:val="tx1"/>
                  </w14:solidFill>
                </w14:textFill>
              </w:rPr>
              <w:t>~0.</w:t>
            </w:r>
            <w:r>
              <w:rPr>
                <w:rFonts w:hint="eastAsia"/>
                <w:color w:val="000000" w:themeColor="text1"/>
                <w:szCs w:val="21"/>
                <w:highlight w:val="none"/>
                <w14:textFill>
                  <w14:solidFill>
                    <w14:schemeClr w14:val="tx1"/>
                  </w14:solidFill>
                </w14:textFill>
              </w:rPr>
              <w:t>047</w:t>
            </w:r>
          </w:p>
        </w:tc>
        <w:tc>
          <w:tcPr>
            <w:tcW w:w="107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0.3</w:t>
            </w:r>
          </w:p>
        </w:tc>
        <w:tc>
          <w:tcPr>
            <w:tcW w:w="116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15.6%</w:t>
            </w:r>
          </w:p>
        </w:tc>
        <w:tc>
          <w:tcPr>
            <w:tcW w:w="6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w:t>
            </w:r>
          </w:p>
        </w:tc>
        <w:tc>
          <w:tcPr>
            <w:tcW w:w="604"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67" w:type="dxa"/>
            <w:vMerge w:val="continue"/>
            <w:vAlign w:val="center"/>
          </w:tcPr>
          <w:p>
            <w:pPr>
              <w:pStyle w:val="297"/>
              <w:rPr>
                <w:color w:val="000000" w:themeColor="text1"/>
                <w:szCs w:val="21"/>
                <w:highlight w:val="none"/>
                <w14:textFill>
                  <w14:solidFill>
                    <w14:schemeClr w14:val="tx1"/>
                  </w14:solidFill>
                </w14:textFill>
              </w:rPr>
            </w:pPr>
          </w:p>
        </w:tc>
        <w:tc>
          <w:tcPr>
            <w:tcW w:w="111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2024.12.4~2024.12.10</w:t>
            </w:r>
          </w:p>
        </w:tc>
        <w:tc>
          <w:tcPr>
            <w:tcW w:w="817"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硫化氢</w:t>
            </w:r>
          </w:p>
        </w:tc>
        <w:tc>
          <w:tcPr>
            <w:tcW w:w="600"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28</w:t>
            </w:r>
          </w:p>
        </w:tc>
        <w:tc>
          <w:tcPr>
            <w:tcW w:w="1279"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&lt;0.002~0.004</w:t>
            </w:r>
          </w:p>
        </w:tc>
        <w:tc>
          <w:tcPr>
            <w:tcW w:w="107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0.01</w:t>
            </w:r>
          </w:p>
        </w:tc>
        <w:tc>
          <w:tcPr>
            <w:tcW w:w="116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40%</w:t>
            </w:r>
          </w:p>
        </w:tc>
        <w:tc>
          <w:tcPr>
            <w:tcW w:w="600" w:type="dxa"/>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w:t>
            </w:r>
          </w:p>
        </w:tc>
        <w:tc>
          <w:tcPr>
            <w:tcW w:w="604" w:type="dxa"/>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bl>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评价结论：</w:t>
      </w:r>
      <w:bookmarkStart w:id="235" w:name="_Hlk100174299"/>
      <w:r>
        <w:rPr>
          <w:color w:val="000000" w:themeColor="text1"/>
          <w:kern w:val="0"/>
          <w:szCs w:val="21"/>
          <w:highlight w:val="none"/>
          <w14:textFill>
            <w14:solidFill>
              <w14:schemeClr w14:val="tx1"/>
            </w14:solidFill>
          </w14:textFill>
        </w:rPr>
        <w:t>本项目所在地环境空气中特征污染物非甲烷总烃现状监测值均低于《大气污染物综合排放标准详解》浓度限值；硫化氢现状监测值均低于《环境影响评价技术导则大气环境》（HJ2.2-2018）中附录D标准限值</w:t>
      </w:r>
      <w:r>
        <w:rPr>
          <w:rFonts w:hint="eastAsia"/>
          <w:color w:val="000000" w:themeColor="text1"/>
          <w:kern w:val="0"/>
          <w:szCs w:val="21"/>
          <w:highlight w:val="none"/>
          <w14:textFill>
            <w14:solidFill>
              <w14:schemeClr w14:val="tx1"/>
            </w14:solidFill>
          </w14:textFill>
        </w:rPr>
        <w:t>。监测结果表明，</w:t>
      </w:r>
      <w:r>
        <w:rPr>
          <w:color w:val="000000" w:themeColor="text1"/>
          <w:kern w:val="0"/>
          <w:szCs w:val="21"/>
          <w:highlight w:val="none"/>
          <w14:textFill>
            <w14:solidFill>
              <w14:schemeClr w14:val="tx1"/>
            </w14:solidFill>
          </w14:textFill>
        </w:rPr>
        <w:t>本项目所在地环境空气</w:t>
      </w:r>
      <w:r>
        <w:rPr>
          <w:rFonts w:hint="eastAsia"/>
          <w:color w:val="000000" w:themeColor="text1"/>
          <w:kern w:val="0"/>
          <w:szCs w:val="21"/>
          <w:highlight w:val="none"/>
          <w14:textFill>
            <w14:solidFill>
              <w14:schemeClr w14:val="tx1"/>
            </w14:solidFill>
          </w14:textFill>
        </w:rPr>
        <w:t>现状良好</w:t>
      </w:r>
      <w:r>
        <w:rPr>
          <w:color w:val="000000" w:themeColor="text1"/>
          <w:highlight w:val="none"/>
          <w14:textFill>
            <w14:solidFill>
              <w14:schemeClr w14:val="tx1"/>
            </w14:solidFill>
          </w14:textFill>
        </w:rPr>
        <w:t>。</w:t>
      </w:r>
      <w:bookmarkEnd w:id="235"/>
    </w:p>
    <w:p>
      <w:pPr>
        <w:pStyle w:val="4"/>
        <w:spacing w:before="0" w:beforeLines="0"/>
        <w:ind w:firstLine="480"/>
        <w:rPr>
          <w:b/>
          <w:color w:val="000000" w:themeColor="text1"/>
          <w:highlight w:val="none"/>
          <w:lang w:eastAsia="zh-CN"/>
          <w14:textFill>
            <w14:solidFill>
              <w14:schemeClr w14:val="tx1"/>
            </w14:solidFill>
          </w14:textFill>
        </w:rPr>
      </w:pPr>
      <w:bookmarkStart w:id="236" w:name="_Toc120173129"/>
      <w:r>
        <w:rPr>
          <w:color w:val="000000" w:themeColor="text1"/>
          <w:highlight w:val="none"/>
          <w:lang w:eastAsia="zh-CN"/>
          <w14:textFill>
            <w14:solidFill>
              <w14:schemeClr w14:val="tx1"/>
            </w14:solidFill>
          </w14:textFill>
        </w:rPr>
        <w:t>地表水环境质量现状</w:t>
      </w:r>
      <w:bookmarkEnd w:id="236"/>
    </w:p>
    <w:p>
      <w:pPr>
        <w:pStyle w:val="21"/>
        <w:spacing w:before="0"/>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本项目位于</w:t>
      </w:r>
      <w:r>
        <w:rPr>
          <w:rFonts w:hint="eastAsia" w:ascii="Times New Roman" w:hAnsi="Times New Roman"/>
          <w:bCs/>
          <w:color w:val="000000" w:themeColor="text1"/>
          <w:kern w:val="2"/>
          <w:highlight w:val="none"/>
          <w:lang w:eastAsia="zh-CN"/>
          <w14:textFill>
            <w14:solidFill>
              <w14:schemeClr w14:val="tx1"/>
            </w14:solidFill>
          </w14:textFill>
        </w:rPr>
        <w:t>后</w:t>
      </w:r>
      <w:r>
        <w:rPr>
          <w:rFonts w:ascii="Times New Roman" w:hAnsi="Times New Roman"/>
          <w:bCs/>
          <w:color w:val="000000" w:themeColor="text1"/>
          <w:kern w:val="2"/>
          <w:highlight w:val="none"/>
          <w:lang w:eastAsia="zh-CN"/>
          <w14:textFill>
            <w14:solidFill>
              <w14:schemeClr w14:val="tx1"/>
            </w14:solidFill>
          </w14:textFill>
        </w:rPr>
        <w:t>河流域，州河属于渠江流域，根据《202</w:t>
      </w:r>
      <w:r>
        <w:rPr>
          <w:rFonts w:hint="eastAsia" w:ascii="Times New Roman" w:hAnsi="Times New Roman"/>
          <w:bCs/>
          <w:color w:val="000000" w:themeColor="text1"/>
          <w:kern w:val="2"/>
          <w:highlight w:val="none"/>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年</w:t>
      </w:r>
      <w:r>
        <w:rPr>
          <w:rFonts w:hint="eastAsia" w:ascii="Times New Roman" w:hAnsi="Times New Roman"/>
          <w:bCs/>
          <w:color w:val="000000" w:themeColor="text1"/>
          <w:kern w:val="2"/>
          <w:highlight w:val="none"/>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月达州市地表水水质月报》：202</w:t>
      </w:r>
      <w:r>
        <w:rPr>
          <w:rFonts w:hint="eastAsia" w:ascii="Times New Roman" w:hAnsi="Times New Roman"/>
          <w:bCs/>
          <w:color w:val="000000" w:themeColor="text1"/>
          <w:kern w:val="2"/>
          <w:highlight w:val="none"/>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年</w:t>
      </w:r>
      <w:r>
        <w:rPr>
          <w:rFonts w:hint="eastAsia" w:ascii="Times New Roman" w:hAnsi="Times New Roman"/>
          <w:bCs/>
          <w:color w:val="000000" w:themeColor="text1"/>
          <w:kern w:val="2"/>
          <w:highlight w:val="none"/>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月全市3</w:t>
      </w:r>
      <w:r>
        <w:rPr>
          <w:rFonts w:hint="eastAsia" w:ascii="Times New Roman" w:hAnsi="Times New Roman"/>
          <w:bCs/>
          <w:color w:val="000000" w:themeColor="text1"/>
          <w:kern w:val="2"/>
          <w:highlight w:val="none"/>
          <w:lang w:eastAsia="zh-CN"/>
          <w14:textFill>
            <w14:solidFill>
              <w14:schemeClr w14:val="tx1"/>
            </w14:solidFill>
          </w14:textFill>
        </w:rPr>
        <w:t>7</w:t>
      </w:r>
      <w:r>
        <w:rPr>
          <w:rFonts w:ascii="Times New Roman" w:hAnsi="Times New Roman"/>
          <w:bCs/>
          <w:color w:val="000000" w:themeColor="text1"/>
          <w:kern w:val="2"/>
          <w:highlight w:val="none"/>
          <w:lang w:eastAsia="zh-CN"/>
          <w14:textFill>
            <w14:solidFill>
              <w14:schemeClr w14:val="tx1"/>
            </w14:solidFill>
          </w14:textFill>
        </w:rPr>
        <w:t>个河流断面</w:t>
      </w:r>
      <w:r>
        <w:rPr>
          <w:rFonts w:hint="eastAsia" w:ascii="Times New Roman" w:hAnsi="Times New Roman"/>
          <w:bCs/>
          <w:color w:val="000000" w:themeColor="text1"/>
          <w:kern w:val="2"/>
          <w:highlight w:val="none"/>
          <w:lang w:eastAsia="zh-CN"/>
          <w14:textFill>
            <w14:solidFill>
              <w14:schemeClr w14:val="tx1"/>
            </w14:solidFill>
          </w14:textFill>
        </w:rPr>
        <w:t>均为</w:t>
      </w:r>
      <w:r>
        <w:rPr>
          <w:rFonts w:ascii="Times New Roman" w:hAnsi="Times New Roman"/>
          <w:bCs/>
          <w:color w:val="000000" w:themeColor="text1"/>
          <w:kern w:val="2"/>
          <w:highlight w:val="none"/>
          <w:lang w:eastAsia="zh-CN"/>
          <w14:textFill>
            <w14:solidFill>
              <w14:schemeClr w14:val="tx1"/>
            </w14:solidFill>
          </w14:textFill>
        </w:rPr>
        <w:t>优（Ⅰ~Ⅱ类）良（Ⅲ类）水质，占比</w:t>
      </w:r>
      <w:r>
        <w:rPr>
          <w:rFonts w:hint="eastAsia" w:ascii="Times New Roman" w:hAnsi="Times New Roman"/>
          <w:bCs/>
          <w:color w:val="000000" w:themeColor="text1"/>
          <w:kern w:val="2"/>
          <w:highlight w:val="none"/>
          <w:lang w:eastAsia="zh-CN"/>
          <w14:textFill>
            <w14:solidFill>
              <w14:schemeClr w14:val="tx1"/>
            </w14:solidFill>
          </w14:textFill>
        </w:rPr>
        <w:t>100</w:t>
      </w:r>
      <w:r>
        <w:rPr>
          <w:rFonts w:ascii="Times New Roman" w:hAnsi="Times New Roman"/>
          <w:bCs/>
          <w:color w:val="000000" w:themeColor="text1"/>
          <w:kern w:val="2"/>
          <w:highlight w:val="none"/>
          <w:lang w:eastAsia="zh-CN"/>
          <w14:textFill>
            <w14:solidFill>
              <w14:schemeClr w14:val="tx1"/>
            </w14:solidFill>
          </w14:textFill>
        </w:rPr>
        <w:t>%。</w:t>
      </w:r>
    </w:p>
    <w:p>
      <w:pPr>
        <w:ind w:firstLine="480"/>
        <w:rPr>
          <w:bCs/>
          <w:color w:val="000000" w:themeColor="text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根据宣汉县环境监测站2024年1</w:t>
      </w:r>
      <w:r>
        <w:rPr>
          <w:rFonts w:hint="eastAsia"/>
          <w:color w:val="000000" w:themeColor="text1"/>
          <w:kern w:val="0"/>
          <w:szCs w:val="21"/>
          <w:highlight w:val="none"/>
          <w:lang w:eastAsia="zh-CN"/>
          <w14:textFill>
            <w14:solidFill>
              <w14:schemeClr w14:val="tx1"/>
            </w14:solidFill>
          </w14:textFill>
        </w:rPr>
        <w:t>月</w:t>
      </w:r>
      <w:r>
        <w:rPr>
          <w:rFonts w:hint="eastAsia"/>
          <w:color w:val="000000" w:themeColor="text1"/>
          <w:kern w:val="0"/>
          <w:szCs w:val="21"/>
          <w:highlight w:val="none"/>
          <w14:textFill>
            <w14:solidFill>
              <w14:schemeClr w14:val="tx1"/>
            </w14:solidFill>
          </w14:textFill>
        </w:rPr>
        <w:t>~10月对后河徐家坡的断面监测数据（断面位于宣汉县东乡镇，为市级河长制控制断面），监测结果如下。</w:t>
      </w:r>
    </w:p>
    <w:p>
      <w:pPr>
        <w:pStyle w:val="30"/>
        <w:spacing w:line="240" w:lineRule="auto"/>
        <w:ind w:firstLine="420"/>
        <w:jc w:val="center"/>
        <w:rPr>
          <w:rFonts w:ascii="Times New Roman" w:eastAsia="黑体"/>
          <w:b w:val="0"/>
          <w:bCs w:val="0"/>
          <w:color w:val="000000" w:themeColor="text1"/>
          <w:sz w:val="21"/>
          <w:szCs w:val="21"/>
          <w:highlight w:val="none"/>
          <w14:textFill>
            <w14:solidFill>
              <w14:schemeClr w14:val="tx1"/>
            </w14:solidFill>
          </w14:textFill>
        </w:rPr>
      </w:pPr>
      <w:r>
        <w:rPr>
          <w:rFonts w:hint="eastAsia" w:ascii="Times New Roman" w:eastAsia="黑体"/>
          <w:b w:val="0"/>
          <w:bCs w:val="0"/>
          <w:color w:val="000000" w:themeColor="text1"/>
          <w:sz w:val="21"/>
          <w:szCs w:val="21"/>
          <w:highlight w:val="none"/>
          <w14:textFill>
            <w14:solidFill>
              <w14:schemeClr w14:val="tx1"/>
            </w14:solidFill>
          </w14:textFill>
        </w:rPr>
        <w:t>表4.2-5  地表水环境质量现状及评价</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8"/>
        <w:gridCol w:w="307"/>
        <w:gridCol w:w="577"/>
        <w:gridCol w:w="508"/>
        <w:gridCol w:w="586"/>
        <w:gridCol w:w="616"/>
        <w:gridCol w:w="678"/>
        <w:gridCol w:w="578"/>
        <w:gridCol w:w="665"/>
        <w:gridCol w:w="540"/>
        <w:gridCol w:w="540"/>
        <w:gridCol w:w="737"/>
        <w:gridCol w:w="658"/>
        <w:gridCol w:w="578"/>
        <w:gridCol w:w="5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403" w:type="pct"/>
            <w:gridSpan w:val="2"/>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监测时间</w:t>
            </w:r>
          </w:p>
        </w:tc>
        <w:tc>
          <w:tcPr>
            <w:tcW w:w="338"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pH</w:t>
            </w:r>
          </w:p>
        </w:tc>
        <w:tc>
          <w:tcPr>
            <w:tcW w:w="299"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DO</w:t>
            </w:r>
          </w:p>
        </w:tc>
        <w:tc>
          <w:tcPr>
            <w:tcW w:w="343"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COD</w:t>
            </w:r>
            <w:r>
              <w:rPr>
                <w:b/>
                <w:bCs/>
                <w:color w:val="000000" w:themeColor="text1"/>
                <w:szCs w:val="21"/>
                <w:highlight w:val="none"/>
                <w:vertAlign w:val="subscript"/>
                <w14:textFill>
                  <w14:solidFill>
                    <w14:schemeClr w14:val="tx1"/>
                  </w14:solidFill>
                </w14:textFill>
              </w:rPr>
              <w:t>mn</w:t>
            </w:r>
          </w:p>
        </w:tc>
        <w:tc>
          <w:tcPr>
            <w:tcW w:w="361"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BOD</w:t>
            </w:r>
            <w:r>
              <w:rPr>
                <w:b/>
                <w:bCs/>
                <w:color w:val="000000" w:themeColor="text1"/>
                <w:szCs w:val="21"/>
                <w:highlight w:val="none"/>
                <w:vertAlign w:val="subscript"/>
                <w14:textFill>
                  <w14:solidFill>
                    <w14:schemeClr w14:val="tx1"/>
                  </w14:solidFill>
                </w14:textFill>
              </w:rPr>
              <w:t>5</w:t>
            </w:r>
          </w:p>
        </w:tc>
        <w:tc>
          <w:tcPr>
            <w:tcW w:w="397"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NH</w:t>
            </w:r>
            <w:r>
              <w:rPr>
                <w:b/>
                <w:bCs/>
                <w:color w:val="000000" w:themeColor="text1"/>
                <w:szCs w:val="21"/>
                <w:highlight w:val="none"/>
                <w:vertAlign w:val="subscript"/>
                <w14:textFill>
                  <w14:solidFill>
                    <w14:schemeClr w14:val="tx1"/>
                  </w14:solidFill>
                </w14:textFill>
              </w:rPr>
              <w:t>3</w:t>
            </w:r>
            <w:r>
              <w:rPr>
                <w:b/>
                <w:bCs/>
                <w:color w:val="000000" w:themeColor="text1"/>
                <w:szCs w:val="21"/>
                <w:highlight w:val="none"/>
                <w14:textFill>
                  <w14:solidFill>
                    <w14:schemeClr w14:val="tx1"/>
                  </w14:solidFill>
                </w14:textFill>
              </w:rPr>
              <w:t>-N</w:t>
            </w:r>
          </w:p>
        </w:tc>
        <w:tc>
          <w:tcPr>
            <w:tcW w:w="338"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Oils</w:t>
            </w:r>
          </w:p>
        </w:tc>
        <w:tc>
          <w:tcPr>
            <w:tcW w:w="389"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COD</w:t>
            </w:r>
            <w:r>
              <w:rPr>
                <w:b/>
                <w:bCs/>
                <w:color w:val="000000" w:themeColor="text1"/>
                <w:szCs w:val="21"/>
                <w:highlight w:val="none"/>
                <w:vertAlign w:val="subscript"/>
                <w14:textFill>
                  <w14:solidFill>
                    <w14:schemeClr w14:val="tx1"/>
                  </w14:solidFill>
                </w14:textFill>
              </w:rPr>
              <w:t>cr</w:t>
            </w:r>
          </w:p>
        </w:tc>
        <w:tc>
          <w:tcPr>
            <w:tcW w:w="316" w:type="pct"/>
            <w:vMerge w:val="restart"/>
            <w:noWrap/>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总氮</w:t>
            </w:r>
          </w:p>
        </w:tc>
        <w:tc>
          <w:tcPr>
            <w:tcW w:w="316" w:type="pct"/>
            <w:vMerge w:val="restart"/>
            <w:noWrap/>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总磷</w:t>
            </w:r>
          </w:p>
        </w:tc>
        <w:tc>
          <w:tcPr>
            <w:tcW w:w="431"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As</w:t>
            </w:r>
          </w:p>
        </w:tc>
        <w:tc>
          <w:tcPr>
            <w:tcW w:w="385"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Cd</w:t>
            </w:r>
          </w:p>
        </w:tc>
        <w:tc>
          <w:tcPr>
            <w:tcW w:w="338"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Cr</w:t>
            </w:r>
            <w:r>
              <w:rPr>
                <w:b/>
                <w:bCs/>
                <w:color w:val="000000" w:themeColor="text1"/>
                <w:szCs w:val="21"/>
                <w:highlight w:val="none"/>
                <w:vertAlign w:val="superscript"/>
                <w14:textFill>
                  <w14:solidFill>
                    <w14:schemeClr w14:val="tx1"/>
                  </w14:solidFill>
                </w14:textFill>
              </w:rPr>
              <w:t>+6</w:t>
            </w:r>
          </w:p>
        </w:tc>
        <w:tc>
          <w:tcPr>
            <w:tcW w:w="338" w:type="pct"/>
            <w:vMerge w:val="restart"/>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S</w:t>
            </w:r>
            <w:r>
              <w:rPr>
                <w:b/>
                <w:bCs/>
                <w:color w:val="000000" w:themeColor="text1"/>
                <w:szCs w:val="21"/>
                <w:highlight w:val="none"/>
                <w:vertAlign w:val="sub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222" w:type="pct"/>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月</w:t>
            </w:r>
          </w:p>
        </w:tc>
        <w:tc>
          <w:tcPr>
            <w:tcW w:w="180" w:type="pct"/>
            <w:noWrap/>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日</w:t>
            </w:r>
          </w:p>
        </w:tc>
        <w:tc>
          <w:tcPr>
            <w:tcW w:w="338" w:type="pct"/>
            <w:vMerge w:val="continue"/>
            <w:noWrap/>
            <w:vAlign w:val="center"/>
          </w:tcPr>
          <w:p>
            <w:pPr>
              <w:pStyle w:val="297"/>
              <w:rPr>
                <w:b/>
                <w:bCs/>
                <w:color w:val="000000" w:themeColor="text1"/>
                <w:szCs w:val="21"/>
                <w:highlight w:val="none"/>
                <w14:textFill>
                  <w14:solidFill>
                    <w14:schemeClr w14:val="tx1"/>
                  </w14:solidFill>
                </w14:textFill>
              </w:rPr>
            </w:pPr>
          </w:p>
        </w:tc>
        <w:tc>
          <w:tcPr>
            <w:tcW w:w="299" w:type="pct"/>
            <w:vMerge w:val="continue"/>
            <w:noWrap/>
            <w:vAlign w:val="center"/>
          </w:tcPr>
          <w:p>
            <w:pPr>
              <w:pStyle w:val="297"/>
              <w:rPr>
                <w:b/>
                <w:bCs/>
                <w:color w:val="000000" w:themeColor="text1"/>
                <w:szCs w:val="21"/>
                <w:highlight w:val="none"/>
                <w14:textFill>
                  <w14:solidFill>
                    <w14:schemeClr w14:val="tx1"/>
                  </w14:solidFill>
                </w14:textFill>
              </w:rPr>
            </w:pPr>
          </w:p>
        </w:tc>
        <w:tc>
          <w:tcPr>
            <w:tcW w:w="343" w:type="pct"/>
            <w:vMerge w:val="continue"/>
            <w:noWrap/>
            <w:vAlign w:val="center"/>
          </w:tcPr>
          <w:p>
            <w:pPr>
              <w:pStyle w:val="297"/>
              <w:rPr>
                <w:b/>
                <w:bCs/>
                <w:color w:val="000000" w:themeColor="text1"/>
                <w:szCs w:val="21"/>
                <w:highlight w:val="none"/>
                <w14:textFill>
                  <w14:solidFill>
                    <w14:schemeClr w14:val="tx1"/>
                  </w14:solidFill>
                </w14:textFill>
              </w:rPr>
            </w:pPr>
          </w:p>
        </w:tc>
        <w:tc>
          <w:tcPr>
            <w:tcW w:w="361" w:type="pct"/>
            <w:vMerge w:val="continue"/>
            <w:noWrap/>
            <w:vAlign w:val="center"/>
          </w:tcPr>
          <w:p>
            <w:pPr>
              <w:pStyle w:val="297"/>
              <w:rPr>
                <w:b/>
                <w:bCs/>
                <w:color w:val="000000" w:themeColor="text1"/>
                <w:szCs w:val="21"/>
                <w:highlight w:val="none"/>
                <w14:textFill>
                  <w14:solidFill>
                    <w14:schemeClr w14:val="tx1"/>
                  </w14:solidFill>
                </w14:textFill>
              </w:rPr>
            </w:pPr>
          </w:p>
        </w:tc>
        <w:tc>
          <w:tcPr>
            <w:tcW w:w="397" w:type="pct"/>
            <w:vMerge w:val="continue"/>
            <w:noWrap/>
            <w:vAlign w:val="center"/>
          </w:tcPr>
          <w:p>
            <w:pPr>
              <w:pStyle w:val="297"/>
              <w:rPr>
                <w:b/>
                <w:bCs/>
                <w:color w:val="000000" w:themeColor="text1"/>
                <w:szCs w:val="21"/>
                <w:highlight w:val="none"/>
                <w14:textFill>
                  <w14:solidFill>
                    <w14:schemeClr w14:val="tx1"/>
                  </w14:solidFill>
                </w14:textFill>
              </w:rPr>
            </w:pPr>
          </w:p>
        </w:tc>
        <w:tc>
          <w:tcPr>
            <w:tcW w:w="338" w:type="pct"/>
            <w:vMerge w:val="continue"/>
            <w:noWrap/>
            <w:vAlign w:val="center"/>
          </w:tcPr>
          <w:p>
            <w:pPr>
              <w:pStyle w:val="297"/>
              <w:rPr>
                <w:b/>
                <w:bCs/>
                <w:color w:val="000000" w:themeColor="text1"/>
                <w:szCs w:val="21"/>
                <w:highlight w:val="none"/>
                <w14:textFill>
                  <w14:solidFill>
                    <w14:schemeClr w14:val="tx1"/>
                  </w14:solidFill>
                </w14:textFill>
              </w:rPr>
            </w:pPr>
          </w:p>
        </w:tc>
        <w:tc>
          <w:tcPr>
            <w:tcW w:w="389" w:type="pct"/>
            <w:vMerge w:val="continue"/>
            <w:noWrap/>
            <w:vAlign w:val="center"/>
          </w:tcPr>
          <w:p>
            <w:pPr>
              <w:pStyle w:val="297"/>
              <w:rPr>
                <w:b/>
                <w:bCs/>
                <w:color w:val="000000" w:themeColor="text1"/>
                <w:szCs w:val="21"/>
                <w:highlight w:val="none"/>
                <w14:textFill>
                  <w14:solidFill>
                    <w14:schemeClr w14:val="tx1"/>
                  </w14:solidFill>
                </w14:textFill>
              </w:rPr>
            </w:pPr>
          </w:p>
        </w:tc>
        <w:tc>
          <w:tcPr>
            <w:tcW w:w="316" w:type="pct"/>
            <w:vMerge w:val="continue"/>
            <w:noWrap/>
            <w:vAlign w:val="center"/>
          </w:tcPr>
          <w:p>
            <w:pPr>
              <w:pStyle w:val="297"/>
              <w:rPr>
                <w:b/>
                <w:bCs/>
                <w:color w:val="000000" w:themeColor="text1"/>
                <w:szCs w:val="21"/>
                <w:highlight w:val="none"/>
                <w14:textFill>
                  <w14:solidFill>
                    <w14:schemeClr w14:val="tx1"/>
                  </w14:solidFill>
                </w14:textFill>
              </w:rPr>
            </w:pPr>
          </w:p>
        </w:tc>
        <w:tc>
          <w:tcPr>
            <w:tcW w:w="316" w:type="pct"/>
            <w:vMerge w:val="continue"/>
            <w:noWrap/>
            <w:vAlign w:val="center"/>
          </w:tcPr>
          <w:p>
            <w:pPr>
              <w:pStyle w:val="297"/>
              <w:rPr>
                <w:b/>
                <w:bCs/>
                <w:color w:val="000000" w:themeColor="text1"/>
                <w:szCs w:val="21"/>
                <w:highlight w:val="none"/>
                <w14:textFill>
                  <w14:solidFill>
                    <w14:schemeClr w14:val="tx1"/>
                  </w14:solidFill>
                </w14:textFill>
              </w:rPr>
            </w:pPr>
          </w:p>
        </w:tc>
        <w:tc>
          <w:tcPr>
            <w:tcW w:w="431" w:type="pct"/>
            <w:vMerge w:val="continue"/>
            <w:noWrap/>
            <w:vAlign w:val="center"/>
          </w:tcPr>
          <w:p>
            <w:pPr>
              <w:pStyle w:val="297"/>
              <w:rPr>
                <w:b/>
                <w:bCs/>
                <w:color w:val="000000" w:themeColor="text1"/>
                <w:szCs w:val="21"/>
                <w:highlight w:val="none"/>
                <w14:textFill>
                  <w14:solidFill>
                    <w14:schemeClr w14:val="tx1"/>
                  </w14:solidFill>
                </w14:textFill>
              </w:rPr>
            </w:pPr>
          </w:p>
        </w:tc>
        <w:tc>
          <w:tcPr>
            <w:tcW w:w="385" w:type="pct"/>
            <w:vMerge w:val="continue"/>
            <w:noWrap/>
            <w:vAlign w:val="center"/>
          </w:tcPr>
          <w:p>
            <w:pPr>
              <w:pStyle w:val="297"/>
              <w:rPr>
                <w:b/>
                <w:bCs/>
                <w:color w:val="000000" w:themeColor="text1"/>
                <w:szCs w:val="21"/>
                <w:highlight w:val="none"/>
                <w14:textFill>
                  <w14:solidFill>
                    <w14:schemeClr w14:val="tx1"/>
                  </w14:solidFill>
                </w14:textFill>
              </w:rPr>
            </w:pPr>
          </w:p>
        </w:tc>
        <w:tc>
          <w:tcPr>
            <w:tcW w:w="338" w:type="pct"/>
            <w:vMerge w:val="continue"/>
            <w:noWrap/>
            <w:vAlign w:val="center"/>
          </w:tcPr>
          <w:p>
            <w:pPr>
              <w:pStyle w:val="297"/>
              <w:rPr>
                <w:b/>
                <w:bCs/>
                <w:color w:val="000000" w:themeColor="text1"/>
                <w:szCs w:val="21"/>
                <w:highlight w:val="none"/>
                <w14:textFill>
                  <w14:solidFill>
                    <w14:schemeClr w14:val="tx1"/>
                  </w14:solidFill>
                </w14:textFill>
              </w:rPr>
            </w:pPr>
          </w:p>
        </w:tc>
        <w:tc>
          <w:tcPr>
            <w:tcW w:w="338" w:type="pct"/>
            <w:vMerge w:val="continue"/>
            <w:noWrap/>
            <w:vAlign w:val="center"/>
          </w:tcPr>
          <w:p>
            <w:pPr>
              <w:pStyle w:val="297"/>
              <w:rPr>
                <w:b/>
                <w:bCs/>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7.2</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9.5</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1.7 </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1.2 </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0.182</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1.07</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0.03</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0.00015</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0.006</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7.3</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9.1</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1.5 </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1.1 </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0.171</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0.94</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0.04</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0.00015</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0.006</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7.2</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9.2</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1.5 </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1.8 </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0.162</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0.94</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0.04</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0.00015</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0.006</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7.3</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8.8</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1.6 </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1.2 </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0.097</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1.12</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0.04</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0.00015</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7.4</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8.6</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1.8</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1.4</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0.111</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1.03</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0.04</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0.00015</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0.006</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7.3</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8.4</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1.9</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1.3</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0.169</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1.19</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0.03</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0.00015</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8.4</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9.0 </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3.0 </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1.5</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0.270 </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0.90 </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0.04</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0.00112</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7.0 </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8.2</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1.6</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1.1</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0.121</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0.93</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0.03</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0.00015</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0.004</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7.3</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7.8</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1.8</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1.4</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0.086</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 xml:space="preserve">1.10 </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0.03</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0.00015</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222"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w:t>
            </w:r>
          </w:p>
        </w:tc>
        <w:tc>
          <w:tcPr>
            <w:tcW w:w="180"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7.4</w:t>
            </w:r>
          </w:p>
        </w:tc>
        <w:tc>
          <w:tcPr>
            <w:tcW w:w="29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7.7</w:t>
            </w:r>
          </w:p>
        </w:tc>
        <w:tc>
          <w:tcPr>
            <w:tcW w:w="343"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1.9</w:t>
            </w:r>
          </w:p>
        </w:tc>
        <w:tc>
          <w:tcPr>
            <w:tcW w:w="36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1.5</w:t>
            </w:r>
          </w:p>
        </w:tc>
        <w:tc>
          <w:tcPr>
            <w:tcW w:w="397"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0.076</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89"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0.97</w:t>
            </w:r>
          </w:p>
        </w:tc>
        <w:tc>
          <w:tcPr>
            <w:tcW w:w="316"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0.04</w:t>
            </w:r>
          </w:p>
        </w:tc>
        <w:tc>
          <w:tcPr>
            <w:tcW w:w="431"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0.00015</w:t>
            </w:r>
          </w:p>
        </w:tc>
        <w:tc>
          <w:tcPr>
            <w:tcW w:w="385"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403" w:type="pct"/>
            <w:gridSpan w:val="2"/>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标准限制</w:t>
            </w:r>
          </w:p>
        </w:tc>
        <w:tc>
          <w:tcPr>
            <w:tcW w:w="338" w:type="pct"/>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6~9</w:t>
            </w:r>
          </w:p>
        </w:tc>
        <w:tc>
          <w:tcPr>
            <w:tcW w:w="486"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5</w:t>
            </w:r>
          </w:p>
        </w:tc>
        <w:tc>
          <w:tcPr>
            <w:tcW w:w="557"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6</w:t>
            </w:r>
          </w:p>
        </w:tc>
        <w:tc>
          <w:tcPr>
            <w:tcW w:w="586"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4</w:t>
            </w:r>
          </w:p>
        </w:tc>
        <w:tc>
          <w:tcPr>
            <w:tcW w:w="644"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1</w:t>
            </w:r>
          </w:p>
        </w:tc>
        <w:tc>
          <w:tcPr>
            <w:tcW w:w="548"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0.05</w:t>
            </w:r>
          </w:p>
        </w:tc>
        <w:tc>
          <w:tcPr>
            <w:tcW w:w="631"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20</w:t>
            </w:r>
          </w:p>
        </w:tc>
        <w:tc>
          <w:tcPr>
            <w:tcW w:w="513"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513"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≤0.2</w:t>
            </w:r>
          </w:p>
        </w:tc>
        <w:tc>
          <w:tcPr>
            <w:tcW w:w="699"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0.05</w:t>
            </w:r>
          </w:p>
        </w:tc>
        <w:tc>
          <w:tcPr>
            <w:tcW w:w="625"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0.005</w:t>
            </w:r>
          </w:p>
        </w:tc>
        <w:tc>
          <w:tcPr>
            <w:tcW w:w="548"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0.05</w:t>
            </w:r>
          </w:p>
        </w:tc>
        <w:tc>
          <w:tcPr>
            <w:tcW w:w="549" w:type="dxa"/>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0.2</w:t>
            </w:r>
          </w:p>
        </w:tc>
      </w:tr>
    </w:tbl>
    <w:p>
      <w:pPr>
        <w:ind w:firstLine="480"/>
        <w:rPr>
          <w:color w:val="000000" w:themeColor="text1"/>
          <w:kern w:val="0"/>
          <w:szCs w:val="21"/>
          <w:highlight w:val="none"/>
          <w14:textFill>
            <w14:solidFill>
              <w14:schemeClr w14:val="tx1"/>
            </w14:solidFill>
          </w14:textFill>
        </w:rPr>
      </w:pPr>
    </w:p>
    <w:p>
      <w:pPr>
        <w:ind w:firstLine="480"/>
        <w:rPr>
          <w:bCs/>
          <w:color w:val="000000" w:themeColor="text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根据上表</w:t>
      </w:r>
      <w:r>
        <w:rPr>
          <w:color w:val="000000" w:themeColor="text1"/>
          <w:kern w:val="0"/>
          <w:szCs w:val="21"/>
          <w:highlight w:val="none"/>
          <w14:textFill>
            <w14:solidFill>
              <w14:schemeClr w14:val="tx1"/>
            </w14:solidFill>
          </w14:textFill>
        </w:rPr>
        <w:t>监测数据表明：项目区域地表水体</w:t>
      </w:r>
      <w:r>
        <w:rPr>
          <w:rFonts w:hint="eastAsia"/>
          <w:color w:val="000000" w:themeColor="text1"/>
          <w:kern w:val="0"/>
          <w:szCs w:val="21"/>
          <w:highlight w:val="none"/>
          <w14:textFill>
            <w14:solidFill>
              <w14:schemeClr w14:val="tx1"/>
            </w14:solidFill>
          </w14:textFill>
        </w:rPr>
        <w:t>后河</w:t>
      </w:r>
      <w:r>
        <w:rPr>
          <w:color w:val="000000" w:themeColor="text1"/>
          <w:kern w:val="0"/>
          <w:szCs w:val="21"/>
          <w:highlight w:val="none"/>
          <w14:textFill>
            <w14:solidFill>
              <w14:schemeClr w14:val="tx1"/>
            </w14:solidFill>
          </w14:textFill>
        </w:rPr>
        <w:t>水系的</w:t>
      </w:r>
      <w:r>
        <w:rPr>
          <w:rFonts w:hint="eastAsia"/>
          <w:color w:val="000000" w:themeColor="text1"/>
          <w:kern w:val="0"/>
          <w:szCs w:val="21"/>
          <w:highlight w:val="none"/>
          <w14:textFill>
            <w14:solidFill>
              <w14:schemeClr w14:val="tx1"/>
            </w14:solidFill>
          </w14:textFill>
        </w:rPr>
        <w:t>后</w:t>
      </w:r>
      <w:r>
        <w:rPr>
          <w:color w:val="000000" w:themeColor="text1"/>
          <w:kern w:val="0"/>
          <w:szCs w:val="21"/>
          <w:highlight w:val="none"/>
          <w14:textFill>
            <w14:solidFill>
              <w14:schemeClr w14:val="tx1"/>
            </w14:solidFill>
          </w14:textFill>
        </w:rPr>
        <w:t>河</w:t>
      </w:r>
      <w:r>
        <w:rPr>
          <w:rFonts w:hint="eastAsia"/>
          <w:color w:val="000000" w:themeColor="text1"/>
          <w:kern w:val="0"/>
          <w:szCs w:val="21"/>
          <w:highlight w:val="none"/>
          <w14:textFill>
            <w14:solidFill>
              <w14:schemeClr w14:val="tx1"/>
            </w14:solidFill>
          </w14:textFill>
        </w:rPr>
        <w:t>徐家坡</w:t>
      </w:r>
      <w:r>
        <w:rPr>
          <w:color w:val="000000" w:themeColor="text1"/>
          <w:kern w:val="0"/>
          <w:szCs w:val="21"/>
          <w:highlight w:val="none"/>
          <w14:textFill>
            <w14:solidFill>
              <w14:schemeClr w14:val="tx1"/>
            </w14:solidFill>
          </w14:textFill>
        </w:rPr>
        <w:t>监测断面的水质能够满足《地表水环境质量标准》（GB3838-2002）</w:t>
      </w:r>
      <w:r>
        <w:rPr>
          <w:rFonts w:hint="eastAsia"/>
          <w:color w:val="000000" w:themeColor="text1"/>
          <w:kern w:val="0"/>
          <w:szCs w:val="21"/>
          <w:highlight w:val="none"/>
          <w14:textFill>
            <w14:solidFill>
              <w14:schemeClr w14:val="tx1"/>
            </w14:solidFill>
          </w14:textFill>
        </w:rPr>
        <w:fldChar w:fldCharType="begin"/>
      </w:r>
      <w:r>
        <w:rPr>
          <w:rFonts w:hint="eastAsia"/>
          <w:color w:val="000000" w:themeColor="text1"/>
          <w:kern w:val="0"/>
          <w:szCs w:val="21"/>
          <w:highlight w:val="none"/>
          <w14:textFill>
            <w14:solidFill>
              <w14:schemeClr w14:val="tx1"/>
            </w14:solidFill>
          </w14:textFill>
        </w:rPr>
        <w:instrText xml:space="preserve"> = 3 \* ROMAN \* MERGEFORMAT </w:instrText>
      </w:r>
      <w:r>
        <w:rPr>
          <w:rFonts w:hint="eastAsia"/>
          <w:color w:val="000000" w:themeColor="text1"/>
          <w:kern w:val="0"/>
          <w:szCs w:val="21"/>
          <w:highlight w:val="none"/>
          <w14:textFill>
            <w14:solidFill>
              <w14:schemeClr w14:val="tx1"/>
            </w14:solidFill>
          </w14:textFill>
        </w:rPr>
        <w:fldChar w:fldCharType="separate"/>
      </w:r>
      <w:r>
        <w:rPr>
          <w:color w:val="000000" w:themeColor="text1"/>
          <w:highlight w:val="none"/>
          <w14:textFill>
            <w14:solidFill>
              <w14:schemeClr w14:val="tx1"/>
            </w14:solidFill>
          </w14:textFill>
        </w:rPr>
        <w:t>III</w:t>
      </w:r>
      <w:r>
        <w:rPr>
          <w:rFonts w:hint="eastAsia"/>
          <w:color w:val="000000" w:themeColor="text1"/>
          <w:kern w:val="0"/>
          <w:szCs w:val="21"/>
          <w:highlight w:val="none"/>
          <w14:textFill>
            <w14:solidFill>
              <w14:schemeClr w14:val="tx1"/>
            </w14:solidFill>
          </w14:textFill>
        </w:rPr>
        <w:fldChar w:fldCharType="end"/>
      </w:r>
      <w:r>
        <w:rPr>
          <w:color w:val="000000" w:themeColor="text1"/>
          <w:kern w:val="0"/>
          <w:szCs w:val="21"/>
          <w:highlight w:val="none"/>
          <w14:textFill>
            <w14:solidFill>
              <w14:schemeClr w14:val="tx1"/>
            </w14:solidFill>
          </w14:textFill>
        </w:rPr>
        <w:t>类水域水质标准</w:t>
      </w:r>
      <w:r>
        <w:rPr>
          <w:rFonts w:hint="eastAsia"/>
          <w:color w:val="000000" w:themeColor="text1"/>
          <w:kern w:val="0"/>
          <w:szCs w:val="21"/>
          <w:highlight w:val="none"/>
          <w14:textFill>
            <w14:solidFill>
              <w14:schemeClr w14:val="tx1"/>
            </w14:solidFill>
          </w14:textFill>
        </w:rPr>
        <w:t>。</w:t>
      </w:r>
    </w:p>
    <w:p>
      <w:pPr>
        <w:pStyle w:val="4"/>
        <w:spacing w:before="0" w:beforeLines="0"/>
        <w:ind w:firstLine="480"/>
        <w:rPr>
          <w:b/>
          <w:color w:val="000000" w:themeColor="text1"/>
          <w:highlight w:val="none"/>
          <w:lang w:eastAsia="zh-CN"/>
          <w14:textFill>
            <w14:solidFill>
              <w14:schemeClr w14:val="tx1"/>
            </w14:solidFill>
          </w14:textFill>
        </w:rPr>
      </w:pPr>
      <w:bookmarkStart w:id="237" w:name="_Toc120173130"/>
      <w:r>
        <w:rPr>
          <w:color w:val="000000" w:themeColor="text1"/>
          <w:highlight w:val="none"/>
          <w:lang w:eastAsia="zh-CN"/>
          <w14:textFill>
            <w14:solidFill>
              <w14:schemeClr w14:val="tx1"/>
            </w14:solidFill>
          </w14:textFill>
        </w:rPr>
        <w:t>声环境质量现状监测与评价</w:t>
      </w:r>
      <w:bookmarkEnd w:id="237"/>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为了了解项目建设对声环境的影响，本次评价对区域声环境质量进行了现状监测。</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（1）监测方案</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监测布点：根据外环境关系</w:t>
      </w:r>
      <w:r>
        <w:rPr>
          <w:rFonts w:hint="eastAsia" w:ascii="Times New Roman" w:hAnsi="Times New Roman"/>
          <w:bCs/>
          <w:color w:val="000000" w:themeColor="text1"/>
          <w:kern w:val="2"/>
          <w:highlight w:val="none"/>
          <w:lang w:eastAsia="zh-CN"/>
          <w14:textFill>
            <w14:solidFill>
              <w14:schemeClr w14:val="tx1"/>
            </w14:solidFill>
          </w14:textFill>
        </w:rPr>
        <w:t>及</w:t>
      </w:r>
      <w:r>
        <w:rPr>
          <w:rFonts w:ascii="Times New Roman" w:hAnsi="Times New Roman"/>
          <w:bCs/>
          <w:color w:val="000000" w:themeColor="text1"/>
          <w:kern w:val="2"/>
          <w:highlight w:val="none"/>
          <w:lang w:eastAsia="zh-CN"/>
          <w14:textFill>
            <w14:solidFill>
              <w14:schemeClr w14:val="tx1"/>
            </w14:solidFill>
          </w14:textFill>
        </w:rPr>
        <w:t>项目情况，本次环评布设噪声监测点</w:t>
      </w:r>
      <w:r>
        <w:rPr>
          <w:rFonts w:hint="eastAsia" w:ascii="Times New Roman" w:hAnsi="Times New Roman"/>
          <w:bCs/>
          <w:color w:val="000000" w:themeColor="text1"/>
          <w:kern w:val="2"/>
          <w:highlight w:val="none"/>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个，</w:t>
      </w:r>
      <w:r>
        <w:rPr>
          <w:rFonts w:hint="eastAsia" w:ascii="Times New Roman" w:hAnsi="Times New Roman"/>
          <w:bCs/>
          <w:color w:val="000000" w:themeColor="text1"/>
          <w:kern w:val="2"/>
          <w:highlight w:val="none"/>
          <w:lang w:eastAsia="zh-CN"/>
          <w14:textFill>
            <w14:solidFill>
              <w14:schemeClr w14:val="tx1"/>
            </w14:solidFill>
          </w14:textFill>
        </w:rPr>
        <w:t>同时引用大湾408井台钻井及试采工程竣工验收监测数据。</w:t>
      </w:r>
      <w:r>
        <w:rPr>
          <w:rFonts w:ascii="Times New Roman" w:hAnsi="Times New Roman"/>
          <w:bCs/>
          <w:color w:val="000000" w:themeColor="text1"/>
          <w:kern w:val="2"/>
          <w:highlight w:val="none"/>
          <w:lang w:eastAsia="zh-CN"/>
          <w14:textFill>
            <w14:solidFill>
              <w14:schemeClr w14:val="tx1"/>
            </w14:solidFill>
          </w14:textFill>
        </w:rPr>
        <w:t>噪声监测布点统计见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_Ref142599910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color w:val="000000" w:themeColor="text1"/>
          <w:highlight w:val="none"/>
          <w:lang w:eastAsia="zh-CN"/>
          <w14:textFill>
            <w14:solidFill>
              <w14:schemeClr w14:val="tx1"/>
            </w14:solidFill>
          </w14:textFill>
        </w:rPr>
        <w:t>表</w:t>
      </w:r>
      <w:r>
        <w:rPr>
          <w:rFonts w:ascii="Times New Roman" w:hAnsi="Times New Roman"/>
          <w:color w:val="000000" w:themeColor="text1"/>
          <w:highlight w:val="none"/>
          <w:lang w:eastAsia="zh-CN"/>
          <w14:textFill>
            <w14:solidFill>
              <w14:schemeClr w14:val="tx1"/>
            </w14:solidFill>
          </w14:textFill>
        </w:rPr>
        <w:t>4.2</w:t>
      </w:r>
      <w:r>
        <w:rPr>
          <w:rFonts w:ascii="Times New Roman" w:hAnsi="Times New Roman"/>
          <w:color w:val="000000" w:themeColor="text1"/>
          <w:highlight w:val="none"/>
          <w:lang w:eastAsia="zh-CN"/>
          <w14:textFill>
            <w14:solidFill>
              <w14:schemeClr w14:val="tx1"/>
            </w14:solidFill>
          </w14:textFill>
        </w:rPr>
        <w:noBreakHyphen/>
      </w:r>
      <w:r>
        <w:rPr>
          <w:rFonts w:hint="eastAsia" w:ascii="Times New Roman" w:hAnsi="Times New Roman"/>
          <w:color w:val="000000" w:themeColor="text1"/>
          <w:highlight w:val="none"/>
          <w:lang w:eastAsia="zh-CN"/>
          <w14:textFill>
            <w14:solidFill>
              <w14:schemeClr w14:val="tx1"/>
            </w14:solidFill>
          </w14:textFill>
        </w:rPr>
        <w:t>6</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38" w:name="_Ref142599910"/>
      <w:bookmarkStart w:id="239" w:name="_Ref142599905"/>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238"/>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项目噪声监测点位一览表</w:t>
      </w:r>
      <w:bookmarkEnd w:id="239"/>
    </w:p>
    <w:tbl>
      <w:tblPr>
        <w:tblStyle w:val="54"/>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261"/>
        <w:gridCol w:w="1085"/>
        <w:gridCol w:w="3618"/>
        <w:gridCol w:w="2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61"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井号</w:t>
            </w:r>
          </w:p>
        </w:tc>
        <w:tc>
          <w:tcPr>
            <w:tcW w:w="1085"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编号</w:t>
            </w:r>
          </w:p>
        </w:tc>
        <w:tc>
          <w:tcPr>
            <w:tcW w:w="3618"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监测点位</w:t>
            </w:r>
          </w:p>
        </w:tc>
        <w:tc>
          <w:tcPr>
            <w:tcW w:w="2540" w:type="dxa"/>
            <w:tcBorders>
              <w:top w:val="single" w:color="auto" w:sz="4" w:space="0"/>
              <w:left w:val="single" w:color="auto" w:sz="4" w:space="0"/>
              <w:right w:val="single" w:color="auto" w:sz="4" w:space="0"/>
            </w:tcBorders>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61" w:type="dxa"/>
            <w:vMerge w:val="restart"/>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本项目拟建大湾408-3井场</w:t>
            </w:r>
          </w:p>
        </w:tc>
        <w:tc>
          <w:tcPr>
            <w:tcW w:w="108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3618" w:type="dxa"/>
            <w:vAlign w:val="center"/>
          </w:tcPr>
          <w:p>
            <w:pPr>
              <w:spacing w:line="240" w:lineRule="auto"/>
              <w:ind w:firstLine="0" w:firstLineChars="0"/>
              <w:jc w:val="center"/>
              <w:rPr>
                <w:color w:val="000000" w:themeColor="text1"/>
                <w:szCs w:val="21"/>
                <w:highlight w:val="none"/>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大湾408-3井场内1#</w:t>
            </w:r>
          </w:p>
        </w:tc>
        <w:tc>
          <w:tcPr>
            <w:tcW w:w="2540" w:type="dxa"/>
            <w:tcBorders>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背景（本次实测）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61" w:type="dxa"/>
            <w:vMerge w:val="continue"/>
            <w:vAlign w:val="center"/>
          </w:tcPr>
          <w:p>
            <w:pPr>
              <w:pStyle w:val="297"/>
              <w:rPr>
                <w:color w:val="000000" w:themeColor="text1"/>
                <w:szCs w:val="21"/>
                <w:highlight w:val="none"/>
                <w14:textFill>
                  <w14:solidFill>
                    <w14:schemeClr w14:val="tx1"/>
                  </w14:solidFill>
                </w14:textFill>
              </w:rPr>
            </w:pPr>
          </w:p>
        </w:tc>
        <w:tc>
          <w:tcPr>
            <w:tcW w:w="108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3618" w:type="dxa"/>
            <w:vAlign w:val="center"/>
          </w:tcPr>
          <w:p>
            <w:pPr>
              <w:spacing w:line="240" w:lineRule="auto"/>
              <w:ind w:firstLine="0" w:firstLineChars="0"/>
              <w:jc w:val="center"/>
              <w:rPr>
                <w:color w:val="000000" w:themeColor="text1"/>
                <w:szCs w:val="21"/>
                <w:highlight w:val="none"/>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大湾408-3井场外西侧居民2#</w:t>
            </w:r>
          </w:p>
        </w:tc>
        <w:tc>
          <w:tcPr>
            <w:tcW w:w="2540" w:type="dxa"/>
            <w:tcBorders>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背景（本次实测），目前该处居民房屋已被租赁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61" w:type="dxa"/>
            <w:vMerge w:val="continue"/>
            <w:vAlign w:val="center"/>
          </w:tcPr>
          <w:p>
            <w:pPr>
              <w:pStyle w:val="297"/>
              <w:rPr>
                <w:color w:val="000000" w:themeColor="text1"/>
                <w:szCs w:val="21"/>
                <w:highlight w:val="none"/>
                <w14:textFill>
                  <w14:solidFill>
                    <w14:schemeClr w14:val="tx1"/>
                  </w14:solidFill>
                </w14:textFill>
              </w:rPr>
            </w:pPr>
          </w:p>
        </w:tc>
        <w:tc>
          <w:tcPr>
            <w:tcW w:w="1085" w:type="dxa"/>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361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现有大湾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北侧厂界</w:t>
            </w:r>
          </w:p>
        </w:tc>
        <w:tc>
          <w:tcPr>
            <w:tcW w:w="2540" w:type="dxa"/>
            <w:vMerge w:val="restart"/>
            <w:tcBorders>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厂界（引用监测）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61" w:type="dxa"/>
            <w:vMerge w:val="continue"/>
            <w:vAlign w:val="center"/>
          </w:tcPr>
          <w:p>
            <w:pPr>
              <w:pStyle w:val="297"/>
              <w:rPr>
                <w:color w:val="000000" w:themeColor="text1"/>
                <w:szCs w:val="21"/>
                <w:highlight w:val="none"/>
                <w14:textFill>
                  <w14:solidFill>
                    <w14:schemeClr w14:val="tx1"/>
                  </w14:solidFill>
                </w14:textFill>
              </w:rPr>
            </w:pPr>
          </w:p>
        </w:tc>
        <w:tc>
          <w:tcPr>
            <w:tcW w:w="1085" w:type="dxa"/>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p>
        </w:tc>
        <w:tc>
          <w:tcPr>
            <w:tcW w:w="361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现有大湾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东侧厂界</w:t>
            </w:r>
          </w:p>
        </w:tc>
        <w:tc>
          <w:tcPr>
            <w:tcW w:w="2540" w:type="dxa"/>
            <w:vMerge w:val="continue"/>
            <w:tcBorders>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61" w:type="dxa"/>
            <w:vMerge w:val="continue"/>
            <w:vAlign w:val="center"/>
          </w:tcPr>
          <w:p>
            <w:pPr>
              <w:pStyle w:val="297"/>
              <w:rPr>
                <w:color w:val="000000" w:themeColor="text1"/>
                <w:szCs w:val="21"/>
                <w:highlight w:val="none"/>
                <w14:textFill>
                  <w14:solidFill>
                    <w14:schemeClr w14:val="tx1"/>
                  </w14:solidFill>
                </w14:textFill>
              </w:rPr>
            </w:pPr>
          </w:p>
        </w:tc>
        <w:tc>
          <w:tcPr>
            <w:tcW w:w="1085" w:type="dxa"/>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p>
        </w:tc>
        <w:tc>
          <w:tcPr>
            <w:tcW w:w="361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现有大湾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南侧厂界</w:t>
            </w:r>
          </w:p>
        </w:tc>
        <w:tc>
          <w:tcPr>
            <w:tcW w:w="2540" w:type="dxa"/>
            <w:vMerge w:val="continue"/>
            <w:tcBorders>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61" w:type="dxa"/>
            <w:vMerge w:val="continue"/>
            <w:vAlign w:val="center"/>
          </w:tcPr>
          <w:p>
            <w:pPr>
              <w:pStyle w:val="297"/>
              <w:rPr>
                <w:color w:val="000000" w:themeColor="text1"/>
                <w:szCs w:val="21"/>
                <w:highlight w:val="none"/>
                <w14:textFill>
                  <w14:solidFill>
                    <w14:schemeClr w14:val="tx1"/>
                  </w14:solidFill>
                </w14:textFill>
              </w:rPr>
            </w:pPr>
          </w:p>
        </w:tc>
        <w:tc>
          <w:tcPr>
            <w:tcW w:w="108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w:t>
            </w:r>
          </w:p>
        </w:tc>
        <w:tc>
          <w:tcPr>
            <w:tcW w:w="361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现有大湾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西侧厂界</w:t>
            </w:r>
          </w:p>
        </w:tc>
        <w:tc>
          <w:tcPr>
            <w:tcW w:w="2540" w:type="dxa"/>
            <w:vMerge w:val="continue"/>
            <w:tcBorders>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r>
    </w:tbl>
    <w:p>
      <w:pPr>
        <w:pStyle w:val="21"/>
        <w:spacing w:before="120" w:beforeLines="5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监测因子：连续A声级。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监测频率及时间：连续2天（202</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年</w:t>
      </w:r>
      <w:r>
        <w:rPr>
          <w:rFonts w:hint="eastAsia"/>
          <w:color w:val="000000" w:themeColor="text1"/>
          <w:highlight w:val="none"/>
          <w14:textFill>
            <w14:solidFill>
              <w14:schemeClr w14:val="tx1"/>
            </w14:solidFill>
          </w14:textFill>
        </w:rPr>
        <w:t>12月7日—12月8日</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；引用监测时间为</w:t>
      </w:r>
      <w:r>
        <w:rPr>
          <w:color w:val="000000" w:themeColor="text1"/>
          <w:highlight w:val="none"/>
          <w14:textFill>
            <w14:solidFill>
              <w14:schemeClr w14:val="tx1"/>
            </w14:solidFill>
          </w14:textFill>
        </w:rPr>
        <w:t>（202</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年</w:t>
      </w:r>
      <w:r>
        <w:rPr>
          <w:rFonts w:hint="eastAsia"/>
          <w:color w:val="000000" w:themeColor="text1"/>
          <w:highlight w:val="none"/>
          <w14:textFill>
            <w14:solidFill>
              <w14:schemeClr w14:val="tx1"/>
            </w14:solidFill>
          </w14:textFill>
        </w:rPr>
        <w:t>11月3日—11月4日</w:t>
      </w:r>
      <w:r>
        <w:rPr>
          <w:color w:val="000000" w:themeColor="text1"/>
          <w:highlight w:val="none"/>
          <w14:textFill>
            <w14:solidFill>
              <w14:schemeClr w14:val="tx1"/>
            </w14:solidFill>
          </w14:textFill>
        </w:rPr>
        <w:t>），每天昼、夜间各一次，监测方法按《声环境质量标准》（GB3096-2008）</w:t>
      </w:r>
      <w:r>
        <w:rPr>
          <w:rFonts w:hint="eastAsia"/>
          <w:color w:val="000000" w:themeColor="text1"/>
          <w:highlight w:val="none"/>
          <w14:textFill>
            <w14:solidFill>
              <w14:schemeClr w14:val="tx1"/>
            </w14:solidFill>
          </w14:textFill>
        </w:rPr>
        <w:t>及《</w:t>
      </w:r>
      <w:r>
        <w:rPr>
          <w:color w:val="000000" w:themeColor="text1"/>
          <w:highlight w:val="none"/>
          <w14:textFill>
            <w14:solidFill>
              <w14:schemeClr w14:val="tx1"/>
            </w14:solidFill>
          </w14:textFill>
        </w:rPr>
        <w:t>工业企业厂界环境噪声排放标准》（GB 12348-2008）中规定测量方法进行。</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（2）监测及评价结果</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监测及评价结果见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_Ref142599929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color w:val="000000" w:themeColor="text1"/>
          <w:highlight w:val="none"/>
          <w:lang w:eastAsia="zh-CN"/>
          <w14:textFill>
            <w14:solidFill>
              <w14:schemeClr w14:val="tx1"/>
            </w14:solidFill>
          </w14:textFill>
        </w:rPr>
        <w:t>表</w:t>
      </w:r>
      <w:r>
        <w:rPr>
          <w:rFonts w:ascii="Times New Roman" w:hAnsi="Times New Roman"/>
          <w:color w:val="000000" w:themeColor="text1"/>
          <w:highlight w:val="none"/>
          <w:lang w:eastAsia="zh-CN"/>
          <w14:textFill>
            <w14:solidFill>
              <w14:schemeClr w14:val="tx1"/>
            </w14:solidFill>
          </w14:textFill>
        </w:rPr>
        <w:t>4.2</w:t>
      </w:r>
      <w:r>
        <w:rPr>
          <w:rFonts w:ascii="Times New Roman" w:hAnsi="Times New Roman"/>
          <w:color w:val="000000" w:themeColor="text1"/>
          <w:highlight w:val="none"/>
          <w:lang w:eastAsia="zh-CN"/>
          <w14:textFill>
            <w14:solidFill>
              <w14:schemeClr w14:val="tx1"/>
            </w14:solidFill>
          </w14:textFill>
        </w:rPr>
        <w:noBreakHyphen/>
      </w:r>
      <w:r>
        <w:rPr>
          <w:rFonts w:ascii="Times New Roman" w:hAnsi="Times New Roman"/>
          <w:color w:val="000000" w:themeColor="text1"/>
          <w:highlight w:val="none"/>
          <w:lang w:eastAsia="zh-CN"/>
          <w14:textFill>
            <w14:solidFill>
              <w14:schemeClr w14:val="tx1"/>
            </w14:solidFill>
          </w14:textFill>
        </w:rPr>
        <w:t>6</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40" w:name="_Ref14259992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24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环境噪声监测结果（单位：</w:t>
      </w:r>
      <w:r>
        <w:rPr>
          <w:color w:val="000000" w:themeColor="text1"/>
          <w:highlight w:val="none"/>
          <w14:textFill>
            <w14:solidFill>
              <w14:schemeClr w14:val="tx1"/>
            </w14:solidFill>
          </w14:textFill>
        </w:rPr>
        <w:t>dB（A））</w:t>
      </w:r>
    </w:p>
    <w:tbl>
      <w:tblPr>
        <w:tblStyle w:val="54"/>
        <w:tblW w:w="82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61"/>
        <w:gridCol w:w="2366"/>
        <w:gridCol w:w="932"/>
        <w:gridCol w:w="943"/>
        <w:gridCol w:w="882"/>
        <w:gridCol w:w="968"/>
        <w:gridCol w:w="15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5" w:hRule="atLeast"/>
          <w:jc w:val="center"/>
        </w:trPr>
        <w:tc>
          <w:tcPr>
            <w:tcW w:w="561"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编号</w:t>
            </w:r>
          </w:p>
        </w:tc>
        <w:tc>
          <w:tcPr>
            <w:tcW w:w="2366"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监测日期</w:t>
            </w:r>
          </w:p>
        </w:tc>
        <w:tc>
          <w:tcPr>
            <w:tcW w:w="932"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12月7日昼间</w:t>
            </w:r>
          </w:p>
        </w:tc>
        <w:tc>
          <w:tcPr>
            <w:tcW w:w="943"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12月7日夜间</w:t>
            </w:r>
          </w:p>
        </w:tc>
        <w:tc>
          <w:tcPr>
            <w:tcW w:w="882"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12月8日昼间</w:t>
            </w:r>
          </w:p>
        </w:tc>
        <w:tc>
          <w:tcPr>
            <w:tcW w:w="968"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12月8日夜间</w:t>
            </w:r>
          </w:p>
        </w:tc>
        <w:tc>
          <w:tcPr>
            <w:tcW w:w="1563" w:type="dxa"/>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5" w:hRule="atLeast"/>
          <w:jc w:val="center"/>
        </w:trPr>
        <w:tc>
          <w:tcPr>
            <w:tcW w:w="561" w:type="dxa"/>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2366" w:type="dxa"/>
            <w:vAlign w:val="center"/>
          </w:tcPr>
          <w:p>
            <w:pPr>
              <w:spacing w:line="240" w:lineRule="auto"/>
              <w:ind w:firstLine="0" w:firstLineChars="0"/>
              <w:jc w:val="center"/>
              <w:rPr>
                <w:color w:val="000000" w:themeColor="text1"/>
                <w:szCs w:val="21"/>
                <w:highlight w:val="none"/>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大湾408-3井场内</w:t>
            </w:r>
          </w:p>
        </w:tc>
        <w:tc>
          <w:tcPr>
            <w:tcW w:w="93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52</w:t>
            </w:r>
          </w:p>
        </w:tc>
        <w:tc>
          <w:tcPr>
            <w:tcW w:w="94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47</w:t>
            </w:r>
          </w:p>
        </w:tc>
        <w:tc>
          <w:tcPr>
            <w:tcW w:w="88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52</w:t>
            </w:r>
          </w:p>
        </w:tc>
        <w:tc>
          <w:tcPr>
            <w:tcW w:w="96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47</w:t>
            </w:r>
          </w:p>
        </w:tc>
        <w:tc>
          <w:tcPr>
            <w:tcW w:w="1563" w:type="dxa"/>
            <w:vMerge w:val="restart"/>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highlight w:val="none"/>
                <w:shd w:val="clear" w:color="auto" w:fill="FFFFFF"/>
                <w14:textFill>
                  <w14:solidFill>
                    <w14:schemeClr w14:val="tx1"/>
                  </w14:solidFill>
                </w14:textFill>
              </w:rPr>
              <w:t>《声环境质量标准》（GB3096-2008）2类昼间60；夜间50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5" w:hRule="atLeast"/>
          <w:jc w:val="center"/>
        </w:trPr>
        <w:tc>
          <w:tcPr>
            <w:tcW w:w="56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2366" w:type="dxa"/>
            <w:vAlign w:val="center"/>
          </w:tcPr>
          <w:p>
            <w:pPr>
              <w:spacing w:line="240" w:lineRule="auto"/>
              <w:ind w:firstLine="0" w:firstLineChars="0"/>
              <w:jc w:val="center"/>
              <w:rPr>
                <w:color w:val="000000" w:themeColor="text1"/>
                <w:szCs w:val="21"/>
                <w:highlight w:val="none"/>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大湾408-3井场外西侧居民2#</w:t>
            </w:r>
          </w:p>
        </w:tc>
        <w:tc>
          <w:tcPr>
            <w:tcW w:w="93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50</w:t>
            </w:r>
          </w:p>
        </w:tc>
        <w:tc>
          <w:tcPr>
            <w:tcW w:w="94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46</w:t>
            </w:r>
          </w:p>
        </w:tc>
        <w:tc>
          <w:tcPr>
            <w:tcW w:w="88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50</w:t>
            </w:r>
          </w:p>
        </w:tc>
        <w:tc>
          <w:tcPr>
            <w:tcW w:w="96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45</w:t>
            </w:r>
          </w:p>
        </w:tc>
        <w:tc>
          <w:tcPr>
            <w:tcW w:w="1563" w:type="dxa"/>
            <w:vMerge w:val="continue"/>
            <w:vAlign w:val="center"/>
          </w:tcPr>
          <w:p>
            <w:pPr>
              <w:pStyle w:val="297"/>
              <w:rPr>
                <w:color w:val="000000" w:themeColor="text1"/>
                <w:highlight w:val="none"/>
                <w:shd w:val="clear" w:color="auto" w:fill="FFFFFF"/>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5" w:hRule="atLeast"/>
          <w:jc w:val="center"/>
        </w:trPr>
        <w:tc>
          <w:tcPr>
            <w:tcW w:w="561" w:type="dxa"/>
            <w:shd w:val="clear" w:color="auto" w:fill="auto"/>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编号</w:t>
            </w:r>
          </w:p>
        </w:tc>
        <w:tc>
          <w:tcPr>
            <w:tcW w:w="2366" w:type="dxa"/>
            <w:shd w:val="clear" w:color="auto" w:fill="auto"/>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监测日期</w:t>
            </w:r>
          </w:p>
        </w:tc>
        <w:tc>
          <w:tcPr>
            <w:tcW w:w="932" w:type="dxa"/>
            <w:shd w:val="clear" w:color="auto" w:fill="auto"/>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11月3日昼间</w:t>
            </w:r>
          </w:p>
        </w:tc>
        <w:tc>
          <w:tcPr>
            <w:tcW w:w="943" w:type="dxa"/>
            <w:shd w:val="clear" w:color="auto" w:fill="auto"/>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11月4日夜间</w:t>
            </w:r>
          </w:p>
        </w:tc>
        <w:tc>
          <w:tcPr>
            <w:tcW w:w="882" w:type="dxa"/>
            <w:shd w:val="clear" w:color="auto" w:fill="auto"/>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11月3日昼间</w:t>
            </w:r>
          </w:p>
        </w:tc>
        <w:tc>
          <w:tcPr>
            <w:tcW w:w="968" w:type="dxa"/>
            <w:shd w:val="clear" w:color="auto" w:fill="auto"/>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11月4日夜间</w:t>
            </w:r>
          </w:p>
        </w:tc>
        <w:tc>
          <w:tcPr>
            <w:tcW w:w="1563" w:type="dxa"/>
            <w:shd w:val="clear" w:color="auto" w:fill="auto"/>
            <w:vAlign w:val="center"/>
          </w:tcPr>
          <w:p>
            <w:pPr>
              <w:pStyle w:val="297"/>
              <w:rPr>
                <w:b/>
                <w:bCs/>
                <w:color w:val="000000" w:themeColor="text1"/>
                <w:highlight w:val="none"/>
                <w:shd w:val="clear" w:color="auto" w:fill="FFFFFF"/>
                <w14:textFill>
                  <w14:solidFill>
                    <w14:schemeClr w14:val="tx1"/>
                  </w14:solidFill>
                </w14:textFill>
              </w:rPr>
            </w:pPr>
            <w:r>
              <w:rPr>
                <w:rFonts w:hint="eastAsia"/>
                <w:b/>
                <w:bCs/>
                <w:color w:val="000000" w:themeColor="text1"/>
                <w:highlight w:val="none"/>
                <w:shd w:val="clear" w:color="auto" w:fill="FFFFFF"/>
                <w14:textFill>
                  <w14:solidFill>
                    <w14:schemeClr w14:val="tx1"/>
                  </w14:solidFill>
                </w14:textFill>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5" w:hRule="atLeast"/>
          <w:jc w:val="center"/>
        </w:trPr>
        <w:tc>
          <w:tcPr>
            <w:tcW w:w="56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236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现有大湾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北侧厂界</w:t>
            </w:r>
          </w:p>
        </w:tc>
        <w:tc>
          <w:tcPr>
            <w:tcW w:w="93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50</w:t>
            </w:r>
          </w:p>
        </w:tc>
        <w:tc>
          <w:tcPr>
            <w:tcW w:w="94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46</w:t>
            </w:r>
          </w:p>
        </w:tc>
        <w:tc>
          <w:tcPr>
            <w:tcW w:w="88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50</w:t>
            </w:r>
          </w:p>
        </w:tc>
        <w:tc>
          <w:tcPr>
            <w:tcW w:w="96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44</w:t>
            </w:r>
          </w:p>
        </w:tc>
        <w:tc>
          <w:tcPr>
            <w:tcW w:w="1563" w:type="dxa"/>
            <w:vMerge w:val="restart"/>
            <w:vAlign w:val="center"/>
          </w:tcPr>
          <w:p>
            <w:pPr>
              <w:pStyle w:val="297"/>
              <w:rPr>
                <w:color w:val="000000" w:themeColor="text1"/>
                <w:highlight w:val="none"/>
                <w:shd w:val="clear" w:color="auto" w:fill="FFFFFF"/>
                <w14:textFill>
                  <w14:solidFill>
                    <w14:schemeClr w14:val="tx1"/>
                  </w14:solidFill>
                </w14:textFill>
              </w:rPr>
            </w:pPr>
            <w:r>
              <w:rPr>
                <w:color w:val="000000" w:themeColor="text1"/>
                <w:highlight w:val="none"/>
                <w14:textFill>
                  <w14:solidFill>
                    <w14:schemeClr w14:val="tx1"/>
                  </w14:solidFill>
                </w14:textFill>
              </w:rPr>
              <w:t>《工业企业厂界环境噪声排放标准》（GB 12348-2008）</w:t>
            </w:r>
            <w:r>
              <w:rPr>
                <w:rFonts w:hint="eastAsia"/>
                <w:color w:val="000000" w:themeColor="text1"/>
                <w:highlight w:val="none"/>
                <w:shd w:val="clear" w:color="auto" w:fill="FFFFFF"/>
                <w14:textFill>
                  <w14:solidFill>
                    <w14:schemeClr w14:val="tx1"/>
                  </w14:solidFill>
                </w14:textFill>
              </w:rPr>
              <w:t>2类昼间60；夜间50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5" w:hRule="atLeast"/>
          <w:jc w:val="center"/>
        </w:trPr>
        <w:tc>
          <w:tcPr>
            <w:tcW w:w="56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szCs w:val="21"/>
                <w:highlight w:val="none"/>
                <w14:textFill>
                  <w14:solidFill>
                    <w14:schemeClr w14:val="tx1"/>
                  </w14:solidFill>
                </w14:textFill>
              </w:rPr>
              <w:t>4#</w:t>
            </w:r>
          </w:p>
        </w:tc>
        <w:tc>
          <w:tcPr>
            <w:tcW w:w="236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现有大湾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东侧厂界</w:t>
            </w:r>
          </w:p>
        </w:tc>
        <w:tc>
          <w:tcPr>
            <w:tcW w:w="93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50</w:t>
            </w:r>
          </w:p>
        </w:tc>
        <w:tc>
          <w:tcPr>
            <w:tcW w:w="94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46</w:t>
            </w:r>
          </w:p>
        </w:tc>
        <w:tc>
          <w:tcPr>
            <w:tcW w:w="88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50</w:t>
            </w:r>
          </w:p>
        </w:tc>
        <w:tc>
          <w:tcPr>
            <w:tcW w:w="96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43</w:t>
            </w:r>
          </w:p>
        </w:tc>
        <w:tc>
          <w:tcPr>
            <w:tcW w:w="1563" w:type="dxa"/>
            <w:vMerge w:val="continue"/>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5" w:hRule="atLeast"/>
          <w:jc w:val="center"/>
        </w:trPr>
        <w:tc>
          <w:tcPr>
            <w:tcW w:w="56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szCs w:val="21"/>
                <w:highlight w:val="none"/>
                <w14:textFill>
                  <w14:solidFill>
                    <w14:schemeClr w14:val="tx1"/>
                  </w14:solidFill>
                </w14:textFill>
              </w:rPr>
              <w:t>5#</w:t>
            </w:r>
          </w:p>
        </w:tc>
        <w:tc>
          <w:tcPr>
            <w:tcW w:w="236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现有大湾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南侧厂界</w:t>
            </w:r>
          </w:p>
        </w:tc>
        <w:tc>
          <w:tcPr>
            <w:tcW w:w="93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50</w:t>
            </w:r>
          </w:p>
        </w:tc>
        <w:tc>
          <w:tcPr>
            <w:tcW w:w="94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46</w:t>
            </w:r>
          </w:p>
        </w:tc>
        <w:tc>
          <w:tcPr>
            <w:tcW w:w="88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49</w:t>
            </w:r>
          </w:p>
        </w:tc>
        <w:tc>
          <w:tcPr>
            <w:tcW w:w="96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45</w:t>
            </w:r>
          </w:p>
        </w:tc>
        <w:tc>
          <w:tcPr>
            <w:tcW w:w="1563" w:type="dxa"/>
            <w:vMerge w:val="continue"/>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5" w:hRule="atLeast"/>
          <w:jc w:val="center"/>
        </w:trPr>
        <w:tc>
          <w:tcPr>
            <w:tcW w:w="561" w:type="dxa"/>
            <w:shd w:val="clear" w:color="auto" w:fill="auto"/>
            <w:vAlign w:val="center"/>
          </w:tcPr>
          <w:p>
            <w:pPr>
              <w:pStyle w:val="297"/>
              <w:rPr>
                <w:color w:val="000000" w:themeColor="text1"/>
                <w:highlight w:val="none"/>
                <w:shd w:val="clear" w:color="auto" w:fill="FFFFFF"/>
                <w14:textFill>
                  <w14:solidFill>
                    <w14:schemeClr w14:val="tx1"/>
                  </w14:solidFill>
                </w14:textFill>
              </w:rPr>
            </w:pPr>
            <w:r>
              <w:rPr>
                <w:rFonts w:hint="eastAsia"/>
                <w:color w:val="000000" w:themeColor="text1"/>
                <w:szCs w:val="21"/>
                <w:highlight w:val="none"/>
                <w14:textFill>
                  <w14:solidFill>
                    <w14:schemeClr w14:val="tx1"/>
                  </w14:solidFill>
                </w14:textFill>
              </w:rPr>
              <w:t>6#</w:t>
            </w:r>
          </w:p>
        </w:tc>
        <w:tc>
          <w:tcPr>
            <w:tcW w:w="2366"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现有大湾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西侧厂界</w:t>
            </w:r>
          </w:p>
        </w:tc>
        <w:tc>
          <w:tcPr>
            <w:tcW w:w="93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49</w:t>
            </w:r>
          </w:p>
        </w:tc>
        <w:tc>
          <w:tcPr>
            <w:tcW w:w="94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47</w:t>
            </w:r>
          </w:p>
        </w:tc>
        <w:tc>
          <w:tcPr>
            <w:tcW w:w="882"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50</w:t>
            </w:r>
          </w:p>
        </w:tc>
        <w:tc>
          <w:tcPr>
            <w:tcW w:w="968"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44</w:t>
            </w:r>
          </w:p>
        </w:tc>
        <w:tc>
          <w:tcPr>
            <w:tcW w:w="1563" w:type="dxa"/>
            <w:vMerge w:val="continue"/>
            <w:vAlign w:val="center"/>
          </w:tcPr>
          <w:p>
            <w:pPr>
              <w:pStyle w:val="297"/>
              <w:rPr>
                <w:color w:val="000000" w:themeColor="text1"/>
                <w:szCs w:val="21"/>
                <w:highlight w:val="none"/>
                <w14:textFill>
                  <w14:solidFill>
                    <w14:schemeClr w14:val="tx1"/>
                  </w14:solidFill>
                </w14:textFill>
              </w:rPr>
            </w:pPr>
          </w:p>
        </w:tc>
      </w:tr>
    </w:tbl>
    <w:p>
      <w:pPr>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由表4.2-5可知，</w:t>
      </w:r>
      <w:r>
        <w:rPr>
          <w:rFonts w:hint="eastAsia"/>
          <w:bCs/>
          <w:color w:val="000000" w:themeColor="text1"/>
          <w:highlight w:val="none"/>
          <w14:textFill>
            <w14:solidFill>
              <w14:schemeClr w14:val="tx1"/>
            </w14:solidFill>
          </w14:textFill>
        </w:rPr>
        <w:t>项目拟建地和</w:t>
      </w:r>
      <w:r>
        <w:rPr>
          <w:bCs/>
          <w:color w:val="000000" w:themeColor="text1"/>
          <w:highlight w:val="none"/>
          <w14:textFill>
            <w14:solidFill>
              <w14:schemeClr w14:val="tx1"/>
            </w14:solidFill>
          </w14:textFill>
        </w:rPr>
        <w:t>周边</w:t>
      </w:r>
      <w:r>
        <w:rPr>
          <w:rFonts w:hint="eastAsia"/>
          <w:bCs/>
          <w:color w:val="000000" w:themeColor="text1"/>
          <w:highlight w:val="none"/>
          <w14:textFill>
            <w14:solidFill>
              <w14:schemeClr w14:val="tx1"/>
            </w14:solidFill>
          </w14:textFill>
        </w:rPr>
        <w:t>居民点</w:t>
      </w:r>
      <w:r>
        <w:rPr>
          <w:bCs/>
          <w:color w:val="000000" w:themeColor="text1"/>
          <w:highlight w:val="none"/>
          <w14:textFill>
            <w14:solidFill>
              <w14:schemeClr w14:val="tx1"/>
            </w14:solidFill>
          </w14:textFill>
        </w:rPr>
        <w:t>噪声监测点昼间</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夜间噪声监测值</w:t>
      </w:r>
      <w:r>
        <w:rPr>
          <w:rFonts w:hint="eastAsia"/>
          <w:bCs/>
          <w:color w:val="000000" w:themeColor="text1"/>
          <w:highlight w:val="none"/>
          <w14:textFill>
            <w14:solidFill>
              <w14:schemeClr w14:val="tx1"/>
            </w14:solidFill>
          </w14:textFill>
        </w:rPr>
        <w:t>均</w:t>
      </w:r>
      <w:r>
        <w:rPr>
          <w:bCs/>
          <w:color w:val="000000" w:themeColor="text1"/>
          <w:highlight w:val="none"/>
          <w14:textFill>
            <w14:solidFill>
              <w14:schemeClr w14:val="tx1"/>
            </w14:solidFill>
          </w14:textFill>
        </w:rPr>
        <w:t>满足《声环境质量标准》（GB3096-2008）2类功能区标准，</w:t>
      </w:r>
      <w:r>
        <w:rPr>
          <w:rFonts w:hint="eastAsia"/>
          <w:bCs/>
          <w:color w:val="000000" w:themeColor="text1"/>
          <w:highlight w:val="none"/>
          <w14:textFill>
            <w14:solidFill>
              <w14:schemeClr w14:val="tx1"/>
            </w14:solidFill>
          </w14:textFill>
        </w:rPr>
        <w:t>既有大湾</w:t>
      </w:r>
      <w:r>
        <w:rPr>
          <w:rFonts w:hint="eastAsia"/>
          <w:bCs/>
          <w:color w:val="000000" w:themeColor="text1"/>
          <w:highlight w:val="none"/>
          <w:lang w:eastAsia="zh-CN"/>
          <w14:textFill>
            <w14:solidFill>
              <w14:schemeClr w14:val="tx1"/>
            </w14:solidFill>
          </w14:textFill>
        </w:rPr>
        <w:t>408试采站</w:t>
      </w:r>
      <w:r>
        <w:rPr>
          <w:rFonts w:hint="eastAsia"/>
          <w:bCs/>
          <w:color w:val="000000" w:themeColor="text1"/>
          <w:highlight w:val="none"/>
          <w14:textFill>
            <w14:solidFill>
              <w14:schemeClr w14:val="tx1"/>
            </w14:solidFill>
          </w14:textFill>
        </w:rPr>
        <w:t>厂界四周满足</w:t>
      </w:r>
      <w:r>
        <w:rPr>
          <w:color w:val="000000" w:themeColor="text1"/>
          <w:highlight w:val="none"/>
          <w14:textFill>
            <w14:solidFill>
              <w14:schemeClr w14:val="tx1"/>
            </w14:solidFill>
          </w14:textFill>
        </w:rPr>
        <w:t>《工业企业厂界环境噪声排放标准》（GB 12348-2008）</w:t>
      </w:r>
      <w:r>
        <w:rPr>
          <w:rFonts w:hint="eastAsia" w:cs="Times New Roman"/>
          <w:color w:val="000000" w:themeColor="text1"/>
          <w:szCs w:val="20"/>
          <w:highlight w:val="none"/>
          <w:shd w:val="clear" w:color="auto" w:fill="FFFFFF"/>
          <w14:textFill>
            <w14:solidFill>
              <w14:schemeClr w14:val="tx1"/>
            </w14:solidFill>
          </w14:textFill>
        </w:rPr>
        <w:t>2类</w:t>
      </w:r>
      <w:r>
        <w:rPr>
          <w:bCs/>
          <w:color w:val="000000" w:themeColor="text1"/>
          <w:highlight w:val="none"/>
          <w14:textFill>
            <w14:solidFill>
              <w14:schemeClr w14:val="tx1"/>
            </w14:solidFill>
          </w14:textFill>
        </w:rPr>
        <w:t>功能区标准</w:t>
      </w:r>
      <w:r>
        <w:rPr>
          <w:rFonts w:hint="eastAsia" w:cs="Times New Roman"/>
          <w:color w:val="000000" w:themeColor="text1"/>
          <w:szCs w:val="20"/>
          <w:highlight w:val="none"/>
          <w:shd w:val="clear" w:color="auto" w:fill="FFFFFF"/>
          <w14:textFill>
            <w14:solidFill>
              <w14:schemeClr w14:val="tx1"/>
            </w14:solidFill>
          </w14:textFill>
        </w:rPr>
        <w:t>。</w:t>
      </w:r>
      <w:r>
        <w:rPr>
          <w:bCs/>
          <w:color w:val="000000" w:themeColor="text1"/>
          <w:highlight w:val="none"/>
          <w14:textFill>
            <w14:solidFill>
              <w14:schemeClr w14:val="tx1"/>
            </w14:solidFill>
          </w14:textFill>
        </w:rPr>
        <w:t>项目拟建地声环境质量良好</w:t>
      </w:r>
      <w:r>
        <w:rPr>
          <w:color w:val="000000" w:themeColor="text1"/>
          <w:highlight w:val="none"/>
          <w14:textFill>
            <w14:solidFill>
              <w14:schemeClr w14:val="tx1"/>
            </w14:solidFill>
          </w14:textFill>
        </w:rPr>
        <w:t>。</w:t>
      </w:r>
    </w:p>
    <w:p>
      <w:pPr>
        <w:pStyle w:val="4"/>
        <w:spacing w:before="120"/>
        <w:ind w:firstLine="480"/>
        <w:rPr>
          <w:b/>
          <w:color w:val="000000" w:themeColor="text1"/>
          <w:highlight w:val="none"/>
          <w:lang w:eastAsia="zh-CN"/>
          <w14:textFill>
            <w14:solidFill>
              <w14:schemeClr w14:val="tx1"/>
            </w14:solidFill>
          </w14:textFill>
        </w:rPr>
      </w:pPr>
      <w:bookmarkStart w:id="241" w:name="_Toc120173131"/>
      <w:r>
        <w:rPr>
          <w:color w:val="000000" w:themeColor="text1"/>
          <w:highlight w:val="none"/>
          <w:lang w:eastAsia="zh-CN"/>
          <w14:textFill>
            <w14:solidFill>
              <w14:schemeClr w14:val="tx1"/>
            </w14:solidFill>
          </w14:textFill>
        </w:rPr>
        <w:t>地下水质量现状</w:t>
      </w:r>
      <w:bookmarkEnd w:id="241"/>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为了了解项目建设对地下水环境的影响，本次评价对区域地下水质量进行了监测。</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（1）监测布点</w:t>
      </w:r>
    </w:p>
    <w:p>
      <w:pPr>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本项目为《环境影响评价技术导则</w:t>
      </w:r>
      <w:r>
        <w:rPr>
          <w:rFonts w:hint="eastAsia"/>
          <w:bCs/>
          <w:color w:val="000000" w:themeColor="text1"/>
          <w:szCs w:val="24"/>
          <w:highlight w:val="none"/>
          <w14:textFill>
            <w14:solidFill>
              <w14:schemeClr w14:val="tx1"/>
            </w14:solidFill>
          </w14:textFill>
        </w:rPr>
        <w:t xml:space="preserve"> </w:t>
      </w:r>
      <w:r>
        <w:rPr>
          <w:bCs/>
          <w:color w:val="000000" w:themeColor="text1"/>
          <w:szCs w:val="24"/>
          <w:highlight w:val="none"/>
          <w14:textFill>
            <w14:solidFill>
              <w14:schemeClr w14:val="tx1"/>
            </w14:solidFill>
          </w14:textFill>
        </w:rPr>
        <w:t>地下水环境》（HJ610-2016）中</w:t>
      </w:r>
      <w:r>
        <w:rPr>
          <w:bCs/>
          <w:color w:val="000000" w:themeColor="text1"/>
          <w:szCs w:val="24"/>
          <w:highlight w:val="none"/>
          <w14:textFill>
            <w14:solidFill>
              <w14:schemeClr w14:val="tx1"/>
            </w14:solidFill>
          </w14:textFill>
        </w:rPr>
        <w:fldChar w:fldCharType="begin"/>
      </w:r>
      <w:r>
        <w:rPr>
          <w:bCs/>
          <w:color w:val="000000" w:themeColor="text1"/>
          <w:szCs w:val="24"/>
          <w:highlight w:val="none"/>
          <w14:textFill>
            <w14:solidFill>
              <w14:schemeClr w14:val="tx1"/>
            </w14:solidFill>
          </w14:textFill>
        </w:rPr>
        <w:instrText xml:space="preserve"> = 2 \* ROMAN </w:instrText>
      </w:r>
      <w:r>
        <w:rPr>
          <w:bCs/>
          <w:color w:val="000000" w:themeColor="text1"/>
          <w:szCs w:val="24"/>
          <w:highlight w:val="none"/>
          <w14:textFill>
            <w14:solidFill>
              <w14:schemeClr w14:val="tx1"/>
            </w14:solidFill>
          </w14:textFill>
        </w:rPr>
        <w:fldChar w:fldCharType="separate"/>
      </w:r>
      <w:r>
        <w:rPr>
          <w:bCs/>
          <w:color w:val="000000" w:themeColor="text1"/>
          <w:szCs w:val="24"/>
          <w:highlight w:val="none"/>
          <w14:textFill>
            <w14:solidFill>
              <w14:schemeClr w14:val="tx1"/>
            </w14:solidFill>
          </w14:textFill>
        </w:rPr>
        <w:t>II</w:t>
      </w:r>
      <w:r>
        <w:rPr>
          <w:bCs/>
          <w:color w:val="000000" w:themeColor="text1"/>
          <w:szCs w:val="24"/>
          <w:highlight w:val="none"/>
          <w14:textFill>
            <w14:solidFill>
              <w14:schemeClr w14:val="tx1"/>
            </w14:solidFill>
          </w14:textFill>
        </w:rPr>
        <w:fldChar w:fldCharType="end"/>
      </w:r>
      <w:r>
        <w:rPr>
          <w:bCs/>
          <w:color w:val="000000" w:themeColor="text1"/>
          <w:szCs w:val="24"/>
          <w:highlight w:val="none"/>
          <w14:textFill>
            <w14:solidFill>
              <w14:schemeClr w14:val="tx1"/>
            </w14:solidFill>
          </w14:textFill>
        </w:rPr>
        <w:t>类建设项目，根据外环境调查，周边居民主要采用井水或山泉水为饮用水源。根据本项目的所在位置的特点、地下水环评导则要求以及地下水污染扩散特点等</w:t>
      </w:r>
      <w:r>
        <w:rPr>
          <w:rFonts w:cs="Times New Roman"/>
          <w:bCs/>
          <w:color w:val="000000" w:themeColor="text1"/>
          <w:szCs w:val="24"/>
          <w:highlight w:val="none"/>
          <w14:textFill>
            <w14:solidFill>
              <w14:schemeClr w14:val="tx1"/>
            </w14:solidFill>
          </w14:textFill>
        </w:rPr>
        <w:t>，共布设</w:t>
      </w:r>
      <w:r>
        <w:rPr>
          <w:rFonts w:hint="eastAsia" w:cs="Times New Roman"/>
          <w:bCs/>
          <w:color w:val="000000" w:themeColor="text1"/>
          <w:szCs w:val="24"/>
          <w:highlight w:val="none"/>
          <w14:textFill>
            <w14:solidFill>
              <w14:schemeClr w14:val="tx1"/>
            </w14:solidFill>
          </w14:textFill>
        </w:rPr>
        <w:t>5</w:t>
      </w:r>
      <w:r>
        <w:rPr>
          <w:rFonts w:cs="Times New Roman"/>
          <w:bCs/>
          <w:color w:val="000000" w:themeColor="text1"/>
          <w:szCs w:val="24"/>
          <w:highlight w:val="none"/>
          <w14:textFill>
            <w14:solidFill>
              <w14:schemeClr w14:val="tx1"/>
            </w14:solidFill>
          </w14:textFill>
        </w:rPr>
        <w:t>个地下水水质现状监测点</w:t>
      </w:r>
      <w:r>
        <w:rPr>
          <w:rFonts w:hint="eastAsia" w:cs="Times New Roman"/>
          <w:bCs/>
          <w:color w:val="000000" w:themeColor="text1"/>
          <w:szCs w:val="24"/>
          <w:highlight w:val="none"/>
          <w14:textFill>
            <w14:solidFill>
              <w14:schemeClr w14:val="tx1"/>
            </w14:solidFill>
          </w14:textFill>
        </w:rPr>
        <w:t>（其中1~3#引用</w:t>
      </w:r>
      <w:r>
        <w:rPr>
          <w:rFonts w:hint="eastAsia"/>
          <w:bCs/>
          <w:color w:val="000000" w:themeColor="text1"/>
          <w:highlight w:val="none"/>
          <w14:textFill>
            <w14:solidFill>
              <w14:schemeClr w14:val="tx1"/>
            </w14:solidFill>
          </w14:textFill>
        </w:rPr>
        <w:t>大湾408井台钻井及试采工程竣工验收监测数据，4#~5#为本次现状监测）</w:t>
      </w:r>
      <w:r>
        <w:rPr>
          <w:rFonts w:cs="Times New Roman"/>
          <w:bCs/>
          <w:color w:val="000000" w:themeColor="text1"/>
          <w:szCs w:val="24"/>
          <w:highlight w:val="none"/>
          <w14:textFill>
            <w14:solidFill>
              <w14:schemeClr w14:val="tx1"/>
            </w14:solidFill>
          </w14:textFill>
        </w:rPr>
        <w:t>，具体监测点位分布见附图</w:t>
      </w:r>
      <w:r>
        <w:rPr>
          <w:rFonts w:hint="eastAsia" w:cs="Times New Roman"/>
          <w:bCs/>
          <w:color w:val="000000" w:themeColor="text1"/>
          <w:szCs w:val="24"/>
          <w:highlight w:val="none"/>
          <w14:textFill>
            <w14:solidFill>
              <w14:schemeClr w14:val="tx1"/>
            </w14:solidFill>
          </w14:textFill>
        </w:rPr>
        <w:t>3-2和</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_Ref142599951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7</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42" w:name="_Ref14259995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bookmarkEnd w:id="24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项目井场地下水监测点位统计表</w:t>
      </w:r>
    </w:p>
    <w:tbl>
      <w:tblPr>
        <w:tblStyle w:val="5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0"/>
        <w:gridCol w:w="5106"/>
        <w:gridCol w:w="23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04"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编号</w:t>
            </w:r>
          </w:p>
        </w:tc>
        <w:tc>
          <w:tcPr>
            <w:tcW w:w="2995"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方位</w:t>
            </w:r>
          </w:p>
        </w:tc>
        <w:tc>
          <w:tcPr>
            <w:tcW w:w="1400" w:type="pc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04" w:type="pct"/>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2995" w:type="pct"/>
            <w:shd w:val="clear" w:color="auto" w:fill="auto"/>
            <w:vAlign w:val="center"/>
          </w:tcPr>
          <w:p>
            <w:pPr>
              <w:widowControl/>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大湾408-3井井场南侧740m处泉点</w:t>
            </w:r>
          </w:p>
        </w:tc>
        <w:tc>
          <w:tcPr>
            <w:tcW w:w="1400" w:type="pct"/>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泉涌水，侧游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04" w:type="pct"/>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2995" w:type="pct"/>
            <w:shd w:val="clear" w:color="auto" w:fill="auto"/>
            <w:vAlign w:val="center"/>
          </w:tcPr>
          <w:p>
            <w:pPr>
              <w:widowControl/>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大湾408-3井井场西侧1100m处全都</w:t>
            </w:r>
          </w:p>
        </w:tc>
        <w:tc>
          <w:tcPr>
            <w:tcW w:w="1400" w:type="pct"/>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泉涌水，下游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04" w:type="pct"/>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p>
        </w:tc>
        <w:tc>
          <w:tcPr>
            <w:tcW w:w="2995" w:type="pct"/>
            <w:vAlign w:val="center"/>
          </w:tcPr>
          <w:p>
            <w:pPr>
              <w:widowControl/>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大湾</w:t>
            </w:r>
            <w:r>
              <w:rPr>
                <w:rFonts w:hint="eastAsia" w:cs="Times New Roman"/>
                <w:color w:val="000000" w:themeColor="text1"/>
                <w:kern w:val="0"/>
                <w:sz w:val="21"/>
                <w:szCs w:val="21"/>
                <w:highlight w:val="none"/>
                <w:lang w:eastAsia="zh-CN" w:bidi="ar"/>
                <w14:textFill>
                  <w14:solidFill>
                    <w14:schemeClr w14:val="tx1"/>
                  </w14:solidFill>
                </w14:textFill>
              </w:rPr>
              <w:t>408试采站</w:t>
            </w:r>
            <w:r>
              <w:rPr>
                <w:rFonts w:hint="eastAsia" w:cs="Times New Roman"/>
                <w:color w:val="000000" w:themeColor="text1"/>
                <w:kern w:val="0"/>
                <w:sz w:val="21"/>
                <w:szCs w:val="21"/>
                <w:highlight w:val="none"/>
                <w:lang w:bidi="ar"/>
                <w14:textFill>
                  <w14:solidFill>
                    <w14:schemeClr w14:val="tx1"/>
                  </w14:solidFill>
                </w14:textFill>
              </w:rPr>
              <w:t>下游</w:t>
            </w:r>
          </w:p>
        </w:tc>
        <w:tc>
          <w:tcPr>
            <w:tcW w:w="1400" w:type="pct"/>
            <w:vAlign w:val="center"/>
          </w:tcPr>
          <w:p>
            <w:pPr>
              <w:widowControl/>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泉涌水，下游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04" w:type="pct"/>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w:t>
            </w:r>
          </w:p>
        </w:tc>
        <w:tc>
          <w:tcPr>
            <w:tcW w:w="2995" w:type="pct"/>
            <w:shd w:val="clear" w:color="auto" w:fill="auto"/>
            <w:vAlign w:val="center"/>
          </w:tcPr>
          <w:p>
            <w:pPr>
              <w:widowControl/>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大湾408井台西北侧318m处泉点</w:t>
            </w:r>
          </w:p>
        </w:tc>
        <w:tc>
          <w:tcPr>
            <w:tcW w:w="1400" w:type="pct"/>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泉涌水，上游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04" w:type="pct"/>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w:t>
            </w:r>
          </w:p>
        </w:tc>
        <w:tc>
          <w:tcPr>
            <w:tcW w:w="2995" w:type="pct"/>
            <w:shd w:val="clear" w:color="auto" w:fill="auto"/>
            <w:vAlign w:val="center"/>
          </w:tcPr>
          <w:p>
            <w:pPr>
              <w:widowControl/>
              <w:spacing w:line="240" w:lineRule="auto"/>
              <w:ind w:firstLine="0" w:firstLineChars="0"/>
              <w:jc w:val="center"/>
              <w:rPr>
                <w:rFonts w:cs="Times New Roman"/>
                <w:color w:val="000000" w:themeColor="text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大湾408井台南侧193m处泉点</w:t>
            </w:r>
          </w:p>
        </w:tc>
        <w:tc>
          <w:tcPr>
            <w:tcW w:w="1400" w:type="pct"/>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泉涌水，侧游</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本项目所设置的5个地下水水质监测点中，</w:t>
      </w: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个监测点（</w:t>
      </w:r>
      <w:r>
        <w:rPr>
          <w:rFonts w:hint="eastAsia" w:cs="Times New Roman"/>
          <w:bCs/>
          <w:color w:val="000000" w:themeColor="text1"/>
          <w:szCs w:val="24"/>
          <w:highlight w:val="none"/>
          <w14:textFill>
            <w14:solidFill>
              <w14:schemeClr w14:val="tx1"/>
            </w14:solidFill>
          </w14:textFill>
        </w:rPr>
        <w:t>2#、3#</w:t>
      </w:r>
      <w:r>
        <w:rPr>
          <w:rFonts w:cs="Times New Roman"/>
          <w:bCs/>
          <w:color w:val="000000" w:themeColor="text1"/>
          <w:szCs w:val="24"/>
          <w:highlight w:val="none"/>
          <w14:textFill>
            <w14:solidFill>
              <w14:schemeClr w14:val="tx1"/>
            </w14:solidFill>
          </w14:textFill>
        </w:rPr>
        <w:t>）位于项目所在地地下水流向</w:t>
      </w:r>
      <w:r>
        <w:rPr>
          <w:rFonts w:hint="eastAsia" w:cs="Times New Roman"/>
          <w:bCs/>
          <w:color w:val="000000" w:themeColor="text1"/>
          <w:szCs w:val="24"/>
          <w:highlight w:val="none"/>
          <w14:textFill>
            <w14:solidFill>
              <w14:schemeClr w14:val="tx1"/>
            </w14:solidFill>
          </w14:textFill>
        </w:rPr>
        <w:t>下</w:t>
      </w:r>
      <w:r>
        <w:rPr>
          <w:rFonts w:cs="Times New Roman"/>
          <w:bCs/>
          <w:color w:val="000000" w:themeColor="text1"/>
          <w:szCs w:val="24"/>
          <w:highlight w:val="none"/>
          <w14:textFill>
            <w14:solidFill>
              <w14:schemeClr w14:val="tx1"/>
            </w14:solidFill>
          </w14:textFill>
        </w:rPr>
        <w:t>游，</w:t>
      </w: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个监测点（</w:t>
      </w: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、5#</w:t>
      </w:r>
      <w:r>
        <w:rPr>
          <w:rFonts w:cs="Times New Roman"/>
          <w:bCs/>
          <w:color w:val="000000" w:themeColor="text1"/>
          <w:szCs w:val="24"/>
          <w:highlight w:val="none"/>
          <w14:textFill>
            <w14:solidFill>
              <w14:schemeClr w14:val="tx1"/>
            </w14:solidFill>
          </w14:textFill>
        </w:rPr>
        <w:t>）位于地下水流向</w:t>
      </w:r>
      <w:r>
        <w:rPr>
          <w:rFonts w:hint="eastAsia" w:cs="Times New Roman"/>
          <w:bCs/>
          <w:color w:val="000000" w:themeColor="text1"/>
          <w:szCs w:val="24"/>
          <w:highlight w:val="none"/>
          <w14:textFill>
            <w14:solidFill>
              <w14:schemeClr w14:val="tx1"/>
            </w14:solidFill>
          </w14:textFill>
        </w:rPr>
        <w:t>侧</w:t>
      </w:r>
      <w:r>
        <w:rPr>
          <w:rFonts w:cs="Times New Roman"/>
          <w:bCs/>
          <w:color w:val="000000" w:themeColor="text1"/>
          <w:szCs w:val="24"/>
          <w:highlight w:val="none"/>
          <w14:textFill>
            <w14:solidFill>
              <w14:schemeClr w14:val="tx1"/>
            </w14:solidFill>
          </w14:textFill>
        </w:rPr>
        <w:t>游，</w:t>
      </w: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个监测点（</w:t>
      </w:r>
      <w:r>
        <w:rPr>
          <w:rFonts w:hint="eastAsia" w:cs="Times New Roman"/>
          <w:bCs/>
          <w:color w:val="000000" w:themeColor="text1"/>
          <w:szCs w:val="24"/>
          <w:highlight w:val="none"/>
          <w14:textFill>
            <w14:solidFill>
              <w14:schemeClr w14:val="tx1"/>
            </w14:solidFill>
          </w14:textFill>
        </w:rPr>
        <w:t>4</w:t>
      </w:r>
      <w:r>
        <w:rPr>
          <w:rFonts w:cs="Times New Roman"/>
          <w:bCs/>
          <w:color w:val="000000" w:themeColor="text1"/>
          <w:szCs w:val="24"/>
          <w:highlight w:val="none"/>
          <w14:textFill>
            <w14:solidFill>
              <w14:schemeClr w14:val="tx1"/>
            </w14:solidFill>
          </w14:textFill>
        </w:rPr>
        <w:t>#）位于地下水流向</w:t>
      </w:r>
      <w:r>
        <w:rPr>
          <w:rFonts w:hint="eastAsia" w:cs="Times New Roman"/>
          <w:bCs/>
          <w:color w:val="000000" w:themeColor="text1"/>
          <w:szCs w:val="24"/>
          <w:highlight w:val="none"/>
          <w14:textFill>
            <w14:solidFill>
              <w14:schemeClr w14:val="tx1"/>
            </w14:solidFill>
          </w14:textFill>
        </w:rPr>
        <w:t>上</w:t>
      </w:r>
      <w:r>
        <w:rPr>
          <w:rFonts w:cs="Times New Roman"/>
          <w:bCs/>
          <w:color w:val="000000" w:themeColor="text1"/>
          <w:szCs w:val="24"/>
          <w:highlight w:val="none"/>
          <w14:textFill>
            <w14:solidFill>
              <w14:schemeClr w14:val="tx1"/>
            </w14:solidFill>
          </w14:textFill>
        </w:rPr>
        <w:t>游</w:t>
      </w:r>
      <w:r>
        <w:rPr>
          <w:rFonts w:hint="eastAsia" w:cs="Times New Roman"/>
          <w:bCs/>
          <w:color w:val="000000" w:themeColor="text1"/>
          <w:szCs w:val="24"/>
          <w:highlight w:val="none"/>
          <w14:textFill>
            <w14:solidFill>
              <w14:schemeClr w14:val="tx1"/>
            </w14:solidFill>
          </w14:textFill>
        </w:rPr>
        <w:t>，因此</w:t>
      </w:r>
      <w:r>
        <w:rPr>
          <w:rFonts w:cs="Times New Roman"/>
          <w:bCs/>
          <w:color w:val="000000" w:themeColor="text1"/>
          <w:szCs w:val="24"/>
          <w:highlight w:val="none"/>
          <w14:textFill>
            <w14:solidFill>
              <w14:schemeClr w14:val="tx1"/>
            </w14:solidFill>
          </w14:textFill>
        </w:rPr>
        <w:t>该布点符合《环境影响评价导则-地下水环境》（HJ 610-2016）中相关布点原则要求。</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（2）地下水现状监测因子及监测频率</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背景离子（K</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、Na</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、Ca</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、Mg</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、CO</w:t>
      </w:r>
      <w:r>
        <w:rPr>
          <w:rFonts w:cs="Times New Roman"/>
          <w:bCs/>
          <w:color w:val="000000" w:themeColor="text1"/>
          <w:szCs w:val="24"/>
          <w:highlight w:val="none"/>
          <w:vertAlign w:val="subscript"/>
          <w14:textFill>
            <w14:solidFill>
              <w14:schemeClr w14:val="tx1"/>
            </w14:solidFill>
          </w14:textFill>
        </w:rPr>
        <w:t>3</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、HCO</w:t>
      </w:r>
      <w:r>
        <w:rPr>
          <w:rFonts w:cs="Times New Roman"/>
          <w:bCs/>
          <w:color w:val="000000" w:themeColor="text1"/>
          <w:szCs w:val="24"/>
          <w:highlight w:val="none"/>
          <w:vertAlign w:val="subscript"/>
          <w14:textFill>
            <w14:solidFill>
              <w14:schemeClr w14:val="tx1"/>
            </w14:solidFill>
          </w14:textFill>
        </w:rPr>
        <w:t>3</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、Cl</w:t>
      </w:r>
      <w:r>
        <w:rPr>
          <w:rFonts w:cs="Times New Roman"/>
          <w:bCs/>
          <w:color w:val="000000" w:themeColor="text1"/>
          <w:szCs w:val="24"/>
          <w:highlight w:val="none"/>
          <w:vertAlign w:val="superscript"/>
          <w14:textFill>
            <w14:solidFill>
              <w14:schemeClr w14:val="tx1"/>
            </w14:solidFill>
          </w14:textFill>
        </w:rPr>
        <w:t>-</w:t>
      </w:r>
      <w:r>
        <w:rPr>
          <w:rFonts w:cs="Times New Roman"/>
          <w:bCs/>
          <w:color w:val="000000" w:themeColor="text1"/>
          <w:szCs w:val="24"/>
          <w:highlight w:val="none"/>
          <w14:textFill>
            <w14:solidFill>
              <w14:schemeClr w14:val="tx1"/>
            </w14:solidFill>
          </w14:textFill>
        </w:rPr>
        <w:t>、SO</w:t>
      </w:r>
      <w:r>
        <w:rPr>
          <w:rFonts w:cs="Times New Roman"/>
          <w:bCs/>
          <w:color w:val="000000" w:themeColor="text1"/>
          <w:szCs w:val="24"/>
          <w:highlight w:val="none"/>
          <w:vertAlign w:val="subscript"/>
          <w14:textFill>
            <w14:solidFill>
              <w14:schemeClr w14:val="tx1"/>
            </w14:solidFill>
          </w14:textFill>
        </w:rPr>
        <w:t>4</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基本水质因子（pH、氨氮、硝酸盐、亚硝酸盐、挥发性酚类、氰化物、砷、汞、铬（六价）、总硬度、铅、氟、镉、铁、锰、溶解性总固体、耗氧量、硫酸盐、氯化物、总大肠菌群、细菌总数），项目特征因子（石油类</w:t>
      </w:r>
      <w:r>
        <w:rPr>
          <w:rFonts w:hint="eastAsia" w:cs="Times New Roman"/>
          <w:bCs/>
          <w:color w:val="000000" w:themeColor="text1"/>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硫化物、钡</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所有指标监测1天，每天一次。</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（3）评价方法</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①</w:t>
      </w:r>
      <w:r>
        <w:rPr>
          <w:rFonts w:cs="Times New Roman"/>
          <w:bCs/>
          <w:color w:val="000000" w:themeColor="text1"/>
          <w:szCs w:val="24"/>
          <w:highlight w:val="none"/>
          <w14:textFill>
            <w14:solidFill>
              <w14:schemeClr w14:val="tx1"/>
            </w14:solidFill>
          </w14:textFill>
        </w:rPr>
        <w:t>按照《地下水质量标准》（GB/T14848-2017）评价方法对基本水质因子和特殊水质因子进行评价。</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用舒卡列夫分类法对本项目所在区域地下水化学类型进行分类。</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地下水化学类型的舒卡列夫分类是根据地下水中6种主要离子（钠、钙、镁、重碳酸根、硫酸根、氯离子、钾合并于钠）及矿化度划分的，具体步骤如下：</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a</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根据水质分析结果，将6种主要离子中含量大于25%毫克当量的阴离子和阳离子进行组合；</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 xml:space="preserve"> b</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按矿化度（M）的大小分为4组，A组——M≤1.5g/L；B组——1.5＜M≤10g/L；C组——10＜M≤40g/L；D组——M＞40g/L；</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c</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矿化度为阴阳离子总和减去重碳酸离子含量的二分之一；</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将地下水化学类型用阿拉伯数字（1-49）与字母（A、B、C、D）组合在一起表达的表达式表示。</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（4）评价结果及分析</w:t>
      </w:r>
    </w:p>
    <w:p>
      <w:pPr>
        <w:ind w:firstLine="480"/>
        <w:rPr>
          <w:rFonts w:cs="Times New Roman"/>
          <w:bCs/>
          <w:color w:val="000000" w:themeColor="text1"/>
          <w:szCs w:val="24"/>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r>
        <w:rPr>
          <w:rFonts w:cs="Times New Roman"/>
          <w:bCs/>
          <w:color w:val="000000" w:themeColor="text1"/>
          <w:szCs w:val="24"/>
          <w:highlight w:val="none"/>
          <w14:textFill>
            <w14:solidFill>
              <w14:schemeClr w14:val="tx1"/>
            </w14:solidFill>
          </w14:textFill>
        </w:rPr>
        <w:t>1）基本水质因子和</w:t>
      </w:r>
      <w:r>
        <w:rPr>
          <w:rFonts w:hint="eastAsia" w:cs="Times New Roman"/>
          <w:bCs/>
          <w:color w:val="000000" w:themeColor="text1"/>
          <w:szCs w:val="24"/>
          <w:highlight w:val="none"/>
          <w14:textFill>
            <w14:solidFill>
              <w14:schemeClr w14:val="tx1"/>
            </w14:solidFill>
          </w14:textFill>
        </w:rPr>
        <w:t>特征</w:t>
      </w:r>
      <w:r>
        <w:rPr>
          <w:rFonts w:cs="Times New Roman"/>
          <w:bCs/>
          <w:color w:val="000000" w:themeColor="text1"/>
          <w:szCs w:val="24"/>
          <w:highlight w:val="none"/>
          <w14:textFill>
            <w14:solidFill>
              <w14:schemeClr w14:val="tx1"/>
            </w14:solidFill>
          </w14:textFill>
        </w:rPr>
        <w:t>水质因子进行评价地下水现状评价，评价结果见</w:t>
      </w:r>
      <w:r>
        <w:rPr>
          <w:rFonts w:hint="eastAsia" w:cs="Times New Roman"/>
          <w:bCs/>
          <w:color w:val="000000" w:themeColor="text1"/>
          <w:szCs w:val="24"/>
          <w:highlight w:val="none"/>
          <w14:textFill>
            <w14:solidFill>
              <w14:schemeClr w14:val="tx1"/>
            </w14:solidFill>
          </w14:textFill>
        </w:rPr>
        <w:t>表4</w:t>
      </w:r>
      <w:r>
        <w:rPr>
          <w:rFonts w:cs="Times New Roman"/>
          <w:bCs/>
          <w:color w:val="000000" w:themeColor="text1"/>
          <w:szCs w:val="24"/>
          <w:highlight w:val="none"/>
          <w14:textFill>
            <w14:solidFill>
              <w14:schemeClr w14:val="tx1"/>
            </w14:solidFill>
          </w14:textFill>
        </w:rPr>
        <w:t>.2-8。</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区域地下水质量现状监测结果</w:t>
      </w:r>
      <w:r>
        <w:rPr>
          <w:color w:val="000000" w:themeColor="text1"/>
          <w:highlight w:val="none"/>
          <w14:textFill>
            <w14:solidFill>
              <w14:schemeClr w14:val="tx1"/>
            </w14:solidFill>
          </w14:textFill>
        </w:rPr>
        <w:t xml:space="preserve"> 单位：mg/L</w:t>
      </w:r>
    </w:p>
    <w:tbl>
      <w:tblPr>
        <w:tblStyle w:val="5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8" w:type="dxa"/>
        </w:tblCellMar>
      </w:tblPr>
      <w:tblGrid>
        <w:gridCol w:w="1645"/>
        <w:gridCol w:w="1129"/>
        <w:gridCol w:w="1122"/>
        <w:gridCol w:w="1138"/>
        <w:gridCol w:w="1449"/>
        <w:gridCol w:w="1499"/>
        <w:gridCol w:w="1003"/>
        <w:gridCol w:w="1003"/>
        <w:gridCol w:w="1003"/>
        <w:gridCol w:w="1003"/>
        <w:gridCol w:w="1003"/>
        <w:gridCol w:w="1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监测因子</w:t>
            </w:r>
          </w:p>
        </w:tc>
        <w:tc>
          <w:tcPr>
            <w:tcW w:w="403" w:type="pct"/>
            <w:shd w:val="clear" w:color="auto" w:fill="auto"/>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大湾408井台西北侧318m处泉点</w:t>
            </w:r>
          </w:p>
        </w:tc>
        <w:tc>
          <w:tcPr>
            <w:tcW w:w="400" w:type="pct"/>
            <w:shd w:val="clear" w:color="auto" w:fill="auto"/>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大湾408井台南侧193m处泉点</w:t>
            </w:r>
          </w:p>
        </w:tc>
        <w:tc>
          <w:tcPr>
            <w:tcW w:w="405" w:type="pct"/>
            <w:shd w:val="clear" w:color="auto" w:fill="auto"/>
            <w:vAlign w:val="center"/>
          </w:tcPr>
          <w:p>
            <w:pPr>
              <w:pStyle w:val="297"/>
              <w:rPr>
                <w:b/>
                <w:bCs/>
                <w:color w:val="000000" w:themeColor="text1"/>
                <w:szCs w:val="21"/>
                <w:highlight w:val="none"/>
                <w14:textFill>
                  <w14:solidFill>
                    <w14:schemeClr w14:val="tx1"/>
                  </w14:solidFill>
                </w14:textFill>
              </w:rPr>
            </w:pPr>
            <w:r>
              <w:rPr>
                <w:rFonts w:hint="eastAsia"/>
                <w:color w:val="000000" w:themeColor="text1"/>
                <w:kern w:val="0"/>
                <w:szCs w:val="21"/>
                <w:highlight w:val="none"/>
                <w:lang w:bidi="ar"/>
                <w14:textFill>
                  <w14:solidFill>
                    <w14:schemeClr w14:val="tx1"/>
                  </w14:solidFill>
                </w14:textFill>
              </w:rPr>
              <w:t>大</w:t>
            </w:r>
            <w:r>
              <w:rPr>
                <w:rFonts w:hint="eastAsia"/>
                <w:b/>
                <w:bCs/>
                <w:color w:val="000000" w:themeColor="text1"/>
                <w:szCs w:val="21"/>
                <w:highlight w:val="none"/>
                <w14:textFill>
                  <w14:solidFill>
                    <w14:schemeClr w14:val="tx1"/>
                  </w14:solidFill>
                </w14:textFill>
              </w:rPr>
              <w:t>湾</w:t>
            </w:r>
            <w:r>
              <w:rPr>
                <w:rFonts w:hint="eastAsia"/>
                <w:b/>
                <w:bCs/>
                <w:color w:val="000000" w:themeColor="text1"/>
                <w:szCs w:val="21"/>
                <w:highlight w:val="none"/>
                <w:lang w:eastAsia="zh-CN"/>
                <w14:textFill>
                  <w14:solidFill>
                    <w14:schemeClr w14:val="tx1"/>
                  </w14:solidFill>
                </w14:textFill>
              </w:rPr>
              <w:t>408试采站</w:t>
            </w:r>
            <w:r>
              <w:rPr>
                <w:rFonts w:hint="eastAsia"/>
                <w:b/>
                <w:bCs/>
                <w:color w:val="000000" w:themeColor="text1"/>
                <w:szCs w:val="21"/>
                <w:highlight w:val="none"/>
                <w14:textFill>
                  <w14:solidFill>
                    <w14:schemeClr w14:val="tx1"/>
                  </w14:solidFill>
                </w14:textFill>
              </w:rPr>
              <w:t>下游</w:t>
            </w:r>
          </w:p>
        </w:tc>
        <w:tc>
          <w:tcPr>
            <w:tcW w:w="517" w:type="pct"/>
            <w:shd w:val="clear" w:color="auto" w:fill="auto"/>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大湾408-3井井场南侧（约740m处泉点）</w:t>
            </w:r>
          </w:p>
        </w:tc>
        <w:tc>
          <w:tcPr>
            <w:tcW w:w="535" w:type="pct"/>
            <w:shd w:val="clear" w:color="auto" w:fill="auto"/>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大湾408-3井井场西侧（约1100m处泉点）</w:t>
            </w:r>
          </w:p>
        </w:tc>
        <w:tc>
          <w:tcPr>
            <w:tcW w:w="358"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标准值</w:t>
            </w:r>
          </w:p>
        </w:tc>
        <w:tc>
          <w:tcPr>
            <w:tcW w:w="358"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最小值</w:t>
            </w:r>
          </w:p>
        </w:tc>
        <w:tc>
          <w:tcPr>
            <w:tcW w:w="358"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最大值</w:t>
            </w:r>
          </w:p>
        </w:tc>
        <w:tc>
          <w:tcPr>
            <w:tcW w:w="358"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最小标准指数</w:t>
            </w:r>
          </w:p>
        </w:tc>
        <w:tc>
          <w:tcPr>
            <w:tcW w:w="358"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最大标准指数</w:t>
            </w:r>
          </w:p>
        </w:tc>
        <w:tc>
          <w:tcPr>
            <w:tcW w:w="359"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超标率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监测时间</w:t>
            </w:r>
          </w:p>
        </w:tc>
        <w:tc>
          <w:tcPr>
            <w:tcW w:w="1209" w:type="pct"/>
            <w:gridSpan w:val="3"/>
            <w:shd w:val="clear" w:color="auto" w:fill="auto"/>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2024.11.3</w:t>
            </w:r>
          </w:p>
        </w:tc>
        <w:tc>
          <w:tcPr>
            <w:tcW w:w="1052" w:type="pct"/>
            <w:gridSpan w:val="2"/>
            <w:shd w:val="clear" w:color="auto" w:fill="auto"/>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2024.12.6</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Fonts w:cs="Times New Roman"/>
                <w:b/>
                <w:bCs/>
                <w:color w:val="000000" w:themeColor="text1"/>
                <w:kern w:val="0"/>
                <w:sz w:val="21"/>
                <w:szCs w:val="21"/>
                <w:highlight w:val="none"/>
                <w:lang w:bidi="ar"/>
                <w14:textFill>
                  <w14:solidFill>
                    <w14:schemeClr w14:val="tx1"/>
                  </w14:solidFill>
                </w14:textFill>
              </w:rPr>
              <w:t>pH</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7.3</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7.2</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7.3</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7.6</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7.4</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6.5~8.5</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7.2</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7.6</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0.47 </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0.40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ascii="宋体" w:hAnsi="宋体"/>
                <w:b/>
                <w:bCs/>
                <w:color w:val="000000" w:themeColor="text1"/>
                <w:szCs w:val="21"/>
                <w:highlight w:val="none"/>
                <w14:textFill>
                  <w14:solidFill>
                    <w14:schemeClr w14:val="tx1"/>
                  </w14:solidFill>
                </w14:textFill>
              </w:rPr>
              <w:t>总硬度（钙和镁总量）</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151</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135</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170</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65</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79</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≤450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65</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170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0.14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0.38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溶解性总固体</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304</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270</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370</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116</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128</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≤1000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116</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370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0.12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0.37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ascii="宋体" w:hAnsi="宋体"/>
                <w:b/>
                <w:bCs/>
                <w:color w:val="000000" w:themeColor="text1"/>
                <w:szCs w:val="21"/>
                <w:highlight w:val="none"/>
                <w14:textFill>
                  <w14:solidFill>
                    <w14:schemeClr w14:val="tx1"/>
                  </w14:solidFill>
                </w14:textFill>
              </w:rPr>
              <w:t>高锰酸盐指数</w:t>
            </w:r>
          </w:p>
          <w:p>
            <w:pPr>
              <w:pStyle w:val="297"/>
              <w:rPr>
                <w:rFonts w:hint="eastAsia" w:ascii="宋体" w:hAnsi="宋体"/>
                <w:b/>
                <w:bCs/>
                <w:color w:val="000000" w:themeColor="text1"/>
                <w:szCs w:val="21"/>
                <w:highlight w:val="none"/>
                <w14:textFill>
                  <w14:solidFill>
                    <w14:schemeClr w14:val="tx1"/>
                  </w14:solidFill>
                </w14:textFill>
              </w:rPr>
            </w:pPr>
            <w:r>
              <w:rPr>
                <w:rFonts w:ascii="宋体" w:hAnsi="宋体"/>
                <w:b/>
                <w:bCs/>
                <w:color w:val="000000" w:themeColor="text1"/>
                <w:szCs w:val="21"/>
                <w:highlight w:val="none"/>
                <w14:textFill>
                  <w14:solidFill>
                    <w14:schemeClr w14:val="tx1"/>
                  </w14:solidFill>
                </w14:textFill>
              </w:rPr>
              <w:t>（耗氧量）</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1.3</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1.4</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1.5</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1.0</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1.1</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≤3.0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1</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1.5</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0.33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0.50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氨氮</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＜0.025</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＜0.025</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＜0.025</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&lt;0.025</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&lt;0.025</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≤0.5</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ascii="宋体" w:hAnsi="宋体"/>
                <w:b/>
                <w:bCs/>
                <w:color w:val="000000" w:themeColor="text1"/>
                <w:szCs w:val="21"/>
                <w:highlight w:val="none"/>
                <w14:textFill>
                  <w14:solidFill>
                    <w14:schemeClr w14:val="tx1"/>
                  </w14:solidFill>
                </w14:textFill>
              </w:rPr>
              <w:t>硝酸根</w:t>
            </w:r>
          </w:p>
          <w:p>
            <w:pPr>
              <w:pStyle w:val="297"/>
              <w:rPr>
                <w:rFonts w:hint="eastAsia" w:ascii="宋体" w:hAnsi="宋体"/>
                <w:b/>
                <w:bCs/>
                <w:color w:val="000000" w:themeColor="text1"/>
                <w:szCs w:val="21"/>
                <w:highlight w:val="none"/>
                <w14:textFill>
                  <w14:solidFill>
                    <w14:schemeClr w14:val="tx1"/>
                  </w14:solidFill>
                </w14:textFill>
              </w:rPr>
            </w:pPr>
            <w:r>
              <w:rPr>
                <w:rFonts w:ascii="宋体" w:hAnsi="宋体"/>
                <w:b/>
                <w:bCs/>
                <w:color w:val="000000" w:themeColor="text1"/>
                <w:szCs w:val="21"/>
                <w:highlight w:val="none"/>
                <w14:textFill>
                  <w14:solidFill>
                    <w14:schemeClr w14:val="tx1"/>
                  </w14:solidFill>
                </w14:textFill>
              </w:rPr>
              <w:t>（硝酸盐氮）</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0.549</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0.626</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0.566</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1.12</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1.19</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3"/>
                <w:color w:val="000000" w:themeColor="text1"/>
                <w:highlight w:val="none"/>
                <w:lang w:bidi="ar"/>
                <w14:textFill>
                  <w14:solidFill>
                    <w14:schemeClr w14:val="tx1"/>
                  </w14:solidFill>
                </w14:textFill>
              </w:rPr>
              <w:t>≤20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0.549</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1.19</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0.03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0.06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ascii="宋体" w:hAnsi="宋体"/>
                <w:b/>
                <w:bCs/>
                <w:color w:val="000000" w:themeColor="text1"/>
                <w:szCs w:val="21"/>
                <w:highlight w:val="none"/>
                <w14:textFill>
                  <w14:solidFill>
                    <w14:schemeClr w14:val="tx1"/>
                  </w14:solidFill>
                </w14:textFill>
              </w:rPr>
              <w:t>亚硝酸根</w:t>
            </w:r>
          </w:p>
          <w:p>
            <w:pPr>
              <w:pStyle w:val="297"/>
              <w:rPr>
                <w:rFonts w:hint="eastAsia" w:ascii="宋体" w:hAnsi="宋体"/>
                <w:b/>
                <w:bCs/>
                <w:color w:val="000000" w:themeColor="text1"/>
                <w:szCs w:val="21"/>
                <w:highlight w:val="none"/>
                <w14:textFill>
                  <w14:solidFill>
                    <w14:schemeClr w14:val="tx1"/>
                  </w14:solidFill>
                </w14:textFill>
              </w:rPr>
            </w:pPr>
            <w:r>
              <w:rPr>
                <w:rFonts w:ascii="宋体" w:hAnsi="宋体"/>
                <w:b/>
                <w:bCs/>
                <w:color w:val="000000" w:themeColor="text1"/>
                <w:szCs w:val="21"/>
                <w:highlight w:val="none"/>
                <w14:textFill>
                  <w14:solidFill>
                    <w14:schemeClr w14:val="tx1"/>
                  </w14:solidFill>
                </w14:textFill>
              </w:rPr>
              <w:t>（亚硝酸盐氮）</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＜0.003</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＜0.003</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＜0.003</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&lt;0.003</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&lt;0.003</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3"/>
                <w:color w:val="000000" w:themeColor="text1"/>
                <w:highlight w:val="none"/>
                <w:lang w:bidi="ar"/>
                <w14:textFill>
                  <w14:solidFill>
                    <w14:schemeClr w14:val="tx1"/>
                  </w14:solidFill>
                </w14:textFill>
              </w:rPr>
              <w:t>≤1.0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氟化物</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0.113</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0.134</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0.110</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0.032</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0.111</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≤1.0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硫酸盐</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16.9</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16.2</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17.0</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14.4</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17.7</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≤250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0.032</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0.134</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0.03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0.13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氯化物</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4.35</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4.38</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4.38</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3.14</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3.30</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≤250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14.4</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17.7</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0.06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0.07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挥发酚</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0.0003</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0.0003</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0.0003</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&lt;0.0003</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&lt;0.0003</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≤0.002</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3.14</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4.38</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0.01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0.02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氰化物</w:t>
            </w:r>
          </w:p>
        </w:tc>
        <w:tc>
          <w:tcPr>
            <w:tcW w:w="403" w:type="pct"/>
            <w:shd w:val="clear" w:color="auto" w:fill="auto"/>
            <w:vAlign w:val="center"/>
          </w:tcPr>
          <w:p>
            <w:pPr>
              <w:widowControl/>
              <w:spacing w:line="240" w:lineRule="auto"/>
              <w:ind w:firstLine="420"/>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0.004</w:t>
            </w:r>
          </w:p>
        </w:tc>
        <w:tc>
          <w:tcPr>
            <w:tcW w:w="400" w:type="pct"/>
            <w:shd w:val="clear" w:color="auto" w:fill="auto"/>
            <w:vAlign w:val="center"/>
          </w:tcPr>
          <w:p>
            <w:pPr>
              <w:widowControl/>
              <w:spacing w:line="240" w:lineRule="auto"/>
              <w:ind w:firstLine="420"/>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0.004</w:t>
            </w:r>
          </w:p>
        </w:tc>
        <w:tc>
          <w:tcPr>
            <w:tcW w:w="405" w:type="pct"/>
            <w:shd w:val="clear" w:color="auto" w:fill="auto"/>
            <w:vAlign w:val="center"/>
          </w:tcPr>
          <w:p>
            <w:pPr>
              <w:widowControl/>
              <w:spacing w:line="240" w:lineRule="auto"/>
              <w:ind w:firstLine="420"/>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0.004</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&lt;0.004</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&lt;0.004</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≤0.05</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砷</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0.0003</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0.0003</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0.0003</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&lt;0.0003</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&lt;0.0003</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3"/>
                <w:color w:val="000000" w:themeColor="text1"/>
                <w:highlight w:val="none"/>
                <w:lang w:bidi="ar"/>
                <w14:textFill>
                  <w14:solidFill>
                    <w14:schemeClr w14:val="tx1"/>
                  </w14:solidFill>
                </w14:textFill>
              </w:rPr>
              <w:t>≤10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汞</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0.00004</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0.00004</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0.00004</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&lt;0.00004</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&lt;0.00004</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3"/>
                <w:color w:val="000000" w:themeColor="text1"/>
                <w:highlight w:val="none"/>
                <w:lang w:bidi="ar"/>
                <w14:textFill>
                  <w14:solidFill>
                    <w14:schemeClr w14:val="tx1"/>
                  </w14:solidFill>
                </w14:textFill>
              </w:rPr>
              <w:t>≤1.0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铬（六价）</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0.004</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0.004</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0.004</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&lt;0.004</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&lt;0.004</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≤0.05</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铁</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0.00334</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0.00288</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0.00250</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0.00190</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0.00235</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3"/>
                <w:color w:val="000000" w:themeColor="text1"/>
                <w:highlight w:val="none"/>
                <w:lang w:bidi="ar"/>
                <w14:textFill>
                  <w14:solidFill>
                    <w14:schemeClr w14:val="tx1"/>
                  </w14:solidFill>
                </w14:textFill>
              </w:rPr>
              <w:t>≤0.3</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锰</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0.00444</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0.00337</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0.00816</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0.00194</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0.0160</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3"/>
                <w:color w:val="000000" w:themeColor="text1"/>
                <w:highlight w:val="none"/>
                <w:lang w:bidi="ar"/>
                <w14:textFill>
                  <w14:solidFill>
                    <w14:schemeClr w14:val="tx1"/>
                  </w14:solidFill>
                </w14:textFill>
              </w:rPr>
              <w:t>≤0.1</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0.0019</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0.00334</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0.01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0.01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铅</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0.00009</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0.00009</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0.00009</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&lt;0.00009</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&lt;0.00009</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≤0.01</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0.00194</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0.016</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0.02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0.16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镉</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0.00005</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0.00005</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0.00005</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&lt;0.00005</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&lt;0.00005</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≤5</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0.00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0.00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石油类</w:t>
            </w:r>
            <w:r>
              <w:rPr>
                <w:rFonts w:ascii="宋体" w:hAnsi="宋体"/>
                <w:b/>
                <w:bCs/>
                <w:color w:val="000000" w:themeColor="text1"/>
                <w:szCs w:val="21"/>
                <w:highlight w:val="none"/>
                <w14:textFill>
                  <w14:solidFill>
                    <w14:schemeClr w14:val="tx1"/>
                  </w14:solidFill>
                </w14:textFill>
              </w:rPr>
              <w:t>*</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0.01</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0.01</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0.01</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0.01</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0.01</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≤0.05*</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c>
          <w:tcPr>
            <w:tcW w:w="1003" w:type="dxa"/>
            <w:shd w:val="clear" w:color="auto" w:fill="auto"/>
            <w:noWrap/>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0.00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0.00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总大肠菌群（</w:t>
            </w:r>
            <w:r>
              <w:rPr>
                <w:rFonts w:ascii="宋体" w:hAnsi="宋体"/>
                <w:b/>
                <w:bCs/>
                <w:color w:val="000000" w:themeColor="text1"/>
                <w:szCs w:val="21"/>
                <w:highlight w:val="none"/>
                <w14:textFill>
                  <w14:solidFill>
                    <w14:schemeClr w14:val="tx1"/>
                  </w14:solidFill>
                </w14:textFill>
              </w:rPr>
              <w:t>MPN/L</w:t>
            </w:r>
            <w:r>
              <w:rPr>
                <w:rFonts w:hint="eastAsia" w:ascii="宋体" w:hAnsi="宋体"/>
                <w:b/>
                <w:bCs/>
                <w:color w:val="000000" w:themeColor="text1"/>
                <w:szCs w:val="21"/>
                <w:highlight w:val="none"/>
                <w14:textFill>
                  <w14:solidFill>
                    <w14:schemeClr w14:val="tx1"/>
                  </w14:solidFill>
                </w14:textFill>
              </w:rPr>
              <w:t>）</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＜1.0</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＜1.0</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＜1.0</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&lt;1.0</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&lt;1.0</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&lt;3</w:t>
            </w:r>
            <w:r>
              <w:rPr>
                <w:rStyle w:val="624"/>
                <w:rFonts w:hint="default"/>
                <w:color w:val="000000" w:themeColor="text1"/>
                <w:highlight w:val="none"/>
                <w:lang w:bidi="ar"/>
                <w14:textFill>
                  <w14:solidFill>
                    <w14:schemeClr w14:val="tx1"/>
                  </w14:solidFill>
                </w14:textFill>
              </w:rPr>
              <w:t>个</w:t>
            </w:r>
            <w:r>
              <w:rPr>
                <w:rStyle w:val="621"/>
                <w:color w:val="000000" w:themeColor="text1"/>
                <w:highlight w:val="none"/>
                <w:lang w:bidi="ar"/>
                <w14:textFill>
                  <w14:solidFill>
                    <w14:schemeClr w14:val="tx1"/>
                  </w14:solidFill>
                </w14:textFill>
              </w:rPr>
              <w:t>/L</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0.01</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0.01</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0.20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0.20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ascii="宋体" w:hAnsi="宋体"/>
                <w:b/>
                <w:bCs/>
                <w:color w:val="000000" w:themeColor="text1"/>
                <w:szCs w:val="21"/>
                <w:highlight w:val="none"/>
                <w14:textFill>
                  <w14:solidFill>
                    <w14:schemeClr w14:val="tx1"/>
                  </w14:solidFill>
                </w14:textFill>
              </w:rPr>
              <w:t>细菌总数</w:t>
            </w:r>
            <w:r>
              <w:rPr>
                <w:rFonts w:hint="eastAsia" w:ascii="宋体" w:hAnsi="宋体"/>
                <w:b/>
                <w:bCs/>
                <w:color w:val="000000" w:themeColor="text1"/>
                <w:szCs w:val="21"/>
                <w:highlight w:val="none"/>
                <w14:textFill>
                  <w14:solidFill>
                    <w14:schemeClr w14:val="tx1"/>
                  </w14:solidFill>
                </w14:textFill>
              </w:rPr>
              <w:t>（</w:t>
            </w:r>
            <w:r>
              <w:rPr>
                <w:rFonts w:ascii="宋体" w:hAnsi="宋体"/>
                <w:b/>
                <w:bCs/>
                <w:color w:val="000000" w:themeColor="text1"/>
                <w:szCs w:val="21"/>
                <w:highlight w:val="none"/>
                <w14:textFill>
                  <w14:solidFill>
                    <w14:schemeClr w14:val="tx1"/>
                  </w14:solidFill>
                </w14:textFill>
              </w:rPr>
              <w:t>CFU/mL</w:t>
            </w:r>
            <w:r>
              <w:rPr>
                <w:rFonts w:hint="eastAsia" w:ascii="宋体" w:hAnsi="宋体"/>
                <w:b/>
                <w:bCs/>
                <w:color w:val="000000" w:themeColor="text1"/>
                <w:szCs w:val="21"/>
                <w:highlight w:val="none"/>
                <w14:textFill>
                  <w14:solidFill>
                    <w14:schemeClr w14:val="tx1"/>
                  </w14:solidFill>
                </w14:textFill>
              </w:rPr>
              <w:t>）</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65</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66</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74</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74</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72</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≤100</w:t>
            </w:r>
            <w:r>
              <w:rPr>
                <w:rStyle w:val="624"/>
                <w:rFonts w:hint="default"/>
                <w:color w:val="000000" w:themeColor="text1"/>
                <w:highlight w:val="none"/>
                <w:lang w:bidi="ar"/>
                <w14:textFill>
                  <w14:solidFill>
                    <w14:schemeClr w14:val="tx1"/>
                  </w14:solidFill>
                </w14:textFill>
              </w:rPr>
              <w:t>个</w:t>
            </w:r>
            <w:r>
              <w:rPr>
                <w:rStyle w:val="621"/>
                <w:color w:val="000000" w:themeColor="text1"/>
                <w:highlight w:val="none"/>
                <w:lang w:bidi="ar"/>
                <w14:textFill>
                  <w14:solidFill>
                    <w14:schemeClr w14:val="tx1"/>
                  </w14:solidFill>
                </w14:textFill>
              </w:rPr>
              <w:t>/</w:t>
            </w:r>
            <w:r>
              <w:rPr>
                <w:rStyle w:val="621"/>
                <w:rFonts w:hint="eastAsia"/>
                <w:color w:val="000000" w:themeColor="text1"/>
                <w:highlight w:val="none"/>
                <w:lang w:bidi="ar"/>
                <w14:textFill>
                  <w14:solidFill>
                    <w14:schemeClr w14:val="tx1"/>
                  </w14:solidFill>
                </w14:textFill>
              </w:rPr>
              <w:t>m</w:t>
            </w:r>
            <w:r>
              <w:rPr>
                <w:rStyle w:val="621"/>
                <w:color w:val="000000" w:themeColor="text1"/>
                <w:highlight w:val="none"/>
                <w:lang w:bidi="ar"/>
                <w14:textFill>
                  <w14:solidFill>
                    <w14:schemeClr w14:val="tx1"/>
                  </w14:solidFill>
                </w14:textFill>
              </w:rPr>
              <w:t>L</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c>
          <w:tcPr>
            <w:tcW w:w="1003" w:type="dxa"/>
            <w:shd w:val="clear" w:color="auto" w:fill="auto"/>
            <w:noWrap/>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钠</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7.06</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7.09</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7.14</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7.46</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7.33</w:t>
            </w:r>
          </w:p>
        </w:tc>
        <w:tc>
          <w:tcPr>
            <w:tcW w:w="358" w:type="pct"/>
            <w:shd w:val="clear" w:color="auto" w:fill="auto"/>
            <w:vAlign w:val="center"/>
          </w:tcPr>
          <w:p>
            <w:pPr>
              <w:widowControl/>
              <w:spacing w:line="240" w:lineRule="auto"/>
              <w:ind w:firstLine="0" w:firstLineChars="0"/>
              <w:jc w:val="center"/>
              <w:textAlignment w:val="center"/>
              <w:rPr>
                <w:color w:val="000000" w:themeColor="text1"/>
                <w:szCs w:val="21"/>
                <w:highlight w:val="none"/>
                <w14:textFill>
                  <w14:solidFill>
                    <w14:schemeClr w14:val="tx1"/>
                  </w14:solidFill>
                </w14:textFill>
              </w:rPr>
            </w:pPr>
            <w:r>
              <w:rPr>
                <w:rStyle w:val="621"/>
                <w:color w:val="000000" w:themeColor="text1"/>
                <w:highlight w:val="none"/>
                <w:lang w:bidi="ar"/>
                <w14:textFill>
                  <w14:solidFill>
                    <w14:schemeClr w14:val="tx1"/>
                  </w14:solidFill>
                </w14:textFill>
              </w:rPr>
              <w:t>≤200</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65</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74</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硫化物</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0.003</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0.003</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&lt;</w:t>
            </w:r>
            <w:r>
              <w:rPr>
                <w:rFonts w:hint="eastAsia" w:cs="Times New Roman"/>
                <w:color w:val="000000" w:themeColor="text1"/>
                <w:kern w:val="0"/>
                <w:sz w:val="21"/>
                <w:szCs w:val="21"/>
                <w:highlight w:val="none"/>
                <w:lang w:bidi="ar"/>
                <w14:textFill>
                  <w14:solidFill>
                    <w14:schemeClr w14:val="tx1"/>
                  </w14:solidFill>
                </w14:textFill>
              </w:rPr>
              <w:t>0.003</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&lt;0.003</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&lt;0.003</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≤0.02</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7.06</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7.46</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0.04 </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0.04 </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8" w:type="dxa"/>
          </w:tblCellMar>
        </w:tblPrEx>
        <w:trPr>
          <w:jc w:val="center"/>
        </w:trPr>
        <w:tc>
          <w:tcPr>
            <w:tcW w:w="587" w:type="pct"/>
            <w:shd w:val="clear" w:color="auto" w:fill="auto"/>
            <w:vAlign w:val="center"/>
          </w:tcPr>
          <w:p>
            <w:pPr>
              <w:pStyle w:val="297"/>
              <w:rPr>
                <w:rFonts w:hint="eastAsia" w:ascii="宋体" w:hAnsi="宋体"/>
                <w:b/>
                <w:bCs/>
                <w:color w:val="000000" w:themeColor="text1"/>
                <w:szCs w:val="21"/>
                <w:highlight w:val="none"/>
                <w14:textFill>
                  <w14:solidFill>
                    <w14:schemeClr w14:val="tx1"/>
                  </w14:solidFill>
                </w14:textFill>
              </w:rPr>
            </w:pPr>
            <w:r>
              <w:rPr>
                <w:rFonts w:hint="eastAsia" w:ascii="宋体" w:hAnsi="宋体"/>
                <w:b/>
                <w:bCs/>
                <w:color w:val="000000" w:themeColor="text1"/>
                <w:szCs w:val="21"/>
                <w:highlight w:val="none"/>
                <w14:textFill>
                  <w14:solidFill>
                    <w14:schemeClr w14:val="tx1"/>
                  </w14:solidFill>
                </w14:textFill>
              </w:rPr>
              <w:t>钡</w:t>
            </w:r>
          </w:p>
        </w:tc>
        <w:tc>
          <w:tcPr>
            <w:tcW w:w="403"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0.0460</w:t>
            </w:r>
          </w:p>
        </w:tc>
        <w:tc>
          <w:tcPr>
            <w:tcW w:w="400"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0.0469</w:t>
            </w:r>
          </w:p>
        </w:tc>
        <w:tc>
          <w:tcPr>
            <w:tcW w:w="40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0.0542</w:t>
            </w:r>
          </w:p>
        </w:tc>
        <w:tc>
          <w:tcPr>
            <w:tcW w:w="517"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0.0494</w:t>
            </w:r>
          </w:p>
        </w:tc>
        <w:tc>
          <w:tcPr>
            <w:tcW w:w="535"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0.0454</w:t>
            </w:r>
          </w:p>
        </w:tc>
        <w:tc>
          <w:tcPr>
            <w:tcW w:w="358"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1003" w:type="dxa"/>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w:t>
            </w:r>
          </w:p>
        </w:tc>
        <w:tc>
          <w:tcPr>
            <w:tcW w:w="359" w:type="pct"/>
            <w:shd w:val="clear" w:color="auto" w:fill="auto"/>
            <w:vAlign w:val="center"/>
          </w:tcPr>
          <w:p>
            <w:pPr>
              <w:widowControl/>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r>
    </w:tbl>
    <w:p>
      <w:pPr>
        <w:pStyle w:val="14"/>
        <w:ind w:firstLine="0" w:firstLineChars="0"/>
        <w:jc w:val="left"/>
        <w:rPr>
          <w:rFonts w:hint="eastAsia" w:ascii="仿宋" w:hAnsi="仿宋" w:eastAsia="仿宋"/>
          <w:color w:val="000000" w:themeColor="text1"/>
          <w:sz w:val="21"/>
          <w:szCs w:val="18"/>
          <w:highlight w:val="none"/>
          <w14:textFill>
            <w14:solidFill>
              <w14:schemeClr w14:val="tx1"/>
            </w14:solidFill>
          </w14:textFill>
        </w:rPr>
      </w:pPr>
      <w:r>
        <w:rPr>
          <w:rFonts w:hint="eastAsia" w:ascii="仿宋" w:hAnsi="仿宋" w:eastAsia="仿宋"/>
          <w:color w:val="000000" w:themeColor="text1"/>
          <w:sz w:val="21"/>
          <w:szCs w:val="18"/>
          <w:highlight w:val="none"/>
          <w14:textFill>
            <w14:solidFill>
              <w14:schemeClr w14:val="tx1"/>
            </w14:solidFill>
          </w14:textFill>
        </w:rPr>
        <w:t>注：*为参考地表水标准</w:t>
      </w:r>
    </w:p>
    <w:p>
      <w:pPr>
        <w:ind w:firstLine="480"/>
        <w:rPr>
          <w:color w:val="000000" w:themeColor="text1"/>
          <w:highlight w:val="none"/>
          <w14:textFill>
            <w14:solidFill>
              <w14:schemeClr w14:val="tx1"/>
            </w14:solidFill>
          </w14:textFill>
        </w:rPr>
        <w:sectPr>
          <w:pgSz w:w="16840" w:h="11910" w:orient="landscape"/>
          <w:pgMar w:top="1800" w:right="1440" w:bottom="1800" w:left="1440" w:header="964" w:footer="964" w:gutter="0"/>
          <w:cols w:space="720" w:num="1"/>
          <w:docGrid w:linePitch="326" w:charSpace="0"/>
        </w:sectPr>
      </w:pP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由上表可见，项目区域地下水现状监测指标均未超过《地下水质量标准》（GB/T14848-2017）中的Ⅲ类标准限值要求</w:t>
      </w:r>
      <w:r>
        <w:rPr>
          <w:rFonts w:hint="eastAsia" w:cs="Times New Roman"/>
          <w:bCs/>
          <w:color w:val="000000" w:themeColor="text1"/>
          <w:szCs w:val="24"/>
          <w:highlight w:val="none"/>
          <w14:textFill>
            <w14:solidFill>
              <w14:schemeClr w14:val="tx1"/>
            </w14:solidFill>
          </w14:textFill>
        </w:rPr>
        <w:t>，石油类满足参照执行的</w:t>
      </w:r>
      <w:r>
        <w:rPr>
          <w:rFonts w:cs="Times New Roman"/>
          <w:bCs/>
          <w:color w:val="000000" w:themeColor="text1"/>
          <w:szCs w:val="24"/>
          <w:highlight w:val="none"/>
          <w14:textFill>
            <w14:solidFill>
              <w14:schemeClr w14:val="tx1"/>
            </w14:solidFill>
          </w14:textFill>
        </w:rPr>
        <w:t>《地表水环境质量标准》（GB3838-2002）Ⅲ类标准限值要求</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可知本项目所在地区地下水质量总体上良好，施工期</w:t>
      </w:r>
      <w:r>
        <w:rPr>
          <w:rFonts w:hint="eastAsia" w:cs="Times New Roman"/>
          <w:bCs/>
          <w:color w:val="000000" w:themeColor="text1"/>
          <w:szCs w:val="24"/>
          <w:highlight w:val="none"/>
          <w14:textFill>
            <w14:solidFill>
              <w14:schemeClr w14:val="tx1"/>
            </w14:solidFill>
          </w14:textFill>
        </w:rPr>
        <w:t>和试采期</w:t>
      </w:r>
      <w:r>
        <w:rPr>
          <w:rFonts w:cs="Times New Roman"/>
          <w:bCs/>
          <w:color w:val="000000" w:themeColor="text1"/>
          <w:szCs w:val="24"/>
          <w:highlight w:val="none"/>
          <w14:textFill>
            <w14:solidFill>
              <w14:schemeClr w14:val="tx1"/>
            </w14:solidFill>
          </w14:textFill>
        </w:rPr>
        <w:t>间应加强项目建设期间的水污染管理工作，杜绝跑冒滴漏和做好防渗，避免对项目周围地下水的污染。</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2）地下水化学类型分类</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根据评价方法中介绍的使用舒卡列夫法对地下水类型进行分类，需要找到主要离子中含量大于25%毫克当量的阴离子及阳离子进行组合，计算各水样的矿化度，计算结果见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_Ref142600232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9</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43" w:name="_Ref14260023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bookmarkEnd w:id="24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区域地下水阴阳离子含量比例及各水样矿化度一览表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385"/>
        <w:gridCol w:w="1266"/>
        <w:gridCol w:w="1096"/>
        <w:gridCol w:w="1271"/>
        <w:gridCol w:w="1101"/>
        <w:gridCol w:w="1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监测因子</w:t>
            </w:r>
          </w:p>
        </w:tc>
        <w:tc>
          <w:tcPr>
            <w:tcW w:w="5835" w:type="dxa"/>
            <w:gridSpan w:val="5"/>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监测点位及时间、监测结果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Merge w:val="continue"/>
            <w:vAlign w:val="center"/>
          </w:tcPr>
          <w:p>
            <w:pPr>
              <w:pStyle w:val="297"/>
              <w:rPr>
                <w:b/>
                <w:bCs/>
                <w:color w:val="000000" w:themeColor="text1"/>
                <w:highlight w:val="none"/>
                <w14:textFill>
                  <w14:solidFill>
                    <w14:schemeClr w14:val="tx1"/>
                  </w14:solidFill>
                </w14:textFill>
              </w:rPr>
            </w:pPr>
          </w:p>
        </w:tc>
        <w:tc>
          <w:tcPr>
            <w:tcW w:w="126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w:t>
            </w:r>
          </w:p>
        </w:tc>
        <w:tc>
          <w:tcPr>
            <w:tcW w:w="109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w:t>
            </w:r>
          </w:p>
        </w:tc>
        <w:tc>
          <w:tcPr>
            <w:tcW w:w="127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w:t>
            </w:r>
          </w:p>
        </w:tc>
        <w:tc>
          <w:tcPr>
            <w:tcW w:w="1101"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w:t>
            </w:r>
          </w:p>
        </w:tc>
        <w:tc>
          <w:tcPr>
            <w:tcW w:w="1101" w:type="dxa"/>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5</w:t>
            </w:r>
            <w:r>
              <w:rPr>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Merge w:val="continue"/>
            <w:vAlign w:val="center"/>
          </w:tcPr>
          <w:p>
            <w:pPr>
              <w:pStyle w:val="297"/>
              <w:rPr>
                <w:b/>
                <w:bCs/>
                <w:color w:val="000000" w:themeColor="text1"/>
                <w:highlight w:val="none"/>
                <w14:textFill>
                  <w14:solidFill>
                    <w14:schemeClr w14:val="tx1"/>
                  </w14:solidFill>
                </w14:textFill>
              </w:rPr>
            </w:pPr>
          </w:p>
        </w:tc>
        <w:tc>
          <w:tcPr>
            <w:tcW w:w="2362" w:type="dxa"/>
            <w:gridSpan w:val="2"/>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2024.11.3</w:t>
            </w:r>
          </w:p>
        </w:tc>
        <w:tc>
          <w:tcPr>
            <w:tcW w:w="3473" w:type="dxa"/>
            <w:gridSpan w:val="3"/>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2024.12.6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8220" w:type="dxa"/>
            <w:gridSpan w:val="6"/>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监测结果（mg/l）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钾</w:t>
            </w:r>
          </w:p>
        </w:tc>
        <w:tc>
          <w:tcPr>
            <w:tcW w:w="12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1.03</w:t>
            </w:r>
          </w:p>
        </w:tc>
        <w:tc>
          <w:tcPr>
            <w:tcW w:w="109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1.04</w:t>
            </w:r>
          </w:p>
        </w:tc>
        <w:tc>
          <w:tcPr>
            <w:tcW w:w="127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1.14</w:t>
            </w:r>
          </w:p>
        </w:tc>
        <w:tc>
          <w:tcPr>
            <w:tcW w:w="11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1.12</w:t>
            </w:r>
          </w:p>
        </w:tc>
        <w:tc>
          <w:tcPr>
            <w:tcW w:w="11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钠</w:t>
            </w:r>
          </w:p>
        </w:tc>
        <w:tc>
          <w:tcPr>
            <w:tcW w:w="12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7.06</w:t>
            </w:r>
          </w:p>
        </w:tc>
        <w:tc>
          <w:tcPr>
            <w:tcW w:w="109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7.09</w:t>
            </w:r>
          </w:p>
        </w:tc>
        <w:tc>
          <w:tcPr>
            <w:tcW w:w="127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7.46</w:t>
            </w:r>
          </w:p>
        </w:tc>
        <w:tc>
          <w:tcPr>
            <w:tcW w:w="11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7.33</w:t>
            </w:r>
          </w:p>
        </w:tc>
        <w:tc>
          <w:tcPr>
            <w:tcW w:w="11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钙</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19.0</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19.5</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23.2</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22.2</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镁</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4.91</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4.92</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5.49</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5.58</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碳酸根</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重碳酸根</w:t>
            </w:r>
          </w:p>
        </w:tc>
        <w:tc>
          <w:tcPr>
            <w:tcW w:w="12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183</w:t>
            </w:r>
          </w:p>
        </w:tc>
        <w:tc>
          <w:tcPr>
            <w:tcW w:w="109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211</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194</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130</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氯化物</w:t>
            </w:r>
          </w:p>
        </w:tc>
        <w:tc>
          <w:tcPr>
            <w:tcW w:w="12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4.35</w:t>
            </w:r>
          </w:p>
        </w:tc>
        <w:tc>
          <w:tcPr>
            <w:tcW w:w="109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4.38</w:t>
            </w:r>
          </w:p>
        </w:tc>
        <w:tc>
          <w:tcPr>
            <w:tcW w:w="127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3.14</w:t>
            </w:r>
          </w:p>
        </w:tc>
        <w:tc>
          <w:tcPr>
            <w:tcW w:w="11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3.30</w:t>
            </w:r>
          </w:p>
        </w:tc>
        <w:tc>
          <w:tcPr>
            <w:tcW w:w="11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硫酸盐</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16.9</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16.2</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14.4</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17.7</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8220" w:type="dxa"/>
            <w:gridSpan w:val="6"/>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当量浓度（meq/L）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钾</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0.02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0.06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0.06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0.10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钠</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5.87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1.33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0.28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0.89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钙</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2.44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4.03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2.27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2.99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镁</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0.85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1.96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0.72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1.74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碳酸根</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重碳酸根</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8.31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7.39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2.18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3.33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6" w:hRule="atLeast"/>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氯化物</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0.36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0.25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0.35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1.86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0.32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硫酸盐</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0.51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0.12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0.46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0.45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0.40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矿化度mg/L</w:t>
            </w:r>
          </w:p>
        </w:tc>
        <w:tc>
          <w:tcPr>
            <w:tcW w:w="126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144.75 </w:t>
            </w:r>
          </w:p>
        </w:tc>
        <w:tc>
          <w:tcPr>
            <w:tcW w:w="109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158.63 </w:t>
            </w:r>
          </w:p>
        </w:tc>
        <w:tc>
          <w:tcPr>
            <w:tcW w:w="12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151.83 </w:t>
            </w:r>
          </w:p>
        </w:tc>
        <w:tc>
          <w:tcPr>
            <w:tcW w:w="11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122.23 </w:t>
            </w:r>
          </w:p>
        </w:tc>
        <w:tc>
          <w:tcPr>
            <w:tcW w:w="11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242.49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8220" w:type="dxa"/>
            <w:gridSpan w:val="6"/>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当量浓度比例</w:t>
            </w: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钠+钾</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6.45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5.94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6.38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7.69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8.52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钙</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18.39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17.29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20.94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24.58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36.23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镁</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7.92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7.27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8.26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10.30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15.71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碳酸根</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重碳酸根</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58.06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61.33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57.41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47.20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23.52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氯化物</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2.37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2.19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1.60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2.06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9.44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385"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硫酸盐</w:t>
            </w:r>
          </w:p>
        </w:tc>
        <w:tc>
          <w:tcPr>
            <w:tcW w:w="126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6.81 </w:t>
            </w:r>
          </w:p>
        </w:tc>
        <w:tc>
          <w:tcPr>
            <w:tcW w:w="109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5.98 </w:t>
            </w:r>
          </w:p>
        </w:tc>
        <w:tc>
          <w:tcPr>
            <w:tcW w:w="127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5.42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8.17 </w:t>
            </w:r>
          </w:p>
        </w:tc>
        <w:tc>
          <w:tcPr>
            <w:tcW w:w="110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6.58 </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由表4.2-9可以看出，本次评价各水样监测结果各水样的矿化度范围在</w:t>
      </w:r>
      <w:r>
        <w:rPr>
          <w:rFonts w:hint="eastAsia" w:cs="Times New Roman"/>
          <w:bCs/>
          <w:color w:val="000000" w:themeColor="text1"/>
          <w:szCs w:val="24"/>
          <w:highlight w:val="none"/>
          <w14:textFill>
            <w14:solidFill>
              <w14:schemeClr w14:val="tx1"/>
            </w14:solidFill>
          </w14:textFill>
        </w:rPr>
        <w:t>122.23</w:t>
      </w:r>
      <w:r>
        <w:rPr>
          <w:rFonts w:cs="Times New Roman"/>
          <w:bCs/>
          <w:color w:val="000000" w:themeColor="text1"/>
          <w:szCs w:val="24"/>
          <w:highlight w:val="none"/>
          <w14:textFill>
            <w14:solidFill>
              <w14:schemeClr w14:val="tx1"/>
            </w14:solidFill>
          </w14:textFill>
        </w:rPr>
        <w:t>mg/L-</w:t>
      </w:r>
      <w:r>
        <w:rPr>
          <w:rFonts w:hint="eastAsia" w:cs="Times New Roman"/>
          <w:bCs/>
          <w:color w:val="000000" w:themeColor="text1"/>
          <w:szCs w:val="24"/>
          <w:highlight w:val="none"/>
          <w14:textFill>
            <w14:solidFill>
              <w14:schemeClr w14:val="tx1"/>
            </w14:solidFill>
          </w14:textFill>
        </w:rPr>
        <w:t>242.49</w:t>
      </w:r>
      <w:r>
        <w:rPr>
          <w:rFonts w:cs="Times New Roman"/>
          <w:bCs/>
          <w:color w:val="000000" w:themeColor="text1"/>
          <w:szCs w:val="24"/>
          <w:highlight w:val="none"/>
          <w14:textFill>
            <w14:solidFill>
              <w14:schemeClr w14:val="tx1"/>
            </w14:solidFill>
          </w14:textFill>
        </w:rPr>
        <w:t>mg/L，小于1500mg/L，主要离子的阴离子及阳离子分别为碳酸氢根和钙离子，因此，本项目所在区域地下水化学类型为矿化度不大于1.5g/L的HCO</w:t>
      </w:r>
      <w:r>
        <w:rPr>
          <w:rFonts w:cs="Times New Roman"/>
          <w:bCs/>
          <w:color w:val="000000" w:themeColor="text1"/>
          <w:szCs w:val="24"/>
          <w:highlight w:val="none"/>
          <w:vertAlign w:val="sub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-Ca型水。</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（5）地下水动态变化特征</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工程区内地下水主要接受大气降水补给，地下水的动态变化同大气降水密切相关，一般随着降雨量的变化而变化，雨季时地下水水位上升，雨季之后地下水水位逐渐下降。同时受地形地貌补给影响，靠近丘谷水位埋深普遍较浅。</w:t>
      </w:r>
      <w:r>
        <w:rPr>
          <w:rFonts w:hint="eastAsia" w:cs="Times New Roman"/>
          <w:bCs/>
          <w:color w:val="000000" w:themeColor="text1"/>
          <w:szCs w:val="24"/>
          <w:highlight w:val="none"/>
          <w14:textFill>
            <w14:solidFill>
              <w14:schemeClr w14:val="tx1"/>
            </w14:solidFill>
          </w14:textFill>
        </w:rPr>
        <w:t>本次评价引用大湾408井台钻井及试采工程对区域地下水水位调查结果，</w:t>
      </w:r>
      <w:r>
        <w:rPr>
          <w:rFonts w:cs="Times New Roman"/>
          <w:bCs/>
          <w:color w:val="000000" w:themeColor="text1"/>
          <w:szCs w:val="24"/>
          <w:highlight w:val="none"/>
          <w14:textFill>
            <w14:solidFill>
              <w14:schemeClr w14:val="tx1"/>
            </w14:solidFill>
          </w14:textFill>
        </w:rPr>
        <w:t>本项目区域地下水水位统计见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_Ref142600224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10</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44" w:name="_Ref142600224"/>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bookmarkEnd w:id="244"/>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本项目区域地下水水位统计一览表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74"/>
        <w:gridCol w:w="1247"/>
        <w:gridCol w:w="1139"/>
        <w:gridCol w:w="836"/>
        <w:gridCol w:w="909"/>
        <w:gridCol w:w="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blHeader/>
          <w:jc w:val="center"/>
        </w:trPr>
        <w:tc>
          <w:tcPr>
            <w:tcW w:w="2038" w:type="pct"/>
            <w:vMerge w:val="restart"/>
            <w:vAlign w:val="center"/>
          </w:tcPr>
          <w:p>
            <w:pPr>
              <w:pStyle w:val="297"/>
              <w:rPr>
                <w:b/>
                <w:bCs/>
                <w:color w:val="000000" w:themeColor="text1"/>
                <w:highlight w:val="none"/>
                <w14:textFill>
                  <w14:solidFill>
                    <w14:schemeClr w14:val="tx1"/>
                  </w14:solidFill>
                </w14:textFill>
              </w:rPr>
            </w:pPr>
            <w:bookmarkStart w:id="245" w:name="_Toc120173132"/>
            <w:r>
              <w:rPr>
                <w:b/>
                <w:bCs/>
                <w:color w:val="000000" w:themeColor="text1"/>
                <w:highlight w:val="none"/>
                <w14:textFill>
                  <w14:solidFill>
                    <w14:schemeClr w14:val="tx1"/>
                  </w14:solidFill>
                </w14:textFill>
              </w:rPr>
              <w:t>检测点位信息</w:t>
            </w:r>
          </w:p>
        </w:tc>
        <w:tc>
          <w:tcPr>
            <w:tcW w:w="1399" w:type="pct"/>
            <w:gridSpan w:val="2"/>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49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水位（m）</w:t>
            </w:r>
          </w:p>
        </w:tc>
        <w:tc>
          <w:tcPr>
            <w:tcW w:w="533" w:type="pct"/>
            <w:vMerge w:val="restart"/>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埋深（m）</w:t>
            </w:r>
          </w:p>
        </w:tc>
        <w:tc>
          <w:tcPr>
            <w:tcW w:w="54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blHeader/>
          <w:jc w:val="center"/>
        </w:trPr>
        <w:tc>
          <w:tcPr>
            <w:tcW w:w="2038" w:type="pct"/>
            <w:vMerge w:val="continue"/>
            <w:vAlign w:val="center"/>
          </w:tcPr>
          <w:p>
            <w:pPr>
              <w:pStyle w:val="297"/>
              <w:rPr>
                <w:b/>
                <w:bCs/>
                <w:color w:val="000000" w:themeColor="text1"/>
                <w:highlight w:val="none"/>
                <w14:textFill>
                  <w14:solidFill>
                    <w14:schemeClr w14:val="tx1"/>
                  </w14:solidFill>
                </w14:textFill>
              </w:rPr>
            </w:pPr>
          </w:p>
        </w:tc>
        <w:tc>
          <w:tcPr>
            <w:tcW w:w="731" w:type="pct"/>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X</w:t>
            </w:r>
          </w:p>
        </w:tc>
        <w:tc>
          <w:tcPr>
            <w:tcW w:w="668" w:type="pct"/>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Y</w:t>
            </w:r>
          </w:p>
        </w:tc>
        <w:tc>
          <w:tcPr>
            <w:tcW w:w="490" w:type="pct"/>
            <w:vMerge w:val="continue"/>
            <w:vAlign w:val="center"/>
          </w:tcPr>
          <w:p>
            <w:pPr>
              <w:pStyle w:val="297"/>
              <w:rPr>
                <w:b/>
                <w:bCs/>
                <w:color w:val="000000" w:themeColor="text1"/>
                <w:highlight w:val="none"/>
                <w14:textFill>
                  <w14:solidFill>
                    <w14:schemeClr w14:val="tx1"/>
                  </w14:solidFill>
                </w14:textFill>
              </w:rPr>
            </w:pPr>
          </w:p>
        </w:tc>
        <w:tc>
          <w:tcPr>
            <w:tcW w:w="533" w:type="pct"/>
            <w:vMerge w:val="continue"/>
            <w:vAlign w:val="center"/>
          </w:tcPr>
          <w:p>
            <w:pPr>
              <w:pStyle w:val="297"/>
              <w:rPr>
                <w:b/>
                <w:bCs/>
                <w:color w:val="000000" w:themeColor="text1"/>
                <w:highlight w:val="none"/>
                <w14:textFill>
                  <w14:solidFill>
                    <w14:schemeClr w14:val="tx1"/>
                  </w14:solidFill>
                </w14:textFill>
              </w:rPr>
            </w:pPr>
          </w:p>
        </w:tc>
        <w:tc>
          <w:tcPr>
            <w:tcW w:w="540" w:type="pct"/>
            <w:vMerge w:val="continue"/>
            <w:vAlign w:val="center"/>
          </w:tcPr>
          <w:p>
            <w:pPr>
              <w:pStyle w:val="297"/>
              <w:rPr>
                <w:b/>
                <w:bCs/>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井场南侧</w:t>
            </w:r>
            <w:r>
              <w:rPr>
                <w:color w:val="000000" w:themeColor="text1"/>
                <w:highlight w:val="none"/>
                <w14:textFill>
                  <w14:solidFill>
                    <w14:schemeClr w14:val="tx1"/>
                  </w14:solidFill>
                </w14:textFill>
              </w:rPr>
              <w:t>约193m处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107.805920</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31.644525</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649</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井场西南侧</w:t>
            </w:r>
            <w:r>
              <w:rPr>
                <w:color w:val="000000" w:themeColor="text1"/>
                <w:highlight w:val="none"/>
                <w14:textFill>
                  <w14:solidFill>
                    <w14:schemeClr w14:val="tx1"/>
                  </w14:solidFill>
                </w14:textFill>
              </w:rPr>
              <w:t>约510m处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107.801290</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14:textFill>
                  <w14:solidFill>
                    <w14:schemeClr w14:val="tx1"/>
                  </w14:solidFill>
                </w14:textFill>
              </w:rPr>
              <w:t>178</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562</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井场北侧</w:t>
            </w:r>
            <w:r>
              <w:rPr>
                <w:color w:val="000000" w:themeColor="text1"/>
                <w:highlight w:val="none"/>
                <w14:textFill>
                  <w14:solidFill>
                    <w14:schemeClr w14:val="tx1"/>
                  </w14:solidFill>
                </w14:textFill>
              </w:rPr>
              <w:t>约360m处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107.806243</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31.649420</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574</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井场南侧</w:t>
            </w:r>
            <w:r>
              <w:rPr>
                <w:color w:val="000000" w:themeColor="text1"/>
                <w:highlight w:val="none"/>
                <w14:textFill>
                  <w14:solidFill>
                    <w14:schemeClr w14:val="tx1"/>
                  </w14:solidFill>
                </w14:textFill>
              </w:rPr>
              <w:t>约550m处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107.807146</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31.641237</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731</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r>
              <w:rPr>
                <w:color w:val="000000" w:themeColor="text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大湾4</w:t>
            </w:r>
            <w:r>
              <w:rPr>
                <w:color w:val="000000" w:themeColor="text1"/>
                <w:szCs w:val="21"/>
                <w:highlight w:val="none"/>
                <w14:textFill>
                  <w14:solidFill>
                    <w14:schemeClr w14:val="tx1"/>
                  </w14:solidFill>
                </w14:textFill>
              </w:rPr>
              <w:t>08井台</w:t>
            </w:r>
            <w:r>
              <w:rPr>
                <w:rFonts w:hint="eastAsia"/>
                <w:color w:val="000000" w:themeColor="text1"/>
                <w:szCs w:val="21"/>
                <w:highlight w:val="none"/>
                <w14:textFill>
                  <w14:solidFill>
                    <w14:schemeClr w14:val="tx1"/>
                  </w14:solidFill>
                </w14:textFill>
              </w:rPr>
              <w:t>井场西侧</w:t>
            </w:r>
            <w:r>
              <w:rPr>
                <w:color w:val="000000" w:themeColor="text1"/>
                <w:highlight w:val="none"/>
                <w14:textFill>
                  <w14:solidFill>
                    <w14:schemeClr w14:val="tx1"/>
                  </w14:solidFill>
                </w14:textFill>
              </w:rPr>
              <w:t>约583m处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107.799381</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31.646939</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591</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r>
              <w:rPr>
                <w:rFonts w:hint="eastAsia"/>
                <w:color w:val="000000" w:themeColor="text1"/>
                <w:szCs w:val="21"/>
                <w:highlight w:val="none"/>
                <w14:textFill>
                  <w14:solidFill>
                    <w14:schemeClr w14:val="tx1"/>
                  </w14:solidFill>
                </w14:textFill>
              </w:rPr>
              <w:t>D408至D403管线南侧1</w:t>
            </w:r>
            <w:r>
              <w:rPr>
                <w:color w:val="000000" w:themeColor="text1"/>
                <w:szCs w:val="21"/>
                <w:highlight w:val="none"/>
                <w14:textFill>
                  <w14:solidFill>
                    <w14:schemeClr w14:val="tx1"/>
                  </w14:solidFill>
                </w14:textFill>
              </w:rPr>
              <w:t>20</w:t>
            </w:r>
            <w:r>
              <w:rPr>
                <w:rFonts w:hint="eastAsia"/>
                <w:color w:val="000000" w:themeColor="text1"/>
                <w:szCs w:val="21"/>
                <w:highlight w:val="none"/>
                <w14:textFill>
                  <w14:solidFill>
                    <w14:schemeClr w14:val="tx1"/>
                  </w14:solidFill>
                </w14:textFill>
              </w:rPr>
              <w:t>m处</w:t>
            </w:r>
          </w:p>
        </w:tc>
        <w:tc>
          <w:tcPr>
            <w:tcW w:w="731"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107.796721</w:t>
            </w:r>
          </w:p>
        </w:tc>
        <w:tc>
          <w:tcPr>
            <w:tcW w:w="668"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31.625643</w:t>
            </w:r>
          </w:p>
        </w:tc>
        <w:tc>
          <w:tcPr>
            <w:tcW w:w="490"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32</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7#大湾408井台</w:t>
            </w:r>
            <w:r>
              <w:rPr>
                <w:rFonts w:hint="eastAsia"/>
                <w:color w:val="000000" w:themeColor="text1"/>
                <w:highlight w:val="none"/>
                <w14:textFill>
                  <w14:solidFill>
                    <w14:schemeClr w14:val="tx1"/>
                  </w14:solidFill>
                </w14:textFill>
              </w:rPr>
              <w:t>东南</w:t>
            </w:r>
            <w:r>
              <w:rPr>
                <w:color w:val="000000" w:themeColor="text1"/>
                <w:highlight w:val="none"/>
                <w14:textFill>
                  <w14:solidFill>
                    <w14:schemeClr w14:val="tx1"/>
                  </w14:solidFill>
                </w14:textFill>
              </w:rPr>
              <w:t>侧约698m处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107.809575</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31.640495</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806</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8#大湾408井台</w:t>
            </w:r>
            <w:r>
              <w:rPr>
                <w:rFonts w:hint="eastAsia"/>
                <w:color w:val="000000" w:themeColor="text1"/>
                <w:highlight w:val="none"/>
                <w14:textFill>
                  <w14:solidFill>
                    <w14:schemeClr w14:val="tx1"/>
                  </w14:solidFill>
                </w14:textFill>
              </w:rPr>
              <w:t>西南</w:t>
            </w:r>
            <w:r>
              <w:rPr>
                <w:color w:val="000000" w:themeColor="text1"/>
                <w:highlight w:val="none"/>
                <w14:textFill>
                  <w14:solidFill>
                    <w14:schemeClr w14:val="tx1"/>
                  </w14:solidFill>
                </w14:textFill>
              </w:rPr>
              <w:t>侧约617m处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107.800741</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31.643759</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582</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9#大湾408井台</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侧约669m处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107.799564</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14:textFill>
                  <w14:solidFill>
                    <w14:schemeClr w14:val="tx1"/>
                  </w14:solidFill>
                </w14:textFill>
              </w:rPr>
              <w:t>865</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576</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10#大湾408井台</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侧约927m处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107.796903</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31.647068</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518</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11#大湾408井台东</w:t>
            </w:r>
            <w:r>
              <w:rPr>
                <w:rFonts w:hint="eastAsia"/>
                <w:color w:val="000000" w:themeColor="text1"/>
                <w:highlight w:val="none"/>
                <w14:textFill>
                  <w14:solidFill>
                    <w14:schemeClr w14:val="tx1"/>
                  </w14:solidFill>
                </w14:textFill>
              </w:rPr>
              <w:t>南</w:t>
            </w:r>
            <w:r>
              <w:rPr>
                <w:color w:val="000000" w:themeColor="text1"/>
                <w:highlight w:val="none"/>
                <w14:textFill>
                  <w14:solidFill>
                    <w14:schemeClr w14:val="tx1"/>
                  </w14:solidFill>
                </w14:textFill>
              </w:rPr>
              <w:t>侧约882m处</w:t>
            </w:r>
          </w:p>
        </w:tc>
        <w:tc>
          <w:tcPr>
            <w:tcW w:w="731"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107.810432</w:t>
            </w:r>
          </w:p>
        </w:tc>
        <w:tc>
          <w:tcPr>
            <w:tcW w:w="6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31.638926</w:t>
            </w:r>
          </w:p>
        </w:tc>
        <w:tc>
          <w:tcPr>
            <w:tcW w:w="49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811</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03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12#</w:t>
            </w:r>
            <w:r>
              <w:rPr>
                <w:rFonts w:hint="eastAsia"/>
                <w:color w:val="000000" w:themeColor="text1"/>
                <w:szCs w:val="21"/>
                <w:highlight w:val="none"/>
                <w14:textFill>
                  <w14:solidFill>
                    <w14:schemeClr w14:val="tx1"/>
                  </w14:solidFill>
                </w14:textFill>
              </w:rPr>
              <w:t>D408至D403管线南侧1</w:t>
            </w:r>
            <w:r>
              <w:rPr>
                <w:color w:val="000000" w:themeColor="text1"/>
                <w:szCs w:val="21"/>
                <w:highlight w:val="none"/>
                <w14:textFill>
                  <w14:solidFill>
                    <w14:schemeClr w14:val="tx1"/>
                  </w14:solidFill>
                </w14:textFill>
              </w:rPr>
              <w:t>03</w:t>
            </w:r>
            <w:r>
              <w:rPr>
                <w:rFonts w:hint="eastAsia"/>
                <w:color w:val="000000" w:themeColor="text1"/>
                <w:szCs w:val="21"/>
                <w:highlight w:val="none"/>
                <w14:textFill>
                  <w14:solidFill>
                    <w14:schemeClr w14:val="tx1"/>
                  </w14:solidFill>
                </w14:textFill>
              </w:rPr>
              <w:t>m处</w:t>
            </w:r>
          </w:p>
        </w:tc>
        <w:tc>
          <w:tcPr>
            <w:tcW w:w="731"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107.796324</w:t>
            </w:r>
          </w:p>
        </w:tc>
        <w:tc>
          <w:tcPr>
            <w:tcW w:w="668" w:type="pc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31.625624</w:t>
            </w:r>
          </w:p>
        </w:tc>
        <w:tc>
          <w:tcPr>
            <w:tcW w:w="490"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33</w:t>
            </w:r>
          </w:p>
        </w:tc>
        <w:tc>
          <w:tcPr>
            <w:tcW w:w="5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5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泉涌水</w:t>
            </w:r>
          </w:p>
        </w:tc>
      </w:tr>
    </w:tbl>
    <w:p>
      <w:pPr>
        <w:pStyle w:val="4"/>
        <w:spacing w:before="120"/>
        <w:ind w:firstLine="480"/>
        <w:rPr>
          <w:b/>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土壤环境质量现状</w:t>
      </w:r>
      <w:bookmarkEnd w:id="245"/>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土壤理化性质调查、利用状况调查</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本次评价重点针对平台周边200m范围进行调查，通过调查相关资料，并结合国家土壤信息服务平台（中国1km土壤类型图），本项目周边土壤类型属</w:t>
      </w:r>
      <w:r>
        <w:rPr>
          <w:rFonts w:hint="eastAsia" w:cs="Times New Roman"/>
          <w:bCs/>
          <w:color w:val="000000" w:themeColor="text1"/>
          <w:szCs w:val="24"/>
          <w:highlight w:val="none"/>
          <w14:textFill>
            <w14:solidFill>
              <w14:schemeClr w14:val="tx1"/>
            </w14:solidFill>
          </w14:textFill>
        </w:rPr>
        <w:t>酸性紫色土</w:t>
      </w:r>
      <w:r>
        <w:rPr>
          <w:rFonts w:cs="Times New Roman"/>
          <w:bCs/>
          <w:color w:val="000000" w:themeColor="text1"/>
          <w:szCs w:val="24"/>
          <w:highlight w:val="none"/>
          <w14:textFill>
            <w14:solidFill>
              <w14:schemeClr w14:val="tx1"/>
            </w14:solidFill>
          </w14:textFill>
        </w:rPr>
        <w:t>。为了解项目所在区域的环境质量现状，本次评价委托</w:t>
      </w:r>
      <w:r>
        <w:rPr>
          <w:rFonts w:hint="eastAsia" w:cs="Times New Roman"/>
          <w:bCs/>
          <w:color w:val="000000" w:themeColor="text1"/>
          <w:szCs w:val="24"/>
          <w:highlight w:val="none"/>
          <w14:textFill>
            <w14:solidFill>
              <w14:schemeClr w14:val="tx1"/>
            </w14:solidFill>
          </w14:textFill>
        </w:rPr>
        <w:t xml:space="preserve">四川省工业环境监测研究院 </w:t>
      </w:r>
      <w:r>
        <w:rPr>
          <w:rFonts w:cs="Times New Roman"/>
          <w:bCs/>
          <w:color w:val="000000" w:themeColor="text1"/>
          <w:szCs w:val="24"/>
          <w:highlight w:val="none"/>
          <w14:textFill>
            <w14:solidFill>
              <w14:schemeClr w14:val="tx1"/>
            </w14:solidFill>
          </w14:textFill>
        </w:rPr>
        <w:t>对项目所在区域进行了土壤环境现状监测与调查。周边土壤理化特性见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_Ref142600216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11</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0" w:beforeLines="0"/>
        <w:rPr>
          <w:color w:val="000000" w:themeColor="text1"/>
          <w:highlight w:val="none"/>
          <w14:textFill>
            <w14:solidFill>
              <w14:schemeClr w14:val="tx1"/>
            </w14:solidFill>
          </w14:textFill>
        </w:rPr>
      </w:pPr>
      <w:bookmarkStart w:id="246" w:name="_Ref14260021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bookmarkEnd w:id="24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土壤理化特性调查表</w:t>
      </w:r>
    </w:p>
    <w:tbl>
      <w:tblPr>
        <w:tblStyle w:val="5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5"/>
        <w:gridCol w:w="2178"/>
        <w:gridCol w:w="2261"/>
        <w:gridCol w:w="1421"/>
        <w:gridCol w:w="1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679" w:type="pct"/>
            <w:gridSpan w:val="2"/>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调查</w:t>
            </w:r>
            <w:r>
              <w:rPr>
                <w:rFonts w:cs="Times New Roman"/>
                <w:color w:val="000000" w:themeColor="text1"/>
                <w:kern w:val="0"/>
                <w:sz w:val="21"/>
                <w:szCs w:val="21"/>
                <w:highlight w:val="none"/>
                <w:lang w:bidi="ar"/>
                <w14:textFill>
                  <w14:solidFill>
                    <w14:schemeClr w14:val="tx1"/>
                  </w14:solidFill>
                </w14:textFill>
              </w:rPr>
              <w:t>点位</w:t>
            </w:r>
          </w:p>
        </w:tc>
        <w:tc>
          <w:tcPr>
            <w:tcW w:w="1359" w:type="pct"/>
            <w:tcBorders>
              <w:tl2br w:val="nil"/>
              <w:tr2bl w:val="nil"/>
            </w:tcBorders>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方井旁1#</w:t>
            </w:r>
          </w:p>
        </w:tc>
        <w:tc>
          <w:tcPr>
            <w:tcW w:w="853"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时间</w:t>
            </w:r>
          </w:p>
        </w:tc>
        <w:tc>
          <w:tcPr>
            <w:tcW w:w="1106"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2024年12月5日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679" w:type="pct"/>
            <w:gridSpan w:val="2"/>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经度</w:t>
            </w:r>
          </w:p>
        </w:tc>
        <w:tc>
          <w:tcPr>
            <w:tcW w:w="135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107.812665</w:t>
            </w:r>
            <w:r>
              <w:rPr>
                <w:rFonts w:cs="Times New Roman"/>
                <w:color w:val="000000" w:themeColor="text1"/>
                <w:kern w:val="0"/>
                <w:sz w:val="21"/>
                <w:szCs w:val="21"/>
                <w:highlight w:val="none"/>
                <w:lang w:bidi="ar"/>
                <w14:textFill>
                  <w14:solidFill>
                    <w14:schemeClr w14:val="tx1"/>
                  </w14:solidFill>
                </w14:textFill>
              </w:rPr>
              <w:t>°E</w:t>
            </w:r>
          </w:p>
        </w:tc>
        <w:tc>
          <w:tcPr>
            <w:tcW w:w="853"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纬度</w:t>
            </w:r>
          </w:p>
        </w:tc>
        <w:tc>
          <w:tcPr>
            <w:tcW w:w="1106"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31.643086</w:t>
            </w:r>
            <w:r>
              <w:rPr>
                <w:rFonts w:cs="Times New Roman"/>
                <w:color w:val="000000" w:themeColor="text1"/>
                <w:kern w:val="0"/>
                <w:sz w:val="21"/>
                <w:szCs w:val="21"/>
                <w:highlight w:val="none"/>
                <w:lang w:bidi="ar"/>
                <w14:textFill>
                  <w14:solidFill>
                    <w14:schemeClr w14:val="tx1"/>
                  </w14:solidFill>
                </w14:textFill>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679" w:type="pct"/>
            <w:gridSpan w:val="2"/>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层次</w:t>
            </w:r>
          </w:p>
        </w:tc>
        <w:tc>
          <w:tcPr>
            <w:tcW w:w="1359" w:type="pct"/>
            <w:tcBorders>
              <w:tl2br w:val="nil"/>
              <w:tr2bl w:val="nil"/>
            </w:tcBorders>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0~20cm</w:t>
            </w:r>
          </w:p>
        </w:tc>
        <w:tc>
          <w:tcPr>
            <w:tcW w:w="853" w:type="pct"/>
            <w:tcBorders>
              <w:tl2br w:val="nil"/>
              <w:tr2bl w:val="nil"/>
            </w:tcBorders>
            <w:vAlign w:val="center"/>
          </w:tcPr>
          <w:p>
            <w:pPr>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restar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现场</w:t>
            </w:r>
          </w:p>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记录</w:t>
            </w: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颜色</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棕色</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结构</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团粒</w:t>
            </w:r>
          </w:p>
        </w:tc>
        <w:tc>
          <w:tcPr>
            <w:tcW w:w="853" w:type="pct"/>
            <w:tcBorders>
              <w:tl2br w:val="nil"/>
              <w:tr2bl w:val="nil"/>
            </w:tcBorders>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1106" w:type="pct"/>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质地</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中壤土</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5"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砂砾含量（%）</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15%</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其他异物</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无</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氧化还原电位（mV）</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453</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restar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实验室测定</w:t>
            </w: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pH（无量纲）</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7.05</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阳离子交换量（</w:t>
            </w:r>
            <w:r>
              <w:rPr>
                <w:rFonts w:cs="Times New Roman"/>
                <w:color w:val="000000" w:themeColor="text1"/>
                <w:sz w:val="21"/>
                <w:szCs w:val="21"/>
                <w:highlight w:val="none"/>
                <w:lang w:bidi="ar"/>
                <w14:textFill>
                  <w14:solidFill>
                    <w14:schemeClr w14:val="tx1"/>
                  </w14:solidFill>
                </w14:textFill>
              </w:rPr>
              <w:t>cmol</w:t>
            </w:r>
            <w:r>
              <w:rPr>
                <w:rFonts w:cs="Times New Roman"/>
                <w:color w:val="000000" w:themeColor="text1"/>
                <w:sz w:val="21"/>
                <w:szCs w:val="21"/>
                <w:highlight w:val="none"/>
                <w:vertAlign w:val="superscript"/>
                <w:lang w:bidi="ar"/>
                <w14:textFill>
                  <w14:solidFill>
                    <w14:schemeClr w14:val="tx1"/>
                  </w14:solidFill>
                </w14:textFill>
              </w:rPr>
              <w:t>+</w:t>
            </w:r>
            <w:r>
              <w:rPr>
                <w:rFonts w:cs="Times New Roman"/>
                <w:color w:val="000000" w:themeColor="text1"/>
                <w:sz w:val="21"/>
                <w:szCs w:val="21"/>
                <w:highlight w:val="none"/>
                <w:lang w:bidi="ar"/>
                <w14:textFill>
                  <w14:solidFill>
                    <w14:schemeClr w14:val="tx1"/>
                  </w14:solidFill>
                </w14:textFill>
              </w:rPr>
              <w:t>/kg</w:t>
            </w:r>
            <w:r>
              <w:rPr>
                <w:rFonts w:hint="eastAsia" w:cs="Times New Roman"/>
                <w:color w:val="000000" w:themeColor="text1"/>
                <w:kern w:val="0"/>
                <w:sz w:val="21"/>
                <w:szCs w:val="21"/>
                <w:highlight w:val="none"/>
                <w:lang w:bidi="ar"/>
                <w14:textFill>
                  <w14:solidFill>
                    <w14:schemeClr w14:val="tx1"/>
                  </w14:solidFill>
                </w14:textFill>
              </w:rPr>
              <w:t>）</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16.6</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容重（</w:t>
            </w:r>
            <w:r>
              <w:rPr>
                <w:rFonts w:hint="eastAsia" w:cs="Times New Roman"/>
                <w:color w:val="000000" w:themeColor="text1"/>
                <w:sz w:val="21"/>
                <w:szCs w:val="21"/>
                <w:highlight w:val="none"/>
                <w14:textFill>
                  <w14:solidFill>
                    <w14:schemeClr w14:val="tx1"/>
                  </w14:solidFill>
                </w14:textFill>
              </w:rPr>
              <w:t>g/cm</w:t>
            </w:r>
            <w:r>
              <w:rPr>
                <w:rFonts w:hint="eastAsia" w:cs="Times New Roman"/>
                <w:color w:val="000000" w:themeColor="text1"/>
                <w:sz w:val="21"/>
                <w:szCs w:val="21"/>
                <w:highlight w:val="none"/>
                <w:vertAlign w:val="superscript"/>
                <w14:textFill>
                  <w14:solidFill>
                    <w14:schemeClr w14:val="tx1"/>
                  </w14:solidFill>
                </w14:textFill>
              </w:rPr>
              <w:t>3</w:t>
            </w:r>
            <w:r>
              <w:rPr>
                <w:rFonts w:hint="eastAsia" w:cs="Times New Roman"/>
                <w:color w:val="000000" w:themeColor="text1"/>
                <w:kern w:val="0"/>
                <w:sz w:val="21"/>
                <w:szCs w:val="21"/>
                <w:highlight w:val="none"/>
                <w:lang w:bidi="ar"/>
                <w14:textFill>
                  <w14:solidFill>
                    <w14:schemeClr w14:val="tx1"/>
                  </w14:solidFill>
                </w14:textFill>
              </w:rPr>
              <w:t>）</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1.12</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渗滤率（饱和导水率）（</w:t>
            </w:r>
            <w:r>
              <w:rPr>
                <w:rFonts w:hint="eastAsia" w:cs="Times New Roman"/>
                <w:color w:val="000000" w:themeColor="text1"/>
                <w:sz w:val="21"/>
                <w:szCs w:val="21"/>
                <w:highlight w:val="none"/>
                <w:lang w:bidi="ar"/>
                <w14:textFill>
                  <w14:solidFill>
                    <w14:schemeClr w14:val="tx1"/>
                  </w14:solidFill>
                </w14:textFill>
              </w:rPr>
              <w:t>mm/min</w:t>
            </w:r>
            <w:r>
              <w:rPr>
                <w:rFonts w:hint="eastAsia" w:cs="Times New Roman"/>
                <w:color w:val="000000" w:themeColor="text1"/>
                <w:kern w:val="0"/>
                <w:sz w:val="21"/>
                <w:szCs w:val="21"/>
                <w:highlight w:val="none"/>
                <w:lang w:bidi="ar"/>
                <w14:textFill>
                  <w14:solidFill>
                    <w14:schemeClr w14:val="tx1"/>
                  </w14:solidFill>
                </w14:textFill>
              </w:rPr>
              <w:t>）</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0.282</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总孔隙度（%）</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40.7</w:t>
            </w:r>
          </w:p>
        </w:tc>
        <w:tc>
          <w:tcPr>
            <w:tcW w:w="853"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c>
          <w:tcPr>
            <w:tcW w:w="1106"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678" w:type="pct"/>
            <w:gridSpan w:val="2"/>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调查</w:t>
            </w:r>
            <w:r>
              <w:rPr>
                <w:rFonts w:cs="Times New Roman"/>
                <w:color w:val="000000" w:themeColor="text1"/>
                <w:kern w:val="0"/>
                <w:sz w:val="21"/>
                <w:szCs w:val="21"/>
                <w:highlight w:val="none"/>
                <w:lang w:bidi="ar"/>
                <w14:textFill>
                  <w14:solidFill>
                    <w14:schemeClr w14:val="tx1"/>
                  </w14:solidFill>
                </w14:textFill>
              </w:rPr>
              <w:t>点位</w:t>
            </w:r>
          </w:p>
        </w:tc>
        <w:tc>
          <w:tcPr>
            <w:tcW w:w="1359" w:type="pct"/>
            <w:tcBorders>
              <w:tl2br w:val="nil"/>
              <w:tr2bl w:val="nil"/>
            </w:tcBorders>
            <w:vAlign w:val="center"/>
          </w:tcPr>
          <w:p>
            <w:pPr>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井场内东南侧2#</w:t>
            </w:r>
          </w:p>
        </w:tc>
        <w:tc>
          <w:tcPr>
            <w:tcW w:w="854"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时间</w:t>
            </w:r>
          </w:p>
        </w:tc>
        <w:tc>
          <w:tcPr>
            <w:tcW w:w="1105"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2024年12月5日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678" w:type="pct"/>
            <w:gridSpan w:val="2"/>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经度</w:t>
            </w:r>
          </w:p>
        </w:tc>
        <w:tc>
          <w:tcPr>
            <w:tcW w:w="1359"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107.812684</w:t>
            </w:r>
            <w:r>
              <w:rPr>
                <w:rFonts w:cs="Times New Roman"/>
                <w:color w:val="000000" w:themeColor="text1"/>
                <w:kern w:val="0"/>
                <w:sz w:val="21"/>
                <w:szCs w:val="21"/>
                <w:highlight w:val="none"/>
                <w:lang w:bidi="ar"/>
                <w14:textFill>
                  <w14:solidFill>
                    <w14:schemeClr w14:val="tx1"/>
                  </w14:solidFill>
                </w14:textFill>
              </w:rPr>
              <w:t>°E</w:t>
            </w:r>
          </w:p>
        </w:tc>
        <w:tc>
          <w:tcPr>
            <w:tcW w:w="854"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纬度</w:t>
            </w:r>
          </w:p>
        </w:tc>
        <w:tc>
          <w:tcPr>
            <w:tcW w:w="1105"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31.642812</w:t>
            </w:r>
            <w:r>
              <w:rPr>
                <w:rFonts w:cs="Times New Roman"/>
                <w:color w:val="000000" w:themeColor="text1"/>
                <w:kern w:val="0"/>
                <w:sz w:val="21"/>
                <w:szCs w:val="21"/>
                <w:highlight w:val="none"/>
                <w:lang w:bidi="ar"/>
                <w14:textFill>
                  <w14:solidFill>
                    <w14:schemeClr w14:val="tx1"/>
                  </w14:solidFill>
                </w14:textFill>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678" w:type="pct"/>
            <w:gridSpan w:val="2"/>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层次</w:t>
            </w:r>
          </w:p>
        </w:tc>
        <w:tc>
          <w:tcPr>
            <w:tcW w:w="1359" w:type="pct"/>
            <w:tcBorders>
              <w:tl2br w:val="nil"/>
              <w:tr2bl w:val="nil"/>
            </w:tcBorders>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0~50cm</w:t>
            </w:r>
          </w:p>
        </w:tc>
        <w:tc>
          <w:tcPr>
            <w:tcW w:w="854" w:type="pct"/>
            <w:tcBorders>
              <w:tl2br w:val="nil"/>
              <w:tr2bl w:val="nil"/>
            </w:tcBorders>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50</w:t>
            </w:r>
            <w:r>
              <w:rPr>
                <w:rFonts w:hint="eastAsia" w:cs="Times New Roman"/>
                <w:bCs/>
                <w:color w:val="000000" w:themeColor="text1"/>
                <w:sz w:val="21"/>
                <w:szCs w:val="21"/>
                <w:highlight w:val="none"/>
                <w14:textFill>
                  <w14:solidFill>
                    <w14:schemeClr w14:val="tx1"/>
                  </w14:solidFill>
                </w14:textFill>
              </w:rPr>
              <w:t>～</w:t>
            </w:r>
            <w:r>
              <w:rPr>
                <w:rFonts w:cs="Times New Roman"/>
                <w:bCs/>
                <w:color w:val="000000" w:themeColor="text1"/>
                <w:sz w:val="21"/>
                <w:szCs w:val="21"/>
                <w:highlight w:val="none"/>
                <w14:textFill>
                  <w14:solidFill>
                    <w14:schemeClr w14:val="tx1"/>
                  </w14:solidFill>
                </w14:textFill>
              </w:rPr>
              <w:t>150cm</w:t>
            </w:r>
          </w:p>
        </w:tc>
        <w:tc>
          <w:tcPr>
            <w:tcW w:w="1105" w:type="pct"/>
            <w:tcBorders>
              <w:tl2br w:val="nil"/>
              <w:tr2bl w:val="nil"/>
            </w:tcBorders>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150</w:t>
            </w:r>
            <w:r>
              <w:rPr>
                <w:rFonts w:hint="eastAsia" w:cs="Times New Roman"/>
                <w:bCs/>
                <w:color w:val="000000" w:themeColor="text1"/>
                <w:sz w:val="21"/>
                <w:szCs w:val="21"/>
                <w:highlight w:val="none"/>
                <w14:textFill>
                  <w14:solidFill>
                    <w14:schemeClr w14:val="tx1"/>
                  </w14:solidFill>
                </w14:textFill>
              </w:rPr>
              <w:t>～</w:t>
            </w:r>
            <w:r>
              <w:rPr>
                <w:rFonts w:cs="Times New Roman"/>
                <w:bCs/>
                <w:color w:val="000000" w:themeColor="text1"/>
                <w:sz w:val="21"/>
                <w:szCs w:val="21"/>
                <w:highlight w:val="none"/>
                <w14:textFill>
                  <w14:solidFill>
                    <w14:schemeClr w14:val="tx1"/>
                  </w14:solidFill>
                </w14:textFill>
              </w:rPr>
              <w:t>300cm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restar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现场</w:t>
            </w:r>
          </w:p>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记录</w:t>
            </w: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颜色</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棕色</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棕色</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棕色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结构</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团粒</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团粒</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团粒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质地</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中壤土</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中壤土</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砂壤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5"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砂砾含量（%）</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10%</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20%</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其他异物</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无</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无</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氧化还原电位（mV）</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458</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443</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restar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实验室测定</w:t>
            </w: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pH（无量纲）</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7.33</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7.32</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阳离子交换量（</w:t>
            </w:r>
            <w:r>
              <w:rPr>
                <w:rFonts w:cs="Times New Roman"/>
                <w:color w:val="000000" w:themeColor="text1"/>
                <w:sz w:val="21"/>
                <w:szCs w:val="21"/>
                <w:highlight w:val="none"/>
                <w:lang w:bidi="ar"/>
                <w14:textFill>
                  <w14:solidFill>
                    <w14:schemeClr w14:val="tx1"/>
                  </w14:solidFill>
                </w14:textFill>
              </w:rPr>
              <w:t>cmol</w:t>
            </w:r>
            <w:r>
              <w:rPr>
                <w:rFonts w:cs="Times New Roman"/>
                <w:color w:val="000000" w:themeColor="text1"/>
                <w:sz w:val="21"/>
                <w:szCs w:val="21"/>
                <w:highlight w:val="none"/>
                <w:vertAlign w:val="superscript"/>
                <w:lang w:bidi="ar"/>
                <w14:textFill>
                  <w14:solidFill>
                    <w14:schemeClr w14:val="tx1"/>
                  </w14:solidFill>
                </w14:textFill>
              </w:rPr>
              <w:t>+</w:t>
            </w:r>
            <w:r>
              <w:rPr>
                <w:rFonts w:cs="Times New Roman"/>
                <w:color w:val="000000" w:themeColor="text1"/>
                <w:sz w:val="21"/>
                <w:szCs w:val="21"/>
                <w:highlight w:val="none"/>
                <w:lang w:bidi="ar"/>
                <w14:textFill>
                  <w14:solidFill>
                    <w14:schemeClr w14:val="tx1"/>
                  </w14:solidFill>
                </w14:textFill>
              </w:rPr>
              <w:t>/kg</w:t>
            </w:r>
            <w:r>
              <w:rPr>
                <w:rFonts w:hint="eastAsia" w:cs="Times New Roman"/>
                <w:color w:val="000000" w:themeColor="text1"/>
                <w:kern w:val="0"/>
                <w:sz w:val="21"/>
                <w:szCs w:val="21"/>
                <w:highlight w:val="none"/>
                <w:lang w:bidi="ar"/>
                <w14:textFill>
                  <w14:solidFill>
                    <w14:schemeClr w14:val="tx1"/>
                  </w14:solidFill>
                </w14:textFill>
              </w:rPr>
              <w:t>）</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15.9</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15.5</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容重（</w:t>
            </w:r>
            <w:r>
              <w:rPr>
                <w:rFonts w:hint="eastAsia" w:cs="Times New Roman"/>
                <w:color w:val="000000" w:themeColor="text1"/>
                <w:sz w:val="21"/>
                <w:szCs w:val="21"/>
                <w:highlight w:val="none"/>
                <w14:textFill>
                  <w14:solidFill>
                    <w14:schemeClr w14:val="tx1"/>
                  </w14:solidFill>
                </w14:textFill>
              </w:rPr>
              <w:t>g/cm</w:t>
            </w:r>
            <w:r>
              <w:rPr>
                <w:rFonts w:hint="eastAsia" w:cs="Times New Roman"/>
                <w:color w:val="000000" w:themeColor="text1"/>
                <w:sz w:val="21"/>
                <w:szCs w:val="21"/>
                <w:highlight w:val="none"/>
                <w:vertAlign w:val="superscript"/>
                <w14:textFill>
                  <w14:solidFill>
                    <w14:schemeClr w14:val="tx1"/>
                  </w14:solidFill>
                </w14:textFill>
              </w:rPr>
              <w:t>3</w:t>
            </w:r>
            <w:r>
              <w:rPr>
                <w:rFonts w:hint="eastAsia" w:cs="Times New Roman"/>
                <w:color w:val="000000" w:themeColor="text1"/>
                <w:kern w:val="0"/>
                <w:sz w:val="21"/>
                <w:szCs w:val="21"/>
                <w:highlight w:val="none"/>
                <w:lang w:bidi="ar"/>
                <w14:textFill>
                  <w14:solidFill>
                    <w14:schemeClr w14:val="tx1"/>
                  </w14:solidFill>
                </w14:textFill>
              </w:rPr>
              <w:t>）</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1.17</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1.22</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渗滤率（饱和导水率）（</w:t>
            </w:r>
            <w:r>
              <w:rPr>
                <w:rFonts w:hint="eastAsia" w:cs="Times New Roman"/>
                <w:color w:val="000000" w:themeColor="text1"/>
                <w:sz w:val="21"/>
                <w:szCs w:val="21"/>
                <w:highlight w:val="none"/>
                <w:lang w:bidi="ar"/>
                <w14:textFill>
                  <w14:solidFill>
                    <w14:schemeClr w14:val="tx1"/>
                  </w14:solidFill>
                </w14:textFill>
              </w:rPr>
              <w:t>mm/min</w:t>
            </w:r>
            <w:r>
              <w:rPr>
                <w:rFonts w:hint="eastAsia" w:cs="Times New Roman"/>
                <w:color w:val="000000" w:themeColor="text1"/>
                <w:kern w:val="0"/>
                <w:sz w:val="21"/>
                <w:szCs w:val="21"/>
                <w:highlight w:val="none"/>
                <w:lang w:bidi="ar"/>
                <w14:textFill>
                  <w14:solidFill>
                    <w14:schemeClr w14:val="tx1"/>
                  </w14:solidFill>
                </w14:textFill>
              </w:rPr>
              <w:t>）</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0.288</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0.289</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0.285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70" w:type="pct"/>
            <w:vMerge w:val="continue"/>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p>
        </w:tc>
        <w:tc>
          <w:tcPr>
            <w:tcW w:w="1308" w:type="pct"/>
            <w:tcBorders>
              <w:tl2br w:val="nil"/>
              <w:tr2bl w:val="nil"/>
            </w:tcBorders>
            <w:vAlign w:val="center"/>
          </w:tcPr>
          <w:p>
            <w:pPr>
              <w:overflowPunct w:val="0"/>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总孔隙度（%）</w:t>
            </w:r>
          </w:p>
        </w:tc>
        <w:tc>
          <w:tcPr>
            <w:tcW w:w="1359"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37.6</w:t>
            </w:r>
          </w:p>
        </w:tc>
        <w:tc>
          <w:tcPr>
            <w:tcW w:w="854"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38.7</w:t>
            </w:r>
          </w:p>
        </w:tc>
        <w:tc>
          <w:tcPr>
            <w:tcW w:w="1105" w:type="pct"/>
            <w:tcBorders>
              <w:tl2br w:val="nil"/>
              <w:tr2bl w:val="nil"/>
            </w:tcBorders>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34.2</w:t>
            </w:r>
          </w:p>
        </w:tc>
      </w:tr>
    </w:tbl>
    <w:p>
      <w:pPr>
        <w:pStyle w:val="5"/>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土壤环境质量现状调查</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本次评价委托</w:t>
      </w:r>
      <w:r>
        <w:rPr>
          <w:rFonts w:hint="eastAsia" w:cs="Times New Roman"/>
          <w:bCs/>
          <w:color w:val="000000" w:themeColor="text1"/>
          <w:szCs w:val="24"/>
          <w:highlight w:val="none"/>
          <w14:textFill>
            <w14:solidFill>
              <w14:schemeClr w14:val="tx1"/>
            </w14:solidFill>
          </w14:textFill>
        </w:rPr>
        <w:t xml:space="preserve">四川省工业环境监测研究院 </w:t>
      </w:r>
      <w:r>
        <w:rPr>
          <w:rFonts w:cs="Times New Roman"/>
          <w:bCs/>
          <w:color w:val="000000" w:themeColor="text1"/>
          <w:szCs w:val="24"/>
          <w:highlight w:val="none"/>
          <w14:textFill>
            <w14:solidFill>
              <w14:schemeClr w14:val="tx1"/>
            </w14:solidFill>
          </w14:textFill>
        </w:rPr>
        <w:t>于</w:t>
      </w:r>
      <w:r>
        <w:rPr>
          <w:rFonts w:hint="eastAsia" w:cs="Times New Roman"/>
          <w:bCs/>
          <w:color w:val="000000" w:themeColor="text1"/>
          <w:szCs w:val="24"/>
          <w:highlight w:val="none"/>
          <w14:textFill>
            <w14:solidFill>
              <w14:schemeClr w14:val="tx1"/>
            </w14:solidFill>
          </w14:textFill>
        </w:rPr>
        <w:t>2024年12月5日</w:t>
      </w:r>
      <w:r>
        <w:rPr>
          <w:rFonts w:cs="Times New Roman"/>
          <w:bCs/>
          <w:color w:val="000000" w:themeColor="text1"/>
          <w:szCs w:val="24"/>
          <w:highlight w:val="none"/>
          <w14:textFill>
            <w14:solidFill>
              <w14:schemeClr w14:val="tx1"/>
            </w14:solidFill>
          </w14:textFill>
        </w:rPr>
        <w:t>对平台厂界内外的6处土壤进行了取样监测，平台占地范围内布置3个柱状样，1个表层样；场地外</w:t>
      </w:r>
      <w:r>
        <w:rPr>
          <w:rFonts w:hint="eastAsia" w:cs="Times New Roman"/>
          <w:bCs/>
          <w:color w:val="000000" w:themeColor="text1"/>
          <w:szCs w:val="24"/>
          <w:highlight w:val="none"/>
          <w14:textFill>
            <w14:solidFill>
              <w14:schemeClr w14:val="tx1"/>
            </w14:solidFill>
          </w14:textFill>
        </w:rPr>
        <w:t>布置</w:t>
      </w:r>
      <w:r>
        <w:rPr>
          <w:rFonts w:cs="Times New Roman"/>
          <w:bCs/>
          <w:color w:val="000000" w:themeColor="text1"/>
          <w:szCs w:val="24"/>
          <w:highlight w:val="none"/>
          <w14:textFill>
            <w14:solidFill>
              <w14:schemeClr w14:val="tx1"/>
            </w14:solidFill>
          </w14:textFill>
        </w:rPr>
        <w:t>2个表层样</w:t>
      </w:r>
      <w:r>
        <w:rPr>
          <w:rFonts w:hint="eastAsia" w:cs="Times New Roman"/>
          <w:bCs/>
          <w:color w:val="000000" w:themeColor="text1"/>
          <w:szCs w:val="24"/>
          <w:highlight w:val="none"/>
          <w14:textFill>
            <w14:solidFill>
              <w14:schemeClr w14:val="tx1"/>
            </w14:solidFill>
          </w14:textFill>
        </w:rPr>
        <w:t>。由于管线为临时占地，且与井场一样处于农村地区，以耕地为主，土壤类型相同，本次土壤监测点位能代表管线沿线土壤环境质量现状。因此本次土壤</w:t>
      </w:r>
      <w:r>
        <w:rPr>
          <w:rFonts w:cs="Times New Roman"/>
          <w:bCs/>
          <w:color w:val="000000" w:themeColor="text1"/>
          <w:szCs w:val="24"/>
          <w:highlight w:val="none"/>
          <w14:textFill>
            <w14:solidFill>
              <w14:schemeClr w14:val="tx1"/>
            </w14:solidFill>
          </w14:textFill>
        </w:rPr>
        <w:t>监测点位设置符合《环境影响评价技术导则 土壤环境（试行）》（HJ 964-2018）中的布点原则和现状监测点数量要求。</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（1）监测点位及监测因子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本次评价土壤监测布点情况见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_Ref142600210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12</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0" w:beforeLines="0"/>
        <w:rPr>
          <w:color w:val="000000" w:themeColor="text1"/>
          <w:highlight w:val="none"/>
          <w14:textFill>
            <w14:solidFill>
              <w14:schemeClr w14:val="tx1"/>
            </w14:solidFill>
          </w14:textFill>
        </w:rPr>
      </w:pPr>
      <w:bookmarkStart w:id="247" w:name="_Ref14260021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bookmarkEnd w:id="247"/>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本项目土壤环境监测布点情况</w:t>
      </w:r>
    </w:p>
    <w:tbl>
      <w:tblPr>
        <w:tblStyle w:val="54"/>
        <w:tblpPr w:leftFromText="180" w:rightFromText="180" w:vertAnchor="text" w:tblpXSpec="center" w:tblpY="1"/>
        <w:tblOverlap w:val="never"/>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70"/>
        <w:gridCol w:w="1520"/>
        <w:gridCol w:w="5546"/>
        <w:gridCol w:w="8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9" w:hRule="atLeast"/>
          <w:jc w:val="center"/>
        </w:trPr>
        <w:tc>
          <w:tcPr>
            <w:tcW w:w="334" w:type="pct"/>
            <w:tcBorders>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编号</w:t>
            </w:r>
          </w:p>
        </w:tc>
        <w:tc>
          <w:tcPr>
            <w:tcW w:w="891"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方位</w:t>
            </w:r>
            <w:r>
              <w:rPr>
                <w:rFonts w:hint="eastAsia" w:cs="Times New Roman"/>
                <w:color w:val="000000" w:themeColor="text1"/>
                <w:sz w:val="21"/>
                <w:szCs w:val="21"/>
                <w:highlight w:val="none"/>
                <w14:textFill>
                  <w14:solidFill>
                    <w14:schemeClr w14:val="tx1"/>
                  </w14:solidFill>
                </w14:textFill>
              </w:rPr>
              <w:t>距离</w:t>
            </w:r>
          </w:p>
        </w:tc>
        <w:tc>
          <w:tcPr>
            <w:tcW w:w="3251" w:type="pct"/>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监测指标</w:t>
            </w:r>
          </w:p>
        </w:tc>
        <w:tc>
          <w:tcPr>
            <w:tcW w:w="522"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500" w:hRule="atLeast"/>
          <w:jc w:val="center"/>
        </w:trPr>
        <w:tc>
          <w:tcPr>
            <w:tcW w:w="334" w:type="pct"/>
            <w:tcBorders>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T1</w:t>
            </w:r>
          </w:p>
        </w:tc>
        <w:tc>
          <w:tcPr>
            <w:tcW w:w="891"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方井旁</w:t>
            </w:r>
          </w:p>
        </w:tc>
        <w:tc>
          <w:tcPr>
            <w:tcW w:w="3251" w:type="pct"/>
            <w:vAlign w:val="center"/>
          </w:tcPr>
          <w:p>
            <w:pPr>
              <w:adjustRightInd/>
              <w:snapToGrid/>
              <w:spacing w:line="240" w:lineRule="auto"/>
              <w:ind w:firstLine="0" w:firstLineChars="0"/>
              <w:rPr>
                <w:rFonts w:cs="Times New Roman"/>
                <w:b/>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基本因子：</w:t>
            </w:r>
            <w:r>
              <w:rPr>
                <w:rFonts w:hint="eastAsia" w:cs="Times New Roman"/>
                <w:color w:val="000000" w:themeColor="text1"/>
                <w:sz w:val="21"/>
                <w:szCs w:val="21"/>
                <w:highlight w:val="none"/>
                <w14:textFill>
                  <w14:solidFill>
                    <w14:schemeClr w14:val="tx1"/>
                  </w14:solidFill>
                </w14:textFill>
              </w:rPr>
              <w:t>《土壤环境质量 建设用地土壤污染风险管控标准（试行）（GB36600—2018）》中表1基本项目，共45个</w:t>
            </w:r>
          </w:p>
          <w:p>
            <w:pPr>
              <w:adjustRightInd/>
              <w:snapToGrid/>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特征因子：</w:t>
            </w:r>
            <w:r>
              <w:rPr>
                <w:rFonts w:hint="eastAsia" w:cs="Times New Roman"/>
                <w:color w:val="000000" w:themeColor="text1"/>
                <w:sz w:val="21"/>
                <w:szCs w:val="21"/>
                <w:highlight w:val="none"/>
                <w14:textFill>
                  <w14:solidFill>
                    <w14:schemeClr w14:val="tx1"/>
                  </w14:solidFill>
                </w14:textFill>
              </w:rPr>
              <w:t>石油烃、氯离子、硫酸根、钡、</w:t>
            </w:r>
            <w:r>
              <w:rPr>
                <w:rFonts w:cs="Times New Roman"/>
                <w:color w:val="000000" w:themeColor="text1"/>
                <w:sz w:val="21"/>
                <w:szCs w:val="21"/>
                <w:highlight w:val="none"/>
                <w14:textFill>
                  <w14:solidFill>
                    <w14:schemeClr w14:val="tx1"/>
                  </w14:solidFill>
                </w14:textFill>
              </w:rPr>
              <w:t>全盐量</w:t>
            </w:r>
          </w:p>
          <w:p>
            <w:pPr>
              <w:adjustRightInd/>
              <w:snapToGrid/>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理化性质：</w:t>
            </w:r>
            <w:r>
              <w:rPr>
                <w:rFonts w:hint="eastAsia" w:cs="Times New Roman"/>
                <w:bCs/>
                <w:color w:val="000000" w:themeColor="text1"/>
                <w:sz w:val="21"/>
                <w:szCs w:val="21"/>
                <w:highlight w:val="none"/>
                <w14:textFill>
                  <w14:solidFill>
                    <w14:schemeClr w14:val="tx1"/>
                  </w14:solidFill>
                </w14:textFill>
              </w:rPr>
              <w:t>pH、</w:t>
            </w:r>
            <w:r>
              <w:rPr>
                <w:rFonts w:hint="eastAsia" w:cs="Times New Roman"/>
                <w:color w:val="000000" w:themeColor="text1"/>
                <w:sz w:val="21"/>
                <w:szCs w:val="21"/>
                <w:highlight w:val="none"/>
                <w14:textFill>
                  <w14:solidFill>
                    <w14:schemeClr w14:val="tx1"/>
                  </w14:solidFill>
                </w14:textFill>
              </w:rPr>
              <w:t>离子交换量、氧化还原电位、饱和导水率、土壤容重、孔隙、颜色、结构、质地、砂砾含量</w:t>
            </w:r>
          </w:p>
        </w:tc>
        <w:tc>
          <w:tcPr>
            <w:tcW w:w="522"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表层样点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9" w:hRule="atLeast"/>
          <w:jc w:val="center"/>
        </w:trPr>
        <w:tc>
          <w:tcPr>
            <w:tcW w:w="334" w:type="pct"/>
            <w:tcBorders>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T2</w:t>
            </w:r>
          </w:p>
        </w:tc>
        <w:tc>
          <w:tcPr>
            <w:tcW w:w="891"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井场内东南侧</w:t>
            </w:r>
          </w:p>
        </w:tc>
        <w:tc>
          <w:tcPr>
            <w:tcW w:w="3251" w:type="pct"/>
            <w:vAlign w:val="center"/>
          </w:tcPr>
          <w:p>
            <w:pPr>
              <w:adjustRightInd/>
              <w:snapToGrid/>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特征因子：</w:t>
            </w:r>
            <w:r>
              <w:rPr>
                <w:rFonts w:hint="eastAsia" w:cs="Times New Roman"/>
                <w:color w:val="000000" w:themeColor="text1"/>
                <w:sz w:val="21"/>
                <w:szCs w:val="21"/>
                <w:highlight w:val="none"/>
                <w14:textFill>
                  <w14:solidFill>
                    <w14:schemeClr w14:val="tx1"/>
                  </w14:solidFill>
                </w14:textFill>
              </w:rPr>
              <w:t>石油烃、氯离子、硫酸根、钡、</w:t>
            </w:r>
            <w:r>
              <w:rPr>
                <w:rFonts w:cs="Times New Roman"/>
                <w:color w:val="000000" w:themeColor="text1"/>
                <w:sz w:val="21"/>
                <w:szCs w:val="21"/>
                <w:highlight w:val="none"/>
                <w14:textFill>
                  <w14:solidFill>
                    <w14:schemeClr w14:val="tx1"/>
                  </w14:solidFill>
                </w14:textFill>
              </w:rPr>
              <w:t>全盐量（0~0.5m、0.5</w:t>
            </w:r>
            <w:r>
              <w:rPr>
                <w:rFonts w:hint="eastAsia" w:cs="Times New Roman"/>
                <w:color w:val="000000" w:themeColor="text1"/>
                <w:sz w:val="21"/>
                <w:szCs w:val="21"/>
                <w:highlight w:val="none"/>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1.5m、1.5</w:t>
            </w:r>
            <w:r>
              <w:rPr>
                <w:rFonts w:hint="eastAsia" w:cs="Times New Roman"/>
                <w:color w:val="000000" w:themeColor="text1"/>
                <w:sz w:val="21"/>
                <w:szCs w:val="21"/>
                <w:highlight w:val="none"/>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3m分别取样）</w:t>
            </w:r>
          </w:p>
          <w:p>
            <w:pPr>
              <w:adjustRightInd/>
              <w:snapToGrid/>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理化性质：</w:t>
            </w:r>
            <w:r>
              <w:rPr>
                <w:rFonts w:hint="eastAsia" w:cs="Times New Roman"/>
                <w:bCs/>
                <w:color w:val="000000" w:themeColor="text1"/>
                <w:sz w:val="21"/>
                <w:szCs w:val="21"/>
                <w:highlight w:val="none"/>
                <w14:textFill>
                  <w14:solidFill>
                    <w14:schemeClr w14:val="tx1"/>
                  </w14:solidFill>
                </w14:textFill>
              </w:rPr>
              <w:t>pH、</w:t>
            </w:r>
            <w:r>
              <w:rPr>
                <w:rFonts w:hint="eastAsia" w:cs="Times New Roman"/>
                <w:color w:val="000000" w:themeColor="text1"/>
                <w:sz w:val="21"/>
                <w:szCs w:val="21"/>
                <w:highlight w:val="none"/>
                <w14:textFill>
                  <w14:solidFill>
                    <w14:schemeClr w14:val="tx1"/>
                  </w14:solidFill>
                </w14:textFill>
              </w:rPr>
              <w:t>离子交换量、氧化还原电位、饱和导水率、土壤容重、孔隙度、颜色、结构、质地、砂砾含量</w:t>
            </w:r>
          </w:p>
        </w:tc>
        <w:tc>
          <w:tcPr>
            <w:tcW w:w="522"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柱状样点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27" w:hRule="atLeast"/>
          <w:jc w:val="center"/>
        </w:trPr>
        <w:tc>
          <w:tcPr>
            <w:tcW w:w="334" w:type="pct"/>
            <w:tcBorders>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T3</w:t>
            </w:r>
          </w:p>
        </w:tc>
        <w:tc>
          <w:tcPr>
            <w:tcW w:w="891"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井场西侧处</w:t>
            </w:r>
          </w:p>
        </w:tc>
        <w:tc>
          <w:tcPr>
            <w:tcW w:w="3251" w:type="pct"/>
            <w:vAlign w:val="center"/>
          </w:tcPr>
          <w:p>
            <w:pPr>
              <w:adjustRightInd/>
              <w:snapToGrid/>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特征因子：</w:t>
            </w:r>
            <w:r>
              <w:rPr>
                <w:rFonts w:hint="eastAsia" w:cs="Times New Roman"/>
                <w:bCs/>
                <w:color w:val="000000" w:themeColor="text1"/>
                <w:sz w:val="21"/>
                <w:szCs w:val="21"/>
                <w:highlight w:val="none"/>
                <w14:textFill>
                  <w14:solidFill>
                    <w14:schemeClr w14:val="tx1"/>
                  </w14:solidFill>
                </w14:textFill>
              </w:rPr>
              <w:t xml:space="preserve"> pH、</w:t>
            </w:r>
            <w:r>
              <w:rPr>
                <w:rFonts w:hint="eastAsia" w:cs="Times New Roman"/>
                <w:color w:val="000000" w:themeColor="text1"/>
                <w:sz w:val="21"/>
                <w:szCs w:val="21"/>
                <w:highlight w:val="none"/>
                <w14:textFill>
                  <w14:solidFill>
                    <w14:schemeClr w14:val="tx1"/>
                  </w14:solidFill>
                </w14:textFill>
              </w:rPr>
              <w:t>石油烃、氯离子、硫酸根、钡、</w:t>
            </w:r>
            <w:r>
              <w:rPr>
                <w:rFonts w:cs="Times New Roman"/>
                <w:color w:val="000000" w:themeColor="text1"/>
                <w:sz w:val="21"/>
                <w:szCs w:val="21"/>
                <w:highlight w:val="none"/>
                <w14:textFill>
                  <w14:solidFill>
                    <w14:schemeClr w14:val="tx1"/>
                  </w14:solidFill>
                </w14:textFill>
              </w:rPr>
              <w:t>全盐量（0~0.5m、0.5</w:t>
            </w:r>
            <w:r>
              <w:rPr>
                <w:rFonts w:hint="eastAsia" w:cs="Times New Roman"/>
                <w:color w:val="000000" w:themeColor="text1"/>
                <w:sz w:val="21"/>
                <w:szCs w:val="21"/>
                <w:highlight w:val="none"/>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1.5m、1.5</w:t>
            </w:r>
            <w:r>
              <w:rPr>
                <w:rFonts w:hint="eastAsia" w:cs="Times New Roman"/>
                <w:color w:val="000000" w:themeColor="text1"/>
                <w:sz w:val="21"/>
                <w:szCs w:val="21"/>
                <w:highlight w:val="none"/>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3m分别取样）</w:t>
            </w:r>
          </w:p>
        </w:tc>
        <w:tc>
          <w:tcPr>
            <w:tcW w:w="522"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柱状样点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5" w:hRule="atLeast"/>
          <w:jc w:val="center"/>
        </w:trPr>
        <w:tc>
          <w:tcPr>
            <w:tcW w:w="334" w:type="pct"/>
            <w:tcBorders>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T4</w:t>
            </w:r>
          </w:p>
        </w:tc>
        <w:tc>
          <w:tcPr>
            <w:tcW w:w="891"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井场内西北侧</w:t>
            </w:r>
          </w:p>
        </w:tc>
        <w:tc>
          <w:tcPr>
            <w:tcW w:w="3251" w:type="pct"/>
            <w:vAlign w:val="center"/>
          </w:tcPr>
          <w:p>
            <w:pPr>
              <w:adjustRightInd/>
              <w:snapToGrid/>
              <w:spacing w:line="240" w:lineRule="auto"/>
              <w:ind w:firstLine="0" w:firstLineChars="0"/>
              <w:rPr>
                <w:rFonts w:cs="Times New Roman"/>
                <w:b/>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特征因子：</w:t>
            </w:r>
            <w:r>
              <w:rPr>
                <w:rFonts w:hint="eastAsia" w:cs="Times New Roman"/>
                <w:bCs/>
                <w:color w:val="000000" w:themeColor="text1"/>
                <w:sz w:val="21"/>
                <w:szCs w:val="21"/>
                <w:highlight w:val="none"/>
                <w14:textFill>
                  <w14:solidFill>
                    <w14:schemeClr w14:val="tx1"/>
                  </w14:solidFill>
                </w14:textFill>
              </w:rPr>
              <w:t xml:space="preserve"> pH、</w:t>
            </w:r>
            <w:r>
              <w:rPr>
                <w:rFonts w:hint="eastAsia" w:cs="Times New Roman"/>
                <w:color w:val="000000" w:themeColor="text1"/>
                <w:sz w:val="21"/>
                <w:szCs w:val="21"/>
                <w:highlight w:val="none"/>
                <w14:textFill>
                  <w14:solidFill>
                    <w14:schemeClr w14:val="tx1"/>
                  </w14:solidFill>
                </w14:textFill>
              </w:rPr>
              <w:t>石油烃、氯离子、硫酸根、钡、</w:t>
            </w:r>
            <w:r>
              <w:rPr>
                <w:rFonts w:cs="Times New Roman"/>
                <w:color w:val="000000" w:themeColor="text1"/>
                <w:sz w:val="21"/>
                <w:szCs w:val="21"/>
                <w:highlight w:val="none"/>
                <w14:textFill>
                  <w14:solidFill>
                    <w14:schemeClr w14:val="tx1"/>
                  </w14:solidFill>
                </w14:textFill>
              </w:rPr>
              <w:t>全盐量（0~0.5m、0.5</w:t>
            </w:r>
            <w:r>
              <w:rPr>
                <w:rFonts w:hint="eastAsia" w:cs="Times New Roman"/>
                <w:color w:val="000000" w:themeColor="text1"/>
                <w:sz w:val="21"/>
                <w:szCs w:val="21"/>
                <w:highlight w:val="none"/>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1.5m、1.5</w:t>
            </w:r>
            <w:r>
              <w:rPr>
                <w:rFonts w:hint="eastAsia" w:cs="Times New Roman"/>
                <w:color w:val="000000" w:themeColor="text1"/>
                <w:sz w:val="21"/>
                <w:szCs w:val="21"/>
                <w:highlight w:val="none"/>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3m分别取样）</w:t>
            </w:r>
          </w:p>
        </w:tc>
        <w:tc>
          <w:tcPr>
            <w:tcW w:w="522"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柱状样点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42" w:hRule="atLeast"/>
          <w:jc w:val="center"/>
        </w:trPr>
        <w:tc>
          <w:tcPr>
            <w:tcW w:w="334" w:type="pct"/>
            <w:tcBorders>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T5</w:t>
            </w:r>
          </w:p>
        </w:tc>
        <w:tc>
          <w:tcPr>
            <w:tcW w:w="891"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井场外东北侧林地</w:t>
            </w:r>
          </w:p>
        </w:tc>
        <w:tc>
          <w:tcPr>
            <w:tcW w:w="3251" w:type="pct"/>
            <w:vAlign w:val="center"/>
          </w:tcPr>
          <w:p>
            <w:pPr>
              <w:adjustRightInd/>
              <w:snapToGrid/>
              <w:spacing w:line="240" w:lineRule="auto"/>
              <w:ind w:firstLine="0" w:firstLineChars="0"/>
              <w:rPr>
                <w:rFonts w:cs="Times New Roman"/>
                <w:b/>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基本因子：</w:t>
            </w:r>
            <w:r>
              <w:rPr>
                <w:rFonts w:hint="eastAsia" w:cs="Times New Roman"/>
                <w:color w:val="000000" w:themeColor="text1"/>
                <w:sz w:val="21"/>
                <w:szCs w:val="21"/>
                <w:highlight w:val="none"/>
                <w14:textFill>
                  <w14:solidFill>
                    <w14:schemeClr w14:val="tx1"/>
                  </w14:solidFill>
                </w14:textFill>
              </w:rPr>
              <w:t>《土壤环境质量 农用地土壤污染风险管控标准（试行）（GB15618—2018）》中表1基本项目，共8个</w:t>
            </w:r>
          </w:p>
          <w:p>
            <w:pPr>
              <w:adjustRightInd/>
              <w:snapToGrid/>
              <w:spacing w:line="240" w:lineRule="auto"/>
              <w:ind w:firstLine="0" w:firstLineChars="0"/>
              <w:rPr>
                <w:rFonts w:cs="Times New Roman"/>
                <w:b/>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特征因子：</w:t>
            </w:r>
            <w:r>
              <w:rPr>
                <w:rFonts w:hint="eastAsia" w:cs="Times New Roman"/>
                <w:bCs/>
                <w:color w:val="000000" w:themeColor="text1"/>
                <w:sz w:val="21"/>
                <w:szCs w:val="21"/>
                <w:highlight w:val="none"/>
                <w14:textFill>
                  <w14:solidFill>
                    <w14:schemeClr w14:val="tx1"/>
                  </w14:solidFill>
                </w14:textFill>
              </w:rPr>
              <w:t>pH、石油烃、氯离子、硫酸根、钡、</w:t>
            </w:r>
            <w:r>
              <w:rPr>
                <w:rFonts w:cs="Times New Roman"/>
                <w:bCs/>
                <w:color w:val="000000" w:themeColor="text1"/>
                <w:sz w:val="21"/>
                <w:szCs w:val="21"/>
                <w:highlight w:val="none"/>
                <w14:textFill>
                  <w14:solidFill>
                    <w14:schemeClr w14:val="tx1"/>
                  </w14:solidFill>
                </w14:textFill>
              </w:rPr>
              <w:t>全盐量</w:t>
            </w:r>
          </w:p>
        </w:tc>
        <w:tc>
          <w:tcPr>
            <w:tcW w:w="522"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表层样点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0" w:hRule="atLeast"/>
          <w:jc w:val="center"/>
        </w:trPr>
        <w:tc>
          <w:tcPr>
            <w:tcW w:w="334" w:type="pct"/>
            <w:tcBorders>
              <w:right w:val="single" w:color="auto" w:sz="4" w:space="0"/>
            </w:tcBorders>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T6</w:t>
            </w:r>
          </w:p>
        </w:tc>
        <w:tc>
          <w:tcPr>
            <w:tcW w:w="891"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井场外南侧耕地</w:t>
            </w:r>
          </w:p>
        </w:tc>
        <w:tc>
          <w:tcPr>
            <w:tcW w:w="3251" w:type="pct"/>
            <w:vAlign w:val="center"/>
          </w:tcPr>
          <w:p>
            <w:pPr>
              <w:adjustRightInd/>
              <w:snapToGrid/>
              <w:spacing w:line="240" w:lineRule="auto"/>
              <w:ind w:firstLine="0" w:firstLineChars="0"/>
              <w:rPr>
                <w:rFonts w:cs="Times New Roman"/>
                <w:b/>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特征因子：</w:t>
            </w:r>
            <w:r>
              <w:rPr>
                <w:rFonts w:hint="eastAsia" w:cs="Times New Roman"/>
                <w:bCs/>
                <w:color w:val="000000" w:themeColor="text1"/>
                <w:sz w:val="21"/>
                <w:szCs w:val="21"/>
                <w:highlight w:val="none"/>
                <w14:textFill>
                  <w14:solidFill>
                    <w14:schemeClr w14:val="tx1"/>
                  </w14:solidFill>
                </w14:textFill>
              </w:rPr>
              <w:t>pH、石油烃、氯离子、硫酸根、钡、</w:t>
            </w:r>
            <w:r>
              <w:rPr>
                <w:rFonts w:cs="Times New Roman"/>
                <w:bCs/>
                <w:color w:val="000000" w:themeColor="text1"/>
                <w:sz w:val="21"/>
                <w:szCs w:val="21"/>
                <w:highlight w:val="none"/>
                <w14:textFill>
                  <w14:solidFill>
                    <w14:schemeClr w14:val="tx1"/>
                  </w14:solidFill>
                </w14:textFill>
              </w:rPr>
              <w:t>全盐量</w:t>
            </w:r>
          </w:p>
        </w:tc>
        <w:tc>
          <w:tcPr>
            <w:tcW w:w="522" w:type="pct"/>
            <w:vAlign w:val="center"/>
          </w:tcPr>
          <w:p>
            <w:pPr>
              <w:adjustRightInd/>
              <w:snapToGrid/>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表层样点</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（2）评价标准</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占地范围内执行《土壤环境质量 建设用地土壤污染风险管控标准（试行）》（GB36600-2018）中的第二类用地筛选值标准，用地范围外执行《土壤环境质量 农用地土壤污染风险管控标准》（GB15618-2018）中土壤污染风险筛选值标准。</w:t>
      </w:r>
      <w:r>
        <w:rPr>
          <w:rFonts w:hint="eastAsia" w:cs="Times New Roman"/>
          <w:bCs/>
          <w:color w:val="000000" w:themeColor="text1"/>
          <w:szCs w:val="24"/>
          <w:highlight w:val="none"/>
          <w14:textFill>
            <w14:solidFill>
              <w14:schemeClr w14:val="tx1"/>
            </w14:solidFill>
          </w14:textFill>
        </w:rPr>
        <w:t>工业用地钡参考《四川省建设用地土壤污染风险管控标准》（</w:t>
      </w:r>
      <w:r>
        <w:rPr>
          <w:rFonts w:cs="Times New Roman"/>
          <w:bCs/>
          <w:color w:val="000000" w:themeColor="text1"/>
          <w:szCs w:val="24"/>
          <w:highlight w:val="none"/>
          <w14:textFill>
            <w14:solidFill>
              <w14:schemeClr w14:val="tx1"/>
            </w14:solidFill>
          </w14:textFill>
        </w:rPr>
        <w:t>DB51/2978</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2023</w:t>
      </w:r>
      <w:r>
        <w:rPr>
          <w:rFonts w:hint="eastAsia" w:cs="Times New Roman"/>
          <w:bCs/>
          <w:color w:val="000000" w:themeColor="text1"/>
          <w:szCs w:val="24"/>
          <w:highlight w:val="none"/>
          <w14:textFill>
            <w14:solidFill>
              <w14:schemeClr w14:val="tx1"/>
            </w14:solidFill>
          </w14:textFill>
        </w:rPr>
        <w:t>）第二类用地筛选值为</w:t>
      </w:r>
      <w:r>
        <w:rPr>
          <w:rFonts w:cs="Times New Roman"/>
          <w:bCs/>
          <w:color w:val="000000" w:themeColor="text1"/>
          <w:szCs w:val="24"/>
          <w:highlight w:val="none"/>
          <w14:textFill>
            <w14:solidFill>
              <w14:schemeClr w14:val="tx1"/>
            </w14:solidFill>
          </w14:textFill>
        </w:rPr>
        <w:t>8660mg/kg</w:t>
      </w:r>
      <w:r>
        <w:rPr>
          <w:rFonts w:hint="eastAsia" w:cs="Times New Roman"/>
          <w:bCs/>
          <w:color w:val="000000" w:themeColor="text1"/>
          <w:szCs w:val="24"/>
          <w:highlight w:val="none"/>
          <w14:textFill>
            <w14:solidFill>
              <w14:schemeClr w14:val="tx1"/>
            </w14:solidFill>
          </w14:textFill>
        </w:rPr>
        <w:t>，农用地石油烃参考第一类建设用地筛选值为</w:t>
      </w:r>
      <w:r>
        <w:rPr>
          <w:rFonts w:cs="Times New Roman"/>
          <w:bCs/>
          <w:color w:val="000000" w:themeColor="text1"/>
          <w:szCs w:val="24"/>
          <w:highlight w:val="none"/>
          <w14:textFill>
            <w14:solidFill>
              <w14:schemeClr w14:val="tx1"/>
            </w14:solidFill>
          </w14:textFill>
        </w:rPr>
        <w:t>826mg/kg</w:t>
      </w:r>
      <w:r>
        <w:rPr>
          <w:rFonts w:hint="eastAsia"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（3）土壤环境现状监测统计</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土壤环境现状监测及评价结果见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_Ref142600179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13</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_Ref142600183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14</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_Ref142600187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15</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0" w:beforeLines="0"/>
        <w:rPr>
          <w:color w:val="000000" w:themeColor="text1"/>
          <w:highlight w:val="none"/>
          <w14:textFill>
            <w14:solidFill>
              <w14:schemeClr w14:val="tx1"/>
            </w14:solidFill>
          </w14:textFill>
        </w:rPr>
      </w:pPr>
      <w:bookmarkStart w:id="248" w:name="_Ref14260017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bookmarkEnd w:id="248"/>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本项目场外土壤环境现状监测及评价表</w:t>
      </w:r>
      <w:r>
        <w:rPr>
          <w:color w:val="000000" w:themeColor="text1"/>
          <w:highlight w:val="none"/>
          <w14:textFill>
            <w14:solidFill>
              <w14:schemeClr w14:val="tx1"/>
            </w14:solidFill>
          </w14:textFill>
        </w:rPr>
        <w:t xml:space="preserve">  单位：mg/kg，pH无量纲</w:t>
      </w:r>
    </w:p>
    <w:tbl>
      <w:tblPr>
        <w:tblStyle w:val="54"/>
        <w:tblW w:w="8220" w:type="dxa"/>
        <w:jc w:val="center"/>
        <w:tblLayout w:type="fixed"/>
        <w:tblCellMar>
          <w:top w:w="0" w:type="dxa"/>
          <w:left w:w="17" w:type="dxa"/>
          <w:bottom w:w="0" w:type="dxa"/>
          <w:right w:w="17" w:type="dxa"/>
        </w:tblCellMar>
      </w:tblPr>
      <w:tblGrid>
        <w:gridCol w:w="365"/>
        <w:gridCol w:w="1226"/>
        <w:gridCol w:w="473"/>
        <w:gridCol w:w="473"/>
        <w:gridCol w:w="473"/>
        <w:gridCol w:w="473"/>
        <w:gridCol w:w="473"/>
        <w:gridCol w:w="473"/>
        <w:gridCol w:w="473"/>
        <w:gridCol w:w="473"/>
        <w:gridCol w:w="473"/>
        <w:gridCol w:w="473"/>
        <w:gridCol w:w="473"/>
        <w:gridCol w:w="552"/>
        <w:gridCol w:w="394"/>
        <w:gridCol w:w="480"/>
      </w:tblGrid>
      <w:tr>
        <w:tblPrEx>
          <w:tblCellMar>
            <w:top w:w="0" w:type="dxa"/>
            <w:left w:w="17" w:type="dxa"/>
            <w:bottom w:w="0" w:type="dxa"/>
            <w:right w:w="17" w:type="dxa"/>
          </w:tblCellMar>
        </w:tblPrEx>
        <w:trPr>
          <w:jc w:val="center"/>
        </w:trPr>
        <w:tc>
          <w:tcPr>
            <w:tcW w:w="1591" w:type="dxa"/>
            <w:gridSpan w:val="2"/>
            <w:tcBorders>
              <w:top w:val="single" w:color="auto" w:sz="4" w:space="0"/>
              <w:left w:val="single" w:color="auto" w:sz="4" w:space="0"/>
              <w:bottom w:val="single" w:color="auto" w:sz="4" w:space="0"/>
              <w:right w:val="single" w:color="auto" w:sz="4" w:space="0"/>
              <w:tl2br w:val="single" w:color="auto" w:sz="4" w:space="0"/>
            </w:tcBorders>
            <w:noWrap/>
            <w:vAlign w:val="center"/>
          </w:tcPr>
          <w:p>
            <w:pPr>
              <w:pStyle w:val="297"/>
              <w:jc w:val="right"/>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监测项目</w:t>
            </w:r>
          </w:p>
          <w:p>
            <w:pPr>
              <w:pStyle w:val="297"/>
              <w:jc w:val="left"/>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监测点</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pH</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砷</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镉</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铜</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铅</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汞</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镍</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铬</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锌</w:t>
            </w:r>
          </w:p>
        </w:tc>
        <w:tc>
          <w:tcPr>
            <w:tcW w:w="473"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石油烃</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全盐量</w:t>
            </w:r>
          </w:p>
        </w:tc>
        <w:tc>
          <w:tcPr>
            <w:tcW w:w="552"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氯离子</w:t>
            </w:r>
          </w:p>
        </w:tc>
        <w:tc>
          <w:tcPr>
            <w:tcW w:w="394"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钡</w:t>
            </w:r>
          </w:p>
        </w:tc>
        <w:tc>
          <w:tcPr>
            <w:tcW w:w="480"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硫酸根</w:t>
            </w:r>
          </w:p>
        </w:tc>
      </w:tr>
      <w:tr>
        <w:tblPrEx>
          <w:tblCellMar>
            <w:top w:w="0" w:type="dxa"/>
            <w:left w:w="17" w:type="dxa"/>
            <w:bottom w:w="0" w:type="dxa"/>
            <w:right w:w="17" w:type="dxa"/>
          </w:tblCellMar>
        </w:tblPrEx>
        <w:trPr>
          <w:jc w:val="center"/>
        </w:trPr>
        <w:tc>
          <w:tcPr>
            <w:tcW w:w="365" w:type="dxa"/>
            <w:vMerge w:val="restart"/>
            <w:tcBorders>
              <w:top w:val="single" w:color="auto" w:sz="4" w:space="0"/>
              <w:left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监测值</w:t>
            </w:r>
          </w:p>
        </w:tc>
        <w:tc>
          <w:tcPr>
            <w:tcW w:w="1226"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7.44</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3.19</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0.27</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27.7</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0.107</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42</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105</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97</w:t>
            </w:r>
          </w:p>
        </w:tc>
        <w:tc>
          <w:tcPr>
            <w:tcW w:w="47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94</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0.40</w:t>
            </w:r>
          </w:p>
        </w:tc>
        <w:tc>
          <w:tcPr>
            <w:tcW w:w="552" w:type="dxa"/>
            <w:tcBorders>
              <w:top w:val="single" w:color="auto" w:sz="4" w:space="0"/>
              <w:left w:val="single" w:color="auto" w:sz="4" w:space="0"/>
              <w:bottom w:val="single" w:color="auto" w:sz="4" w:space="0"/>
              <w:right w:val="single" w:color="auto" w:sz="4" w:space="0"/>
            </w:tcBorders>
            <w:vAlign w:val="center"/>
          </w:tcPr>
          <w:p>
            <w:pPr>
              <w:pStyle w:val="297"/>
              <w:jc w:val="both"/>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＜0.014</w:t>
            </w:r>
          </w:p>
        </w:tc>
        <w:tc>
          <w:tcPr>
            <w:tcW w:w="39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326</w:t>
            </w:r>
          </w:p>
        </w:tc>
        <w:tc>
          <w:tcPr>
            <w:tcW w:w="48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0.07</w:t>
            </w:r>
          </w:p>
        </w:tc>
      </w:tr>
      <w:tr>
        <w:tblPrEx>
          <w:tblCellMar>
            <w:top w:w="0" w:type="dxa"/>
            <w:left w:w="17" w:type="dxa"/>
            <w:bottom w:w="0" w:type="dxa"/>
            <w:right w:w="17" w:type="dxa"/>
          </w:tblCellMar>
        </w:tblPrEx>
        <w:trPr>
          <w:jc w:val="center"/>
        </w:trPr>
        <w:tc>
          <w:tcPr>
            <w:tcW w:w="365" w:type="dxa"/>
            <w:vMerge w:val="continue"/>
            <w:tcBorders>
              <w:left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p>
        </w:tc>
        <w:tc>
          <w:tcPr>
            <w:tcW w:w="1226"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达标情况</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无酸化或碱化</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552"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39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8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CellMar>
            <w:top w:w="0" w:type="dxa"/>
            <w:left w:w="17" w:type="dxa"/>
            <w:bottom w:w="0" w:type="dxa"/>
            <w:right w:w="17" w:type="dxa"/>
          </w:tblCellMar>
        </w:tblPrEx>
        <w:trPr>
          <w:jc w:val="center"/>
        </w:trPr>
        <w:tc>
          <w:tcPr>
            <w:tcW w:w="365" w:type="dxa"/>
            <w:vMerge w:val="continue"/>
            <w:tcBorders>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1226"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7.26</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97</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0.62</w:t>
            </w:r>
          </w:p>
        </w:tc>
        <w:tc>
          <w:tcPr>
            <w:tcW w:w="552"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＜0.014</w:t>
            </w:r>
          </w:p>
        </w:tc>
        <w:tc>
          <w:tcPr>
            <w:tcW w:w="39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263</w:t>
            </w:r>
          </w:p>
        </w:tc>
        <w:tc>
          <w:tcPr>
            <w:tcW w:w="48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0.09</w:t>
            </w:r>
          </w:p>
        </w:tc>
      </w:tr>
      <w:tr>
        <w:tblPrEx>
          <w:tblCellMar>
            <w:top w:w="0" w:type="dxa"/>
            <w:left w:w="17" w:type="dxa"/>
            <w:bottom w:w="0" w:type="dxa"/>
            <w:right w:w="17" w:type="dxa"/>
          </w:tblCellMar>
        </w:tblPrEx>
        <w:trPr>
          <w:jc w:val="center"/>
        </w:trPr>
        <w:tc>
          <w:tcPr>
            <w:tcW w:w="365" w:type="dxa"/>
            <w:vMerge w:val="continue"/>
            <w:tcBorders>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1226"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达标情况</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无酸化或碱化</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达标</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552"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39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8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CellMar>
            <w:top w:w="0" w:type="dxa"/>
            <w:left w:w="17" w:type="dxa"/>
            <w:bottom w:w="0" w:type="dxa"/>
            <w:right w:w="17" w:type="dxa"/>
          </w:tblCellMar>
        </w:tblPrEx>
        <w:trPr>
          <w:jc w:val="center"/>
        </w:trPr>
        <w:tc>
          <w:tcPr>
            <w:tcW w:w="365" w:type="dxa"/>
            <w:vMerge w:val="restart"/>
            <w:tcBorders>
              <w:top w:val="single" w:color="auto" w:sz="4" w:space="0"/>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标准值</w:t>
            </w:r>
          </w:p>
        </w:tc>
        <w:tc>
          <w:tcPr>
            <w:tcW w:w="122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pH</w:t>
            </w:r>
            <w:r>
              <w:rPr>
                <w:rFonts w:hint="eastAsia"/>
                <w:color w:val="000000" w:themeColor="text1"/>
                <w:szCs w:val="21"/>
                <w:highlight w:val="none"/>
                <w14:textFill>
                  <w14:solidFill>
                    <w14:schemeClr w14:val="tx1"/>
                  </w14:solidFill>
                </w14:textFill>
              </w:rPr>
              <w:t>＞7</w:t>
            </w:r>
            <w:r>
              <w:rPr>
                <w:color w:val="000000" w:themeColor="text1"/>
                <w:szCs w:val="21"/>
                <w:highlight w:val="none"/>
                <w14:textFill>
                  <w14:solidFill>
                    <w14:schemeClr w14:val="tx1"/>
                  </w14:solidFill>
                </w14:textFill>
              </w:rPr>
              <w:t>.5（其他）</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25</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0.6</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100</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170</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3.4</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190</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250</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300</w:t>
            </w:r>
          </w:p>
        </w:tc>
        <w:tc>
          <w:tcPr>
            <w:tcW w:w="473" w:type="dxa"/>
            <w:vMerge w:val="restart"/>
            <w:tcBorders>
              <w:top w:val="single" w:color="auto" w:sz="4" w:space="0"/>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826</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552"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39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8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CellMar>
            <w:top w:w="0" w:type="dxa"/>
            <w:left w:w="17" w:type="dxa"/>
            <w:bottom w:w="0" w:type="dxa"/>
            <w:right w:w="17" w:type="dxa"/>
          </w:tblCellMar>
        </w:tblPrEx>
        <w:trPr>
          <w:jc w:val="center"/>
        </w:trPr>
        <w:tc>
          <w:tcPr>
            <w:tcW w:w="365" w:type="dxa"/>
            <w:vMerge w:val="continue"/>
            <w:tcBorders>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1226"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6.5＜pH≤7.5（其他）</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0</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w:t>
            </w:r>
            <w:r>
              <w:rPr>
                <w:color w:val="000000" w:themeColor="text1"/>
                <w:szCs w:val="21"/>
                <w:highlight w:val="none"/>
                <w14:textFill>
                  <w14:solidFill>
                    <w14:schemeClr w14:val="tx1"/>
                  </w14:solidFill>
                </w14:textFill>
              </w:rPr>
              <w:t>.3</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00</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20</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.4</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00</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00</w:t>
            </w: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50</w:t>
            </w:r>
          </w:p>
        </w:tc>
        <w:tc>
          <w:tcPr>
            <w:tcW w:w="473" w:type="dxa"/>
            <w:vMerge w:val="continue"/>
            <w:tcBorders>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473" w:type="dxa"/>
            <w:tcBorders>
              <w:top w:val="single" w:color="auto" w:sz="4" w:space="0"/>
              <w:left w:val="single" w:color="auto" w:sz="4" w:space="0"/>
              <w:bottom w:val="single" w:color="auto" w:sz="4" w:space="0"/>
              <w:right w:val="single" w:color="auto" w:sz="4" w:space="0"/>
            </w:tcBorders>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552"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39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48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bl>
    <w:p>
      <w:pPr>
        <w:pStyle w:val="203"/>
        <w:spacing w:before="120"/>
        <w:rPr>
          <w:color w:val="000000" w:themeColor="text1"/>
          <w:highlight w:val="none"/>
          <w14:textFill>
            <w14:solidFill>
              <w14:schemeClr w14:val="tx1"/>
            </w14:solidFill>
          </w14:textFill>
        </w:rPr>
      </w:pPr>
      <w:bookmarkStart w:id="249" w:name="_Ref14260018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14</w:t>
      </w:r>
      <w:r>
        <w:rPr>
          <w:color w:val="000000" w:themeColor="text1"/>
          <w:highlight w:val="none"/>
          <w14:textFill>
            <w14:solidFill>
              <w14:schemeClr w14:val="tx1"/>
            </w14:solidFill>
          </w14:textFill>
        </w:rPr>
        <w:fldChar w:fldCharType="end"/>
      </w:r>
      <w:bookmarkEnd w:id="24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本项目场内土壤环境现状监测及评价表</w:t>
      </w:r>
    </w:p>
    <w:tbl>
      <w:tblPr>
        <w:tblStyle w:val="54"/>
        <w:tblW w:w="8220" w:type="dxa"/>
        <w:jc w:val="center"/>
        <w:tblLayout w:type="fixed"/>
        <w:tblCellMar>
          <w:top w:w="0" w:type="dxa"/>
          <w:left w:w="0" w:type="dxa"/>
          <w:bottom w:w="0" w:type="dxa"/>
          <w:right w:w="0" w:type="dxa"/>
        </w:tblCellMar>
      </w:tblPr>
      <w:tblGrid>
        <w:gridCol w:w="557"/>
        <w:gridCol w:w="1123"/>
        <w:gridCol w:w="1090"/>
        <w:gridCol w:w="1090"/>
        <w:gridCol w:w="1090"/>
        <w:gridCol w:w="1090"/>
        <w:gridCol w:w="1090"/>
        <w:gridCol w:w="1090"/>
      </w:tblGrid>
      <w:tr>
        <w:trPr>
          <w:jc w:val="center"/>
        </w:trPr>
        <w:tc>
          <w:tcPr>
            <w:tcW w:w="1680"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pPr>
              <w:pStyle w:val="297"/>
              <w:jc w:val="right"/>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监测因子</w:t>
            </w:r>
          </w:p>
          <w:p>
            <w:pPr>
              <w:pStyle w:val="297"/>
              <w:jc w:val="both"/>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监测点</w:t>
            </w:r>
          </w:p>
        </w:tc>
        <w:tc>
          <w:tcPr>
            <w:tcW w:w="1090" w:type="dxa"/>
            <w:tcBorders>
              <w:top w:val="single" w:color="auto" w:sz="4" w:space="0"/>
              <w:left w:val="single" w:color="auto" w:sz="4" w:space="0"/>
              <w:right w:val="single" w:color="auto" w:sz="4" w:space="0"/>
            </w:tcBorders>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pH</w:t>
            </w:r>
          </w:p>
        </w:tc>
        <w:tc>
          <w:tcPr>
            <w:tcW w:w="1090" w:type="dxa"/>
            <w:tcBorders>
              <w:top w:val="single" w:color="auto" w:sz="4" w:space="0"/>
              <w:left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石油烃〔C</w:t>
            </w:r>
            <w:r>
              <w:rPr>
                <w:b/>
                <w:bCs/>
                <w:color w:val="000000" w:themeColor="text1"/>
                <w:highlight w:val="none"/>
                <w:vertAlign w:val="subscript"/>
                <w14:textFill>
                  <w14:solidFill>
                    <w14:schemeClr w14:val="tx1"/>
                  </w14:solidFill>
                </w14:textFill>
              </w:rPr>
              <w:t>10</w:t>
            </w:r>
            <w:r>
              <w:rPr>
                <w:b/>
                <w:bCs/>
                <w:color w:val="000000" w:themeColor="text1"/>
                <w:highlight w:val="none"/>
                <w14:textFill>
                  <w14:solidFill>
                    <w14:schemeClr w14:val="tx1"/>
                  </w14:solidFill>
                </w14:textFill>
              </w:rPr>
              <w:t>-C</w:t>
            </w:r>
            <w:r>
              <w:rPr>
                <w:b/>
                <w:bCs/>
                <w:color w:val="000000" w:themeColor="text1"/>
                <w:highlight w:val="none"/>
                <w:vertAlign w:val="subscript"/>
                <w14:textFill>
                  <w14:solidFill>
                    <w14:schemeClr w14:val="tx1"/>
                  </w14:solidFill>
                </w14:textFill>
              </w:rPr>
              <w:t>40</w:t>
            </w:r>
            <w:r>
              <w:rPr>
                <w:b/>
                <w:bCs/>
                <w:color w:val="000000" w:themeColor="text1"/>
                <w:highlight w:val="none"/>
                <w14:textFill>
                  <w14:solidFill>
                    <w14:schemeClr w14:val="tx1"/>
                  </w14:solidFill>
                </w14:textFill>
              </w:rPr>
              <w:t>〕（mg/kg）</w:t>
            </w:r>
          </w:p>
        </w:tc>
        <w:tc>
          <w:tcPr>
            <w:tcW w:w="1090" w:type="dxa"/>
            <w:tcBorders>
              <w:top w:val="single" w:color="auto" w:sz="4" w:space="0"/>
              <w:left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全盐量（g/kg）</w:t>
            </w:r>
          </w:p>
        </w:tc>
        <w:tc>
          <w:tcPr>
            <w:tcW w:w="1090" w:type="dxa"/>
            <w:tcBorders>
              <w:top w:val="single" w:color="auto" w:sz="4" w:space="0"/>
              <w:left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氯离子</w:t>
            </w:r>
            <w:r>
              <w:rPr>
                <w:b/>
                <w:bCs/>
                <w:color w:val="000000" w:themeColor="text1"/>
                <w:highlight w:val="none"/>
                <w14:textFill>
                  <w14:solidFill>
                    <w14:schemeClr w14:val="tx1"/>
                  </w14:solidFill>
                </w14:textFill>
              </w:rPr>
              <w:t>（g/kg）</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硫酸根</w:t>
            </w:r>
            <w:r>
              <w:rPr>
                <w:b/>
                <w:bCs/>
                <w:color w:val="000000" w:themeColor="text1"/>
                <w:highlight w:val="none"/>
                <w14:textFill>
                  <w14:solidFill>
                    <w14:schemeClr w14:val="tx1"/>
                  </w14:solidFill>
                </w14:textFill>
              </w:rPr>
              <w:t>（mg/kg）</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钡</w:t>
            </w:r>
            <w:r>
              <w:rPr>
                <w:b/>
                <w:bCs/>
                <w:color w:val="000000" w:themeColor="text1"/>
                <w:highlight w:val="none"/>
                <w14:textFill>
                  <w14:solidFill>
                    <w14:schemeClr w14:val="tx1"/>
                  </w14:solidFill>
                </w14:textFill>
              </w:rPr>
              <w:t>（mg/kg）</w:t>
            </w:r>
          </w:p>
        </w:tc>
      </w:tr>
      <w:tr>
        <w:tblPrEx>
          <w:tblCellMar>
            <w:top w:w="0" w:type="dxa"/>
            <w:left w:w="0" w:type="dxa"/>
            <w:bottom w:w="0" w:type="dxa"/>
            <w:right w:w="0" w:type="dxa"/>
          </w:tblCellMar>
        </w:tblPrEx>
        <w:trPr>
          <w:jc w:val="center"/>
        </w:trPr>
        <w:tc>
          <w:tcPr>
            <w:tcW w:w="557" w:type="dxa"/>
            <w:vMerge w:val="restart"/>
            <w:tcBorders>
              <w:top w:val="single" w:color="auto" w:sz="4" w:space="0"/>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50cm</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7.22</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81</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0.89</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＜0.014</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0.09</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301</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达标情况</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无酸化或碱化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无盐化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t>150cm</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7.32</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72</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0.97</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＜0.014</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0.08</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297</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达标情况</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无酸化或碱化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无盐化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150~</w:t>
            </w:r>
            <w:r>
              <w:rPr>
                <w:color w:val="000000" w:themeColor="text1"/>
                <w:highlight w:val="none"/>
                <w14:textFill>
                  <w14:solidFill>
                    <w14:schemeClr w14:val="tx1"/>
                  </w14:solidFill>
                </w14:textFill>
              </w:rPr>
              <w:t>300cm</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7.14</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53</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1.02</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＜0.014</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0.07</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277</w:t>
            </w:r>
          </w:p>
        </w:tc>
      </w:tr>
      <w:tr>
        <w:tblPrEx>
          <w:tblCellMar>
            <w:top w:w="0" w:type="dxa"/>
            <w:left w:w="0" w:type="dxa"/>
            <w:bottom w:w="0" w:type="dxa"/>
            <w:right w:w="0" w:type="dxa"/>
          </w:tblCellMar>
        </w:tblPrEx>
        <w:trPr>
          <w:jc w:val="center"/>
        </w:trPr>
        <w:tc>
          <w:tcPr>
            <w:tcW w:w="557" w:type="dxa"/>
            <w:vMerge w:val="continue"/>
            <w:tcBorders>
              <w:left w:val="single" w:color="auto" w:sz="4" w:space="0"/>
              <w:bottom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达标情况</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无酸化或碱化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无盐化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r>
      <w:tr>
        <w:tblPrEx>
          <w:tblCellMar>
            <w:top w:w="0" w:type="dxa"/>
            <w:left w:w="0" w:type="dxa"/>
            <w:bottom w:w="0" w:type="dxa"/>
            <w:right w:w="0" w:type="dxa"/>
          </w:tblCellMar>
        </w:tblPrEx>
        <w:trPr>
          <w:jc w:val="center"/>
        </w:trPr>
        <w:tc>
          <w:tcPr>
            <w:tcW w:w="557" w:type="dxa"/>
            <w:vMerge w:val="restart"/>
            <w:tcBorders>
              <w:top w:val="single" w:color="auto" w:sz="4" w:space="0"/>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w:t>
            </w: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50cm</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6.88</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94</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1.27</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＜0.014</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0.09</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314</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达标情况</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无酸化或碱化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无盐化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t>150cm</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6.92</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1.24</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＜0.014</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0.08</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320</w:t>
            </w:r>
          </w:p>
        </w:tc>
      </w:tr>
      <w:tr>
        <w:tblPrEx>
          <w:tblCellMar>
            <w:top w:w="0" w:type="dxa"/>
            <w:left w:w="0" w:type="dxa"/>
            <w:bottom w:w="0" w:type="dxa"/>
            <w:right w:w="0" w:type="dxa"/>
          </w:tblCellMar>
        </w:tblPrEx>
        <w:trPr>
          <w:trHeight w:val="546" w:hRule="atLeast"/>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达标情况</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无酸化或碱化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无盐化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150~</w:t>
            </w:r>
            <w:r>
              <w:rPr>
                <w:color w:val="000000" w:themeColor="text1"/>
                <w:highlight w:val="none"/>
                <w14:textFill>
                  <w14:solidFill>
                    <w14:schemeClr w14:val="tx1"/>
                  </w14:solidFill>
                </w14:textFill>
              </w:rPr>
              <w:t>300cm</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6.78</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93</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1.22</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＜0.014</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0.11</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317</w:t>
            </w:r>
          </w:p>
        </w:tc>
      </w:tr>
      <w:tr>
        <w:tblPrEx>
          <w:tblCellMar>
            <w:top w:w="0" w:type="dxa"/>
            <w:left w:w="0" w:type="dxa"/>
            <w:bottom w:w="0" w:type="dxa"/>
            <w:right w:w="0" w:type="dxa"/>
          </w:tblCellMar>
        </w:tblPrEx>
        <w:trPr>
          <w:jc w:val="center"/>
        </w:trPr>
        <w:tc>
          <w:tcPr>
            <w:tcW w:w="557" w:type="dxa"/>
            <w:vMerge w:val="continue"/>
            <w:tcBorders>
              <w:left w:val="single" w:color="auto" w:sz="4" w:space="0"/>
              <w:bottom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达标情况</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无酸化或碱化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无盐化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r>
      <w:tr>
        <w:tblPrEx>
          <w:tblCellMar>
            <w:top w:w="0" w:type="dxa"/>
            <w:left w:w="0" w:type="dxa"/>
            <w:bottom w:w="0" w:type="dxa"/>
            <w:right w:w="0" w:type="dxa"/>
          </w:tblCellMar>
        </w:tblPrEx>
        <w:trPr>
          <w:jc w:val="center"/>
        </w:trPr>
        <w:tc>
          <w:tcPr>
            <w:tcW w:w="557" w:type="dxa"/>
            <w:vMerge w:val="restart"/>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w:t>
            </w: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50cm</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7.22</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78</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0.78</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＜0.014</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0.08</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249</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达标情况</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无酸化或碱化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轻度盐化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w:t>
            </w:r>
            <w:r>
              <w:rPr>
                <w:color w:val="000000" w:themeColor="text1"/>
                <w:highlight w:val="none"/>
                <w14:textFill>
                  <w14:solidFill>
                    <w14:schemeClr w14:val="tx1"/>
                  </w14:solidFill>
                </w14:textFill>
              </w:rPr>
              <w:t>150cm</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7.36</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78</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0.74</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＜0.014</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0.06</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296</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达标情况</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无酸化或碱化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轻度盐化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r>
      <w:tr>
        <w:tblPrEx>
          <w:tblCellMar>
            <w:top w:w="0" w:type="dxa"/>
            <w:left w:w="0" w:type="dxa"/>
            <w:bottom w:w="0" w:type="dxa"/>
            <w:right w:w="0" w:type="dxa"/>
          </w:tblCellMar>
        </w:tblPrEx>
        <w:trPr>
          <w:jc w:val="center"/>
        </w:trPr>
        <w:tc>
          <w:tcPr>
            <w:tcW w:w="557" w:type="dxa"/>
            <w:vMerge w:val="continue"/>
            <w:tcBorders>
              <w:left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150~</w:t>
            </w:r>
            <w:r>
              <w:rPr>
                <w:color w:val="000000" w:themeColor="text1"/>
                <w:highlight w:val="none"/>
                <w14:textFill>
                  <w14:solidFill>
                    <w14:schemeClr w14:val="tx1"/>
                  </w14:solidFill>
                </w14:textFill>
              </w:rPr>
              <w:t>300cm</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7.38</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0.74</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＜0.014</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0.10</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281</w:t>
            </w:r>
          </w:p>
        </w:tc>
      </w:tr>
      <w:tr>
        <w:tblPrEx>
          <w:tblCellMar>
            <w:top w:w="0" w:type="dxa"/>
            <w:left w:w="0" w:type="dxa"/>
            <w:bottom w:w="0" w:type="dxa"/>
            <w:right w:w="0" w:type="dxa"/>
          </w:tblCellMar>
        </w:tblPrEx>
        <w:trPr>
          <w:jc w:val="center"/>
        </w:trPr>
        <w:tc>
          <w:tcPr>
            <w:tcW w:w="557" w:type="dxa"/>
            <w:vMerge w:val="continue"/>
            <w:tcBorders>
              <w:left w:val="single" w:color="auto" w:sz="4" w:space="0"/>
              <w:bottom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p>
        </w:tc>
        <w:tc>
          <w:tcPr>
            <w:tcW w:w="112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达标情况</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无酸化或碱化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轻度盐化</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rFonts w:eastAsia="等线"/>
                <w:color w:val="000000" w:themeColor="text1"/>
                <w:szCs w:val="2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达标</w:t>
            </w:r>
          </w:p>
        </w:tc>
      </w:tr>
      <w:tr>
        <w:tblPrEx>
          <w:tblCellMar>
            <w:top w:w="0" w:type="dxa"/>
            <w:left w:w="0" w:type="dxa"/>
            <w:bottom w:w="0" w:type="dxa"/>
            <w:right w:w="0" w:type="dxa"/>
          </w:tblCellMar>
        </w:tblPrEx>
        <w:trPr>
          <w:jc w:val="center"/>
        </w:trPr>
        <w:tc>
          <w:tcPr>
            <w:tcW w:w="1680"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标准值</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4500</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eastAsia="等线"/>
                <w:color w:val="000000" w:themeColor="text1"/>
                <w:szCs w:val="2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8660</w:t>
            </w:r>
          </w:p>
        </w:tc>
      </w:tr>
    </w:tbl>
    <w:p>
      <w:pPr>
        <w:pStyle w:val="203"/>
        <w:spacing w:before="120"/>
        <w:rPr>
          <w:color w:val="000000" w:themeColor="text1"/>
          <w:highlight w:val="none"/>
          <w14:textFill>
            <w14:solidFill>
              <w14:schemeClr w14:val="tx1"/>
            </w14:solidFill>
          </w14:textFill>
        </w:rPr>
      </w:pPr>
      <w:bookmarkStart w:id="250" w:name="_Ref14260018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15</w:t>
      </w:r>
      <w:r>
        <w:rPr>
          <w:color w:val="000000" w:themeColor="text1"/>
          <w:highlight w:val="none"/>
          <w14:textFill>
            <w14:solidFill>
              <w14:schemeClr w14:val="tx1"/>
            </w14:solidFill>
          </w14:textFill>
        </w:rPr>
        <w:fldChar w:fldCharType="end"/>
      </w:r>
      <w:bookmarkEnd w:id="25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场内土壤环境现状监测结果</w:t>
      </w:r>
    </w:p>
    <w:tbl>
      <w:tblPr>
        <w:tblStyle w:val="54"/>
        <w:tblW w:w="8220" w:type="dxa"/>
        <w:jc w:val="center"/>
        <w:tblLayout w:type="autofit"/>
        <w:tblCellMar>
          <w:top w:w="0" w:type="dxa"/>
          <w:left w:w="0" w:type="dxa"/>
          <w:bottom w:w="0" w:type="dxa"/>
          <w:right w:w="0" w:type="dxa"/>
        </w:tblCellMar>
      </w:tblPr>
      <w:tblGrid>
        <w:gridCol w:w="2010"/>
        <w:gridCol w:w="702"/>
        <w:gridCol w:w="1252"/>
        <w:gridCol w:w="3381"/>
        <w:gridCol w:w="875"/>
      </w:tblGrid>
      <w:tr>
        <w:tblPrEx>
          <w:tblCellMar>
            <w:top w:w="0" w:type="dxa"/>
            <w:left w:w="0" w:type="dxa"/>
            <w:bottom w:w="0" w:type="dxa"/>
            <w:right w:w="0" w:type="dxa"/>
          </w:tblCellMar>
        </w:tblPrEx>
        <w:trPr>
          <w:jc w:val="center"/>
        </w:trPr>
        <w:tc>
          <w:tcPr>
            <w:tcW w:w="0" w:type="auto"/>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监测因子</w:t>
            </w:r>
          </w:p>
        </w:tc>
        <w:tc>
          <w:tcPr>
            <w:tcW w:w="0" w:type="auto"/>
            <w:vMerge w:val="restart"/>
            <w:tcBorders>
              <w:top w:val="single" w:color="auto" w:sz="4" w:space="0"/>
              <w:left w:val="nil"/>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单位</w:t>
            </w:r>
          </w:p>
        </w:tc>
        <w:tc>
          <w:tcPr>
            <w:tcW w:w="463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1#大湾408-3井场内方井旁</w:t>
            </w:r>
          </w:p>
        </w:tc>
        <w:tc>
          <w:tcPr>
            <w:tcW w:w="8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标准值</w:t>
            </w:r>
          </w:p>
        </w:tc>
      </w:tr>
      <w:tr>
        <w:tblPrEx>
          <w:tblCellMar>
            <w:top w:w="0" w:type="dxa"/>
            <w:left w:w="0" w:type="dxa"/>
            <w:bottom w:w="0" w:type="dxa"/>
            <w:right w:w="0"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p>
        </w:tc>
        <w:tc>
          <w:tcPr>
            <w:tcW w:w="0" w:type="auto"/>
            <w:vMerge w:val="continue"/>
            <w:tcBorders>
              <w:left w:val="nil"/>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p>
        </w:tc>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监测值</w:t>
            </w:r>
          </w:p>
        </w:tc>
        <w:tc>
          <w:tcPr>
            <w:tcW w:w="3381" w:type="dxa"/>
            <w:tcBorders>
              <w:top w:val="nil"/>
              <w:left w:val="nil"/>
              <w:bottom w:val="single" w:color="auto" w:sz="4" w:space="0"/>
              <w:right w:val="single" w:color="auto" w:sz="4" w:space="0"/>
            </w:tcBorders>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是否达标</w:t>
            </w:r>
          </w:p>
        </w:tc>
        <w:tc>
          <w:tcPr>
            <w:tcW w:w="875"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pH</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无量纲</w:t>
            </w:r>
          </w:p>
        </w:tc>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7.05</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无酸化或碱化</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CellMar>
            <w:top w:w="0" w:type="dxa"/>
            <w:left w:w="0" w:type="dxa"/>
            <w:bottom w:w="0" w:type="dxa"/>
            <w:right w:w="0" w:type="dxa"/>
          </w:tblCellMar>
        </w:tblPrEx>
        <w:trPr>
          <w:jc w:val="center"/>
        </w:trPr>
        <w:tc>
          <w:tcPr>
            <w:tcW w:w="2010"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全盐量</w:t>
            </w:r>
          </w:p>
        </w:tc>
        <w:tc>
          <w:tcPr>
            <w:tcW w:w="702" w:type="dxa"/>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1.25</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中度盐化</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CellMar>
            <w:top w:w="0" w:type="dxa"/>
            <w:left w:w="0" w:type="dxa"/>
            <w:bottom w:w="0" w:type="dxa"/>
            <w:right w:w="0" w:type="dxa"/>
          </w:tblCellMar>
        </w:tblPrEx>
        <w:trPr>
          <w:jc w:val="center"/>
        </w:trPr>
        <w:tc>
          <w:tcPr>
            <w:tcW w:w="2010"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氯离子</w:t>
            </w:r>
          </w:p>
        </w:tc>
        <w:tc>
          <w:tcPr>
            <w:tcW w:w="702" w:type="dxa"/>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＜0.014</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CellMar>
            <w:top w:w="0" w:type="dxa"/>
            <w:left w:w="0" w:type="dxa"/>
            <w:bottom w:w="0" w:type="dxa"/>
            <w:right w:w="0" w:type="dxa"/>
          </w:tblCellMar>
        </w:tblPrEx>
        <w:trPr>
          <w:jc w:val="center"/>
        </w:trPr>
        <w:tc>
          <w:tcPr>
            <w:tcW w:w="2010"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硫酸根</w:t>
            </w:r>
          </w:p>
        </w:tc>
        <w:tc>
          <w:tcPr>
            <w:tcW w:w="702" w:type="dxa"/>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m</w:t>
            </w:r>
            <w:r>
              <w:rPr>
                <w:color w:val="000000" w:themeColor="text1"/>
                <w:szCs w:val="21"/>
                <w:highlight w:val="none"/>
                <w14:textFill>
                  <w14:solidFill>
                    <w14:schemeClr w14:val="tx1"/>
                  </w14:solidFill>
                </w14:textFill>
              </w:rPr>
              <w:t>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0.08</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CellMar>
            <w:top w:w="0" w:type="dxa"/>
            <w:left w:w="0" w:type="dxa"/>
            <w:bottom w:w="0" w:type="dxa"/>
            <w:right w:w="0" w:type="dxa"/>
          </w:tblCellMar>
        </w:tblPrEx>
        <w:trPr>
          <w:jc w:val="center"/>
        </w:trPr>
        <w:tc>
          <w:tcPr>
            <w:tcW w:w="2010"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钡</w:t>
            </w:r>
          </w:p>
        </w:tc>
        <w:tc>
          <w:tcPr>
            <w:tcW w:w="702" w:type="dxa"/>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309</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502</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镉</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0.16</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65</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六价铬</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5.7</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铜</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22.8</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18000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铅</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18</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800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汞</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0.085</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38</w:t>
            </w:r>
          </w:p>
        </w:tc>
      </w:tr>
      <w:tr>
        <w:tblPrEx>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镍</w:t>
            </w:r>
          </w:p>
        </w:tc>
        <w:tc>
          <w:tcPr>
            <w:tcW w:w="0" w:type="auto"/>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auto"/>
              <w:ind w:firstLine="0" w:firstLineChars="0"/>
              <w:jc w:val="center"/>
              <w:rPr>
                <w:color w:val="000000" w:themeColor="text1"/>
                <w:sz w:val="21"/>
                <w:szCs w:val="21"/>
                <w:highlight w:val="none"/>
                <w14:textFill>
                  <w14:solidFill>
                    <w14:schemeClr w14:val="tx1"/>
                  </w14:solidFill>
                </w14:textFill>
              </w:rPr>
            </w:pPr>
            <w:r>
              <w:rPr>
                <w:rFonts w:hint="eastAsia" w:cs="Times New Roman"/>
                <w:color w:val="000000" w:themeColor="text1"/>
                <w:kern w:val="21"/>
                <w:sz w:val="21"/>
                <w:szCs w:val="21"/>
                <w:highlight w:val="none"/>
                <w14:textFill>
                  <w14:solidFill>
                    <w14:schemeClr w14:val="tx1"/>
                  </w14:solidFill>
                </w14:textFill>
              </w:rPr>
              <w:t>34</w:t>
            </w:r>
          </w:p>
        </w:tc>
        <w:tc>
          <w:tcPr>
            <w:tcW w:w="338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900</w:t>
            </w:r>
          </w:p>
        </w:tc>
      </w:tr>
      <w:tr>
        <w:tblPrEx>
          <w:tblCellMar>
            <w:top w:w="0" w:type="dxa"/>
            <w:left w:w="0" w:type="dxa"/>
            <w:bottom w:w="0" w:type="dxa"/>
            <w:right w:w="0" w:type="dxa"/>
          </w:tblCellMar>
        </w:tblPrEx>
        <w:trPr>
          <w:trHeight w:val="172"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石油烃〔C10-C40〕</w:t>
            </w:r>
          </w:p>
        </w:tc>
        <w:tc>
          <w:tcPr>
            <w:tcW w:w="0" w:type="auto"/>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81</w:t>
            </w:r>
          </w:p>
        </w:tc>
        <w:tc>
          <w:tcPr>
            <w:tcW w:w="338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4500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四氯化碳</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&lt;1.3×10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2.8</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氯仿</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&lt;1.1×10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0.9</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氯甲烷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&lt;1.0×10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37</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1,1-二氯乙烷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9</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1,2-二氯乙烷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&lt;1.3×10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1,1-二氯乙烯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&lt;1.0×10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66</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顺-1,2 -二氯乙烯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&lt;1.3×10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596</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反-1,2 -二氯乙烯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&lt;1.4×10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54</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二氯甲烷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&lt;1.5×10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616</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1,2-二氯丙烷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&lt;1.1×10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1,1,1,2- 四氯乙烷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1,1,2,2-四氯乙烷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6.8</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四氯乙烯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&lt;1.4×10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53</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1,1,</w:t>
            </w: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-三氯乙烷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&lt;1.3×10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840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1,1,2-三氯乙烷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2.8</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三氯乙烯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2.8</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1,2,3-三氯丙烷</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0.5</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氯乙烯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&lt;1.0×10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0.43</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&lt;1.9×10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氯苯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270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1,2-二氯苯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&lt;1.5×10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560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1,4-二氯苯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&lt;1.5×10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乙苯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28</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苯乙烯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&lt;1.1×10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1290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甲苯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&lt;1.3×10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1200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间，对-二甲苯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570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邻-二甲苯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&lt;1.2×10</w:t>
            </w:r>
            <w:r>
              <w:rPr>
                <w:color w:val="000000" w:themeColor="text1"/>
                <w:szCs w:val="21"/>
                <w:highlight w:val="none"/>
                <w:vertAlign w:val="superscript"/>
                <w14:textFill>
                  <w14:solidFill>
                    <w14:schemeClr w14:val="tx1"/>
                  </w14:solidFill>
                </w14:textFill>
              </w:rPr>
              <w:t>-3</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640</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硝基苯</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&lt;0.09</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76</w:t>
            </w:r>
          </w:p>
        </w:tc>
      </w:tr>
      <w:tr>
        <w:tblPrEx>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苯胺</w:t>
            </w:r>
          </w:p>
        </w:tc>
        <w:tc>
          <w:tcPr>
            <w:tcW w:w="0" w:type="auto"/>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&lt;0.04</w:t>
            </w:r>
          </w:p>
        </w:tc>
        <w:tc>
          <w:tcPr>
            <w:tcW w:w="3381"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260</w:t>
            </w:r>
          </w:p>
        </w:tc>
      </w:tr>
      <w:tr>
        <w:tblPrEx>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2-氯酚</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&lt;0.06</w:t>
            </w:r>
          </w:p>
        </w:tc>
        <w:tc>
          <w:tcPr>
            <w:tcW w:w="3381" w:type="dxa"/>
            <w:tcBorders>
              <w:top w:val="single" w:color="auto" w:sz="4" w:space="0"/>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single" w:color="auto" w:sz="4" w:space="0"/>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2256</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苯并（a）蒽</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&lt;0.1</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苯并（a）芘</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&lt;0.1</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苯并（b）荧蒽</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&lt;0.2</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苯并（k）荧蒽</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&lt;0.1</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151</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䓛</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&lt;0.1</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1293</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二苯并（a,h）蒽</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&lt;0.1</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0" w:type="auto"/>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茚并（1,2,3-c,d）芘</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nil"/>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&lt;0.1</w:t>
            </w:r>
          </w:p>
        </w:tc>
        <w:tc>
          <w:tcPr>
            <w:tcW w:w="3381"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nil"/>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15</w:t>
            </w:r>
          </w:p>
        </w:tc>
      </w:tr>
      <w:tr>
        <w:tblPrEx>
          <w:tblCellMar>
            <w:top w:w="0" w:type="dxa"/>
            <w:left w:w="0" w:type="dxa"/>
            <w:bottom w:w="0" w:type="dxa"/>
            <w:right w:w="0" w:type="dxa"/>
          </w:tblCellMar>
        </w:tblPrEx>
        <w:trPr>
          <w:jc w:val="center"/>
        </w:trPr>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萘</w:t>
            </w:r>
          </w:p>
        </w:tc>
        <w:tc>
          <w:tcPr>
            <w:tcW w:w="0" w:type="auto"/>
            <w:tcBorders>
              <w:top w:val="single" w:color="auto" w:sz="4" w:space="0"/>
              <w:left w:val="nil"/>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mg/kg</w:t>
            </w:r>
          </w:p>
        </w:tc>
        <w:tc>
          <w:tcPr>
            <w:tcW w:w="125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&lt;0.09</w:t>
            </w:r>
          </w:p>
        </w:tc>
        <w:tc>
          <w:tcPr>
            <w:tcW w:w="3381" w:type="dxa"/>
            <w:tcBorders>
              <w:top w:val="single" w:color="auto" w:sz="4" w:space="0"/>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c>
          <w:tcPr>
            <w:tcW w:w="875" w:type="dxa"/>
            <w:tcBorders>
              <w:top w:val="single" w:color="auto" w:sz="4" w:space="0"/>
              <w:left w:val="nil"/>
              <w:bottom w:val="single" w:color="auto" w:sz="4" w:space="0"/>
              <w:right w:val="single" w:color="auto" w:sz="4" w:space="0"/>
            </w:tcBorders>
            <w:shd w:val="clear" w:color="auto" w:fill="auto"/>
            <w:noWrap/>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70</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_Ref142600179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13</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_Ref142600183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14</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_Ref142600187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4.2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15</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可知，平台外土壤监测点监测值均低于《土壤环境质量 农用地土壤污染风险管控标准（试行）》（GB15618-2018）风险筛选值；平台内各土壤监测点监测因子均低于《土壤环境质量 建设用地土壤污染风险管控标准（试行）》（GB36600-2018）中的第二类用地筛选值</w:t>
      </w:r>
      <w:r>
        <w:rPr>
          <w:rFonts w:hint="eastAsia" w:cs="Times New Roman"/>
          <w:bCs/>
          <w:color w:val="000000" w:themeColor="text1"/>
          <w:szCs w:val="24"/>
          <w:highlight w:val="none"/>
          <w14:textFill>
            <w14:solidFill>
              <w14:schemeClr w14:val="tx1"/>
            </w14:solidFill>
          </w14:textFill>
        </w:rPr>
        <w:t>，钡满足《四川省建设用地土壤污染风险管控标准》（</w:t>
      </w:r>
      <w:r>
        <w:rPr>
          <w:rFonts w:cs="Times New Roman"/>
          <w:bCs/>
          <w:color w:val="000000" w:themeColor="text1"/>
          <w:szCs w:val="24"/>
          <w:highlight w:val="none"/>
          <w14:textFill>
            <w14:solidFill>
              <w14:schemeClr w14:val="tx1"/>
            </w14:solidFill>
          </w14:textFill>
        </w:rPr>
        <w:t>DB51/2978</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2023</w:t>
      </w:r>
      <w:r>
        <w:rPr>
          <w:rFonts w:hint="eastAsia" w:cs="Times New Roman"/>
          <w:bCs/>
          <w:color w:val="000000" w:themeColor="text1"/>
          <w:szCs w:val="24"/>
          <w:highlight w:val="none"/>
          <w14:textFill>
            <w14:solidFill>
              <w14:schemeClr w14:val="tx1"/>
            </w14:solidFill>
          </w14:textFill>
        </w:rPr>
        <w:t>）第二类用地筛选值要求</w:t>
      </w:r>
      <w:r>
        <w:rPr>
          <w:rFonts w:cs="Times New Roman"/>
          <w:bCs/>
          <w:color w:val="000000" w:themeColor="text1"/>
          <w:szCs w:val="24"/>
          <w:highlight w:val="none"/>
          <w14:textFill>
            <w14:solidFill>
              <w14:schemeClr w14:val="tx1"/>
            </w14:solidFill>
          </w14:textFill>
        </w:rPr>
        <w:t>。</w:t>
      </w:r>
    </w:p>
    <w:p>
      <w:pPr>
        <w:pStyle w:val="3"/>
        <w:spacing w:before="120"/>
        <w:rPr>
          <w:color w:val="000000" w:themeColor="text1"/>
          <w:highlight w:val="none"/>
          <w:lang w:eastAsia="zh-CN"/>
          <w14:textFill>
            <w14:solidFill>
              <w14:schemeClr w14:val="tx1"/>
            </w14:solidFill>
          </w14:textFill>
        </w:rPr>
      </w:pPr>
      <w:bookmarkStart w:id="251" w:name="_Toc6675"/>
      <w:r>
        <w:rPr>
          <w:color w:val="000000" w:themeColor="text1"/>
          <w:highlight w:val="none"/>
          <w:lang w:eastAsia="zh-CN"/>
          <w14:textFill>
            <w14:solidFill>
              <w14:schemeClr w14:val="tx1"/>
            </w14:solidFill>
          </w14:textFill>
        </w:rPr>
        <w:t>生态环境调查与评价</w:t>
      </w:r>
      <w:bookmarkEnd w:id="251"/>
    </w:p>
    <w:p>
      <w:pPr>
        <w:pStyle w:val="132"/>
        <w:ind w:firstLine="480"/>
        <w:rPr>
          <w:b/>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本项目所有生产废水均不外排，</w:t>
      </w:r>
      <w:r>
        <w:rPr>
          <w:rFonts w:hint="eastAsia"/>
          <w:color w:val="000000" w:themeColor="text1"/>
          <w:highlight w:val="none"/>
          <w14:textFill>
            <w14:solidFill>
              <w14:schemeClr w14:val="tx1"/>
            </w14:solidFill>
          </w14:textFill>
        </w:rPr>
        <w:t>项目占地及周边无天然地表水体，</w:t>
      </w:r>
      <w:r>
        <w:rPr>
          <w:color w:val="000000" w:themeColor="text1"/>
          <w:highlight w:val="none"/>
          <w14:textFill>
            <w14:solidFill>
              <w14:schemeClr w14:val="tx1"/>
            </w14:solidFill>
          </w14:textFill>
        </w:rPr>
        <w:t>不涉及水生生态，因此本项目生态环境现状调查仅针对陆生生态进行调查。</w:t>
      </w:r>
    </w:p>
    <w:p>
      <w:pPr>
        <w:pStyle w:val="4"/>
        <w:spacing w:before="120"/>
        <w:ind w:firstLine="480"/>
        <w:rPr>
          <w:b/>
          <w:color w:val="000000" w:themeColor="text1"/>
          <w:highlight w:val="none"/>
          <w:lang w:eastAsia="zh-CN"/>
          <w14:textFill>
            <w14:solidFill>
              <w14:schemeClr w14:val="tx1"/>
            </w14:solidFill>
          </w14:textFill>
        </w:rPr>
      </w:pPr>
      <w:bookmarkStart w:id="252" w:name="_Toc120173135"/>
      <w:bookmarkStart w:id="253" w:name="_Hlk84604214"/>
      <w:r>
        <w:rPr>
          <w:color w:val="000000" w:themeColor="text1"/>
          <w:highlight w:val="none"/>
          <w:lang w:eastAsia="zh-CN"/>
          <w14:textFill>
            <w14:solidFill>
              <w14:schemeClr w14:val="tx1"/>
            </w14:solidFill>
          </w14:textFill>
        </w:rPr>
        <w:t>生态功能区划</w:t>
      </w:r>
      <w:bookmarkEnd w:id="252"/>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位于四川盆地亚热带湿润气候生态区，属于大巴山水源涵养与土壤保持生态功能区（I-3-2），该生态功能区的主导功能是水源涵养功能，土壤保持功能。面临的主要环境问题是多洪灾，滑坡崩塌强烈发育，水土流失严重。项目区的生态功能区划见下表</w:t>
      </w:r>
      <w:r>
        <w:rPr>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54" w:name="_Ref142600299"/>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254"/>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项目区生态功能区划及主要生态环境问题</w:t>
      </w:r>
    </w:p>
    <w:tbl>
      <w:tblPr>
        <w:tblStyle w:val="54"/>
        <w:tblW w:w="501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9"/>
        <w:gridCol w:w="1030"/>
        <w:gridCol w:w="1090"/>
        <w:gridCol w:w="1078"/>
        <w:gridCol w:w="786"/>
        <w:gridCol w:w="3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 w:hRule="atLeast"/>
          <w:jc w:val="center"/>
        </w:trPr>
        <w:tc>
          <w:tcPr>
            <w:tcW w:w="48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生态区</w:t>
            </w:r>
          </w:p>
        </w:tc>
        <w:tc>
          <w:tcPr>
            <w:tcW w:w="617"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生态亚区</w:t>
            </w:r>
          </w:p>
        </w:tc>
        <w:tc>
          <w:tcPr>
            <w:tcW w:w="65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生态功能区</w:t>
            </w:r>
          </w:p>
        </w:tc>
        <w:tc>
          <w:tcPr>
            <w:tcW w:w="64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主要环境问题</w:t>
            </w:r>
          </w:p>
        </w:tc>
        <w:tc>
          <w:tcPr>
            <w:tcW w:w="471"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服务功能</w:t>
            </w:r>
          </w:p>
        </w:tc>
        <w:tc>
          <w:tcPr>
            <w:tcW w:w="212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保护与发展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09"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I四川盆地亚热带湿润气候生态区</w:t>
            </w:r>
          </w:p>
        </w:tc>
        <w:tc>
          <w:tcPr>
            <w:tcW w:w="103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I-3盆北秦巴山地常绿阔叶林-针阔混交林生态亚区</w:t>
            </w:r>
          </w:p>
        </w:tc>
        <w:tc>
          <w:tcPr>
            <w:tcW w:w="109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I-3-2大巴山水源涵养与土壤保持生态功能区</w:t>
            </w:r>
          </w:p>
        </w:tc>
        <w:tc>
          <w:tcPr>
            <w:tcW w:w="107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多洪灾，滑坡崩塌强烈发育，水土流失严重</w:t>
            </w:r>
          </w:p>
        </w:tc>
        <w:tc>
          <w:tcPr>
            <w:tcW w:w="786"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水源涵养功能，土壤保持功能</w:t>
            </w:r>
          </w:p>
        </w:tc>
        <w:tc>
          <w:tcPr>
            <w:tcW w:w="3552"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tc>
      </w:tr>
    </w:tbl>
    <w:p>
      <w:pPr>
        <w:pStyle w:val="4"/>
        <w:spacing w:before="120"/>
        <w:ind w:firstLine="480"/>
        <w:rPr>
          <w:b/>
          <w:color w:val="000000" w:themeColor="text1"/>
          <w:highlight w:val="none"/>
          <w:lang w:eastAsia="zh-CN"/>
          <w14:textFill>
            <w14:solidFill>
              <w14:schemeClr w14:val="tx1"/>
            </w14:solidFill>
          </w14:textFill>
        </w:rPr>
      </w:pPr>
      <w:bookmarkStart w:id="255" w:name="_Toc120173136"/>
      <w:r>
        <w:rPr>
          <w:color w:val="000000" w:themeColor="text1"/>
          <w:highlight w:val="none"/>
          <w:lang w:eastAsia="zh-CN"/>
          <w14:textFill>
            <w14:solidFill>
              <w14:schemeClr w14:val="tx1"/>
            </w14:solidFill>
          </w14:textFill>
        </w:rPr>
        <w:t>生态环境现状调查方法</w:t>
      </w:r>
      <w:bookmarkEnd w:id="255"/>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1、基础资料收集</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收集整理项目涉及区域现有生物资料，包括市志、统计年鉴以及林业、环保、水利、农业、国土资源等部门提供的相关资料，并且参考《中国植物志</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中国高等植物图鉴</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四川植物志》和《四川资源动物志》系列等专著。</w:t>
      </w:r>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2、生物资源调查方法</w:t>
      </w:r>
    </w:p>
    <w:p>
      <w:pPr>
        <w:pStyle w:val="132"/>
        <w:ind w:firstLine="482"/>
        <w:rPr>
          <w:b/>
          <w:bCs/>
          <w:color w:val="000000" w:themeColor="text1"/>
          <w:highlight w:val="none"/>
          <w14:textFill>
            <w14:solidFill>
              <w14:schemeClr w14:val="tx1"/>
            </w14:solidFill>
          </w14:textFill>
        </w:rPr>
      </w:pPr>
      <w:bookmarkStart w:id="256" w:name="_Toc280781526"/>
      <w:r>
        <w:rPr>
          <w:rFonts w:hint="eastAsia"/>
          <w:b/>
          <w:bCs/>
          <w:color w:val="000000" w:themeColor="text1"/>
          <w:highlight w:val="none"/>
          <w14:textFill>
            <w14:solidFill>
              <w14:schemeClr w14:val="tx1"/>
            </w14:solidFill>
          </w14:textFill>
        </w:rPr>
        <w:t>（1）时间安排</w:t>
      </w:r>
    </w:p>
    <w:p>
      <w:pPr>
        <w:pStyle w:val="132"/>
        <w:ind w:firstLine="480"/>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本项目现场调查安排在202</w:t>
      </w:r>
      <w:r>
        <w:rPr>
          <w:rFonts w:hint="eastAsia"/>
          <w:bCs/>
          <w:color w:val="000000" w:themeColor="text1"/>
          <w:highlight w:val="none"/>
          <w14:textFill>
            <w14:solidFill>
              <w14:schemeClr w14:val="tx1"/>
            </w14:solidFill>
          </w14:textFill>
        </w:rPr>
        <w:t>4</w:t>
      </w:r>
      <w:r>
        <w:rPr>
          <w:bCs/>
          <w:color w:val="000000" w:themeColor="text1"/>
          <w:highlight w:val="none"/>
          <w14:textFill>
            <w14:solidFill>
              <w14:schemeClr w14:val="tx1"/>
            </w14:solidFill>
          </w14:textFill>
        </w:rPr>
        <w:t>年</w:t>
      </w:r>
      <w:r>
        <w:rPr>
          <w:rFonts w:hint="eastAsia"/>
          <w:bCs/>
          <w:color w:val="000000" w:themeColor="text1"/>
          <w:highlight w:val="none"/>
          <w14:textFill>
            <w14:solidFill>
              <w14:schemeClr w14:val="tx1"/>
            </w14:solidFill>
          </w14:textFill>
        </w:rPr>
        <w:t>12</w:t>
      </w:r>
      <w:r>
        <w:rPr>
          <w:bCs/>
          <w:color w:val="000000" w:themeColor="text1"/>
          <w:highlight w:val="none"/>
          <w14:textFill>
            <w14:solidFill>
              <w14:schemeClr w14:val="tx1"/>
            </w14:solidFill>
          </w14:textFill>
        </w:rPr>
        <w:t>月进行，可满足生态二级评价现状调查要求</w:t>
      </w:r>
      <w:r>
        <w:rPr>
          <w:color w:val="000000" w:themeColor="text1"/>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2</w:t>
      </w:r>
      <w:r>
        <w:rPr>
          <w:b/>
          <w:bCs/>
          <w:color w:val="000000" w:themeColor="text1"/>
          <w:highlight w:val="none"/>
          <w14:textFill>
            <w14:solidFill>
              <w14:schemeClr w14:val="tx1"/>
            </w14:solidFill>
          </w14:textFill>
        </w:rPr>
        <w:t>）野外生态信息数据的采集与处理</w:t>
      </w:r>
    </w:p>
    <w:p>
      <w:pPr>
        <w:pStyle w:val="132"/>
        <w:ind w:firstLine="480"/>
        <w:rPr>
          <w:bCs/>
          <w:color w:val="000000" w:themeColor="text1"/>
          <w:szCs w:val="24"/>
          <w:highlight w:val="none"/>
          <w14:textFill>
            <w14:solidFill>
              <w14:schemeClr w14:val="tx1"/>
            </w14:solidFill>
          </w14:textFill>
        </w:rPr>
      </w:pPr>
      <w:r>
        <w:rPr>
          <w:bCs/>
          <w:color w:val="000000" w:themeColor="text1"/>
          <w:highlight w:val="none"/>
          <w14:textFill>
            <w14:solidFill>
              <w14:schemeClr w14:val="tx1"/>
            </w14:solidFill>
          </w14:textFill>
        </w:rPr>
        <w:t>野外生态信息数据的采集主要借助HOLUX M-241蓝牙GPS记录器获取及尼康单反数码相机。HOLUX M-241蓝牙GPS纪录器可以记录高达13万个位置，每个位置都含有经度、纬度、时间和高度资料；野外生态考察中开机让记</w:t>
      </w:r>
      <w:r>
        <w:rPr>
          <w:bCs/>
          <w:color w:val="000000" w:themeColor="text1"/>
          <w:szCs w:val="24"/>
          <w:highlight w:val="none"/>
          <w14:textFill>
            <w14:solidFill>
              <w14:schemeClr w14:val="tx1"/>
            </w14:solidFill>
          </w14:textFill>
        </w:rPr>
        <w:t>录器始终处于运行状态，每5秒自动存储一个GPS点位，以保证野外考察中生态信息采集的完整性，同时于不同生态系统及重要生态考察点上采集照片。</w:t>
      </w:r>
    </w:p>
    <w:p>
      <w:pPr>
        <w:ind w:firstLine="480"/>
        <w:rPr>
          <w:rFonts w:cs="Times New Roman"/>
          <w:bCs/>
          <w:color w:val="000000" w:themeColor="text1"/>
          <w:szCs w:val="20"/>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将野外采集的GPS轨迹及照片导入电脑，运用GPicSync软件将航迹文件中各个记录点的时间信息与照片中exif信息中的时间信息进行匹配，当某个记录点的时间与某张照片中的时间匹配时（匹配的精度可以任意设置，软件默认300秒），即认为航迹文件中这个点的坐标即为照片拍摄地点的坐标，并将这个坐标写入照片的exif信息中并形成kml格式文件。最后可在ArcGIS及Google earth中调取相应生态考察点照片并结合卫片判读考察点生态现状，同时也为土地利用、水土流失、植被类型等生态图件的编绘提供依据并校正相应图件</w:t>
      </w:r>
      <w:r>
        <w:rPr>
          <w:rFonts w:cs="Times New Roman"/>
          <w:bCs/>
          <w:color w:val="000000" w:themeColor="text1"/>
          <w:szCs w:val="20"/>
          <w:highlight w:val="none"/>
          <w14:textFill>
            <w14:solidFill>
              <w14:schemeClr w14:val="tx1"/>
            </w14:solidFill>
          </w14:textFill>
        </w:rPr>
        <w:t>。</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3</w:t>
      </w:r>
      <w:r>
        <w:rPr>
          <w:b/>
          <w:bCs/>
          <w:color w:val="000000" w:themeColor="text1"/>
          <w:highlight w:val="none"/>
          <w14:textFill>
            <w14:solidFill>
              <w14:schemeClr w14:val="tx1"/>
            </w14:solidFill>
          </w14:textFill>
        </w:rPr>
        <w:t>）GPS地面类型及植被调查取样</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GPS样点是卫星遥感影像判读各种景观类型的基础，根据室内判读的植被与土地利用类型图，现场核实判读的正误率，并对每个GPS取样点</w:t>
      </w:r>
      <w:r>
        <w:rPr>
          <w:rFonts w:hint="eastAsia"/>
          <w:color w:val="000000" w:themeColor="text1"/>
          <w:highlight w:val="none"/>
          <w14:textFill>
            <w14:solidFill>
              <w14:schemeClr w14:val="tx1"/>
            </w14:solidFill>
          </w14:textFill>
        </w:rPr>
        <w:t>做如下</w:t>
      </w:r>
      <w:r>
        <w:rPr>
          <w:color w:val="000000" w:themeColor="text1"/>
          <w:highlight w:val="none"/>
          <w14:textFill>
            <w14:solidFill>
              <w14:schemeClr w14:val="tx1"/>
            </w14:solidFill>
          </w14:textFill>
        </w:rPr>
        <w:t>记录：</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1）GPS读出测点的海拔值和经纬度；</w:t>
      </w:r>
    </w:p>
    <w:p>
      <w:pPr>
        <w:pStyle w:val="13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2）记录样点植被类型，以群系或群丛为单位，同时记录样点坡向、坡度；</w:t>
      </w:r>
    </w:p>
    <w:p>
      <w:pPr>
        <w:pStyle w:val="13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3）记录样点优势植物以及观察动物活动的情况；</w:t>
      </w:r>
    </w:p>
    <w:p>
      <w:pPr>
        <w:pStyle w:val="132"/>
        <w:ind w:firstLine="480"/>
        <w:rPr>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4）拍摄典型植被外貌与结构特征。</w:t>
      </w:r>
    </w:p>
    <w:p>
      <w:pPr>
        <w:tabs>
          <w:tab w:val="left" w:pos="364"/>
        </w:tabs>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4</w:t>
      </w:r>
      <w:r>
        <w:rPr>
          <w:b/>
          <w:bCs/>
          <w:color w:val="000000" w:themeColor="text1"/>
          <w:highlight w:val="none"/>
          <w14:textFill>
            <w14:solidFill>
              <w14:schemeClr w14:val="tx1"/>
            </w14:solidFill>
          </w14:textFill>
        </w:rPr>
        <w:t>）陆生植被调查</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在调查过程中，确定评价范围内的植物种类及资源状况、经济植物种类及资源状况、珍稀濒危植物的种类及生存状况等。实地调查采取路线调查与重点调查相结合的方法，对于没有原生植被的区域采取路线调查，在项目占地范围以及植被状况良好的区域实行重点调查；重点调查采取样方调查方法，记录评价范围内的常见植物种类，同时记录坡向、坡度、土壤、岩石类型等环境特征，拍摄典型植被外貌与结构特征；对保护植物、古树名木调查采取现场调查和民间查访相结合的方法进行；对有疑问的植物和珍稀濒危植物采集凭证标本并拍摄照片。</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样方布点原则：</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植被调查取样的目的是要通过样地的研究准确地推测评价范围植被的总体情况，所选取的样地要具有代表性，能通过尽可能少的抽样获得较为准确的评价范围内植被总体的特征。按照如下原则：</w:t>
      </w:r>
      <w:r>
        <w:rPr>
          <w:bCs/>
          <w:color w:val="000000" w:themeColor="text1"/>
          <w:szCs w:val="24"/>
          <w:highlight w:val="none"/>
          <w14:textFill>
            <w14:solidFill>
              <w14:schemeClr w14:val="tx1"/>
            </w14:solidFill>
          </w14:textFill>
        </w:rPr>
        <w:fldChar w:fldCharType="begin"/>
      </w:r>
      <w:r>
        <w:rPr>
          <w:bCs/>
          <w:color w:val="000000" w:themeColor="text1"/>
          <w:szCs w:val="24"/>
          <w:highlight w:val="none"/>
          <w14:textFill>
            <w14:solidFill>
              <w14:schemeClr w14:val="tx1"/>
            </w14:solidFill>
          </w14:textFill>
        </w:rPr>
        <w:instrText xml:space="preserve"> = 1 \* GB3 </w:instrText>
      </w:r>
      <w:r>
        <w:rPr>
          <w:bCs/>
          <w:color w:val="000000" w:themeColor="text1"/>
          <w:szCs w:val="24"/>
          <w:highlight w:val="none"/>
          <w14:textFill>
            <w14:solidFill>
              <w14:schemeClr w14:val="tx1"/>
            </w14:solidFill>
          </w14:textFill>
        </w:rPr>
        <w:fldChar w:fldCharType="separate"/>
      </w:r>
      <w:r>
        <w:rPr>
          <w:bCs/>
          <w:color w:val="000000" w:themeColor="text1"/>
          <w:szCs w:val="24"/>
          <w:highlight w:val="none"/>
          <w:lang w:val="zh-CN"/>
          <w14:textFill>
            <w14:solidFill>
              <w14:schemeClr w14:val="tx1"/>
            </w14:solidFill>
          </w14:textFill>
        </w:rPr>
        <w:t>①</w:t>
      </w:r>
      <w:r>
        <w:rPr>
          <w:bCs/>
          <w:color w:val="000000" w:themeColor="text1"/>
          <w:szCs w:val="24"/>
          <w:highlight w:val="none"/>
          <w14:textFill>
            <w14:solidFill>
              <w14:schemeClr w14:val="tx1"/>
            </w14:solidFill>
          </w14:textFill>
        </w:rPr>
        <w:fldChar w:fldCharType="end"/>
      </w:r>
      <w:r>
        <w:rPr>
          <w:bCs/>
          <w:color w:val="000000" w:themeColor="text1"/>
          <w:szCs w:val="24"/>
          <w:highlight w:val="none"/>
          <w14:textFill>
            <w14:solidFill>
              <w14:schemeClr w14:val="tx1"/>
            </w14:solidFill>
          </w14:textFill>
        </w:rPr>
        <w:t>尽量在对生态影响较大区域内设置样地，并考虑评价范围内布点的均匀性、不同植被类型的全面性等特点；②样方设置避免对同一种植被类型进行重复设点，特别是对植物变化较大的地段进行增加设点。</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样方调查方法：</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根据评价范围内不同植被类型设置调查样地，并对典型样地进行拍照，对评价范围植被类型、农业生态环境、野生动植物资源进行较为详细的勘察。</w:t>
      </w:r>
    </w:p>
    <w:p>
      <w:pPr>
        <w:pStyle w:val="132"/>
        <w:ind w:firstLine="480"/>
        <w:rPr>
          <w:color w:val="000000" w:themeColor="text1"/>
          <w:szCs w:val="24"/>
          <w:highlight w:val="none"/>
          <w14:textFill>
            <w14:solidFill>
              <w14:schemeClr w14:val="tx1"/>
            </w14:solidFill>
          </w14:textFill>
        </w:rPr>
      </w:pPr>
      <w:r>
        <w:rPr>
          <w:bCs/>
          <w:color w:val="000000" w:themeColor="text1"/>
          <w:szCs w:val="24"/>
          <w:highlight w:val="none"/>
          <w:lang w:val="zh-CN"/>
          <w14:textFill>
            <w14:solidFill>
              <w14:schemeClr w14:val="tx1"/>
            </w14:solidFill>
          </w14:textFill>
        </w:rPr>
        <w:t>乔木林样方面积为</w:t>
      </w:r>
      <w:r>
        <w:rPr>
          <w:bCs/>
          <w:color w:val="000000" w:themeColor="text1"/>
          <w:szCs w:val="24"/>
          <w:highlight w:val="none"/>
          <w14:textFill>
            <w14:solidFill>
              <w14:schemeClr w14:val="tx1"/>
            </w14:solidFill>
          </w14:textFill>
        </w:rPr>
        <w:t>20</w:t>
      </w:r>
      <w:r>
        <w:rPr>
          <w:bCs/>
          <w:color w:val="000000" w:themeColor="text1"/>
          <w:szCs w:val="24"/>
          <w:highlight w:val="none"/>
          <w:lang w:val="zh-CN"/>
          <w14:textFill>
            <w14:solidFill>
              <w14:schemeClr w14:val="tx1"/>
            </w14:solidFill>
          </w14:textFill>
        </w:rPr>
        <w:t>×</w:t>
      </w:r>
      <w:r>
        <w:rPr>
          <w:bCs/>
          <w:color w:val="000000" w:themeColor="text1"/>
          <w:szCs w:val="24"/>
          <w:highlight w:val="none"/>
          <w14:textFill>
            <w14:solidFill>
              <w14:schemeClr w14:val="tx1"/>
            </w14:solidFill>
          </w14:textFill>
        </w:rPr>
        <w:t>20</w:t>
      </w:r>
      <w:r>
        <w:rPr>
          <w:bCs/>
          <w:color w:val="000000" w:themeColor="text1"/>
          <w:szCs w:val="24"/>
          <w:highlight w:val="none"/>
          <w:lang w:val="zh-CN"/>
          <w14:textFill>
            <w14:solidFill>
              <w14:schemeClr w14:val="tx1"/>
            </w14:solidFill>
          </w14:textFill>
        </w:rPr>
        <w:t>m，灌</w:t>
      </w:r>
      <w:r>
        <w:rPr>
          <w:bCs/>
          <w:color w:val="000000" w:themeColor="text1"/>
          <w:szCs w:val="24"/>
          <w:highlight w:val="none"/>
          <w14:textFill>
            <w14:solidFill>
              <w14:schemeClr w14:val="tx1"/>
            </w14:solidFill>
          </w14:textFill>
        </w:rPr>
        <w:t>草</w:t>
      </w:r>
      <w:r>
        <w:rPr>
          <w:bCs/>
          <w:color w:val="000000" w:themeColor="text1"/>
          <w:szCs w:val="24"/>
          <w:highlight w:val="none"/>
          <w:lang w:val="zh-CN"/>
          <w14:textFill>
            <w14:solidFill>
              <w14:schemeClr w14:val="tx1"/>
            </w14:solidFill>
          </w14:textFill>
        </w:rPr>
        <w:t>丛样方为</w:t>
      </w:r>
      <w:r>
        <w:rPr>
          <w:bCs/>
          <w:color w:val="000000" w:themeColor="text1"/>
          <w:szCs w:val="24"/>
          <w:highlight w:val="none"/>
          <w14:textFill>
            <w14:solidFill>
              <w14:schemeClr w14:val="tx1"/>
            </w14:solidFill>
          </w14:textFill>
        </w:rPr>
        <w:t>5</w:t>
      </w:r>
      <w:r>
        <w:rPr>
          <w:bCs/>
          <w:color w:val="000000" w:themeColor="text1"/>
          <w:szCs w:val="24"/>
          <w:highlight w:val="none"/>
          <w:lang w:val="zh-CN"/>
          <w14:textFill>
            <w14:solidFill>
              <w14:schemeClr w14:val="tx1"/>
            </w14:solidFill>
          </w14:textFill>
        </w:rPr>
        <w:t>×</w:t>
      </w:r>
      <w:r>
        <w:rPr>
          <w:bCs/>
          <w:color w:val="000000" w:themeColor="text1"/>
          <w:szCs w:val="24"/>
          <w:highlight w:val="none"/>
          <w14:textFill>
            <w14:solidFill>
              <w14:schemeClr w14:val="tx1"/>
            </w14:solidFill>
          </w14:textFill>
        </w:rPr>
        <w:t>5</w:t>
      </w:r>
      <w:r>
        <w:rPr>
          <w:bCs/>
          <w:color w:val="000000" w:themeColor="text1"/>
          <w:szCs w:val="24"/>
          <w:highlight w:val="none"/>
          <w:lang w:val="zh-CN"/>
          <w14:textFill>
            <w14:solidFill>
              <w14:schemeClr w14:val="tx1"/>
            </w14:solidFill>
          </w14:textFill>
        </w:rPr>
        <w:t>m，根据实际情况可以略有改变。乔木林</w:t>
      </w:r>
      <w:r>
        <w:rPr>
          <w:bCs/>
          <w:color w:val="000000" w:themeColor="text1"/>
          <w:szCs w:val="24"/>
          <w:highlight w:val="none"/>
          <w14:textFill>
            <w14:solidFill>
              <w14:schemeClr w14:val="tx1"/>
            </w14:solidFill>
          </w14:textFill>
        </w:rPr>
        <w:t>对乔木层进行全面调查，再设置小样方调查灌木层和草本层；灌草丛和草丛对样地内植物进行全面调查。本次调查根据群系分布特点共设置植被群落样地3个，每个样地设置样方3个，总共9个样方，涵盖乔竹灌三种地类，样地布点情况</w:t>
      </w:r>
      <w:r>
        <w:rPr>
          <w:bCs/>
          <w:color w:val="000000" w:themeColor="text1"/>
          <w:szCs w:val="24"/>
          <w:highlight w:val="none"/>
          <w:lang w:val="zh-CN"/>
          <w14:textFill>
            <w14:solidFill>
              <w14:schemeClr w14:val="tx1"/>
            </w14:solidFill>
          </w14:textFill>
        </w:rPr>
        <w:t>详见表</w:t>
      </w:r>
      <w:r>
        <w:rPr>
          <w:bCs/>
          <w:color w:val="000000" w:themeColor="text1"/>
          <w:szCs w:val="24"/>
          <w:highlight w:val="none"/>
          <w14:textFill>
            <w14:solidFill>
              <w14:schemeClr w14:val="tx1"/>
            </w14:solidFill>
          </w14:textFill>
        </w:rPr>
        <w:t>4.3-2</w:t>
      </w:r>
      <w:r>
        <w:rPr>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项目评价范围内植被群系样方调查点分布情况</w:t>
      </w:r>
    </w:p>
    <w:bookmarkEnd w:id="253"/>
    <w:bookmarkEnd w:id="256"/>
    <w:tbl>
      <w:tblPr>
        <w:tblStyle w:val="92"/>
        <w:tblW w:w="891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0"/>
        <w:gridCol w:w="1025"/>
        <w:gridCol w:w="1825"/>
        <w:gridCol w:w="1715"/>
        <w:gridCol w:w="880"/>
        <w:gridCol w:w="1814"/>
        <w:gridCol w:w="9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3" w:hRule="atLeast"/>
          <w:jc w:val="center"/>
        </w:trPr>
        <w:tc>
          <w:tcPr>
            <w:tcW w:w="750" w:type="dxa"/>
            <w:tcBorders>
              <w:top w:val="single" w:color="000000" w:sz="2" w:space="0"/>
              <w:bottom w:val="single" w:color="000000" w:sz="2" w:space="0"/>
            </w:tcBorders>
            <w:textDirection w:val="tbRlV"/>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序号</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样方面积</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坐标</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群系名称</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关键种、建群种</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优势种</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eastAsia="en-US"/>
                <w14:textFill>
                  <w14:solidFill>
                    <w14:schemeClr w14:val="tx1"/>
                  </w14:solidFill>
                </w14:textFill>
              </w:rPr>
            </w:pPr>
            <w:r>
              <w:rPr>
                <w:rFonts w:cs="Times New Roman"/>
                <w:b/>
                <w:color w:val="000000" w:themeColor="text1"/>
                <w:kern w:val="0"/>
                <w:sz w:val="21"/>
                <w:szCs w:val="21"/>
                <w:highlight w:val="none"/>
                <w:lang w:eastAsia="en-US"/>
                <w14:textFill>
                  <w14:solidFill>
                    <w14:schemeClr w14:val="tx1"/>
                  </w14:solidFill>
                </w14:textFill>
              </w:rPr>
              <w:t>海拔m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7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样地1</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107.8074,31.6464</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麻栎、青冈、栓皮栎群系</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麻栎</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麻栎、青冈、栓皮栎</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666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7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样地2</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107.8061,31.6434</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麻栎、青冈、栓皮栎群系</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麻栎</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麻栎、青冈、栓皮栎</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668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7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样地3</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107.8073,31.6440</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麻栎、青冈、栓皮栎群系</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麻栎、青冈、栓皮栎</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685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7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样地4</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107.8055,31.</w:t>
            </w:r>
            <w:r>
              <w:rPr>
                <w:rFonts w:hint="eastAsia" w:cs="Times New Roman"/>
                <w:bCs/>
                <w:color w:val="000000" w:themeColor="text1"/>
                <w:kern w:val="0"/>
                <w:sz w:val="21"/>
                <w:szCs w:val="21"/>
                <w:highlight w:val="none"/>
                <w:lang w:eastAsia="zh-CN"/>
                <w14:textFill>
                  <w14:solidFill>
                    <w14:schemeClr w14:val="tx1"/>
                  </w14:solidFill>
                </w14:textFill>
              </w:rPr>
              <w:t>***</w:t>
            </w:r>
            <w:r>
              <w:rPr>
                <w:rFonts w:cs="Times New Roman"/>
                <w:bCs/>
                <w:color w:val="000000" w:themeColor="text1"/>
                <w:kern w:val="0"/>
                <w:sz w:val="21"/>
                <w:szCs w:val="21"/>
                <w:highlight w:val="none"/>
                <w:lang w:eastAsia="en-US"/>
                <w14:textFill>
                  <w14:solidFill>
                    <w14:schemeClr w14:val="tx1"/>
                  </w14:solidFill>
                </w14:textFill>
              </w:rPr>
              <w:t>8</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慈竹群系</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慈竹</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慈竹</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639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7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样地5</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107.8064,31.</w:t>
            </w:r>
            <w:r>
              <w:rPr>
                <w:rFonts w:hint="eastAsia" w:cs="Times New Roman"/>
                <w:bCs/>
                <w:color w:val="000000" w:themeColor="text1"/>
                <w:kern w:val="0"/>
                <w:sz w:val="21"/>
                <w:szCs w:val="21"/>
                <w:highlight w:val="none"/>
                <w:lang w:eastAsia="zh-CN"/>
                <w14:textFill>
                  <w14:solidFill>
                    <w14:schemeClr w14:val="tx1"/>
                  </w14:solidFill>
                </w14:textFill>
              </w:rPr>
              <w:t>***</w:t>
            </w:r>
            <w:r>
              <w:rPr>
                <w:rFonts w:cs="Times New Roman"/>
                <w:bCs/>
                <w:color w:val="000000" w:themeColor="text1"/>
                <w:kern w:val="0"/>
                <w:sz w:val="21"/>
                <w:szCs w:val="21"/>
                <w:highlight w:val="none"/>
                <w:lang w:eastAsia="en-US"/>
                <w14:textFill>
                  <w14:solidFill>
                    <w14:schemeClr w14:val="tx1"/>
                  </w14:solidFill>
                </w14:textFill>
              </w:rPr>
              <w:t>0</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慈竹群系</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慈竹</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慈竹</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638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8" w:hRule="atLeast"/>
          <w:jc w:val="center"/>
        </w:trPr>
        <w:tc>
          <w:tcPr>
            <w:tcW w:w="7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样地6</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20m×20m</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107.8071,31.</w:t>
            </w:r>
            <w:r>
              <w:rPr>
                <w:rFonts w:hint="eastAsia" w:cs="Times New Roman"/>
                <w:bCs/>
                <w:color w:val="000000" w:themeColor="text1"/>
                <w:kern w:val="0"/>
                <w:sz w:val="21"/>
                <w:szCs w:val="21"/>
                <w:highlight w:val="none"/>
                <w:lang w:eastAsia="zh-CN"/>
                <w14:textFill>
                  <w14:solidFill>
                    <w14:schemeClr w14:val="tx1"/>
                  </w14:solidFill>
                </w14:textFill>
              </w:rPr>
              <w:t>***</w:t>
            </w:r>
            <w:r>
              <w:rPr>
                <w:rFonts w:cs="Times New Roman"/>
                <w:bCs/>
                <w:color w:val="000000" w:themeColor="text1"/>
                <w:kern w:val="0"/>
                <w:sz w:val="21"/>
                <w:szCs w:val="21"/>
                <w:highlight w:val="none"/>
                <w:lang w:eastAsia="en-US"/>
                <w14:textFill>
                  <w14:solidFill>
                    <w14:schemeClr w14:val="tx1"/>
                  </w14:solidFill>
                </w14:textFill>
              </w:rPr>
              <w:t>2</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慈竹群系</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慈竹</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慈竹</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665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7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样地7</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5m×5m</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107.8063,31.6472</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马桑+黄荆+火棘+荚蒾灌丛群系</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马桑</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黄荆、火棘、荚蒾</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656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7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样地8</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5m×5m</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107.8063,31.6441</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马桑+黄荆+火棘+荚蒾灌丛群系</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马桑</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黄荆、火棘、荚蒾</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666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0" w:hRule="atLeast"/>
          <w:jc w:val="center"/>
        </w:trPr>
        <w:tc>
          <w:tcPr>
            <w:tcW w:w="75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样地9</w:t>
            </w:r>
          </w:p>
        </w:tc>
        <w:tc>
          <w:tcPr>
            <w:tcW w:w="10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5m×5m</w:t>
            </w:r>
          </w:p>
        </w:tc>
        <w:tc>
          <w:tcPr>
            <w:tcW w:w="182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107.8049,31.6463</w:t>
            </w:r>
          </w:p>
        </w:tc>
        <w:tc>
          <w:tcPr>
            <w:tcW w:w="1715"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马桑+黄荆+火棘+荚蒾灌丛群系</w:t>
            </w:r>
          </w:p>
        </w:tc>
        <w:tc>
          <w:tcPr>
            <w:tcW w:w="88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马桑</w:t>
            </w:r>
          </w:p>
        </w:tc>
        <w:tc>
          <w:tcPr>
            <w:tcW w:w="1814"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黄荆、火棘、荚蒾</w:t>
            </w:r>
          </w:p>
        </w:tc>
        <w:tc>
          <w:tcPr>
            <w:tcW w:w="910" w:type="dxa"/>
            <w:tcBorders>
              <w:top w:val="single" w:color="000000" w:sz="2" w:space="0"/>
              <w:bottom w:val="single" w:color="000000" w:sz="2" w:space="0"/>
            </w:tcBorders>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649</w:t>
            </w:r>
          </w:p>
        </w:tc>
      </w:tr>
    </w:tbl>
    <w:p>
      <w:pPr>
        <w:ind w:firstLine="482"/>
        <w:rPr>
          <w:b/>
          <w:bCs/>
          <w:color w:val="000000" w:themeColor="text1"/>
          <w:szCs w:val="24"/>
          <w:highlight w:val="none"/>
          <w14:textFill>
            <w14:solidFill>
              <w14:schemeClr w14:val="tx1"/>
            </w14:solidFill>
          </w14:textFill>
        </w:rPr>
      </w:pPr>
    </w:p>
    <w:p>
      <w:pPr>
        <w:ind w:firstLine="482"/>
        <w:rPr>
          <w:b/>
          <w:bCs/>
          <w:color w:val="000000" w:themeColor="text1"/>
          <w:szCs w:val="24"/>
          <w:highlight w:val="none"/>
          <w14:textFill>
            <w14:solidFill>
              <w14:schemeClr w14:val="tx1"/>
            </w14:solidFill>
          </w14:textFill>
        </w:rPr>
      </w:pPr>
      <w:r>
        <w:rPr>
          <w:b/>
          <w:bCs/>
          <w:color w:val="000000" w:themeColor="text1"/>
          <w:szCs w:val="24"/>
          <w:highlight w:val="none"/>
          <w14:textFill>
            <w14:solidFill>
              <w14:schemeClr w14:val="tx1"/>
            </w14:solidFill>
          </w14:textFill>
        </w:rPr>
        <w:t>（5）景观生态和生态系统类型调查</w:t>
      </w:r>
    </w:p>
    <w:p>
      <w:pPr>
        <w:ind w:firstLine="480"/>
        <w:rPr>
          <w:color w:val="000000" w:themeColor="text1"/>
          <w:highlight w:val="none"/>
          <w14:textFill>
            <w14:solidFill>
              <w14:schemeClr w14:val="tx1"/>
            </w14:solidFill>
          </w14:textFill>
        </w:rPr>
      </w:pPr>
      <w:r>
        <w:rPr>
          <w:bCs/>
          <w:color w:val="000000" w:themeColor="text1"/>
          <w:szCs w:val="24"/>
          <w:highlight w:val="none"/>
          <w14:textFill>
            <w14:solidFill>
              <w14:schemeClr w14:val="tx1"/>
            </w14:solidFill>
          </w14:textFill>
        </w:rPr>
        <w:t>以能够获得的近期卫星影像图为工作用图，采用路线调查法和主要景观地段重点观测相结合，区划记录评价范围不同自然景观类型、范围、特征及生态系统类型，以此分析生态系统服务功能</w:t>
      </w:r>
      <w:r>
        <w:rPr>
          <w:color w:val="000000" w:themeColor="text1"/>
          <w:highlight w:val="none"/>
          <w14:textFill>
            <w14:solidFill>
              <w14:schemeClr w14:val="tx1"/>
            </w14:solidFill>
          </w14:textFill>
        </w:rPr>
        <w:t>。</w:t>
      </w:r>
    </w:p>
    <w:p>
      <w:pPr>
        <w:ind w:firstLine="482"/>
        <w:rPr>
          <w:b/>
          <w:bCs/>
          <w:color w:val="000000" w:themeColor="text1"/>
          <w:szCs w:val="24"/>
          <w:highlight w:val="none"/>
          <w14:textFill>
            <w14:solidFill>
              <w14:schemeClr w14:val="tx1"/>
            </w14:solidFill>
          </w14:textFill>
        </w:rPr>
      </w:pPr>
      <w:r>
        <w:rPr>
          <w:b/>
          <w:bCs/>
          <w:color w:val="000000" w:themeColor="text1"/>
          <w:szCs w:val="24"/>
          <w:highlight w:val="none"/>
          <w14:textFill>
            <w14:solidFill>
              <w14:schemeClr w14:val="tx1"/>
            </w14:solidFill>
          </w14:textFill>
        </w:rPr>
        <w:t>（6）陆生野生动物调查</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野生动物调查采用野外实地调查、访问、查阅相关文献资料等三种方式进行，记录到种。</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资料检索法：主要收集、查阅项目区域相关科学研究和野外调查资料</w:t>
      </w:r>
      <w:r>
        <w:rPr>
          <w:rFonts w:hint="eastAsia"/>
          <w:bCs/>
          <w:color w:val="000000" w:themeColor="text1"/>
          <w:szCs w:val="24"/>
          <w:highlight w:val="none"/>
          <w14:textFill>
            <w14:solidFill>
              <w14:schemeClr w14:val="tx1"/>
            </w14:solidFill>
          </w14:textFill>
        </w:rPr>
        <w:t>以及其他</w:t>
      </w:r>
      <w:r>
        <w:rPr>
          <w:bCs/>
          <w:color w:val="000000" w:themeColor="text1"/>
          <w:szCs w:val="24"/>
          <w:highlight w:val="none"/>
          <w14:textFill>
            <w14:solidFill>
              <w14:schemeClr w14:val="tx1"/>
            </w14:solidFill>
          </w14:textFill>
        </w:rPr>
        <w:t>专家、学者发表的涉及项目区域的学术论文。应用这些文献资料时，尤其是在动物物种多样性方面，属当时调查获得的资料，直接引用或应用；属查阅资料获得的信息，如</w:t>
      </w:r>
      <w:r>
        <w:rPr>
          <w:rFonts w:hint="eastAsia"/>
          <w:bCs/>
          <w:color w:val="000000" w:themeColor="text1"/>
          <w:szCs w:val="24"/>
          <w:highlight w:val="none"/>
          <w14:textFill>
            <w14:solidFill>
              <w14:schemeClr w14:val="tx1"/>
            </w14:solidFill>
          </w14:textFill>
        </w:rPr>
        <w:t>有其他</w:t>
      </w:r>
      <w:r>
        <w:rPr>
          <w:bCs/>
          <w:color w:val="000000" w:themeColor="text1"/>
          <w:szCs w:val="24"/>
          <w:highlight w:val="none"/>
          <w14:textFill>
            <w14:solidFill>
              <w14:schemeClr w14:val="tx1"/>
            </w14:solidFill>
          </w14:textFill>
        </w:rPr>
        <w:t>文献资料佐证的也应用，否则，不应用。</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访谈法：通过对当地林业及野生动物保护工作者、有野外经验的农民等进行访问和调查，与当地林业部门和林场的管理人员的有关同志进行交谈，了解当地动物的种类分布、数量情况。访谈时，先让访谈对象列举在当地见过哪些动物，再请其初步描述动物的形态特征和生活习性，最后提供动物图片供其辨认以确定具体种类。访谈时，调查人员避免诱导性提问，尽可能获得客观信息。调查人员对访谈对象提供的信息进行综合分析，确定物种的有无情况。访谈法可以快速了解野生动物在调查范围内的种类、分布情况及大致数量等信息，是对野外调查的重要补充，有利于了解整个评价区的动物资源状况。</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野外实地调查方法：主要为样线法，辅以样方法进行，具体如下：</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1）兽类</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在评价区内采用样线法进行调查，现场记录遇见的动物，并对粪便、毛发、脚印</w:t>
      </w:r>
      <w:r>
        <w:rPr>
          <w:rFonts w:hint="eastAsia"/>
          <w:bCs/>
          <w:color w:val="000000" w:themeColor="text1"/>
          <w:szCs w:val="24"/>
          <w:highlight w:val="none"/>
          <w14:textFill>
            <w14:solidFill>
              <w14:schemeClr w14:val="tx1"/>
            </w14:solidFill>
          </w14:textFill>
        </w:rPr>
        <w:t>和其他</w:t>
      </w:r>
      <w:r>
        <w:rPr>
          <w:bCs/>
          <w:color w:val="000000" w:themeColor="text1"/>
          <w:szCs w:val="24"/>
          <w:highlight w:val="none"/>
          <w14:textFill>
            <w14:solidFill>
              <w14:schemeClr w14:val="tx1"/>
            </w14:solidFill>
          </w14:textFill>
        </w:rPr>
        <w:t>痕迹进行采样及识别。小型兽类调查采用设置样方法，并在样方内用铗日法进行调查；调查主要哺乳动物的种类时，则以现地调查结合座谈访问为主，并参考《四川兽类原色图鉴》进行确认，同时结合文献资料进行整理和分析。</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2）鸟类</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在评价区内用样线法统计调查鸟类鸣声、羽毛和个体等</w:t>
      </w:r>
      <w:r>
        <w:rPr>
          <w:rFonts w:hint="eastAsia"/>
          <w:bCs/>
          <w:color w:val="000000" w:themeColor="text1"/>
          <w:szCs w:val="24"/>
          <w:highlight w:val="none"/>
          <w14:textFill>
            <w14:solidFill>
              <w14:schemeClr w14:val="tx1"/>
            </w14:solidFill>
          </w14:textFill>
        </w:rPr>
        <w:t>形迹</w:t>
      </w:r>
      <w:r>
        <w:rPr>
          <w:bCs/>
          <w:color w:val="000000" w:themeColor="text1"/>
          <w:szCs w:val="24"/>
          <w:highlight w:val="none"/>
          <w14:textFill>
            <w14:solidFill>
              <w14:schemeClr w14:val="tx1"/>
            </w14:solidFill>
          </w14:textFill>
        </w:rPr>
        <w:t>，同时结合文献资料确定其种类组成及其种群数量。此外对珍稀鸟类或大型鸟类则进行访问调查，并参考《四川鸟类原色图鉴》进行确认，同时结合文献资料进行整理和分析。</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综合实地调查、访问调查和资料查阅，通过分析归纳和总结，得出项目区及其周边地区动物物种、种群数量和分布资料，为评价和保护提供科学依据。</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3</w:t>
      </w:r>
      <w:r>
        <w:rPr>
          <w:rFonts w:cs="Times New Roman"/>
          <w:bCs/>
          <w:color w:val="000000" w:themeColor="text1"/>
          <w:highlight w:val="none"/>
          <w14:textFill>
            <w14:solidFill>
              <w14:schemeClr w14:val="tx1"/>
            </w14:solidFill>
          </w14:textFill>
        </w:rPr>
        <w:t>、生态制图</w:t>
      </w:r>
    </w:p>
    <w:p>
      <w:pPr>
        <w:pStyle w:val="132"/>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在现场调查和群系样地调查的基础上，采用GPS、RS和GIS相结合的空间信息技术，进行地面类型的数字化判读，统计评价范围内各植被类型、面积、土地利用现状类型及数量。完成数字化的植被类型图和土地利用现状图及土壤侵蚀图，进行景观质量和生态环境质量的定性和定量评价。</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次研究选用国产资源卫星zy-3卫片，融合后地面精度为2.1m，采用地表植被特征的“近红外、红外、绿”三个波段，其中植被影响主要反映为红色。植被类型不同，色彩和色调都发生相应变化，因此可区分出植被亚型以上的植被类型以及农田、居民用地等地面类型。同时也参考了美国wordview卫片作为参考，分辨率1.24米能较好地满足调查需求，但是，植被类型的确定需结合不同植被类型分布的生态学特征，不能单纯依靠色彩进行划分，对监督分类产生的植被初图，结合路线调查记录和等高线、坡度、坡向等信息，对植被图进行目视解译校正，得到符合精度的植被图。在植被图的基础上，进一步合并有关地面类型，得到土地利用类型图</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（1）评价范围植被资源现状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评价范围内植被概况见表4.3-3及《附图评价区植被类型图》。</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评价范围内主要植被类型面积统计表</w:t>
      </w:r>
    </w:p>
    <w:tbl>
      <w:tblPr>
        <w:tblStyle w:val="92"/>
        <w:tblW w:w="51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81"/>
        <w:gridCol w:w="850"/>
        <w:gridCol w:w="932"/>
        <w:gridCol w:w="1344"/>
        <w:gridCol w:w="1933"/>
        <w:gridCol w:w="1462"/>
        <w:gridCol w:w="1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398" w:type="pc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植被型组</w:t>
            </w:r>
          </w:p>
        </w:tc>
        <w:tc>
          <w:tcPr>
            <w:tcW w:w="497" w:type="pc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植被型</w:t>
            </w:r>
          </w:p>
        </w:tc>
        <w:tc>
          <w:tcPr>
            <w:tcW w:w="545" w:type="pc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植被亚型</w:t>
            </w:r>
          </w:p>
        </w:tc>
        <w:tc>
          <w:tcPr>
            <w:tcW w:w="786" w:type="pct"/>
            <w:vAlign w:val="center"/>
          </w:tcPr>
          <w:p>
            <w:pPr>
              <w:adjustRightInd/>
              <w:snapToGrid/>
              <w:spacing w:before="51" w:line="214" w:lineRule="auto"/>
              <w:ind w:firstLine="0" w:firstLineChars="0"/>
              <w:jc w:val="center"/>
              <w:rPr>
                <w:rFonts w:cs="Times New Roman"/>
                <w:b/>
                <w:color w:val="000000" w:themeColor="text1"/>
                <w:spacing w:val="-3"/>
                <w:sz w:val="21"/>
                <w:szCs w:val="21"/>
                <w:highlight w:val="none"/>
                <w:lang w:eastAsia="en-US"/>
                <w14:textFill>
                  <w14:solidFill>
                    <w14:schemeClr w14:val="tx1"/>
                  </w14:solidFill>
                </w14:textFill>
              </w:rPr>
            </w:pPr>
            <w:r>
              <w:rPr>
                <w:rFonts w:cs="Times New Roman"/>
                <w:b/>
                <w:color w:val="000000" w:themeColor="text1"/>
                <w:spacing w:val="-3"/>
                <w:sz w:val="21"/>
                <w:szCs w:val="21"/>
                <w:highlight w:val="none"/>
                <w:lang w:eastAsia="en-US"/>
                <w14:textFill>
                  <w14:solidFill>
                    <w14:schemeClr w14:val="tx1"/>
                  </w14:solidFill>
                </w14:textFill>
              </w:rPr>
              <w:t>群系组</w:t>
            </w:r>
          </w:p>
        </w:tc>
        <w:tc>
          <w:tcPr>
            <w:tcW w:w="1129" w:type="pct"/>
            <w:vAlign w:val="center"/>
          </w:tcPr>
          <w:p>
            <w:pPr>
              <w:adjustRightInd/>
              <w:snapToGrid/>
              <w:spacing w:before="51" w:line="214" w:lineRule="auto"/>
              <w:ind w:firstLine="0" w:firstLineChars="0"/>
              <w:jc w:val="center"/>
              <w:rPr>
                <w:rFonts w:cs="Times New Roman"/>
                <w:b/>
                <w:color w:val="000000" w:themeColor="text1"/>
                <w:sz w:val="21"/>
                <w:szCs w:val="21"/>
                <w:highlight w:val="none"/>
                <w:lang w:eastAsia="en-US"/>
                <w14:textFill>
                  <w14:solidFill>
                    <w14:schemeClr w14:val="tx1"/>
                  </w14:solidFill>
                </w14:textFill>
              </w:rPr>
            </w:pPr>
            <w:r>
              <w:rPr>
                <w:rFonts w:cs="Times New Roman"/>
                <w:b/>
                <w:color w:val="000000" w:themeColor="text1"/>
                <w:spacing w:val="-3"/>
                <w:sz w:val="21"/>
                <w:szCs w:val="21"/>
                <w:highlight w:val="none"/>
                <w:lang w:eastAsia="en-US"/>
                <w14:textFill>
                  <w14:solidFill>
                    <w14:schemeClr w14:val="tx1"/>
                  </w14:solidFill>
                </w14:textFill>
              </w:rPr>
              <w:t>群</w:t>
            </w:r>
            <w:r>
              <w:rPr>
                <w:rFonts w:cs="Times New Roman"/>
                <w:b/>
                <w:color w:val="000000" w:themeColor="text1"/>
                <w:spacing w:val="-2"/>
                <w:sz w:val="21"/>
                <w:szCs w:val="21"/>
                <w:highlight w:val="none"/>
                <w:lang w:eastAsia="en-US"/>
                <w14:textFill>
                  <w14:solidFill>
                    <w14:schemeClr w14:val="tx1"/>
                  </w14:solidFill>
                </w14:textFill>
              </w:rPr>
              <w:t>系</w:t>
            </w:r>
          </w:p>
        </w:tc>
        <w:tc>
          <w:tcPr>
            <w:tcW w:w="855" w:type="pct"/>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面积</w:t>
            </w:r>
            <w:r>
              <w:rPr>
                <w:rFonts w:hint="eastAsia" w:cs="Times New Roman"/>
                <w:b/>
                <w:color w:val="000000" w:themeColor="text1"/>
                <w:sz w:val="21"/>
                <w:szCs w:val="21"/>
                <w:highlight w:val="none"/>
                <w:lang w:eastAsia="en-US"/>
                <w14:textFill>
                  <w14:solidFill>
                    <w14:schemeClr w14:val="tx1"/>
                  </w14:solidFill>
                </w14:textFill>
              </w:rPr>
              <w:t>（</w:t>
            </w:r>
            <w:r>
              <w:rPr>
                <w:rFonts w:cs="Times New Roman"/>
                <w:b/>
                <w:color w:val="000000" w:themeColor="text1"/>
                <w:sz w:val="21"/>
                <w:szCs w:val="21"/>
                <w:highlight w:val="none"/>
                <w:lang w:eastAsia="en-US"/>
                <w14:textFill>
                  <w14:solidFill>
                    <w14:schemeClr w14:val="tx1"/>
                  </w14:solidFill>
                </w14:textFill>
              </w:rPr>
              <w:t>hm²</w:t>
            </w:r>
            <w:r>
              <w:rPr>
                <w:rFonts w:hint="eastAsia" w:cs="Times New Roman"/>
                <w:b/>
                <w:color w:val="000000" w:themeColor="text1"/>
                <w:sz w:val="21"/>
                <w:szCs w:val="21"/>
                <w:highlight w:val="none"/>
                <w:lang w:eastAsia="en-US"/>
                <w14:textFill>
                  <w14:solidFill>
                    <w14:schemeClr w14:val="tx1"/>
                  </w14:solidFill>
                </w14:textFill>
              </w:rPr>
              <w:t>）</w:t>
            </w:r>
          </w:p>
        </w:tc>
        <w:tc>
          <w:tcPr>
            <w:tcW w:w="788" w:type="pct"/>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比例</w:t>
            </w:r>
            <w:r>
              <w:rPr>
                <w:rFonts w:hint="eastAsia" w:cs="Times New Roman"/>
                <w:b/>
                <w:color w:val="000000" w:themeColor="text1"/>
                <w:sz w:val="21"/>
                <w:szCs w:val="21"/>
                <w:highlight w:val="none"/>
                <w:lang w:eastAsia="en-US"/>
                <w14:textFill>
                  <w14:solidFill>
                    <w14:schemeClr w14:val="tx1"/>
                  </w14:solidFill>
                </w14:textFill>
              </w:rPr>
              <w:t>（</w:t>
            </w:r>
            <w:r>
              <w:rPr>
                <w:rFonts w:cs="Times New Roman"/>
                <w:b/>
                <w:color w:val="000000" w:themeColor="text1"/>
                <w:sz w:val="21"/>
                <w:szCs w:val="21"/>
                <w:highlight w:val="none"/>
                <w:lang w:eastAsia="en-US"/>
                <w14:textFill>
                  <w14:solidFill>
                    <w14:schemeClr w14:val="tx1"/>
                  </w14:solidFill>
                </w14:textFill>
              </w:rPr>
              <w:t>%</w:t>
            </w:r>
            <w:r>
              <w:rPr>
                <w:rFonts w:hint="eastAsia" w:cs="Times New Roman"/>
                <w:b/>
                <w:color w:val="000000" w:themeColor="text1"/>
                <w:sz w:val="21"/>
                <w:szCs w:val="2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9" w:hRule="atLeast"/>
          <w:jc w:val="center"/>
        </w:trPr>
        <w:tc>
          <w:tcPr>
            <w:tcW w:w="398" w:type="pct"/>
            <w:vMerge w:val="restar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阔叶林</w:t>
            </w:r>
          </w:p>
        </w:tc>
        <w:tc>
          <w:tcPr>
            <w:tcW w:w="497"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落叶阔叶林</w:t>
            </w:r>
          </w:p>
        </w:tc>
        <w:tc>
          <w:tcPr>
            <w:tcW w:w="54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典型落叶阔叶林</w:t>
            </w:r>
          </w:p>
        </w:tc>
        <w:tc>
          <w:tcPr>
            <w:tcW w:w="786"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栎林</w:t>
            </w:r>
          </w:p>
        </w:tc>
        <w:tc>
          <w:tcPr>
            <w:tcW w:w="1129"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麻栎+青冈+栓皮栎群系</w:t>
            </w:r>
          </w:p>
        </w:tc>
        <w:tc>
          <w:tcPr>
            <w:tcW w:w="1462"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22.64</w:t>
            </w:r>
          </w:p>
        </w:tc>
        <w:tc>
          <w:tcPr>
            <w:tcW w:w="1348"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 xml:space="preserve">73.37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9" w:hRule="atLeast"/>
          <w:jc w:val="center"/>
        </w:trPr>
        <w:tc>
          <w:tcPr>
            <w:tcW w:w="398"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p>
        </w:tc>
        <w:tc>
          <w:tcPr>
            <w:tcW w:w="497"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竹林</w:t>
            </w:r>
          </w:p>
        </w:tc>
        <w:tc>
          <w:tcPr>
            <w:tcW w:w="54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暖性竹林</w:t>
            </w:r>
          </w:p>
        </w:tc>
        <w:tc>
          <w:tcPr>
            <w:tcW w:w="786"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慈竹群系</w:t>
            </w:r>
          </w:p>
        </w:tc>
        <w:tc>
          <w:tcPr>
            <w:tcW w:w="1129"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慈竹</w:t>
            </w:r>
          </w:p>
        </w:tc>
        <w:tc>
          <w:tcPr>
            <w:tcW w:w="1462"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1.09</w:t>
            </w:r>
          </w:p>
        </w:tc>
        <w:tc>
          <w:tcPr>
            <w:tcW w:w="1348"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 xml:space="preserve">3.53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98"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灌丛和灌 草丛</w:t>
            </w:r>
          </w:p>
        </w:tc>
        <w:tc>
          <w:tcPr>
            <w:tcW w:w="497"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落叶阔叶灌丛</w:t>
            </w:r>
          </w:p>
        </w:tc>
        <w:tc>
          <w:tcPr>
            <w:tcW w:w="54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暖性落叶阔叶灌丛</w:t>
            </w:r>
          </w:p>
        </w:tc>
        <w:tc>
          <w:tcPr>
            <w:tcW w:w="786"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低山丘陵落叶阔叶灌丛</w:t>
            </w:r>
          </w:p>
        </w:tc>
        <w:tc>
          <w:tcPr>
            <w:tcW w:w="1129" w:type="pct"/>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pacing w:val="15"/>
                <w:sz w:val="21"/>
                <w:szCs w:val="21"/>
                <w:highlight w:val="none"/>
                <w:lang w:eastAsia="en-US"/>
                <w14:textFill>
                  <w14:solidFill>
                    <w14:schemeClr w14:val="tx1"/>
                  </w14:solidFill>
                </w14:textFill>
              </w:rPr>
              <w:t>马桑+黄荆+火棘+荚蒾灌丛</w:t>
            </w:r>
          </w:p>
        </w:tc>
        <w:tc>
          <w:tcPr>
            <w:tcW w:w="1462"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0.62</w:t>
            </w:r>
          </w:p>
        </w:tc>
        <w:tc>
          <w:tcPr>
            <w:tcW w:w="1348"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 xml:space="preserve">2.01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6" w:type="pct"/>
            <w:gridSpan w:val="5"/>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水稻为主的水田作物植被</w:t>
            </w:r>
          </w:p>
        </w:tc>
        <w:tc>
          <w:tcPr>
            <w:tcW w:w="1462"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0.73</w:t>
            </w:r>
          </w:p>
        </w:tc>
        <w:tc>
          <w:tcPr>
            <w:tcW w:w="1348"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 xml:space="preserve">2.37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6" w:type="pct"/>
            <w:gridSpan w:val="5"/>
            <w:vAlign w:val="center"/>
          </w:tcPr>
          <w:p>
            <w:pPr>
              <w:widowControl/>
              <w:adjustRightInd/>
              <w:snapToGrid/>
              <w:spacing w:line="240" w:lineRule="auto"/>
              <w:ind w:firstLine="0" w:firstLineChars="0"/>
              <w:jc w:val="center"/>
              <w:textAlignment w:val="bottom"/>
              <w:rPr>
                <w:rFonts w:cs="Times New Roman"/>
                <w:bCs/>
                <w:color w:val="000000" w:themeColor="text1"/>
                <w:spacing w:val="15"/>
                <w:sz w:val="21"/>
                <w:szCs w:val="21"/>
                <w:highlight w:val="none"/>
                <w:lang w:eastAsia="en-US"/>
                <w14:textFill>
                  <w14:solidFill>
                    <w14:schemeClr w14:val="tx1"/>
                  </w14:solidFill>
                </w14:textFill>
              </w:rPr>
            </w:pPr>
            <w:r>
              <w:rPr>
                <w:rFonts w:cs="Times New Roman"/>
                <w:bCs/>
                <w:color w:val="000000" w:themeColor="text1"/>
                <w:sz w:val="21"/>
                <w:szCs w:val="21"/>
                <w:highlight w:val="none"/>
                <w:lang w:eastAsia="en-US"/>
                <w14:textFill>
                  <w14:solidFill>
                    <w14:schemeClr w14:val="tx1"/>
                  </w14:solidFill>
                </w14:textFill>
              </w:rPr>
              <w:t>玉米、红苕、棉花、花生、小麦、马铃薯、豌豆为主的旱地作物植被</w:t>
            </w:r>
          </w:p>
        </w:tc>
        <w:tc>
          <w:tcPr>
            <w:tcW w:w="1462"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2.28</w:t>
            </w:r>
          </w:p>
        </w:tc>
        <w:tc>
          <w:tcPr>
            <w:tcW w:w="1348"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 xml:space="preserve">7.39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6" w:type="pct"/>
            <w:gridSpan w:val="5"/>
            <w:vAlign w:val="center"/>
          </w:tcPr>
          <w:p>
            <w:pPr>
              <w:widowControl/>
              <w:adjustRightInd/>
              <w:snapToGrid/>
              <w:spacing w:line="240" w:lineRule="auto"/>
              <w:ind w:firstLine="0" w:firstLineChars="0"/>
              <w:jc w:val="center"/>
              <w:textAlignment w:val="bottom"/>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bidi="ar"/>
                <w14:textFill>
                  <w14:solidFill>
                    <w14:schemeClr w14:val="tx1"/>
                  </w14:solidFill>
                </w14:textFill>
              </w:rPr>
              <w:t>无植被</w:t>
            </w:r>
          </w:p>
        </w:tc>
        <w:tc>
          <w:tcPr>
            <w:tcW w:w="1462"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3.50</w:t>
            </w:r>
          </w:p>
        </w:tc>
        <w:tc>
          <w:tcPr>
            <w:tcW w:w="1348"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 xml:space="preserve">11.33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4" w:hRule="atLeast"/>
          <w:jc w:val="center"/>
        </w:trPr>
        <w:tc>
          <w:tcPr>
            <w:tcW w:w="3356" w:type="pct"/>
            <w:gridSpan w:val="5"/>
            <w:vAlign w:val="center"/>
          </w:tcPr>
          <w:p>
            <w:pPr>
              <w:widowControl/>
              <w:adjustRightInd/>
              <w:snapToGrid/>
              <w:spacing w:line="240" w:lineRule="auto"/>
              <w:ind w:firstLine="0" w:firstLineChars="0"/>
              <w:jc w:val="center"/>
              <w:textAlignment w:val="center"/>
              <w:rPr>
                <w:rFonts w:cs="Times New Roman"/>
                <w:bCs/>
                <w:color w:val="000000" w:themeColor="text1"/>
                <w:sz w:val="21"/>
                <w:szCs w:val="21"/>
                <w:highlight w:val="none"/>
                <w:lang w:eastAsia="en-US"/>
                <w14:textFill>
                  <w14:solidFill>
                    <w14:schemeClr w14:val="tx1"/>
                  </w14:solidFill>
                </w14:textFill>
              </w:rPr>
            </w:pPr>
            <w:r>
              <w:rPr>
                <w:rFonts w:cs="Times New Roman"/>
                <w:bCs/>
                <w:color w:val="000000" w:themeColor="text1"/>
                <w:kern w:val="0"/>
                <w:sz w:val="22"/>
                <w:highlight w:val="none"/>
                <w:lang w:eastAsia="en-US" w:bidi="ar"/>
                <w14:textFill>
                  <w14:solidFill>
                    <w14:schemeClr w14:val="tx1"/>
                  </w14:solidFill>
                </w14:textFill>
              </w:rPr>
              <w:t>合计</w:t>
            </w:r>
          </w:p>
        </w:tc>
        <w:tc>
          <w:tcPr>
            <w:tcW w:w="1462"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 xml:space="preserve">30.85 </w:t>
            </w:r>
          </w:p>
        </w:tc>
        <w:tc>
          <w:tcPr>
            <w:tcW w:w="1348" w:type="dxa"/>
            <w:vAlign w:val="center"/>
          </w:tcPr>
          <w:p>
            <w:pPr>
              <w:widowControl/>
              <w:adjustRightInd/>
              <w:snapToGrid/>
              <w:spacing w:line="240" w:lineRule="auto"/>
              <w:ind w:firstLine="0" w:firstLineChars="0"/>
              <w:jc w:val="center"/>
              <w:textAlignment w:val="bottom"/>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 xml:space="preserve">100.00 </w:t>
            </w:r>
          </w:p>
        </w:tc>
      </w:tr>
    </w:tbl>
    <w:p>
      <w:pPr>
        <w:spacing w:before="120" w:beforeLines="50"/>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由表4.3-3可看出，本次评价范围内以麻栎、青冈、栓皮栎等为主的</w:t>
      </w:r>
      <w:r>
        <w:rPr>
          <w:rFonts w:cs="Times New Roman"/>
          <w:bCs/>
          <w:color w:val="000000" w:themeColor="text1"/>
          <w:spacing w:val="-4"/>
          <w:szCs w:val="24"/>
          <w:highlight w:val="none"/>
          <w14:textFill>
            <w14:solidFill>
              <w14:schemeClr w14:val="tx1"/>
            </w14:solidFill>
          </w14:textFill>
        </w:rPr>
        <w:t>典型落叶阔叶林</w:t>
      </w:r>
      <w:r>
        <w:rPr>
          <w:rFonts w:cs="Times New Roman"/>
          <w:bCs/>
          <w:color w:val="000000" w:themeColor="text1"/>
          <w:szCs w:val="24"/>
          <w:highlight w:val="none"/>
          <w14:textFill>
            <w14:solidFill>
              <w14:schemeClr w14:val="tx1"/>
            </w14:solidFill>
          </w14:textFill>
        </w:rPr>
        <w:t>占比最大，占评价面积的73.37%，其次为以玉米、红苕、棉花、花生、小麦、马铃薯、豌豆为主的旱地作物植被，占评价面积的7.39%，其他植被类型所占比例均低于5%，综上</w:t>
      </w:r>
      <w:r>
        <w:rPr>
          <w:rFonts w:cs="Times New Roman"/>
          <w:bCs/>
          <w:color w:val="000000" w:themeColor="text1"/>
          <w:highlight w:val="none"/>
          <w14:textFill>
            <w14:solidFill>
              <w14:schemeClr w14:val="tx1"/>
            </w14:solidFill>
          </w14:textFill>
        </w:rPr>
        <w:t>，本项目评价范围植被类型主要以阔叶林植被、旱地植被占优</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（2）评价范围土地利用现状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评价范围内土地利用概况见表4.3-4及《附图评价区土地利用现状图》。</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本次评价范围内土地利用现状情况</w:t>
      </w:r>
    </w:p>
    <w:tbl>
      <w:tblPr>
        <w:tblStyle w:val="5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0"/>
        <w:gridCol w:w="2576"/>
        <w:gridCol w:w="26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土地利用类型</w:t>
            </w:r>
          </w:p>
        </w:tc>
        <w:tc>
          <w:tcPr>
            <w:tcW w:w="1511" w:type="pct"/>
            <w:vAlign w:val="center"/>
          </w:tcPr>
          <w:p>
            <w:pPr>
              <w:widowControl/>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面积</w:t>
            </w:r>
            <w:r>
              <w:rPr>
                <w:rFonts w:hint="eastAsia" w:cs="Times New Roman"/>
                <w:b/>
                <w:color w:val="000000" w:themeColor="text1"/>
                <w:kern w:val="0"/>
                <w:sz w:val="21"/>
                <w:szCs w:val="21"/>
                <w:highlight w:val="none"/>
                <w14:textFill>
                  <w14:solidFill>
                    <w14:schemeClr w14:val="tx1"/>
                  </w14:solidFill>
                </w14:textFill>
              </w:rPr>
              <w:t>（</w:t>
            </w:r>
            <w:r>
              <w:rPr>
                <w:rFonts w:cs="Times New Roman"/>
                <w:b/>
                <w:color w:val="000000" w:themeColor="text1"/>
                <w:kern w:val="0"/>
                <w:sz w:val="21"/>
                <w:szCs w:val="21"/>
                <w:highlight w:val="none"/>
                <w14:textFill>
                  <w14:solidFill>
                    <w14:schemeClr w14:val="tx1"/>
                  </w14:solidFill>
                </w14:textFill>
              </w:rPr>
              <w:t>hm</w:t>
            </w:r>
            <w:r>
              <w:rPr>
                <w:rFonts w:cs="Times New Roman"/>
                <w:b/>
                <w:color w:val="000000" w:themeColor="text1"/>
                <w:kern w:val="0"/>
                <w:sz w:val="21"/>
                <w:szCs w:val="21"/>
                <w:highlight w:val="none"/>
                <w:vertAlign w:val="superscript"/>
                <w14:textFill>
                  <w14:solidFill>
                    <w14:schemeClr w14:val="tx1"/>
                  </w14:solidFill>
                </w14:textFill>
              </w:rPr>
              <w:t>2</w:t>
            </w:r>
            <w:r>
              <w:rPr>
                <w:rFonts w:hint="eastAsia" w:cs="Times New Roman"/>
                <w:b/>
                <w:color w:val="000000" w:themeColor="text1"/>
                <w:kern w:val="0"/>
                <w:sz w:val="21"/>
                <w:szCs w:val="21"/>
                <w:highlight w:val="none"/>
                <w:vertAlign w:val="superscript"/>
                <w14:textFill>
                  <w14:solidFill>
                    <w14:schemeClr w14:val="tx1"/>
                  </w14:solidFill>
                </w14:textFill>
              </w:rPr>
              <w:t>）</w:t>
            </w:r>
          </w:p>
        </w:tc>
        <w:tc>
          <w:tcPr>
            <w:tcW w:w="1535" w:type="pct"/>
            <w:vAlign w:val="center"/>
          </w:tcPr>
          <w:p>
            <w:pPr>
              <w:widowControl/>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百分比</w:t>
            </w:r>
            <w:r>
              <w:rPr>
                <w:rFonts w:hint="eastAsia" w:cs="Times New Roman"/>
                <w:b/>
                <w:color w:val="000000" w:themeColor="text1"/>
                <w:kern w:val="0"/>
                <w:sz w:val="21"/>
                <w:szCs w:val="21"/>
                <w:highlight w:val="none"/>
                <w14:textFill>
                  <w14:solidFill>
                    <w14:schemeClr w14:val="tx1"/>
                  </w14:solidFill>
                </w14:textFill>
              </w:rPr>
              <w:t>（</w:t>
            </w:r>
            <w:r>
              <w:rPr>
                <w:rFonts w:cs="Times New Roman"/>
                <w:b/>
                <w:color w:val="000000" w:themeColor="text1"/>
                <w:kern w:val="0"/>
                <w:sz w:val="21"/>
                <w:szCs w:val="21"/>
                <w:highlight w:val="none"/>
                <w14:textFill>
                  <w14:solidFill>
                    <w14:schemeClr w14:val="tx1"/>
                  </w14:solidFill>
                </w14:textFill>
              </w:rPr>
              <w:t>%</w:t>
            </w:r>
            <w:r>
              <w:rPr>
                <w:rFonts w:hint="eastAsia" w:cs="Times New Roman"/>
                <w:b/>
                <w:color w:val="000000" w:themeColor="text1"/>
                <w:kern w:val="0"/>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水田</w:t>
            </w:r>
          </w:p>
        </w:tc>
        <w:tc>
          <w:tcPr>
            <w:tcW w:w="1511"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0.73 </w:t>
            </w:r>
          </w:p>
        </w:tc>
        <w:tc>
          <w:tcPr>
            <w:tcW w:w="1535"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2.37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旱地</w:t>
            </w:r>
          </w:p>
        </w:tc>
        <w:tc>
          <w:tcPr>
            <w:tcW w:w="1511"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2.28 </w:t>
            </w:r>
          </w:p>
        </w:tc>
        <w:tc>
          <w:tcPr>
            <w:tcW w:w="1535"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7.39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乔木林地</w:t>
            </w:r>
          </w:p>
        </w:tc>
        <w:tc>
          <w:tcPr>
            <w:tcW w:w="1511"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22.64 </w:t>
            </w:r>
          </w:p>
        </w:tc>
        <w:tc>
          <w:tcPr>
            <w:tcW w:w="1535"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73.37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竹林地</w:t>
            </w:r>
          </w:p>
        </w:tc>
        <w:tc>
          <w:tcPr>
            <w:tcW w:w="1511"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1.09 </w:t>
            </w:r>
          </w:p>
        </w:tc>
        <w:tc>
          <w:tcPr>
            <w:tcW w:w="1535"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3.53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灌木林地</w:t>
            </w:r>
          </w:p>
        </w:tc>
        <w:tc>
          <w:tcPr>
            <w:tcW w:w="1511"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0.62 </w:t>
            </w:r>
          </w:p>
        </w:tc>
        <w:tc>
          <w:tcPr>
            <w:tcW w:w="1535"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2.01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农村宅基地</w:t>
            </w:r>
          </w:p>
        </w:tc>
        <w:tc>
          <w:tcPr>
            <w:tcW w:w="1511"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0.23 </w:t>
            </w:r>
          </w:p>
        </w:tc>
        <w:tc>
          <w:tcPr>
            <w:tcW w:w="1535"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0.73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公路用地</w:t>
            </w:r>
          </w:p>
        </w:tc>
        <w:tc>
          <w:tcPr>
            <w:tcW w:w="1511"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0.28 </w:t>
            </w:r>
          </w:p>
        </w:tc>
        <w:tc>
          <w:tcPr>
            <w:tcW w:w="1535"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0.90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工业用地</w:t>
            </w:r>
          </w:p>
        </w:tc>
        <w:tc>
          <w:tcPr>
            <w:tcW w:w="1511"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2.99 </w:t>
            </w:r>
          </w:p>
        </w:tc>
        <w:tc>
          <w:tcPr>
            <w:tcW w:w="1535"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9.71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953"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合计</w:t>
            </w:r>
          </w:p>
        </w:tc>
        <w:tc>
          <w:tcPr>
            <w:tcW w:w="1511"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30.85 </w:t>
            </w:r>
          </w:p>
        </w:tc>
        <w:tc>
          <w:tcPr>
            <w:tcW w:w="1535" w:type="pct"/>
            <w:vAlign w:val="center"/>
          </w:tcPr>
          <w:p>
            <w:pPr>
              <w:widowControl/>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100.00 </w:t>
            </w:r>
          </w:p>
        </w:tc>
      </w:tr>
    </w:tbl>
    <w:p>
      <w:pPr>
        <w:spacing w:before="120" w:beforeLines="50"/>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由表4.3-4看出，本次评价范围内乔木林地</w:t>
      </w:r>
      <w:r>
        <w:rPr>
          <w:rFonts w:cs="Times New Roman"/>
          <w:bCs/>
          <w:color w:val="000000" w:themeColor="text1"/>
          <w:kern w:val="0"/>
          <w:szCs w:val="24"/>
          <w:highlight w:val="none"/>
          <w14:textFill>
            <w14:solidFill>
              <w14:schemeClr w14:val="tx1"/>
            </w14:solidFill>
          </w14:textFill>
        </w:rPr>
        <w:t>22.64</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，占评价范围的</w:t>
      </w:r>
      <w:r>
        <w:rPr>
          <w:rFonts w:cs="Times New Roman"/>
          <w:bCs/>
          <w:color w:val="000000" w:themeColor="text1"/>
          <w:kern w:val="0"/>
          <w:szCs w:val="24"/>
          <w:highlight w:val="none"/>
          <w14:textFill>
            <w14:solidFill>
              <w14:schemeClr w14:val="tx1"/>
            </w14:solidFill>
          </w14:textFill>
        </w:rPr>
        <w:t>73.37</w:t>
      </w:r>
      <w:r>
        <w:rPr>
          <w:rFonts w:cs="Times New Roman"/>
          <w:bCs/>
          <w:color w:val="000000" w:themeColor="text1"/>
          <w:szCs w:val="24"/>
          <w:highlight w:val="none"/>
          <w14:textFill>
            <w14:solidFill>
              <w14:schemeClr w14:val="tx1"/>
            </w14:solidFill>
          </w14:textFill>
        </w:rPr>
        <w:t>%，旱地</w:t>
      </w:r>
      <w:r>
        <w:rPr>
          <w:rFonts w:cs="Times New Roman"/>
          <w:bCs/>
          <w:color w:val="000000" w:themeColor="text1"/>
          <w:kern w:val="0"/>
          <w:szCs w:val="24"/>
          <w:highlight w:val="none"/>
          <w14:textFill>
            <w14:solidFill>
              <w14:schemeClr w14:val="tx1"/>
            </w14:solidFill>
          </w14:textFill>
        </w:rPr>
        <w:t>2.28</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，占评价范围的</w:t>
      </w:r>
      <w:r>
        <w:rPr>
          <w:rFonts w:cs="Times New Roman"/>
          <w:bCs/>
          <w:color w:val="000000" w:themeColor="text1"/>
          <w:kern w:val="0"/>
          <w:szCs w:val="24"/>
          <w:highlight w:val="none"/>
          <w14:textFill>
            <w14:solidFill>
              <w14:schemeClr w14:val="tx1"/>
            </w14:solidFill>
          </w14:textFill>
        </w:rPr>
        <w:t>7.39</w:t>
      </w:r>
      <w:r>
        <w:rPr>
          <w:rFonts w:cs="Times New Roman"/>
          <w:bCs/>
          <w:color w:val="000000" w:themeColor="text1"/>
          <w:szCs w:val="24"/>
          <w:highlight w:val="none"/>
          <w14:textFill>
            <w14:solidFill>
              <w14:schemeClr w14:val="tx1"/>
            </w14:solidFill>
          </w14:textFill>
        </w:rPr>
        <w:t>%，</w:t>
      </w:r>
      <w:r>
        <w:rPr>
          <w:rFonts w:cs="Times New Roman"/>
          <w:bCs/>
          <w:color w:val="000000" w:themeColor="text1"/>
          <w:kern w:val="0"/>
          <w:szCs w:val="24"/>
          <w:highlight w:val="none"/>
          <w14:textFill>
            <w14:solidFill>
              <w14:schemeClr w14:val="tx1"/>
            </w14:solidFill>
          </w14:textFill>
        </w:rPr>
        <w:t>工业用地2.99</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，占评价范围的</w:t>
      </w:r>
      <w:r>
        <w:rPr>
          <w:rFonts w:cs="Times New Roman"/>
          <w:bCs/>
          <w:color w:val="000000" w:themeColor="text1"/>
          <w:kern w:val="0"/>
          <w:szCs w:val="24"/>
          <w:highlight w:val="none"/>
          <w14:textFill>
            <w14:solidFill>
              <w14:schemeClr w14:val="tx1"/>
            </w14:solidFill>
          </w14:textFill>
        </w:rPr>
        <w:t>9.71</w:t>
      </w:r>
      <w:r>
        <w:rPr>
          <w:rFonts w:cs="Times New Roman"/>
          <w:bCs/>
          <w:color w:val="000000" w:themeColor="text1"/>
          <w:szCs w:val="24"/>
          <w:highlight w:val="none"/>
          <w14:textFill>
            <w14:solidFill>
              <w14:schemeClr w14:val="tx1"/>
            </w14:solidFill>
          </w14:textFill>
        </w:rPr>
        <w:t>%，其余地类均低于</w:t>
      </w:r>
      <w:r>
        <w:rPr>
          <w:rFonts w:cs="Times New Roman"/>
          <w:bCs/>
          <w:color w:val="000000" w:themeColor="text1"/>
          <w:kern w:val="0"/>
          <w:szCs w:val="24"/>
          <w:highlight w:val="none"/>
          <w14:textFill>
            <w14:solidFill>
              <w14:schemeClr w14:val="tx1"/>
            </w14:solidFill>
          </w14:textFill>
        </w:rPr>
        <w:t>5</w:t>
      </w:r>
      <w:r>
        <w:rPr>
          <w:rFonts w:cs="Times New Roman"/>
          <w:bCs/>
          <w:color w:val="000000" w:themeColor="text1"/>
          <w:szCs w:val="24"/>
          <w:highlight w:val="none"/>
          <w14:textFill>
            <w14:solidFill>
              <w14:schemeClr w14:val="tx1"/>
            </w14:solidFill>
          </w14:textFill>
        </w:rPr>
        <w:t>%。综上，本次评价范围内土地类型以乔木林地和旱地为主</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（3）植被覆盖度分布特征</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植被覆盖度分析采用基于NDVI的像元二分模型法反演植被覆盖度。根据象元二分模型原理，可以将每个象元的NDVI值表示为植被覆盖部分和无植被覆盖部分组成的形式，用公式可表示为：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NDVI=NDVIveg×fc+NDVIsoil×</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1-fc</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式中：NDVIveg代表完全由植被覆盖的象元的NDVI值；NDVIsoil代表完全无植被覆盖的象元NDVI值；fc代表植被覆盖度。</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公式（a）经变换即可得到植被覆盖度的计算公式：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fc=</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NDVI-NDVIsoil</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NDVIveg-NDVIsoil</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b</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公式（b），利用ERDASIMAGINE中的Modeler模块建模编写程序来计算覆盖度，得到了评价区的植被覆盖度图。根据遥感解译结果，参照《生态环境状况评价技术规范》（HJ192-2015，2015-03-13）、《土壤侵蚀分类分级标准》（SL190-2007，2008-01-04），评价区植被覆盖度划分为高覆盖度</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70%）、中高覆盖度（50%～70%）、中覆盖度（30%～50%）、中低覆盖度（10%-30%）、极低覆盖度（&lt;10%）五个级别</w:t>
      </w:r>
      <w:bookmarkStart w:id="257" w:name="_Toc25682918"/>
      <w:r>
        <w:rPr>
          <w:color w:val="000000" w:themeColor="text1"/>
          <w:highlight w:val="none"/>
          <w14:textFill>
            <w14:solidFill>
              <w14:schemeClr w14:val="tx1"/>
            </w14:solidFill>
          </w14:textFill>
        </w:rPr>
        <w:t>，植被覆盖度分布特征及解译结果</w:t>
      </w:r>
      <w:bookmarkEnd w:id="257"/>
      <w:r>
        <w:rPr>
          <w:color w:val="000000" w:themeColor="text1"/>
          <w:highlight w:val="none"/>
          <w14:textFill>
            <w14:solidFill>
              <w14:schemeClr w14:val="tx1"/>
            </w14:solidFill>
          </w14:textFill>
        </w:rPr>
        <w:t>见下表。</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植被覆盖度分布面积统计表</w:t>
      </w:r>
    </w:p>
    <w:tbl>
      <w:tblPr>
        <w:tblStyle w:val="5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2"/>
        <w:gridCol w:w="3409"/>
        <w:gridCol w:w="1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5" w:type="pct"/>
            <w:vMerge w:val="restart"/>
            <w:shd w:val="clear" w:color="auto" w:fill="auto"/>
            <w:noWrap/>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植被覆盖度类型</w:t>
            </w:r>
          </w:p>
        </w:tc>
        <w:tc>
          <w:tcPr>
            <w:tcW w:w="3074" w:type="pct"/>
            <w:gridSpan w:val="2"/>
            <w:shd w:val="clear" w:color="000000" w:fill="FFFFFF"/>
            <w:noWrap/>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评价区范围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5" w:type="pct"/>
            <w:vMerge w:val="continue"/>
            <w:shd w:val="clear" w:color="auto" w:fill="auto"/>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p>
        </w:tc>
        <w:tc>
          <w:tcPr>
            <w:tcW w:w="1999" w:type="pct"/>
            <w:shd w:val="clear" w:color="000000" w:fill="FFFFFF"/>
            <w:noWrap/>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面积（hm</w:t>
            </w:r>
            <w:r>
              <w:rPr>
                <w:rFonts w:cs="Times New Roman"/>
                <w:b/>
                <w:color w:val="000000" w:themeColor="text1"/>
                <w:sz w:val="21"/>
                <w:szCs w:val="21"/>
                <w:highlight w:val="none"/>
                <w:vertAlign w:val="superscript"/>
                <w14:textFill>
                  <w14:solidFill>
                    <w14:schemeClr w14:val="tx1"/>
                  </w14:solidFill>
                </w14:textFill>
              </w:rPr>
              <w:t>2</w:t>
            </w:r>
            <w:r>
              <w:rPr>
                <w:rFonts w:cs="Times New Roman"/>
                <w:b/>
                <w:color w:val="000000" w:themeColor="text1"/>
                <w:sz w:val="21"/>
                <w:szCs w:val="21"/>
                <w:highlight w:val="none"/>
                <w14:textFill>
                  <w14:solidFill>
                    <w14:schemeClr w14:val="tx1"/>
                  </w14:solidFill>
                </w14:textFill>
              </w:rPr>
              <w:t>）</w:t>
            </w:r>
          </w:p>
        </w:tc>
        <w:tc>
          <w:tcPr>
            <w:tcW w:w="1075" w:type="pct"/>
            <w:shd w:val="clear" w:color="000000" w:fill="FFFFFF"/>
            <w:noWrap/>
            <w:vAlign w:val="center"/>
          </w:tcPr>
          <w:p>
            <w:pPr>
              <w:spacing w:line="260" w:lineRule="exact"/>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极低覆盖度&lt;10%</w:t>
            </w:r>
          </w:p>
        </w:tc>
        <w:tc>
          <w:tcPr>
            <w:tcW w:w="1999"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3.50 </w:t>
            </w:r>
          </w:p>
        </w:tc>
        <w:tc>
          <w:tcPr>
            <w:tcW w:w="107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11.33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中覆盖度30%-50%</w:t>
            </w:r>
          </w:p>
        </w:tc>
        <w:tc>
          <w:tcPr>
            <w:tcW w:w="1999"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3.01 </w:t>
            </w:r>
          </w:p>
        </w:tc>
        <w:tc>
          <w:tcPr>
            <w:tcW w:w="107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9.75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中高覆盖度50%-70%</w:t>
            </w:r>
          </w:p>
        </w:tc>
        <w:tc>
          <w:tcPr>
            <w:tcW w:w="1999"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0.62 </w:t>
            </w:r>
          </w:p>
        </w:tc>
        <w:tc>
          <w:tcPr>
            <w:tcW w:w="107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2.01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高覆盖度&gt;70%</w:t>
            </w:r>
          </w:p>
        </w:tc>
        <w:tc>
          <w:tcPr>
            <w:tcW w:w="1999"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23.73 </w:t>
            </w:r>
          </w:p>
        </w:tc>
        <w:tc>
          <w:tcPr>
            <w:tcW w:w="107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76.90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2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合计</w:t>
            </w:r>
          </w:p>
        </w:tc>
        <w:tc>
          <w:tcPr>
            <w:tcW w:w="1999"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30.85 </w:t>
            </w:r>
          </w:p>
        </w:tc>
        <w:tc>
          <w:tcPr>
            <w:tcW w:w="1075" w:type="pct"/>
            <w:shd w:val="clear" w:color="auto" w:fill="FFFFFF"/>
            <w:noWrap/>
            <w:vAlign w:val="center"/>
          </w:tcPr>
          <w:p>
            <w:pPr>
              <w:spacing w:line="260" w:lineRule="exact"/>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 xml:space="preserve">100.00 </w:t>
            </w:r>
          </w:p>
        </w:tc>
      </w:tr>
    </w:tbl>
    <w:p>
      <w:pPr>
        <w:spacing w:before="120" w:beforeLines="50"/>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区属中亚热带湿润季风气候区，植被区划处于亚热带常绿阔叶林区域，水热条件较好，植被总体覆盖度较高。从解译结果看，评价区范围内，高覆盖度植被主要分布在阔叶林区，群落多为乔灌草三层，综合覆盖度较高；中高覆盖度植被主要为稀疏乔木林及灌丛植被分布区，群落结构多为灌草两层；中覆盖度多为耕地植被分布区</w:t>
      </w:r>
      <w:r>
        <w:rPr>
          <w:color w:val="000000" w:themeColor="text1"/>
          <w:highlight w:val="none"/>
          <w14:textFill>
            <w14:solidFill>
              <w14:schemeClr w14:val="tx1"/>
            </w14:solidFill>
          </w14:textFill>
        </w:rPr>
        <w:t>。</w:t>
      </w:r>
    </w:p>
    <w:p>
      <w:pPr>
        <w:pStyle w:val="4"/>
        <w:spacing w:before="120"/>
        <w:ind w:firstLine="480"/>
        <w:rPr>
          <w:b/>
          <w:color w:val="000000" w:themeColor="text1"/>
          <w:highlight w:val="none"/>
          <w:lang w:eastAsia="zh-CN"/>
          <w14:textFill>
            <w14:solidFill>
              <w14:schemeClr w14:val="tx1"/>
            </w14:solidFill>
          </w14:textFill>
        </w:rPr>
      </w:pPr>
      <w:bookmarkStart w:id="258" w:name="_Toc120173137"/>
      <w:bookmarkStart w:id="259" w:name="_Toc280781527"/>
      <w:r>
        <w:rPr>
          <w:color w:val="000000" w:themeColor="text1"/>
          <w:highlight w:val="none"/>
          <w:lang w:eastAsia="zh-CN"/>
          <w14:textFill>
            <w14:solidFill>
              <w14:schemeClr w14:val="tx1"/>
            </w14:solidFill>
          </w14:textFill>
        </w:rPr>
        <w:t>项目区域植被概况</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（1）区系分布</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评价范围位于四川省达州市宣汉县。根据《四川植被》中关于四川省内植被区划的描述，项目所在区域属IA3(6</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川北深丘植被小区。</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该小区位于盆地中部北侧，是大巴山地区向盆地内部方山丘陵过渡的地带，境内主要属单斜丘陵，海拔高度一般为800m，相对高度100</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200m，地层多属白垩纪紫色砂岩与页岩互层，在此母质上发育的为紫色土，海拔1000m以上地区以黄壤为主。年平均温16~17℃，1月平均温5~6℃，比川中方山丘陵区气温低，而年温差较大。年降水量在1000毫米以上，比川中方山丘陵区多，但季节分配不均匀，雾日较少，无霜期约为290天，有春早秋千、日照时数较多的特点。</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自然植被主要为栎林、马尾松林、柏木林、栎类灌丛、亚热带草丛及其各种过渡类型。在个别海拔1200m左右的地方有石栎林、刺叶栎林、青㭎林。马尾松林多分布在深丘顶部砂页岩发育的黄壤地段上，灌木有米饭花、映山红、米碎花、铁仔，而在干燥生境下，则以映山红、火棘、栎类为主。柏木林多分布在深丘下部的紫色页岩地段上，形成疏林，混有化香、黄连木、油桐。栎林多分布在山项，由麻栎、青冈、栓皮栎、烟管荚蓬、火棘、蔷薇、盐肤木、映山红、铁仔、毛黄栌组成，为马尾松林和落叶栎林砍伐后形成的灌丛类型。柏木林再度砍伐后形成以黄茅、白茅、香茅为主的亚热带草丛，并散生着黄荆、牡荆、马桑、铁仔、短柄枹栎等植物。另外，本小区各地还有黑壳楠、红果钓樟、云南樟、宜昌润楠、山合欢、灯台树等植物。</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栽培植被中大春作物本田以中稻为主，早地以玉米、红苕、棉花、花生、小麦、马铃薯、豌豆为主，小春作物以小麦、豌豆为主，深丘上部种有马铃薯，多为一年二熟类型。由于地势较高，雨量分配不均匀，伏旱严重，农业布局必须因地制宜。有水利保证的田应栽水稻，主攻中稻，没有水利保证的田，种植旱粮，实行小麦、玉米、红苕连续套种。这样可以提高复种指数，做到高产稳产。在“以粮为纲，全面发展”方针指导下，要因地制宜地发展棉花、花生等经济作物。经济林水中梨、核桃产量大、质量好、栽培历史长，如苍溪雪梨和薄壳核桃都很著名，宜于大量发展。另外桑、油桐也是本小区重要经济林木，发展潜力很大。丘陵荒山要开展植树造林，种植黄荆、马桑、紫穗槐、马尾松、柏木等，增加植被覆盖率。</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（2）维管束植物组成情况</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评价区共有维管束植物有48科，8</w:t>
      </w:r>
      <w:r>
        <w:rPr>
          <w:rFonts w:hint="eastAsia" w:cs="Times New Roman"/>
          <w:bCs/>
          <w:color w:val="000000" w:themeColor="text1"/>
          <w:highlight w:val="none"/>
          <w14:textFill>
            <w14:solidFill>
              <w14:schemeClr w14:val="tx1"/>
            </w14:solidFill>
          </w14:textFill>
        </w:rPr>
        <w:t>1</w:t>
      </w:r>
      <w:r>
        <w:rPr>
          <w:rFonts w:cs="Times New Roman"/>
          <w:bCs/>
          <w:color w:val="000000" w:themeColor="text1"/>
          <w:highlight w:val="none"/>
          <w14:textFill>
            <w14:solidFill>
              <w14:schemeClr w14:val="tx1"/>
            </w14:solidFill>
          </w14:textFill>
        </w:rPr>
        <w:t>属，</w:t>
      </w:r>
      <w:r>
        <w:rPr>
          <w:rFonts w:hint="eastAsia" w:cs="Times New Roman"/>
          <w:bCs/>
          <w:color w:val="000000" w:themeColor="text1"/>
          <w:highlight w:val="none"/>
          <w14:textFill>
            <w14:solidFill>
              <w14:schemeClr w14:val="tx1"/>
            </w14:solidFill>
          </w14:textFill>
        </w:rPr>
        <w:t>90</w:t>
      </w:r>
      <w:r>
        <w:rPr>
          <w:rFonts w:cs="Times New Roman"/>
          <w:bCs/>
          <w:color w:val="000000" w:themeColor="text1"/>
          <w:highlight w:val="none"/>
          <w14:textFill>
            <w14:solidFill>
              <w14:schemeClr w14:val="tx1"/>
            </w14:solidFill>
          </w14:textFill>
        </w:rPr>
        <w:t>种：其中蕨类植物共有6科7属7种，占总科数的12.5%，总属数的8.</w:t>
      </w:r>
      <w:r>
        <w:rPr>
          <w:rFonts w:hint="eastAsia" w:cs="Times New Roman"/>
          <w:bCs/>
          <w:color w:val="000000" w:themeColor="text1"/>
          <w:highlight w:val="none"/>
          <w14:textFill>
            <w14:solidFill>
              <w14:schemeClr w14:val="tx1"/>
            </w14:solidFill>
          </w14:textFill>
        </w:rPr>
        <w:t>64</w:t>
      </w:r>
      <w:r>
        <w:rPr>
          <w:rFonts w:cs="Times New Roman"/>
          <w:bCs/>
          <w:color w:val="000000" w:themeColor="text1"/>
          <w:highlight w:val="none"/>
          <w14:textFill>
            <w14:solidFill>
              <w14:schemeClr w14:val="tx1"/>
            </w14:solidFill>
          </w14:textFill>
        </w:rPr>
        <w:t>%，总种数的7.</w:t>
      </w:r>
      <w:r>
        <w:rPr>
          <w:rFonts w:hint="eastAsia" w:cs="Times New Roman"/>
          <w:bCs/>
          <w:color w:val="000000" w:themeColor="text1"/>
          <w:highlight w:val="none"/>
          <w14:textFill>
            <w14:solidFill>
              <w14:schemeClr w14:val="tx1"/>
            </w14:solidFill>
          </w14:textFill>
        </w:rPr>
        <w:t>78</w:t>
      </w:r>
      <w:r>
        <w:rPr>
          <w:rFonts w:cs="Times New Roman"/>
          <w:bCs/>
          <w:color w:val="000000" w:themeColor="text1"/>
          <w:highlight w:val="none"/>
          <w14:textFill>
            <w14:solidFill>
              <w14:schemeClr w14:val="tx1"/>
            </w14:solidFill>
          </w14:textFill>
        </w:rPr>
        <w:t>%；裸子植物3科3属3种，占评价区总科数6.25%，总属数的3.7</w:t>
      </w:r>
      <w:r>
        <w:rPr>
          <w:rFonts w:hint="eastAsia" w:cs="Times New Roman"/>
          <w:bCs/>
          <w:color w:val="000000" w:themeColor="text1"/>
          <w:highlight w:val="none"/>
          <w14:textFill>
            <w14:solidFill>
              <w14:schemeClr w14:val="tx1"/>
            </w14:solidFill>
          </w14:textFill>
        </w:rPr>
        <w:t>0</w:t>
      </w:r>
      <w:r>
        <w:rPr>
          <w:rFonts w:cs="Times New Roman"/>
          <w:bCs/>
          <w:color w:val="000000" w:themeColor="text1"/>
          <w:highlight w:val="none"/>
          <w14:textFill>
            <w14:solidFill>
              <w14:schemeClr w14:val="tx1"/>
            </w14:solidFill>
          </w14:textFill>
        </w:rPr>
        <w:t>%，总种数的3.3</w:t>
      </w:r>
      <w:r>
        <w:rPr>
          <w:rFonts w:hint="eastAsia" w:cs="Times New Roman"/>
          <w:bCs/>
          <w:color w:val="000000" w:themeColor="text1"/>
          <w:highlight w:val="none"/>
          <w14:textFill>
            <w14:solidFill>
              <w14:schemeClr w14:val="tx1"/>
            </w14:solidFill>
          </w14:textFill>
        </w:rPr>
        <w:t>3</w:t>
      </w:r>
      <w:r>
        <w:rPr>
          <w:rFonts w:cs="Times New Roman"/>
          <w:bCs/>
          <w:color w:val="000000" w:themeColor="text1"/>
          <w:highlight w:val="none"/>
          <w14:textFill>
            <w14:solidFill>
              <w14:schemeClr w14:val="tx1"/>
            </w14:solidFill>
          </w14:textFill>
        </w:rPr>
        <w:t>%；被子植物物种数最多，共有39科7</w:t>
      </w:r>
      <w:r>
        <w:rPr>
          <w:rFonts w:hint="eastAsia" w:cs="Times New Roman"/>
          <w:bCs/>
          <w:color w:val="000000" w:themeColor="text1"/>
          <w:highlight w:val="none"/>
          <w14:textFill>
            <w14:solidFill>
              <w14:schemeClr w14:val="tx1"/>
            </w14:solidFill>
          </w14:textFill>
        </w:rPr>
        <w:t>1</w:t>
      </w:r>
      <w:r>
        <w:rPr>
          <w:rFonts w:cs="Times New Roman"/>
          <w:bCs/>
          <w:color w:val="000000" w:themeColor="text1"/>
          <w:highlight w:val="none"/>
          <w14:textFill>
            <w14:solidFill>
              <w14:schemeClr w14:val="tx1"/>
            </w14:solidFill>
          </w14:textFill>
        </w:rPr>
        <w:t>属</w:t>
      </w:r>
      <w:r>
        <w:rPr>
          <w:rFonts w:hint="eastAsia" w:cs="Times New Roman"/>
          <w:bCs/>
          <w:color w:val="000000" w:themeColor="text1"/>
          <w:highlight w:val="none"/>
          <w14:textFill>
            <w14:solidFill>
              <w14:schemeClr w14:val="tx1"/>
            </w14:solidFill>
          </w14:textFill>
        </w:rPr>
        <w:t>80</w:t>
      </w:r>
      <w:r>
        <w:rPr>
          <w:rFonts w:cs="Times New Roman"/>
          <w:bCs/>
          <w:color w:val="000000" w:themeColor="text1"/>
          <w:highlight w:val="none"/>
          <w14:textFill>
            <w14:solidFill>
              <w14:schemeClr w14:val="tx1"/>
            </w14:solidFill>
          </w14:textFill>
        </w:rPr>
        <w:t>种，占评价区总科数的81.25%，总属数的87.</w:t>
      </w:r>
      <w:r>
        <w:rPr>
          <w:rFonts w:hint="eastAsia" w:cs="Times New Roman"/>
          <w:bCs/>
          <w:color w:val="000000" w:themeColor="text1"/>
          <w:highlight w:val="none"/>
          <w14:textFill>
            <w14:solidFill>
              <w14:schemeClr w14:val="tx1"/>
            </w14:solidFill>
          </w14:textFill>
        </w:rPr>
        <w:t>65</w:t>
      </w:r>
      <w:r>
        <w:rPr>
          <w:rFonts w:cs="Times New Roman"/>
          <w:bCs/>
          <w:color w:val="000000" w:themeColor="text1"/>
          <w:highlight w:val="none"/>
          <w14:textFill>
            <w14:solidFill>
              <w14:schemeClr w14:val="tx1"/>
            </w14:solidFill>
          </w14:textFill>
        </w:rPr>
        <w:t>%，总种数的88.</w:t>
      </w:r>
      <w:r>
        <w:rPr>
          <w:rFonts w:hint="eastAsia" w:cs="Times New Roman"/>
          <w:bCs/>
          <w:color w:val="000000" w:themeColor="text1"/>
          <w:highlight w:val="none"/>
          <w14:textFill>
            <w14:solidFill>
              <w14:schemeClr w14:val="tx1"/>
            </w14:solidFill>
          </w14:textFill>
        </w:rPr>
        <w:t>89</w:t>
      </w:r>
      <w:r>
        <w:rPr>
          <w:rFonts w:cs="Times New Roman"/>
          <w:bCs/>
          <w:color w:val="000000" w:themeColor="text1"/>
          <w:highlight w:val="none"/>
          <w14:textFill>
            <w14:solidFill>
              <w14:schemeClr w14:val="tx1"/>
            </w14:solidFill>
          </w14:textFill>
        </w:rPr>
        <w:t>%。项目区域维管植物科属种情况如下表</w:t>
      </w:r>
      <w:r>
        <w:rPr>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评价范围维管植物科属种统计表</w:t>
      </w:r>
    </w:p>
    <w:tbl>
      <w:tblPr>
        <w:tblStyle w:val="54"/>
        <w:tblW w:w="46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820"/>
        <w:gridCol w:w="807"/>
        <w:gridCol w:w="1460"/>
        <w:gridCol w:w="804"/>
        <w:gridCol w:w="1383"/>
        <w:gridCol w:w="767"/>
        <w:gridCol w:w="11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958" w:type="pct"/>
            <w:gridSpan w:val="2"/>
            <w:tcBorders>
              <w:tl2br w:val="nil"/>
              <w:tr2bl w:val="nil"/>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门类</w:t>
            </w:r>
          </w:p>
        </w:tc>
        <w:tc>
          <w:tcPr>
            <w:tcW w:w="508" w:type="pct"/>
            <w:tcBorders>
              <w:tl2br w:val="nil"/>
              <w:tr2bl w:val="nil"/>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科数</w:t>
            </w:r>
          </w:p>
        </w:tc>
        <w:tc>
          <w:tcPr>
            <w:tcW w:w="919" w:type="pct"/>
            <w:tcBorders>
              <w:tl2br w:val="nil"/>
              <w:tr2bl w:val="nil"/>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所占比例</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w:t>
            </w:r>
          </w:p>
        </w:tc>
        <w:tc>
          <w:tcPr>
            <w:tcW w:w="506" w:type="pct"/>
            <w:tcBorders>
              <w:tl2br w:val="nil"/>
              <w:tr2bl w:val="nil"/>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属数</w:t>
            </w:r>
          </w:p>
        </w:tc>
        <w:tc>
          <w:tcPr>
            <w:tcW w:w="871" w:type="pct"/>
            <w:tcBorders>
              <w:tl2br w:val="nil"/>
              <w:tr2bl w:val="nil"/>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所占比例</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w:t>
            </w:r>
          </w:p>
        </w:tc>
        <w:tc>
          <w:tcPr>
            <w:tcW w:w="483" w:type="pct"/>
            <w:tcBorders>
              <w:tl2br w:val="nil"/>
              <w:tr2bl w:val="nil"/>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种数</w:t>
            </w:r>
          </w:p>
        </w:tc>
        <w:tc>
          <w:tcPr>
            <w:tcW w:w="752" w:type="pct"/>
            <w:tcBorders>
              <w:tl2br w:val="nil"/>
              <w:tr2bl w:val="nil"/>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所占比例</w:t>
            </w:r>
          </w:p>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pct"/>
            <w:gridSpan w:val="2"/>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蕨类植物</w:t>
            </w:r>
          </w:p>
        </w:tc>
        <w:tc>
          <w:tcPr>
            <w:tcW w:w="508"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w:t>
            </w:r>
          </w:p>
        </w:tc>
        <w:tc>
          <w:tcPr>
            <w:tcW w:w="919"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12.5</w:t>
            </w:r>
          </w:p>
        </w:tc>
        <w:tc>
          <w:tcPr>
            <w:tcW w:w="506"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w:t>
            </w:r>
          </w:p>
        </w:tc>
        <w:tc>
          <w:tcPr>
            <w:tcW w:w="871"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8.64</w:t>
            </w:r>
          </w:p>
        </w:tc>
        <w:tc>
          <w:tcPr>
            <w:tcW w:w="483"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w:t>
            </w:r>
          </w:p>
        </w:tc>
        <w:tc>
          <w:tcPr>
            <w:tcW w:w="752"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2" w:type="pct"/>
            <w:vMerge w:val="restar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种子</w:t>
            </w:r>
          </w:p>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植物</w:t>
            </w:r>
          </w:p>
        </w:tc>
        <w:tc>
          <w:tcPr>
            <w:tcW w:w="515"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裸子植物</w:t>
            </w:r>
          </w:p>
        </w:tc>
        <w:tc>
          <w:tcPr>
            <w:tcW w:w="508"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919"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6.25</w:t>
            </w:r>
          </w:p>
        </w:tc>
        <w:tc>
          <w:tcPr>
            <w:tcW w:w="506"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871"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3.70</w:t>
            </w:r>
          </w:p>
        </w:tc>
        <w:tc>
          <w:tcPr>
            <w:tcW w:w="483"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752"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2" w:type="pct"/>
            <w:vMerge w:val="continue"/>
            <w:tcBorders>
              <w:tl2br w:val="nil"/>
              <w:tr2bl w:val="nil"/>
            </w:tcBorders>
            <w:vAlign w:val="center"/>
          </w:tcPr>
          <w:p>
            <w:pPr>
              <w:widowControl/>
              <w:ind w:firstLine="420"/>
              <w:jc w:val="center"/>
              <w:textAlignment w:val="baseline"/>
              <w:rPr>
                <w:rFonts w:cs="Times New Roman"/>
                <w:color w:val="000000" w:themeColor="text1"/>
                <w:sz w:val="21"/>
                <w:szCs w:val="20"/>
                <w:highlight w:val="none"/>
                <w14:textFill>
                  <w14:solidFill>
                    <w14:schemeClr w14:val="tx1"/>
                  </w14:solidFill>
                </w14:textFill>
              </w:rPr>
            </w:pPr>
          </w:p>
        </w:tc>
        <w:tc>
          <w:tcPr>
            <w:tcW w:w="515"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被子植物</w:t>
            </w:r>
          </w:p>
        </w:tc>
        <w:tc>
          <w:tcPr>
            <w:tcW w:w="508"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39</w:t>
            </w:r>
          </w:p>
        </w:tc>
        <w:tc>
          <w:tcPr>
            <w:tcW w:w="919"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81.25</w:t>
            </w:r>
          </w:p>
        </w:tc>
        <w:tc>
          <w:tcPr>
            <w:tcW w:w="506"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71</w:t>
            </w:r>
          </w:p>
        </w:tc>
        <w:tc>
          <w:tcPr>
            <w:tcW w:w="871"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87.65</w:t>
            </w:r>
          </w:p>
        </w:tc>
        <w:tc>
          <w:tcPr>
            <w:tcW w:w="483"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80</w:t>
            </w:r>
          </w:p>
        </w:tc>
        <w:tc>
          <w:tcPr>
            <w:tcW w:w="752"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88.89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pct"/>
            <w:gridSpan w:val="2"/>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合计</w:t>
            </w:r>
          </w:p>
        </w:tc>
        <w:tc>
          <w:tcPr>
            <w:tcW w:w="508"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48</w:t>
            </w:r>
          </w:p>
        </w:tc>
        <w:tc>
          <w:tcPr>
            <w:tcW w:w="919"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100</w:t>
            </w:r>
          </w:p>
        </w:tc>
        <w:tc>
          <w:tcPr>
            <w:tcW w:w="506"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81</w:t>
            </w:r>
          </w:p>
        </w:tc>
        <w:tc>
          <w:tcPr>
            <w:tcW w:w="871"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100.00</w:t>
            </w:r>
          </w:p>
        </w:tc>
        <w:tc>
          <w:tcPr>
            <w:tcW w:w="483"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90</w:t>
            </w:r>
          </w:p>
        </w:tc>
        <w:tc>
          <w:tcPr>
            <w:tcW w:w="752" w:type="pct"/>
            <w:tcBorders>
              <w:tl2br w:val="nil"/>
              <w:tr2bl w:val="nil"/>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100.00</w:t>
            </w:r>
          </w:p>
        </w:tc>
      </w:tr>
    </w:tbl>
    <w:p>
      <w:pPr>
        <w:spacing w:before="120" w:beforeLines="50"/>
        <w:ind w:firstLine="480"/>
        <w:rPr>
          <w:rFonts w:cs="Times New Roman"/>
          <w:bCs/>
          <w:color w:val="000000" w:themeColor="text1"/>
          <w:spacing w:val="-5"/>
          <w:sz w:val="27"/>
          <w:szCs w:val="27"/>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项目区域维管植物组成以被子植物为优势，分别占项目区域维管植物科属种总数的81.25%、87.</w:t>
      </w:r>
      <w:r>
        <w:rPr>
          <w:rFonts w:hint="eastAsia" w:cs="Times New Roman"/>
          <w:bCs/>
          <w:color w:val="000000" w:themeColor="text1"/>
          <w:highlight w:val="none"/>
          <w14:textFill>
            <w14:solidFill>
              <w14:schemeClr w14:val="tx1"/>
            </w14:solidFill>
          </w14:textFill>
        </w:rPr>
        <w:t>65</w:t>
      </w:r>
      <w:r>
        <w:rPr>
          <w:rFonts w:cs="Times New Roman"/>
          <w:bCs/>
          <w:color w:val="000000" w:themeColor="text1"/>
          <w:highlight w:val="none"/>
          <w14:textFill>
            <w14:solidFill>
              <w14:schemeClr w14:val="tx1"/>
            </w14:solidFill>
          </w14:textFill>
        </w:rPr>
        <w:t>%和88</w:t>
      </w:r>
      <w:r>
        <w:rPr>
          <w:rFonts w:hint="eastAsia" w:cs="Times New Roman"/>
          <w:bCs/>
          <w:color w:val="000000" w:themeColor="text1"/>
          <w:highlight w:val="none"/>
          <w14:textFill>
            <w14:solidFill>
              <w14:schemeClr w14:val="tx1"/>
            </w14:solidFill>
          </w14:textFill>
        </w:rPr>
        <w:t>.89</w:t>
      </w:r>
      <w:r>
        <w:rPr>
          <w:rFonts w:cs="Times New Roman"/>
          <w:bCs/>
          <w:color w:val="000000" w:themeColor="text1"/>
          <w:highlight w:val="none"/>
          <w14:textFill>
            <w14:solidFill>
              <w14:schemeClr w14:val="tx1"/>
            </w14:solidFill>
          </w14:textFill>
        </w:rPr>
        <w:t>%。常见的优势物种有马尾松</w:t>
      </w:r>
      <w:r>
        <w:rPr>
          <w:rFonts w:cs="Times New Roman"/>
          <w:bCs/>
          <w:i/>
          <w:iCs/>
          <w:color w:val="000000" w:themeColor="text1"/>
          <w:highlight w:val="none"/>
          <w14:textFill>
            <w14:solidFill>
              <w14:schemeClr w14:val="tx1"/>
            </w14:solidFill>
          </w14:textFill>
        </w:rPr>
        <w:t xml:space="preserve">Pinus massoniana </w:t>
      </w:r>
      <w:r>
        <w:rPr>
          <w:rFonts w:cs="Times New Roman"/>
          <w:bCs/>
          <w:color w:val="000000" w:themeColor="text1"/>
          <w:highlight w:val="none"/>
          <w14:textFill>
            <w14:solidFill>
              <w14:schemeClr w14:val="tx1"/>
            </w14:solidFill>
          </w14:textFill>
        </w:rPr>
        <w:t>Lamb.、杉木</w:t>
      </w:r>
      <w:r>
        <w:rPr>
          <w:rFonts w:cs="Times New Roman"/>
          <w:bCs/>
          <w:i/>
          <w:iCs/>
          <w:color w:val="000000" w:themeColor="text1"/>
          <w:highlight w:val="none"/>
          <w14:textFill>
            <w14:solidFill>
              <w14:schemeClr w14:val="tx1"/>
            </w14:solidFill>
          </w14:textFill>
        </w:rPr>
        <w:t xml:space="preserve">Cunninghamia lanceolata </w:t>
      </w:r>
      <w:r>
        <w:rPr>
          <w:rFonts w:cs="Times New Roman"/>
          <w:bCs/>
          <w:color w:val="000000" w:themeColor="text1"/>
          <w:highlight w:val="none"/>
          <w14:textFill>
            <w14:solidFill>
              <w14:schemeClr w14:val="tx1"/>
            </w14:solidFill>
          </w14:textFill>
        </w:rPr>
        <w:t>(Lamb.)Hook、柏木</w:t>
      </w:r>
      <w:r>
        <w:rPr>
          <w:rFonts w:cs="Times New Roman"/>
          <w:bCs/>
          <w:i/>
          <w:iCs/>
          <w:color w:val="000000" w:themeColor="text1"/>
          <w:highlight w:val="none"/>
          <w14:textFill>
            <w14:solidFill>
              <w14:schemeClr w14:val="tx1"/>
            </w14:solidFill>
          </w14:textFill>
        </w:rPr>
        <w:t>Cupressus funebris</w:t>
      </w:r>
      <w:r>
        <w:rPr>
          <w:rFonts w:cs="Times New Roman"/>
          <w:bCs/>
          <w:color w:val="000000" w:themeColor="text1"/>
          <w:highlight w:val="none"/>
          <w14:textFill>
            <w14:solidFill>
              <w14:schemeClr w14:val="tx1"/>
            </w14:solidFill>
          </w14:textFill>
        </w:rPr>
        <w:t xml:space="preserve"> Endl、蔷薇</w:t>
      </w:r>
      <w:r>
        <w:rPr>
          <w:rFonts w:cs="Times New Roman"/>
          <w:bCs/>
          <w:i/>
          <w:iCs/>
          <w:color w:val="000000" w:themeColor="text1"/>
          <w:highlight w:val="none"/>
          <w14:textFill>
            <w14:solidFill>
              <w14:schemeClr w14:val="tx1"/>
            </w14:solidFill>
          </w14:textFill>
        </w:rPr>
        <w:t>Rosa sp</w:t>
      </w:r>
      <w:r>
        <w:rPr>
          <w:rFonts w:cs="Times New Roman"/>
          <w:bCs/>
          <w:color w:val="000000" w:themeColor="text1"/>
          <w:highlight w:val="none"/>
          <w14:textFill>
            <w14:solidFill>
              <w14:schemeClr w14:val="tx1"/>
            </w14:solidFill>
          </w14:textFill>
        </w:rPr>
        <w:t>、白茅</w:t>
      </w:r>
      <w:r>
        <w:rPr>
          <w:rFonts w:cs="Times New Roman"/>
          <w:bCs/>
          <w:i/>
          <w:iCs/>
          <w:color w:val="000000" w:themeColor="text1"/>
          <w:highlight w:val="none"/>
          <w14:textFill>
            <w14:solidFill>
              <w14:schemeClr w14:val="tx1"/>
            </w14:solidFill>
          </w14:textFill>
        </w:rPr>
        <w:t>mperata cylindric</w:t>
      </w:r>
      <w:r>
        <w:rPr>
          <w:rFonts w:cs="Times New Roman"/>
          <w:bCs/>
          <w:color w:val="000000" w:themeColor="text1"/>
          <w:highlight w:val="none"/>
          <w14:textFill>
            <w14:solidFill>
              <w14:schemeClr w14:val="tx1"/>
            </w14:solidFill>
          </w14:textFill>
        </w:rPr>
        <w:t>等。具体</w:t>
      </w:r>
      <w:r>
        <w:rPr>
          <w:rFonts w:cs="Times New Roman"/>
          <w:bCs/>
          <w:color w:val="000000" w:themeColor="text1"/>
          <w:spacing w:val="15"/>
          <w:szCs w:val="24"/>
          <w:highlight w:val="none"/>
          <w14:textFill>
            <w14:solidFill>
              <w14:schemeClr w14:val="tx1"/>
            </w14:solidFill>
          </w14:textFill>
        </w:rPr>
        <w:t>名录见附表</w:t>
      </w:r>
      <w:r>
        <w:rPr>
          <w:rFonts w:hint="eastAsia" w:cs="Times New Roman"/>
          <w:bCs/>
          <w:color w:val="000000" w:themeColor="text1"/>
          <w:spacing w:val="15"/>
          <w:szCs w:val="24"/>
          <w:highlight w:val="none"/>
          <w14:textFill>
            <w14:solidFill>
              <w14:schemeClr w14:val="tx1"/>
            </w14:solidFill>
          </w14:textFill>
        </w:rPr>
        <w:t>7</w:t>
      </w:r>
      <w:r>
        <w:rPr>
          <w:rFonts w:cs="Times New Roman"/>
          <w:bCs/>
          <w:color w:val="000000" w:themeColor="text1"/>
          <w:spacing w:val="-5"/>
          <w:sz w:val="27"/>
          <w:szCs w:val="27"/>
          <w:highlight w:val="none"/>
          <w14:textFill>
            <w14:solidFill>
              <w14:schemeClr w14:val="tx1"/>
            </w14:solidFill>
          </w14:textFill>
        </w:rPr>
        <w:t>。</w:t>
      </w:r>
    </w:p>
    <w:p>
      <w:pPr>
        <w:ind w:firstLine="500"/>
        <w:rPr>
          <w:rFonts w:cs="Times New Roman"/>
          <w:bCs/>
          <w:color w:val="000000" w:themeColor="text1"/>
          <w:spacing w:val="5"/>
          <w:szCs w:val="24"/>
          <w:highlight w:val="none"/>
          <w14:textFill>
            <w14:solidFill>
              <w14:schemeClr w14:val="tx1"/>
            </w14:solidFill>
          </w14:textFill>
        </w:rPr>
      </w:pPr>
      <w:r>
        <w:rPr>
          <w:rFonts w:cs="Times New Roman"/>
          <w:bCs/>
          <w:color w:val="000000" w:themeColor="text1"/>
          <w:spacing w:val="5"/>
          <w:szCs w:val="24"/>
          <w:highlight w:val="none"/>
          <w14:textFill>
            <w14:solidFill>
              <w14:schemeClr w14:val="tx1"/>
            </w14:solidFill>
          </w14:textFill>
        </w:rPr>
        <w:t>（</w:t>
      </w:r>
      <w:r>
        <w:rPr>
          <w:rFonts w:hint="eastAsia" w:cs="Times New Roman"/>
          <w:bCs/>
          <w:color w:val="000000" w:themeColor="text1"/>
          <w:spacing w:val="5"/>
          <w:szCs w:val="24"/>
          <w:highlight w:val="none"/>
          <w14:textFill>
            <w14:solidFill>
              <w14:schemeClr w14:val="tx1"/>
            </w14:solidFill>
          </w14:textFill>
        </w:rPr>
        <w:t>3</w:t>
      </w:r>
      <w:r>
        <w:rPr>
          <w:rFonts w:cs="Times New Roman"/>
          <w:bCs/>
          <w:color w:val="000000" w:themeColor="text1"/>
          <w:spacing w:val="5"/>
          <w:szCs w:val="24"/>
          <w:highlight w:val="none"/>
          <w14:textFill>
            <w14:solidFill>
              <w14:schemeClr w14:val="tx1"/>
            </w14:solidFill>
          </w14:textFill>
        </w:rPr>
        <w:t>）存在的主要生态问题</w:t>
      </w:r>
    </w:p>
    <w:p>
      <w:pPr>
        <w:ind w:firstLine="500"/>
        <w:rPr>
          <w:color w:val="000000" w:themeColor="text1"/>
          <w:highlight w:val="none"/>
          <w14:textFill>
            <w14:solidFill>
              <w14:schemeClr w14:val="tx1"/>
            </w14:solidFill>
          </w14:textFill>
        </w:rPr>
      </w:pPr>
      <w:r>
        <w:rPr>
          <w:rFonts w:cs="Times New Roman"/>
          <w:bCs/>
          <w:color w:val="000000" w:themeColor="text1"/>
          <w:spacing w:val="5"/>
          <w:szCs w:val="24"/>
          <w:highlight w:val="none"/>
          <w14:textFill>
            <w14:solidFill>
              <w14:schemeClr w14:val="tx1"/>
            </w14:solidFill>
          </w14:textFill>
        </w:rPr>
        <w:t>项目所在区域宣汉县现有植被以次生性森林为主。过去由于人们对生态效益认识不足，在经济建设过程中对阔叶林资源进行掠夺式的开发利用，经历上50年代“大跃进”式的毁林开荒，以及80年代初期的“分林到户”而引发的乱砍滥伐，宣汉县境内天然阔叶林资源遭到严重破坏，许多天然阔叶林由于强度砍伐目前只留下灌草丛，有的甚至已退化成坡耕地，虽然目前经过退耕还林封山育林，</w:t>
      </w:r>
      <w:r>
        <w:rPr>
          <w:rFonts w:hint="eastAsia" w:cs="Times New Roman"/>
          <w:bCs/>
          <w:color w:val="000000" w:themeColor="text1"/>
          <w:spacing w:val="5"/>
          <w:szCs w:val="24"/>
          <w:highlight w:val="none"/>
          <w14:textFill>
            <w14:solidFill>
              <w14:schemeClr w14:val="tx1"/>
            </w14:solidFill>
          </w14:textFill>
        </w:rPr>
        <w:t>不少</w:t>
      </w:r>
      <w:r>
        <w:rPr>
          <w:rFonts w:cs="Times New Roman"/>
          <w:bCs/>
          <w:color w:val="000000" w:themeColor="text1"/>
          <w:spacing w:val="5"/>
          <w:szCs w:val="24"/>
          <w:highlight w:val="none"/>
          <w14:textFill>
            <w14:solidFill>
              <w14:schemeClr w14:val="tx1"/>
            </w14:solidFill>
          </w14:textFill>
        </w:rPr>
        <w:t>区域已经变为乔木林，但多为次生人工幼林，生态效益不高。项目区域周边人口较多，日益增长的人口压力将对山地森林生态系统及其物种资源构成极大的威胁。一旦遭受破坏，极容易引起水土流失，造成生态环境的恶化。生态系统要想恢复到破坏前的状态，至少也要几十年，乃至上百年的时间。若不采取措施，及时保护，若干年后，将不复存在。由此可见，评价范围的森林生态系统和物种资源是非常脆弱的</w:t>
      </w:r>
      <w:r>
        <w:rPr>
          <w:rFonts w:hint="eastAsia" w:cs="Times New Roman"/>
          <w:bCs/>
          <w:color w:val="000000" w:themeColor="text1"/>
          <w:spacing w:val="5"/>
          <w:szCs w:val="24"/>
          <w:highlight w:val="none"/>
          <w14:textFill>
            <w14:solidFill>
              <w14:schemeClr w14:val="tx1"/>
            </w14:solidFill>
          </w14:textFill>
        </w:rPr>
        <w:t>。</w:t>
      </w:r>
    </w:p>
    <w:p>
      <w:pPr>
        <w:pStyle w:val="4"/>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w:t>
      </w:r>
      <w:r>
        <w:rPr>
          <w:rFonts w:hint="eastAsia"/>
          <w:color w:val="000000" w:themeColor="text1"/>
          <w:highlight w:val="none"/>
          <w:lang w:eastAsia="zh-CN"/>
          <w14:textFill>
            <w14:solidFill>
              <w14:schemeClr w14:val="tx1"/>
            </w14:solidFill>
          </w14:textFill>
        </w:rPr>
        <w:t>评价范围</w:t>
      </w:r>
      <w:r>
        <w:rPr>
          <w:color w:val="000000" w:themeColor="text1"/>
          <w:highlight w:val="none"/>
          <w14:textFill>
            <w14:solidFill>
              <w14:schemeClr w14:val="tx1"/>
            </w14:solidFill>
          </w14:textFill>
        </w:rPr>
        <w:t>植被概况</w:t>
      </w:r>
      <w:bookmarkEnd w:id="258"/>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1、评价范围内植被概况</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现场调查情况，评价区植被覆盖度较高，亚热带针叶林、阔叶林植被，亚热带灌丛、热性草丛植被较常见，有明显的热带特征，评价区内天然植被和人工栽植植被均广泛分布。</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植物群落结构及演替规律</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区植物群落主要为乔木、灌木、草本为主的结构特征，其中乔木群落结构多为乔灌草三层植被，灌木群落结构多为灌草双层植被，草本群落则多为草丛单层植被。群落自然演替规律总体呈现草本-灌丛-乔木方向演替。同时，随着近年退耕还林等人为活动影响，还存在草本-园地、草本-乔木、灌丛-乔木、旱地-园地、旱地-乔木等结构演替，总之，项目区植物群落总体朝向生物多样性更加复杂、生产力和生物量更加丰富、生态系统结构更加稳定的方向演变</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、项目评价范围内主要植被类型</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采用实地踏勘和样方调查相结合的方法对评价范围内植被进行实地调查，结合卫星影像解译成果，参考现有的资料和文献，根据各类群落的特征，按照吴征镒等《中国植物志</w:t>
      </w:r>
      <w:r>
        <w:rPr>
          <w:rFonts w:hint="eastAsia" w:cs="Times New Roman"/>
          <w:bCs/>
          <w:color w:val="000000" w:themeColor="text1"/>
          <w:highlight w:val="none"/>
          <w:lang w:eastAsia="zh-CN"/>
          <w14:textFill>
            <w14:solidFill>
              <w14:schemeClr w14:val="tx1"/>
            </w14:solidFill>
          </w14:textFill>
        </w:rPr>
        <w:t>》《</w:t>
      </w:r>
      <w:r>
        <w:rPr>
          <w:rFonts w:cs="Times New Roman"/>
          <w:bCs/>
          <w:color w:val="000000" w:themeColor="text1"/>
          <w:highlight w:val="none"/>
          <w14:textFill>
            <w14:solidFill>
              <w14:schemeClr w14:val="tx1"/>
            </w14:solidFill>
          </w14:textFill>
        </w:rPr>
        <w:t>四川植物志》中对四川的自然、人工植被的分类系统，划分出评价范围内不同的植被类型，形成植被分类系统。评价区自然植被涉及3种植被型组，3种植被型和3种群系，自然植被分类见表</w:t>
      </w:r>
      <w:r>
        <w:rPr>
          <w:color w:val="000000" w:themeColor="text1"/>
          <w:highlight w:val="none"/>
          <w14:textFill>
            <w14:solidFill>
              <w14:schemeClr w14:val="tx1"/>
            </w14:solidFill>
          </w14:textFill>
        </w:rPr>
        <w:t>4.3-</w:t>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工程评价范围自然植被分类系统</w:t>
      </w:r>
    </w:p>
    <w:tbl>
      <w:tblPr>
        <w:tblStyle w:val="9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8"/>
        <w:gridCol w:w="641"/>
        <w:gridCol w:w="1053"/>
        <w:gridCol w:w="2068"/>
        <w:gridCol w:w="1809"/>
        <w:gridCol w:w="1098"/>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269" w:type="pct"/>
            <w:vMerge w:val="restar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植被型组</w:t>
            </w:r>
          </w:p>
        </w:tc>
        <w:tc>
          <w:tcPr>
            <w:tcW w:w="385" w:type="pct"/>
            <w:vMerge w:val="restar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植被型</w:t>
            </w:r>
          </w:p>
        </w:tc>
        <w:tc>
          <w:tcPr>
            <w:tcW w:w="633" w:type="pct"/>
            <w:vMerge w:val="restart"/>
            <w:vAlign w:val="center"/>
          </w:tcPr>
          <w:p>
            <w:pPr>
              <w:adjustRightInd/>
              <w:snapToGrid/>
              <w:spacing w:before="51" w:line="214" w:lineRule="auto"/>
              <w:ind w:firstLine="0" w:firstLineChars="0"/>
              <w:jc w:val="center"/>
              <w:rPr>
                <w:rFonts w:cs="Times New Roman"/>
                <w:b/>
                <w:color w:val="000000" w:themeColor="text1"/>
                <w:spacing w:val="-4"/>
                <w:sz w:val="21"/>
                <w:szCs w:val="21"/>
                <w:highlight w:val="none"/>
                <w:lang w:eastAsia="en-US"/>
                <w14:textFill>
                  <w14:solidFill>
                    <w14:schemeClr w14:val="tx1"/>
                  </w14:solidFill>
                </w14:textFill>
              </w:rPr>
            </w:pPr>
            <w:r>
              <w:rPr>
                <w:rFonts w:cs="Times New Roman"/>
                <w:b/>
                <w:color w:val="000000" w:themeColor="text1"/>
                <w:spacing w:val="-4"/>
                <w:sz w:val="21"/>
                <w:szCs w:val="21"/>
                <w:highlight w:val="none"/>
                <w:lang w:eastAsia="en-US"/>
                <w14:textFill>
                  <w14:solidFill>
                    <w14:schemeClr w14:val="tx1"/>
                  </w14:solidFill>
                </w14:textFill>
              </w:rPr>
              <w:t>植被亚型</w:t>
            </w:r>
          </w:p>
        </w:tc>
        <w:tc>
          <w:tcPr>
            <w:tcW w:w="1243" w:type="pct"/>
            <w:vMerge w:val="restart"/>
            <w:vAlign w:val="center"/>
          </w:tcPr>
          <w:p>
            <w:pPr>
              <w:adjustRightInd/>
              <w:snapToGrid/>
              <w:spacing w:before="51" w:line="214" w:lineRule="auto"/>
              <w:ind w:firstLine="0" w:firstLineChars="0"/>
              <w:jc w:val="center"/>
              <w:rPr>
                <w:rFonts w:cs="Times New Roman"/>
                <w:b/>
                <w:color w:val="000000" w:themeColor="text1"/>
                <w:sz w:val="21"/>
                <w:szCs w:val="21"/>
                <w:highlight w:val="none"/>
                <w:lang w:eastAsia="en-US"/>
                <w14:textFill>
                  <w14:solidFill>
                    <w14:schemeClr w14:val="tx1"/>
                  </w14:solidFill>
                </w14:textFill>
              </w:rPr>
            </w:pPr>
            <w:r>
              <w:rPr>
                <w:rFonts w:cs="Times New Roman"/>
                <w:b/>
                <w:color w:val="000000" w:themeColor="text1"/>
                <w:spacing w:val="-3"/>
                <w:sz w:val="21"/>
                <w:szCs w:val="21"/>
                <w:highlight w:val="none"/>
                <w:lang w:eastAsia="en-US"/>
                <w14:textFill>
                  <w14:solidFill>
                    <w14:schemeClr w14:val="tx1"/>
                  </w14:solidFill>
                </w14:textFill>
              </w:rPr>
              <w:t>群</w:t>
            </w:r>
            <w:r>
              <w:rPr>
                <w:rFonts w:cs="Times New Roman"/>
                <w:b/>
                <w:color w:val="000000" w:themeColor="text1"/>
                <w:spacing w:val="-2"/>
                <w:sz w:val="21"/>
                <w:szCs w:val="21"/>
                <w:highlight w:val="none"/>
                <w:lang w:eastAsia="en-US"/>
                <w14:textFill>
                  <w14:solidFill>
                    <w14:schemeClr w14:val="tx1"/>
                  </w14:solidFill>
                </w14:textFill>
              </w:rPr>
              <w:t>系</w:t>
            </w:r>
          </w:p>
        </w:tc>
        <w:tc>
          <w:tcPr>
            <w:tcW w:w="1087" w:type="pct"/>
            <w:vMerge w:val="restart"/>
            <w:vAlign w:val="center"/>
          </w:tcPr>
          <w:p>
            <w:pPr>
              <w:adjustRightInd/>
              <w:snapToGrid/>
              <w:spacing w:before="53" w:line="217" w:lineRule="auto"/>
              <w:ind w:firstLine="0" w:firstLineChars="0"/>
              <w:jc w:val="center"/>
              <w:rPr>
                <w:rFonts w:cs="Times New Roman"/>
                <w:b/>
                <w:color w:val="000000" w:themeColor="text1"/>
                <w:sz w:val="21"/>
                <w:szCs w:val="21"/>
                <w:highlight w:val="none"/>
                <w:lang w:eastAsia="en-US"/>
                <w14:textFill>
                  <w14:solidFill>
                    <w14:schemeClr w14:val="tx1"/>
                  </w14:solidFill>
                </w14:textFill>
              </w:rPr>
            </w:pPr>
            <w:r>
              <w:rPr>
                <w:rFonts w:cs="Times New Roman"/>
                <w:b/>
                <w:color w:val="000000" w:themeColor="text1"/>
                <w:spacing w:val="-2"/>
                <w:sz w:val="21"/>
                <w:szCs w:val="21"/>
                <w:highlight w:val="none"/>
                <w:lang w:eastAsia="en-US"/>
                <w14:textFill>
                  <w14:solidFill>
                    <w14:schemeClr w14:val="tx1"/>
                  </w14:solidFill>
                </w14:textFill>
              </w:rPr>
              <w:t>分布区域</w:t>
            </w:r>
          </w:p>
        </w:tc>
        <w:tc>
          <w:tcPr>
            <w:tcW w:w="1381" w:type="pct"/>
            <w:gridSpan w:val="2"/>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项目占用情况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269"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385"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633"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1243"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1087" w:type="pct"/>
            <w:vMerge w:val="continue"/>
            <w:vAlign w:val="center"/>
          </w:tcPr>
          <w:p>
            <w:pPr>
              <w:adjustRightInd/>
              <w:snapToGrid/>
              <w:spacing w:before="53" w:line="217" w:lineRule="auto"/>
              <w:ind w:left="1176" w:firstLine="0" w:firstLineChars="0"/>
              <w:rPr>
                <w:rFonts w:cs="Times New Roman"/>
                <w:b/>
                <w:color w:val="000000" w:themeColor="text1"/>
                <w:sz w:val="21"/>
                <w:szCs w:val="21"/>
                <w:highlight w:val="none"/>
                <w:lang w:eastAsia="en-US"/>
                <w14:textFill>
                  <w14:solidFill>
                    <w14:schemeClr w14:val="tx1"/>
                  </w14:solidFill>
                </w14:textFill>
              </w:rPr>
            </w:pPr>
          </w:p>
        </w:tc>
        <w:tc>
          <w:tcPr>
            <w:tcW w:w="660" w:type="pct"/>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面积</w:t>
            </w:r>
            <w:r>
              <w:rPr>
                <w:rFonts w:hint="eastAsia" w:cs="Times New Roman"/>
                <w:b/>
                <w:color w:val="000000" w:themeColor="text1"/>
                <w:sz w:val="21"/>
                <w:szCs w:val="21"/>
                <w:highlight w:val="none"/>
                <w:lang w:eastAsia="en-US"/>
                <w14:textFill>
                  <w14:solidFill>
                    <w14:schemeClr w14:val="tx1"/>
                  </w14:solidFill>
                </w14:textFill>
              </w:rPr>
              <w:t>（</w:t>
            </w:r>
            <w:r>
              <w:rPr>
                <w:rFonts w:cs="Times New Roman"/>
                <w:b/>
                <w:color w:val="000000" w:themeColor="text1"/>
                <w:sz w:val="21"/>
                <w:szCs w:val="21"/>
                <w:highlight w:val="none"/>
                <w:lang w:eastAsia="en-US"/>
                <w14:textFill>
                  <w14:solidFill>
                    <w14:schemeClr w14:val="tx1"/>
                  </w14:solidFill>
                </w14:textFill>
              </w:rPr>
              <w:t>hm²</w:t>
            </w:r>
            <w:r>
              <w:rPr>
                <w:rFonts w:hint="eastAsia" w:cs="Times New Roman"/>
                <w:b/>
                <w:color w:val="000000" w:themeColor="text1"/>
                <w:sz w:val="21"/>
                <w:szCs w:val="21"/>
                <w:highlight w:val="none"/>
                <w:lang w:eastAsia="en-US"/>
                <w14:textFill>
                  <w14:solidFill>
                    <w14:schemeClr w14:val="tx1"/>
                  </w14:solidFill>
                </w14:textFill>
              </w:rPr>
              <w:t>）</w:t>
            </w:r>
          </w:p>
        </w:tc>
        <w:tc>
          <w:tcPr>
            <w:tcW w:w="720" w:type="pct"/>
            <w:vAlign w:val="center"/>
          </w:tcPr>
          <w:p>
            <w:pPr>
              <w:adjustRightInd/>
              <w:snapToGrid/>
              <w:spacing w:line="240" w:lineRule="auto"/>
              <w:ind w:firstLine="0" w:firstLineChars="0"/>
              <w:jc w:val="center"/>
              <w:rPr>
                <w:rFonts w:cs="Times New Roman"/>
                <w:b/>
                <w:color w:val="000000" w:themeColor="text1"/>
                <w:spacing w:val="-2"/>
                <w:sz w:val="21"/>
                <w:szCs w:val="21"/>
                <w:highlight w:val="none"/>
                <w:lang w:eastAsia="en-US"/>
                <w14:textFill>
                  <w14:solidFill>
                    <w14:schemeClr w14:val="tx1"/>
                  </w14:solidFill>
                </w14:textFill>
              </w:rPr>
            </w:pPr>
            <w:r>
              <w:rPr>
                <w:rFonts w:cs="Times New Roman"/>
                <w:b/>
                <w:color w:val="000000" w:themeColor="text1"/>
                <w:sz w:val="21"/>
                <w:szCs w:val="21"/>
                <w:highlight w:val="none"/>
                <w:lang w:eastAsia="en-US"/>
                <w14:textFill>
                  <w14:solidFill>
                    <w14:schemeClr w14:val="tx1"/>
                  </w14:solidFill>
                </w14:textFill>
              </w:rPr>
              <w:t>比例</w:t>
            </w:r>
            <w:r>
              <w:rPr>
                <w:rFonts w:hint="eastAsia" w:cs="Times New Roman"/>
                <w:b/>
                <w:color w:val="000000" w:themeColor="text1"/>
                <w:sz w:val="21"/>
                <w:szCs w:val="21"/>
                <w:highlight w:val="none"/>
                <w:lang w:eastAsia="en-US"/>
                <w14:textFill>
                  <w14:solidFill>
                    <w14:schemeClr w14:val="tx1"/>
                  </w14:solidFill>
                </w14:textFill>
              </w:rPr>
              <w:t>（</w:t>
            </w:r>
            <w:r>
              <w:rPr>
                <w:rFonts w:cs="Times New Roman"/>
                <w:b/>
                <w:color w:val="000000" w:themeColor="text1"/>
                <w:sz w:val="21"/>
                <w:szCs w:val="21"/>
                <w:highlight w:val="none"/>
                <w:lang w:eastAsia="en-US"/>
                <w14:textFill>
                  <w14:solidFill>
                    <w14:schemeClr w14:val="tx1"/>
                  </w14:solidFill>
                </w14:textFill>
              </w:rPr>
              <w:t>%</w:t>
            </w:r>
            <w:r>
              <w:rPr>
                <w:rFonts w:hint="eastAsia" w:cs="Times New Roman"/>
                <w:b/>
                <w:color w:val="000000" w:themeColor="text1"/>
                <w:sz w:val="21"/>
                <w:szCs w:val="21"/>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9" w:hRule="atLeast"/>
          <w:jc w:val="center"/>
        </w:trPr>
        <w:tc>
          <w:tcPr>
            <w:tcW w:w="269" w:type="pct"/>
            <w:vMerge w:val="restar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阔叶林</w:t>
            </w:r>
          </w:p>
        </w:tc>
        <w:tc>
          <w:tcPr>
            <w:tcW w:w="38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落叶阔叶林</w:t>
            </w:r>
          </w:p>
        </w:tc>
        <w:tc>
          <w:tcPr>
            <w:tcW w:w="633"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典型落叶阔叶林</w:t>
            </w:r>
          </w:p>
        </w:tc>
        <w:tc>
          <w:tcPr>
            <w:tcW w:w="1243"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麻栎+青冈+栓皮栎群系</w:t>
            </w:r>
          </w:p>
        </w:tc>
        <w:tc>
          <w:tcPr>
            <w:tcW w:w="1087"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在评价区广泛分布</w:t>
            </w:r>
          </w:p>
        </w:tc>
        <w:tc>
          <w:tcPr>
            <w:tcW w:w="660" w:type="pct"/>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0.8254</w:t>
            </w:r>
          </w:p>
        </w:tc>
        <w:tc>
          <w:tcPr>
            <w:tcW w:w="720"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51.93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9" w:hRule="atLeast"/>
          <w:jc w:val="center"/>
        </w:trPr>
        <w:tc>
          <w:tcPr>
            <w:tcW w:w="269" w:type="pct"/>
            <w:vMerge w:val="continue"/>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p>
        </w:tc>
        <w:tc>
          <w:tcPr>
            <w:tcW w:w="38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竹林</w:t>
            </w:r>
          </w:p>
        </w:tc>
        <w:tc>
          <w:tcPr>
            <w:tcW w:w="633"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暖性竹林</w:t>
            </w:r>
          </w:p>
        </w:tc>
        <w:tc>
          <w:tcPr>
            <w:tcW w:w="1243"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慈竹群系</w:t>
            </w:r>
          </w:p>
        </w:tc>
        <w:tc>
          <w:tcPr>
            <w:tcW w:w="1087"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在评价区零星分布，在居民点房前屋后、路边居多</w:t>
            </w:r>
          </w:p>
        </w:tc>
        <w:tc>
          <w:tcPr>
            <w:tcW w:w="660" w:type="pct"/>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eastAsia="en-US" w:bidi="ar"/>
                <w14:textFill>
                  <w14:solidFill>
                    <w14:schemeClr w14:val="tx1"/>
                  </w14:solidFill>
                </w14:textFill>
              </w:rPr>
            </w:pPr>
            <w:r>
              <w:rPr>
                <w:rFonts w:cs="Times New Roman"/>
                <w:bCs/>
                <w:color w:val="000000" w:themeColor="text1"/>
                <w:kern w:val="0"/>
                <w:sz w:val="21"/>
                <w:szCs w:val="21"/>
                <w:highlight w:val="none"/>
                <w:lang w:eastAsia="en-US" w:bidi="ar"/>
                <w14:textFill>
                  <w14:solidFill>
                    <w14:schemeClr w14:val="tx1"/>
                  </w14:solidFill>
                </w14:textFill>
              </w:rPr>
              <w:t>0</w:t>
            </w:r>
          </w:p>
        </w:tc>
        <w:tc>
          <w:tcPr>
            <w:tcW w:w="720"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69"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灌丛和灌 草丛</w:t>
            </w:r>
          </w:p>
        </w:tc>
        <w:tc>
          <w:tcPr>
            <w:tcW w:w="385"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落叶阔叶灌丛</w:t>
            </w:r>
          </w:p>
        </w:tc>
        <w:tc>
          <w:tcPr>
            <w:tcW w:w="633" w:type="pct"/>
            <w:vAlign w:val="center"/>
          </w:tcPr>
          <w:p>
            <w:pPr>
              <w:adjustRightInd/>
              <w:snapToGrid/>
              <w:spacing w:before="51" w:line="214" w:lineRule="auto"/>
              <w:ind w:firstLine="0" w:firstLineChars="0"/>
              <w:jc w:val="center"/>
              <w:rPr>
                <w:rFonts w:cs="Times New Roman"/>
                <w:bCs/>
                <w:color w:val="000000" w:themeColor="text1"/>
                <w:spacing w:val="-4"/>
                <w:sz w:val="21"/>
                <w:szCs w:val="21"/>
                <w:highlight w:val="none"/>
                <w:lang w:eastAsia="en-US"/>
                <w14:textFill>
                  <w14:solidFill>
                    <w14:schemeClr w14:val="tx1"/>
                  </w14:solidFill>
                </w14:textFill>
              </w:rPr>
            </w:pPr>
            <w:r>
              <w:rPr>
                <w:rFonts w:cs="Times New Roman"/>
                <w:bCs/>
                <w:color w:val="000000" w:themeColor="text1"/>
                <w:spacing w:val="-4"/>
                <w:sz w:val="21"/>
                <w:szCs w:val="21"/>
                <w:highlight w:val="none"/>
                <w:lang w:eastAsia="en-US"/>
                <w14:textFill>
                  <w14:solidFill>
                    <w14:schemeClr w14:val="tx1"/>
                  </w14:solidFill>
                </w14:textFill>
              </w:rPr>
              <w:t>暖性落叶阔叶灌丛</w:t>
            </w:r>
          </w:p>
        </w:tc>
        <w:tc>
          <w:tcPr>
            <w:tcW w:w="1243"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马桑+黄荆+火棘+荚蒾灌丛</w:t>
            </w:r>
          </w:p>
        </w:tc>
        <w:tc>
          <w:tcPr>
            <w:tcW w:w="1087"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主要分布在林下、林缘、山脚、路边、农田两旁</w:t>
            </w:r>
          </w:p>
        </w:tc>
        <w:tc>
          <w:tcPr>
            <w:tcW w:w="660" w:type="pct"/>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0.2328</w:t>
            </w:r>
          </w:p>
        </w:tc>
        <w:tc>
          <w:tcPr>
            <w:tcW w:w="720"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lang w:eastAsia="en-US"/>
                <w14:textFill>
                  <w14:solidFill>
                    <w14:schemeClr w14:val="tx1"/>
                  </w14:solidFill>
                </w14:textFill>
              </w:rPr>
            </w:pPr>
            <w:r>
              <w:rPr>
                <w:rFonts w:cs="Times New Roman"/>
                <w:bCs/>
                <w:color w:val="000000" w:themeColor="text1"/>
                <w:kern w:val="0"/>
                <w:sz w:val="21"/>
                <w:szCs w:val="21"/>
                <w:highlight w:val="none"/>
                <w:lang w:eastAsia="en-US"/>
                <w14:textFill>
                  <w14:solidFill>
                    <w14:schemeClr w14:val="tx1"/>
                  </w14:solidFill>
                </w14:textFill>
              </w:rPr>
              <w:t>33.42</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Ⅰ森林植被</w:t>
      </w:r>
    </w:p>
    <w:p>
      <w:pPr>
        <w:ind w:firstLine="540"/>
        <w:rPr>
          <w:rFonts w:cs="Times New Roman"/>
          <w:bCs/>
          <w:color w:val="000000" w:themeColor="text1"/>
          <w:szCs w:val="24"/>
          <w:highlight w:val="none"/>
          <w14:textFill>
            <w14:solidFill>
              <w14:schemeClr w14:val="tx1"/>
            </w14:solidFill>
          </w14:textFill>
        </w:rPr>
      </w:pPr>
      <w:r>
        <w:rPr>
          <w:rFonts w:cs="Times New Roman"/>
          <w:bCs/>
          <w:color w:val="000000" w:themeColor="text1"/>
          <w:spacing w:val="15"/>
          <w:szCs w:val="24"/>
          <w:highlight w:val="none"/>
          <w14:textFill>
            <w14:solidFill>
              <w14:schemeClr w14:val="tx1"/>
            </w14:solidFill>
          </w14:textFill>
        </w:rPr>
        <w:t>①</w:t>
      </w:r>
      <w:r>
        <w:rPr>
          <w:rFonts w:cs="Times New Roman"/>
          <w:bCs/>
          <w:color w:val="000000" w:themeColor="text1"/>
          <w:szCs w:val="24"/>
          <w:highlight w:val="none"/>
          <w14:textFill>
            <w14:solidFill>
              <w14:schemeClr w14:val="tx1"/>
            </w14:solidFill>
          </w14:textFill>
        </w:rPr>
        <w:t>麻栎+青冈</w:t>
      </w:r>
      <w:r>
        <w:rPr>
          <w:rFonts w:cs="Times New Roman"/>
          <w:bCs/>
          <w:color w:val="000000" w:themeColor="text1"/>
          <w:spacing w:val="-4"/>
          <w:szCs w:val="24"/>
          <w:highlight w:val="none"/>
          <w14:textFill>
            <w14:solidFill>
              <w14:schemeClr w14:val="tx1"/>
            </w14:solidFill>
          </w14:textFill>
        </w:rPr>
        <w:t>+栓皮栎</w:t>
      </w:r>
      <w:r>
        <w:rPr>
          <w:rFonts w:cs="Times New Roman"/>
          <w:bCs/>
          <w:color w:val="000000" w:themeColor="text1"/>
          <w:spacing w:val="9"/>
          <w:szCs w:val="24"/>
          <w:highlight w:val="none"/>
          <w14:textFill>
            <w14:solidFill>
              <w14:schemeClr w14:val="tx1"/>
            </w14:solidFill>
          </w14:textFill>
        </w:rPr>
        <w:t>群落</w:t>
      </w:r>
      <w:r>
        <w:rPr>
          <w:rFonts w:hint="eastAsia" w:cs="Times New Roman"/>
          <w:bCs/>
          <w:color w:val="000000" w:themeColor="text1"/>
          <w:spacing w:val="9"/>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Form.</w:t>
      </w:r>
      <w:r>
        <w:rPr>
          <w:rFonts w:cs="Times New Roman"/>
          <w:bCs/>
          <w:i/>
          <w:iCs/>
          <w:color w:val="000000" w:themeColor="text1"/>
          <w:szCs w:val="24"/>
          <w:highlight w:val="none"/>
          <w14:textFill>
            <w14:solidFill>
              <w14:schemeClr w14:val="tx1"/>
            </w14:solidFill>
          </w14:textFill>
        </w:rPr>
        <w:t xml:space="preserve">Quercus acutissima </w:t>
      </w:r>
      <w:r>
        <w:rPr>
          <w:rFonts w:cs="Times New Roman"/>
          <w:bCs/>
          <w:color w:val="000000" w:themeColor="text1"/>
          <w:szCs w:val="24"/>
          <w:highlight w:val="none"/>
          <w14:textFill>
            <w14:solidFill>
              <w14:schemeClr w14:val="tx1"/>
            </w14:solidFill>
          </w14:textFill>
        </w:rPr>
        <w:t>Carruth.</w:t>
      </w:r>
      <w:r>
        <w:rPr>
          <w:rFonts w:cs="Times New Roman"/>
          <w:bCs/>
          <w:i/>
          <w:iCs/>
          <w:color w:val="000000" w:themeColor="text1"/>
          <w:szCs w:val="24"/>
          <w:highlight w:val="none"/>
          <w14:textFill>
            <w14:solidFill>
              <w14:schemeClr w14:val="tx1"/>
            </w14:solidFill>
          </w14:textFill>
        </w:rPr>
        <w:t xml:space="preserve">+Quercus variabilis </w:t>
      </w:r>
      <w:r>
        <w:rPr>
          <w:rFonts w:cs="Times New Roman"/>
          <w:bCs/>
          <w:color w:val="000000" w:themeColor="text1"/>
          <w:szCs w:val="24"/>
          <w:highlight w:val="none"/>
          <w14:textFill>
            <w14:solidFill>
              <w14:schemeClr w14:val="tx1"/>
            </w14:solidFill>
          </w14:textFill>
        </w:rPr>
        <w:t>Bl.</w:t>
      </w:r>
      <w:r>
        <w:rPr>
          <w:rFonts w:cs="Times New Roman"/>
          <w:bCs/>
          <w:i/>
          <w:iCs/>
          <w:color w:val="000000" w:themeColor="text1"/>
          <w:szCs w:val="24"/>
          <w:highlight w:val="none"/>
          <w14:textFill>
            <w14:solidFill>
              <w14:schemeClr w14:val="tx1"/>
            </w14:solidFill>
          </w14:textFill>
        </w:rPr>
        <w:t xml:space="preserve">+Liquidambar formosana </w:t>
      </w:r>
      <w:r>
        <w:rPr>
          <w:rFonts w:cs="Times New Roman"/>
          <w:bCs/>
          <w:color w:val="000000" w:themeColor="text1"/>
          <w:szCs w:val="24"/>
          <w:highlight w:val="none"/>
          <w14:textFill>
            <w14:solidFill>
              <w14:schemeClr w14:val="tx1"/>
            </w14:solidFill>
          </w14:textFill>
        </w:rPr>
        <w:t>Hance</w:t>
      </w:r>
      <w:r>
        <w:rPr>
          <w:rFonts w:hint="eastAsia"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该植被类型是评价区及周边房前屋后分布较广的植被类型，多为人工栽培，是一个生态幅度较大的森林类型，在不同气候类型的影响下，该植被类型生长发育都较好，表现出较强的适应性。这种较强的适应性，也表现在对林地的地形、岩石及土壤等环境无严格的选择上，常混生有枫香、响叶杨、马尾松、柏木等混生，林内平均胸径25厘米，树高介于10-20米。常受到人类活动地影响，林下灌木较少。林下灌木主要为</w:t>
      </w:r>
      <w:r>
        <w:rPr>
          <w:rFonts w:cs="Times New Roman"/>
          <w:bCs/>
          <w:color w:val="000000" w:themeColor="text1"/>
          <w:spacing w:val="-2"/>
          <w:szCs w:val="24"/>
          <w:highlight w:val="none"/>
          <w14:textFill>
            <w14:solidFill>
              <w14:schemeClr w14:val="tx1"/>
            </w14:solidFill>
          </w14:textFill>
        </w:rPr>
        <w:t>烟管荚蓬、火棘、蔷薇、盐肤木、映山红、铁仔、毛黄栌</w:t>
      </w:r>
      <w:r>
        <w:rPr>
          <w:rFonts w:cs="Times New Roman"/>
          <w:bCs/>
          <w:color w:val="000000" w:themeColor="text1"/>
          <w:szCs w:val="24"/>
          <w:highlight w:val="none"/>
          <w14:textFill>
            <w14:solidFill>
              <w14:schemeClr w14:val="tx1"/>
            </w14:solidFill>
          </w14:textFill>
        </w:rPr>
        <w:t>等分布。</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草本植物稍多，主要种类有狗牙根（</w:t>
      </w:r>
      <w:r>
        <w:rPr>
          <w:rFonts w:cs="Times New Roman"/>
          <w:bCs/>
          <w:i/>
          <w:iCs/>
          <w:color w:val="000000" w:themeColor="text1"/>
          <w:szCs w:val="24"/>
          <w:highlight w:val="none"/>
          <w14:textFill>
            <w14:solidFill>
              <w14:schemeClr w14:val="tx1"/>
            </w14:solidFill>
          </w14:textFill>
        </w:rPr>
        <w:t>Cynodon dactylon</w:t>
      </w:r>
      <w:r>
        <w:rPr>
          <w:rFonts w:cs="Times New Roman"/>
          <w:bCs/>
          <w:color w:val="000000" w:themeColor="text1"/>
          <w:szCs w:val="24"/>
          <w:highlight w:val="none"/>
          <w14:textFill>
            <w14:solidFill>
              <w14:schemeClr w14:val="tx1"/>
            </w14:solidFill>
          </w14:textFill>
        </w:rPr>
        <w:t>）、马唐（</w:t>
      </w:r>
      <w:r>
        <w:rPr>
          <w:rFonts w:cs="Times New Roman"/>
          <w:bCs/>
          <w:i/>
          <w:iCs/>
          <w:color w:val="000000" w:themeColor="text1"/>
          <w:szCs w:val="24"/>
          <w:highlight w:val="none"/>
          <w14:textFill>
            <w14:solidFill>
              <w14:schemeClr w14:val="tx1"/>
            </w14:solidFill>
          </w14:textFill>
        </w:rPr>
        <w:t>Digitaria sanguinalis</w:t>
      </w:r>
      <w:r>
        <w:rPr>
          <w:rFonts w:cs="Times New Roman"/>
          <w:bCs/>
          <w:color w:val="000000" w:themeColor="text1"/>
          <w:szCs w:val="24"/>
          <w:highlight w:val="none"/>
          <w14:textFill>
            <w14:solidFill>
              <w14:schemeClr w14:val="tx1"/>
            </w14:solidFill>
          </w14:textFill>
        </w:rPr>
        <w:t>）、酢浆草（</w:t>
      </w:r>
      <w:r>
        <w:rPr>
          <w:rFonts w:cs="Times New Roman"/>
          <w:bCs/>
          <w:i/>
          <w:iCs/>
          <w:color w:val="000000" w:themeColor="text1"/>
          <w:szCs w:val="24"/>
          <w:highlight w:val="none"/>
          <w14:textFill>
            <w14:solidFill>
              <w14:schemeClr w14:val="tx1"/>
            </w14:solidFill>
          </w14:textFill>
        </w:rPr>
        <w:t>Oxalis corniculata</w:t>
      </w:r>
      <w:r>
        <w:rPr>
          <w:rFonts w:cs="Times New Roman"/>
          <w:bCs/>
          <w:color w:val="000000" w:themeColor="text1"/>
          <w:szCs w:val="24"/>
          <w:highlight w:val="none"/>
          <w14:textFill>
            <w14:solidFill>
              <w14:schemeClr w14:val="tx1"/>
            </w14:solidFill>
          </w14:textFill>
        </w:rPr>
        <w:t>）、堇菜（</w:t>
      </w:r>
      <w:r>
        <w:rPr>
          <w:rFonts w:cs="Times New Roman"/>
          <w:bCs/>
          <w:i/>
          <w:iCs/>
          <w:color w:val="000000" w:themeColor="text1"/>
          <w:szCs w:val="24"/>
          <w:highlight w:val="none"/>
          <w14:textFill>
            <w14:solidFill>
              <w14:schemeClr w14:val="tx1"/>
            </w14:solidFill>
          </w14:textFill>
        </w:rPr>
        <w:t>Viola spp.</w:t>
      </w:r>
      <w:r>
        <w:rPr>
          <w:rFonts w:cs="Times New Roman"/>
          <w:bCs/>
          <w:color w:val="000000" w:themeColor="text1"/>
          <w:szCs w:val="24"/>
          <w:highlight w:val="none"/>
          <w14:textFill>
            <w14:solidFill>
              <w14:schemeClr w14:val="tx1"/>
            </w14:solidFill>
          </w14:textFill>
        </w:rPr>
        <w:t>）、车前（</w:t>
      </w:r>
      <w:r>
        <w:rPr>
          <w:rFonts w:cs="Times New Roman"/>
          <w:bCs/>
          <w:i/>
          <w:iCs/>
          <w:color w:val="000000" w:themeColor="text1"/>
          <w:szCs w:val="24"/>
          <w:highlight w:val="none"/>
          <w14:textFill>
            <w14:solidFill>
              <w14:schemeClr w14:val="tx1"/>
            </w14:solidFill>
          </w14:textFill>
        </w:rPr>
        <w:t>Plantgo asiatica</w:t>
      </w:r>
      <w:r>
        <w:rPr>
          <w:rFonts w:cs="Times New Roman"/>
          <w:bCs/>
          <w:color w:val="000000" w:themeColor="text1"/>
          <w:szCs w:val="24"/>
          <w:highlight w:val="none"/>
          <w14:textFill>
            <w14:solidFill>
              <w14:schemeClr w14:val="tx1"/>
            </w14:solidFill>
          </w14:textFill>
        </w:rPr>
        <w:t>）、欧夏枯草（</w:t>
      </w:r>
      <w:r>
        <w:rPr>
          <w:rFonts w:cs="Times New Roman"/>
          <w:bCs/>
          <w:i/>
          <w:iCs/>
          <w:color w:val="000000" w:themeColor="text1"/>
          <w:szCs w:val="24"/>
          <w:highlight w:val="none"/>
          <w14:textFill>
            <w14:solidFill>
              <w14:schemeClr w14:val="tx1"/>
            </w14:solidFill>
          </w14:textFill>
        </w:rPr>
        <w:t>Prunella vulgaris</w:t>
      </w:r>
      <w:r>
        <w:rPr>
          <w:rFonts w:cs="Times New Roman"/>
          <w:bCs/>
          <w:color w:val="000000" w:themeColor="text1"/>
          <w:szCs w:val="24"/>
          <w:highlight w:val="none"/>
          <w14:textFill>
            <w14:solidFill>
              <w14:schemeClr w14:val="tx1"/>
            </w14:solidFill>
          </w14:textFill>
        </w:rPr>
        <w:t>）、龙牙草（</w:t>
      </w:r>
      <w:r>
        <w:rPr>
          <w:rFonts w:cs="Times New Roman"/>
          <w:bCs/>
          <w:i/>
          <w:iCs/>
          <w:color w:val="000000" w:themeColor="text1"/>
          <w:szCs w:val="24"/>
          <w:highlight w:val="none"/>
          <w14:textFill>
            <w14:solidFill>
              <w14:schemeClr w14:val="tx1"/>
            </w14:solidFill>
          </w14:textFill>
        </w:rPr>
        <w:t>Agrimonia pilosa</w:t>
      </w:r>
      <w:r>
        <w:rPr>
          <w:rFonts w:cs="Times New Roman"/>
          <w:bCs/>
          <w:color w:val="000000" w:themeColor="text1"/>
          <w:szCs w:val="24"/>
          <w:highlight w:val="none"/>
          <w14:textFill>
            <w14:solidFill>
              <w14:schemeClr w14:val="tx1"/>
            </w14:solidFill>
          </w14:textFill>
        </w:rPr>
        <w:t>）、蕺菜（</w:t>
      </w:r>
      <w:r>
        <w:rPr>
          <w:rFonts w:cs="Times New Roman"/>
          <w:bCs/>
          <w:i/>
          <w:iCs/>
          <w:color w:val="000000" w:themeColor="text1"/>
          <w:szCs w:val="24"/>
          <w:highlight w:val="none"/>
          <w14:textFill>
            <w14:solidFill>
              <w14:schemeClr w14:val="tx1"/>
            </w14:solidFill>
          </w14:textFill>
        </w:rPr>
        <w:t>Houttuynia cordata</w:t>
      </w:r>
      <w:r>
        <w:rPr>
          <w:rFonts w:cs="Times New Roman"/>
          <w:bCs/>
          <w:color w:val="000000" w:themeColor="text1"/>
          <w:szCs w:val="24"/>
          <w:highlight w:val="none"/>
          <w14:textFill>
            <w14:solidFill>
              <w14:schemeClr w14:val="tx1"/>
            </w14:solidFill>
          </w14:textFill>
        </w:rPr>
        <w:t>）、紫花地丁</w:t>
      </w:r>
      <w:r>
        <w:rPr>
          <w:rFonts w:hint="eastAsia" w:cs="Times New Roman"/>
          <w:bCs/>
          <w:color w:val="000000" w:themeColor="text1"/>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Viola philippica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、风轮菜</w:t>
      </w:r>
      <w:r>
        <w:rPr>
          <w:rFonts w:hint="eastAsia" w:cs="Times New Roman"/>
          <w:bCs/>
          <w:color w:val="000000" w:themeColor="text1"/>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Clinopodium chinensis</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、茅叶荩草</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Arthr</w:t>
      </w:r>
      <w:r>
        <w:rPr>
          <w:rFonts w:cs="Times New Roman"/>
          <w:bCs/>
          <w:i/>
          <w:iCs/>
          <w:color w:val="000000" w:themeColor="text1"/>
          <w:szCs w:val="24"/>
          <w:highlight w:val="none"/>
          <w14:textFill>
            <w14:solidFill>
              <w14:schemeClr w14:val="tx1"/>
            </w14:solidFill>
          </w14:textFill>
        </w:rPr>
        <w:t>axon lanc</w:t>
      </w:r>
      <w:r>
        <w:rPr>
          <w:rFonts w:cs="Times New Roman"/>
          <w:bCs/>
          <w:i/>
          <w:color w:val="000000" w:themeColor="text1"/>
          <w:szCs w:val="24"/>
          <w:highlight w:val="none"/>
          <w14:textFill>
            <w14:solidFill>
              <w14:schemeClr w14:val="tx1"/>
            </w14:solidFill>
          </w14:textFill>
        </w:rPr>
        <w:t>eoltus</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、阿拉伯婆婆纳</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Veronica persica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、问荆</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Equ</w:t>
      </w:r>
      <w:r>
        <w:rPr>
          <w:rFonts w:cs="Times New Roman"/>
          <w:bCs/>
          <w:i/>
          <w:iCs/>
          <w:color w:val="000000" w:themeColor="text1"/>
          <w:szCs w:val="24"/>
          <w:highlight w:val="none"/>
          <w14:textFill>
            <w14:solidFill>
              <w14:schemeClr w14:val="tx1"/>
            </w14:solidFill>
          </w14:textFill>
        </w:rPr>
        <w:t>isetum arven</w:t>
      </w:r>
      <w:r>
        <w:rPr>
          <w:rFonts w:cs="Times New Roman"/>
          <w:bCs/>
          <w:i/>
          <w:color w:val="000000" w:themeColor="text1"/>
          <w:szCs w:val="24"/>
          <w:highlight w:val="none"/>
          <w14:textFill>
            <w14:solidFill>
              <w14:schemeClr w14:val="tx1"/>
            </w14:solidFill>
          </w14:textFill>
        </w:rPr>
        <w:t>se</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、马鞭草</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Verbena officinalis</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、狗牙根</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Cynodondactylon</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、稗</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Echinoc</w:t>
      </w:r>
      <w:r>
        <w:rPr>
          <w:rFonts w:cs="Times New Roman"/>
          <w:bCs/>
          <w:i/>
          <w:iCs/>
          <w:color w:val="000000" w:themeColor="text1"/>
          <w:szCs w:val="24"/>
          <w:highlight w:val="none"/>
          <w14:textFill>
            <w14:solidFill>
              <w14:schemeClr w14:val="tx1"/>
            </w14:solidFill>
          </w14:textFill>
        </w:rPr>
        <w:t>hloa crusgal</w:t>
      </w:r>
      <w:r>
        <w:rPr>
          <w:rFonts w:cs="Times New Roman"/>
          <w:bCs/>
          <w:i/>
          <w:color w:val="000000" w:themeColor="text1"/>
          <w:szCs w:val="24"/>
          <w:highlight w:val="none"/>
          <w14:textFill>
            <w14:solidFill>
              <w14:schemeClr w14:val="tx1"/>
            </w14:solidFill>
          </w14:textFill>
        </w:rPr>
        <w:t>li</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、蜈蚣草</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Pteris vittata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、三叶鬼针草</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Bidens pilosa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、野艾蒿</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Artemisia lavandulaefolia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等。</w:t>
      </w:r>
    </w:p>
    <w:p>
      <w:pPr>
        <w:ind w:left="522"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②</w:t>
      </w:r>
      <w:r>
        <w:rPr>
          <w:rFonts w:cs="Times New Roman"/>
          <w:bCs/>
          <w:color w:val="000000" w:themeColor="text1"/>
          <w:spacing w:val="15"/>
          <w:szCs w:val="24"/>
          <w:highlight w:val="none"/>
          <w14:textFill>
            <w14:solidFill>
              <w14:schemeClr w14:val="tx1"/>
            </w14:solidFill>
          </w14:textFill>
        </w:rPr>
        <w:t>慈竹</w:t>
      </w:r>
      <w:r>
        <w:rPr>
          <w:rFonts w:cs="Times New Roman"/>
          <w:bCs/>
          <w:color w:val="000000" w:themeColor="text1"/>
          <w:szCs w:val="24"/>
          <w:highlight w:val="none"/>
          <w14:textFill>
            <w14:solidFill>
              <w14:schemeClr w14:val="tx1"/>
            </w14:solidFill>
          </w14:textFill>
        </w:rPr>
        <w:t>群系</w:t>
      </w:r>
      <w:r>
        <w:rPr>
          <w:rFonts w:cs="Times New Roman"/>
          <w:bCs/>
          <w:color w:val="000000" w:themeColor="text1"/>
          <w:spacing w:val="15"/>
          <w:szCs w:val="24"/>
          <w:highlight w:val="none"/>
          <w14:textFill>
            <w14:solidFill>
              <w14:schemeClr w14:val="tx1"/>
            </w14:solidFill>
          </w14:textFill>
        </w:rPr>
        <w:t>（</w:t>
      </w:r>
      <w:r>
        <w:rPr>
          <w:rFonts w:cs="Times New Roman"/>
          <w:bCs/>
          <w:color w:val="000000" w:themeColor="text1"/>
          <w:spacing w:val="-1"/>
          <w:szCs w:val="24"/>
          <w:highlight w:val="none"/>
          <w14:textFill>
            <w14:solidFill>
              <w14:schemeClr w14:val="tx1"/>
            </w14:solidFill>
          </w14:textFill>
        </w:rPr>
        <w:t>Fo</w:t>
      </w:r>
      <w:r>
        <w:rPr>
          <w:rFonts w:cs="Times New Roman"/>
          <w:bCs/>
          <w:color w:val="000000" w:themeColor="text1"/>
          <w:szCs w:val="24"/>
          <w:highlight w:val="none"/>
          <w14:textFill>
            <w14:solidFill>
              <w14:schemeClr w14:val="tx1"/>
            </w14:solidFill>
          </w14:textFill>
        </w:rPr>
        <w:t>rm</w:t>
      </w:r>
      <w:r>
        <w:rPr>
          <w:rFonts w:cs="Times New Roman"/>
          <w:bCs/>
          <w:i/>
          <w:iCs/>
          <w:color w:val="000000" w:themeColor="text1"/>
          <w:spacing w:val="-1"/>
          <w:szCs w:val="24"/>
          <w:highlight w:val="none"/>
          <w14:textFill>
            <w14:solidFill>
              <w14:schemeClr w14:val="tx1"/>
            </w14:solidFill>
          </w14:textFill>
        </w:rPr>
        <w:t>.</w:t>
      </w:r>
      <w:r>
        <w:rPr>
          <w:rFonts w:cs="Times New Roman"/>
          <w:bCs/>
          <w:i/>
          <w:iCs/>
          <w:color w:val="000000" w:themeColor="text1"/>
          <w:spacing w:val="-4"/>
          <w:szCs w:val="24"/>
          <w:highlight w:val="none"/>
          <w14:textFill>
            <w14:solidFill>
              <w14:schemeClr w14:val="tx1"/>
            </w14:solidFill>
          </w14:textFill>
        </w:rPr>
        <w:t>Neosinocalamus affinis</w:t>
      </w:r>
      <w:r>
        <w:rPr>
          <w:rFonts w:cs="Times New Roman"/>
          <w:bCs/>
          <w:color w:val="000000" w:themeColor="text1"/>
          <w:spacing w:val="15"/>
          <w:szCs w:val="24"/>
          <w:highlight w:val="none"/>
          <w14:textFill>
            <w14:solidFill>
              <w14:schemeClr w14:val="tx1"/>
            </w14:solidFill>
          </w14:textFill>
        </w:rPr>
        <w:t>）</w:t>
      </w:r>
    </w:p>
    <w:p>
      <w:pPr>
        <w:ind w:left="40" w:right="6" w:firstLine="448"/>
        <w:rPr>
          <w:rFonts w:cs="Times New Roman"/>
          <w:bCs/>
          <w:color w:val="000000" w:themeColor="text1"/>
          <w:szCs w:val="24"/>
          <w:highlight w:val="none"/>
          <w14:textFill>
            <w14:solidFill>
              <w14:schemeClr w14:val="tx1"/>
            </w14:solidFill>
          </w14:textFill>
        </w:rPr>
      </w:pPr>
      <w:r>
        <w:rPr>
          <w:rFonts w:cs="Times New Roman"/>
          <w:bCs/>
          <w:color w:val="000000" w:themeColor="text1"/>
          <w:spacing w:val="-8"/>
          <w:szCs w:val="24"/>
          <w:highlight w:val="none"/>
          <w14:textFill>
            <w14:solidFill>
              <w14:schemeClr w14:val="tx1"/>
            </w14:solidFill>
          </w14:textFill>
        </w:rPr>
        <w:t>评价区慈竹林分布较分散，房前屋后、路旁田坎以小块状分布，林下多为喜阴湿的</w:t>
      </w:r>
      <w:r>
        <w:rPr>
          <w:rFonts w:cs="Times New Roman"/>
          <w:bCs/>
          <w:color w:val="000000" w:themeColor="text1"/>
          <w:spacing w:val="-1"/>
          <w:szCs w:val="24"/>
          <w:highlight w:val="none"/>
          <w14:textFill>
            <w14:solidFill>
              <w14:schemeClr w14:val="tx1"/>
            </w14:solidFill>
          </w14:textFill>
        </w:rPr>
        <w:t>植</w:t>
      </w:r>
      <w:r>
        <w:rPr>
          <w:rFonts w:cs="Times New Roman"/>
          <w:bCs/>
          <w:color w:val="000000" w:themeColor="text1"/>
          <w:spacing w:val="-24"/>
          <w:szCs w:val="24"/>
          <w:highlight w:val="none"/>
          <w14:textFill>
            <w14:solidFill>
              <w14:schemeClr w14:val="tx1"/>
            </w14:solidFill>
          </w14:textFill>
        </w:rPr>
        <w:t>物种</w:t>
      </w:r>
      <w:r>
        <w:rPr>
          <w:rFonts w:cs="Times New Roman"/>
          <w:bCs/>
          <w:color w:val="000000" w:themeColor="text1"/>
          <w:spacing w:val="-21"/>
          <w:szCs w:val="24"/>
          <w:highlight w:val="none"/>
          <w14:textFill>
            <w14:solidFill>
              <w14:schemeClr w14:val="tx1"/>
            </w14:solidFill>
          </w14:textFill>
        </w:rPr>
        <w:t>类</w:t>
      </w:r>
      <w:r>
        <w:rPr>
          <w:rFonts w:cs="Times New Roman"/>
          <w:bCs/>
          <w:color w:val="000000" w:themeColor="text1"/>
          <w:spacing w:val="-12"/>
          <w:szCs w:val="24"/>
          <w:highlight w:val="none"/>
          <w14:textFill>
            <w14:solidFill>
              <w14:schemeClr w14:val="tx1"/>
            </w14:solidFill>
          </w14:textFill>
        </w:rPr>
        <w:t>；房前屋后呈小斑块状，受人为影响，林下层常缺失；在一些部分山地缓坡上也</w:t>
      </w:r>
      <w:r>
        <w:rPr>
          <w:rFonts w:cs="Times New Roman"/>
          <w:bCs/>
          <w:color w:val="000000" w:themeColor="text1"/>
          <w:spacing w:val="-19"/>
          <w:szCs w:val="24"/>
          <w:highlight w:val="none"/>
          <w14:textFill>
            <w14:solidFill>
              <w14:schemeClr w14:val="tx1"/>
            </w14:solidFill>
          </w14:textFill>
        </w:rPr>
        <w:t>有</w:t>
      </w:r>
      <w:r>
        <w:rPr>
          <w:rFonts w:cs="Times New Roman"/>
          <w:bCs/>
          <w:color w:val="000000" w:themeColor="text1"/>
          <w:spacing w:val="-10"/>
          <w:szCs w:val="24"/>
          <w:highlight w:val="none"/>
          <w14:textFill>
            <w14:solidFill>
              <w14:schemeClr w14:val="tx1"/>
            </w14:solidFill>
          </w14:textFill>
        </w:rPr>
        <w:t>大面积分布，林内多有掉落的竹叶，灌木层无论种类和数量都较小，草本层则局部密</w:t>
      </w:r>
      <w:r>
        <w:rPr>
          <w:rFonts w:cs="Times New Roman"/>
          <w:bCs/>
          <w:color w:val="000000" w:themeColor="text1"/>
          <w:spacing w:val="-8"/>
          <w:szCs w:val="24"/>
          <w:highlight w:val="none"/>
          <w14:textFill>
            <w14:solidFill>
              <w14:schemeClr w14:val="tx1"/>
            </w14:solidFill>
          </w14:textFill>
        </w:rPr>
        <w:t>集分布，但</w:t>
      </w:r>
      <w:r>
        <w:rPr>
          <w:rFonts w:cs="Times New Roman"/>
          <w:bCs/>
          <w:color w:val="000000" w:themeColor="text1"/>
          <w:spacing w:val="-4"/>
          <w:szCs w:val="24"/>
          <w:highlight w:val="none"/>
          <w14:textFill>
            <w14:solidFill>
              <w14:schemeClr w14:val="tx1"/>
            </w14:solidFill>
          </w14:textFill>
        </w:rPr>
        <w:t>总盖度亦不大。群落中，慈竹的平均高度12</w:t>
      </w:r>
      <w:r>
        <w:rPr>
          <w:rFonts w:hint="eastAsia" w:cs="Times New Roman"/>
          <w:bCs/>
          <w:color w:val="000000" w:themeColor="text1"/>
          <w:spacing w:val="-4"/>
          <w:szCs w:val="24"/>
          <w:highlight w:val="none"/>
          <w14:textFill>
            <w14:solidFill>
              <w14:schemeClr w14:val="tx1"/>
            </w14:solidFill>
          </w14:textFill>
        </w:rPr>
        <w:t>～</w:t>
      </w:r>
      <w:r>
        <w:rPr>
          <w:rFonts w:cs="Times New Roman"/>
          <w:bCs/>
          <w:color w:val="000000" w:themeColor="text1"/>
          <w:spacing w:val="-4"/>
          <w:szCs w:val="24"/>
          <w:highlight w:val="none"/>
          <w14:textFill>
            <w14:solidFill>
              <w14:schemeClr w14:val="tx1"/>
            </w14:solidFill>
          </w14:textFill>
        </w:rPr>
        <w:t>15m，杆径6</w:t>
      </w:r>
      <w:r>
        <w:rPr>
          <w:rFonts w:hint="eastAsia" w:cs="Times New Roman"/>
          <w:bCs/>
          <w:color w:val="000000" w:themeColor="text1"/>
          <w:spacing w:val="-4"/>
          <w:szCs w:val="24"/>
          <w:highlight w:val="none"/>
          <w14:textFill>
            <w14:solidFill>
              <w14:schemeClr w14:val="tx1"/>
            </w14:solidFill>
          </w14:textFill>
        </w:rPr>
        <w:t>～</w:t>
      </w:r>
      <w:r>
        <w:rPr>
          <w:rFonts w:cs="Times New Roman"/>
          <w:bCs/>
          <w:color w:val="000000" w:themeColor="text1"/>
          <w:spacing w:val="-4"/>
          <w:szCs w:val="24"/>
          <w:highlight w:val="none"/>
          <w14:textFill>
            <w14:solidFill>
              <w14:schemeClr w14:val="tx1"/>
            </w14:solidFill>
          </w14:textFill>
        </w:rPr>
        <w:t>8cm，林内郁闭</w:t>
      </w:r>
      <w:r>
        <w:rPr>
          <w:rFonts w:cs="Times New Roman"/>
          <w:bCs/>
          <w:color w:val="000000" w:themeColor="text1"/>
          <w:spacing w:val="-1"/>
          <w:szCs w:val="24"/>
          <w:highlight w:val="none"/>
          <w14:textFill>
            <w14:solidFill>
              <w14:schemeClr w14:val="tx1"/>
            </w14:solidFill>
          </w14:textFill>
        </w:rPr>
        <w:t>度达到0.7以上。林内其它物种数量较少，常见有光叶</w:t>
      </w:r>
      <w:r>
        <w:rPr>
          <w:rFonts w:hint="eastAsia" w:cs="Times New Roman"/>
          <w:bCs/>
          <w:color w:val="000000" w:themeColor="text1"/>
          <w:spacing w:val="-1"/>
          <w:szCs w:val="24"/>
          <w:highlight w:val="none"/>
          <w:lang w:eastAsia="zh-CN"/>
          <w14:textFill>
            <w14:solidFill>
              <w14:schemeClr w14:val="tx1"/>
            </w14:solidFill>
          </w14:textFill>
        </w:rPr>
        <w:t>高粱</w:t>
      </w:r>
      <w:r>
        <w:rPr>
          <w:rFonts w:cs="Times New Roman"/>
          <w:bCs/>
          <w:color w:val="000000" w:themeColor="text1"/>
          <w:spacing w:val="-1"/>
          <w:szCs w:val="24"/>
          <w:highlight w:val="none"/>
          <w14:textFill>
            <w14:solidFill>
              <w14:schemeClr w14:val="tx1"/>
            </w14:solidFill>
          </w14:textFill>
        </w:rPr>
        <w:t>泡、胡枝</w:t>
      </w:r>
      <w:r>
        <w:rPr>
          <w:rFonts w:cs="Times New Roman"/>
          <w:bCs/>
          <w:color w:val="000000" w:themeColor="text1"/>
          <w:szCs w:val="24"/>
          <w:highlight w:val="none"/>
          <w14:textFill>
            <w14:solidFill>
              <w14:schemeClr w14:val="tx1"/>
            </w14:solidFill>
          </w14:textFill>
        </w:rPr>
        <w:t>子、牛膝、</w:t>
      </w:r>
      <w:r>
        <w:rPr>
          <w:rFonts w:cs="Times New Roman"/>
          <w:bCs/>
          <w:color w:val="000000" w:themeColor="text1"/>
          <w:spacing w:val="-6"/>
          <w:szCs w:val="24"/>
          <w:highlight w:val="none"/>
          <w14:textFill>
            <w14:solidFill>
              <w14:schemeClr w14:val="tx1"/>
            </w14:solidFill>
          </w14:textFill>
        </w:rPr>
        <w:t>红盖鳞毛蕨、棕叶狗尾草等分布其中，盖度均在5%左右，平均高度0.4</w:t>
      </w:r>
      <w:r>
        <w:rPr>
          <w:rFonts w:cs="Times New Roman"/>
          <w:bCs/>
          <w:color w:val="000000" w:themeColor="text1"/>
          <w:szCs w:val="24"/>
          <w:highlight w:val="none"/>
          <w14:textFill>
            <w14:solidFill>
              <w14:schemeClr w14:val="tx1"/>
            </w14:solidFill>
          </w14:textFill>
        </w:rPr>
        <w:t>m</w:t>
      </w:r>
      <w:r>
        <w:rPr>
          <w:rFonts w:cs="Times New Roman"/>
          <w:bCs/>
          <w:color w:val="000000" w:themeColor="text1"/>
          <w:spacing w:val="-6"/>
          <w:szCs w:val="24"/>
          <w:highlight w:val="none"/>
          <w14:textFill>
            <w14:solidFill>
              <w14:schemeClr w14:val="tx1"/>
            </w14:solidFill>
          </w14:textFill>
        </w:rPr>
        <w:t>左</w:t>
      </w:r>
      <w:r>
        <w:rPr>
          <w:rFonts w:cs="Times New Roman"/>
          <w:bCs/>
          <w:color w:val="000000" w:themeColor="text1"/>
          <w:spacing w:val="-14"/>
          <w:szCs w:val="24"/>
          <w:highlight w:val="none"/>
          <w14:textFill>
            <w14:solidFill>
              <w14:schemeClr w14:val="tx1"/>
            </w14:solidFill>
          </w14:textFill>
        </w:rPr>
        <w:t>右</w:t>
      </w:r>
      <w:r>
        <w:rPr>
          <w:rFonts w:cs="Times New Roman"/>
          <w:bCs/>
          <w:color w:val="000000" w:themeColor="text1"/>
          <w:spacing w:val="-10"/>
          <w:szCs w:val="24"/>
          <w:highlight w:val="none"/>
          <w14:textFill>
            <w14:solidFill>
              <w14:schemeClr w14:val="tx1"/>
            </w14:solidFill>
          </w14:textFill>
        </w:rPr>
        <w:t>。另外，在慈竹林周边局部区域，通常可见伴生有少量的构树、刺桐、芭蕉等，总冠</w:t>
      </w:r>
      <w:r>
        <w:rPr>
          <w:rFonts w:cs="Times New Roman"/>
          <w:bCs/>
          <w:color w:val="000000" w:themeColor="text1"/>
          <w:spacing w:val="-1"/>
          <w:szCs w:val="24"/>
          <w:highlight w:val="none"/>
          <w14:textFill>
            <w14:solidFill>
              <w14:schemeClr w14:val="tx1"/>
            </w14:solidFill>
          </w14:textFill>
        </w:rPr>
        <w:t>盖度约占20%。层间植物，如三裂蛇葡萄、葛藤、海金沙、葎草、薯蓣等，</w:t>
      </w:r>
      <w:r>
        <w:rPr>
          <w:rFonts w:cs="Times New Roman"/>
          <w:bCs/>
          <w:color w:val="000000" w:themeColor="text1"/>
          <w:szCs w:val="24"/>
          <w:highlight w:val="none"/>
          <w14:textFill>
            <w14:solidFill>
              <w14:schemeClr w14:val="tx1"/>
            </w14:solidFill>
          </w14:textFill>
        </w:rPr>
        <w:t>在群落中</w:t>
      </w:r>
      <w:r>
        <w:rPr>
          <w:rFonts w:cs="Times New Roman"/>
          <w:bCs/>
          <w:color w:val="000000" w:themeColor="text1"/>
          <w:spacing w:val="-8"/>
          <w:szCs w:val="24"/>
          <w:highlight w:val="none"/>
          <w14:textFill>
            <w14:solidFill>
              <w14:schemeClr w14:val="tx1"/>
            </w14:solidFill>
          </w14:textFill>
        </w:rPr>
        <w:t>常见分布。</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Ⅱ 灌丛植被</w:t>
      </w:r>
    </w:p>
    <w:p>
      <w:pPr>
        <w:ind w:firstLine="512"/>
        <w:rPr>
          <w:rFonts w:cs="Times New Roman"/>
          <w:bCs/>
          <w:color w:val="000000" w:themeColor="text1"/>
          <w:szCs w:val="24"/>
          <w:highlight w:val="none"/>
          <w14:textFill>
            <w14:solidFill>
              <w14:schemeClr w14:val="tx1"/>
            </w14:solidFill>
          </w14:textFill>
        </w:rPr>
      </w:pPr>
      <w:r>
        <w:rPr>
          <w:rFonts w:cs="Times New Roman"/>
          <w:bCs/>
          <w:color w:val="000000" w:themeColor="text1"/>
          <w:spacing w:val="8"/>
          <w:szCs w:val="24"/>
          <w:highlight w:val="none"/>
          <w14:textFill>
            <w14:solidFill>
              <w14:schemeClr w14:val="tx1"/>
            </w14:solidFill>
          </w14:textFill>
        </w:rPr>
        <w:t>①</w:t>
      </w:r>
      <w:r>
        <w:rPr>
          <w:rFonts w:cs="Times New Roman"/>
          <w:bCs/>
          <w:color w:val="000000" w:themeColor="text1"/>
          <w:szCs w:val="24"/>
          <w:highlight w:val="none"/>
          <w14:textFill>
            <w14:solidFill>
              <w14:schemeClr w14:val="tx1"/>
            </w14:solidFill>
          </w14:textFill>
        </w:rPr>
        <w:t>马桑+黄荆+火棘+荚蒾灌丛群系（Form.</w:t>
      </w:r>
      <w:r>
        <w:rPr>
          <w:rFonts w:cs="Times New Roman"/>
          <w:bCs/>
          <w:i/>
          <w:iCs/>
          <w:color w:val="000000" w:themeColor="text1"/>
          <w:szCs w:val="24"/>
          <w:highlight w:val="none"/>
          <w14:textFill>
            <w14:solidFill>
              <w14:schemeClr w14:val="tx1"/>
            </w14:solidFill>
          </w14:textFill>
        </w:rPr>
        <w:t>Coriaria nepalensis+Vitex negundo+Pyracantha fortuneana+Viburnum dilatatum</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该群落多在林缘及砍伐迹地上出现，受人类活动干扰影响极大，群落结构不稳定，易向阔叶林演替。马桑、黄荆、火棘、荚蒾灌丛在评价区一些人类活动干扰较大的支沟内及居民点周围较为典型。</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群落灌木层组成种类较为庞杂，总盖度达60%以上，以马桑、黄荆、火棘、荚蒾为优势种，平均高度2.5m。其他灌木种类有杜鹃、盐肤木、野桐（</w:t>
      </w:r>
      <w:r>
        <w:rPr>
          <w:rFonts w:cs="Times New Roman"/>
          <w:bCs/>
          <w:i/>
          <w:iCs/>
          <w:color w:val="000000" w:themeColor="text1"/>
          <w:szCs w:val="24"/>
          <w:highlight w:val="none"/>
          <w14:textFill>
            <w14:solidFill>
              <w14:schemeClr w14:val="tx1"/>
            </w14:solidFill>
          </w14:textFill>
        </w:rPr>
        <w:t>Mallotus japonicus var. floccosus</w:t>
      </w:r>
      <w:r>
        <w:rPr>
          <w:rFonts w:cs="Times New Roman"/>
          <w:bCs/>
          <w:color w:val="000000" w:themeColor="text1"/>
          <w:szCs w:val="24"/>
          <w:highlight w:val="none"/>
          <w14:textFill>
            <w14:solidFill>
              <w14:schemeClr w14:val="tx1"/>
            </w14:solidFill>
          </w14:textFill>
        </w:rPr>
        <w:t>）、川莓、山合欢、多种悬钩子、美丽胡枝子（</w:t>
      </w:r>
      <w:r>
        <w:rPr>
          <w:rFonts w:cs="Times New Roman"/>
          <w:bCs/>
          <w:i/>
          <w:iCs/>
          <w:color w:val="000000" w:themeColor="text1"/>
          <w:szCs w:val="24"/>
          <w:highlight w:val="none"/>
          <w14:textFill>
            <w14:solidFill>
              <w14:schemeClr w14:val="tx1"/>
            </w14:solidFill>
          </w14:textFill>
        </w:rPr>
        <w:t>Lespedeza formosa</w:t>
      </w:r>
      <w:r>
        <w:rPr>
          <w:rFonts w:cs="Times New Roman"/>
          <w:bCs/>
          <w:color w:val="000000" w:themeColor="text1"/>
          <w:szCs w:val="24"/>
          <w:highlight w:val="none"/>
          <w14:textFill>
            <w14:solidFill>
              <w14:schemeClr w14:val="tx1"/>
            </w14:solidFill>
          </w14:textFill>
        </w:rPr>
        <w:t>）等多种灌木类型。</w:t>
      </w:r>
    </w:p>
    <w:p>
      <w:pPr>
        <w:ind w:left="34" w:right="99"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草本植物生长茂盛，分层明显。芒居于草本层第Ⅰ亚层植物，高度约1.2m、千里光（</w:t>
      </w:r>
      <w:r>
        <w:rPr>
          <w:rFonts w:cs="Times New Roman"/>
          <w:bCs/>
          <w:i/>
          <w:iCs/>
          <w:color w:val="000000" w:themeColor="text1"/>
          <w:szCs w:val="24"/>
          <w:highlight w:val="none"/>
          <w14:textFill>
            <w14:solidFill>
              <w14:schemeClr w14:val="tx1"/>
            </w14:solidFill>
          </w14:textFill>
        </w:rPr>
        <w:t xml:space="preserve">Senecio scandens </w:t>
      </w:r>
      <w:r>
        <w:rPr>
          <w:rFonts w:cs="Times New Roman"/>
          <w:bCs/>
          <w:color w:val="000000" w:themeColor="text1"/>
          <w:szCs w:val="24"/>
          <w:highlight w:val="none"/>
          <w14:textFill>
            <w14:solidFill>
              <w14:schemeClr w14:val="tx1"/>
            </w14:solidFill>
          </w14:textFill>
        </w:rPr>
        <w:t>Buch.-Ham. ex D.Don）、糙苏（</w:t>
      </w:r>
      <w:r>
        <w:rPr>
          <w:rFonts w:cs="Times New Roman"/>
          <w:bCs/>
          <w:i/>
          <w:iCs/>
          <w:color w:val="000000" w:themeColor="text1"/>
          <w:szCs w:val="24"/>
          <w:highlight w:val="none"/>
          <w14:textFill>
            <w14:solidFill>
              <w14:schemeClr w14:val="tx1"/>
            </w14:solidFill>
          </w14:textFill>
        </w:rPr>
        <w:t>Phlomis umbros</w:t>
      </w:r>
      <w:r>
        <w:rPr>
          <w:rFonts w:cs="Times New Roman"/>
          <w:bCs/>
          <w:color w:val="000000" w:themeColor="text1"/>
          <w:szCs w:val="24"/>
          <w:highlight w:val="none"/>
          <w14:textFill>
            <w14:solidFill>
              <w14:schemeClr w14:val="tx1"/>
            </w14:solidFill>
          </w14:textFill>
        </w:rPr>
        <w:t>a）、白茅（</w:t>
      </w:r>
      <w:r>
        <w:rPr>
          <w:rFonts w:cs="Times New Roman"/>
          <w:bCs/>
          <w:i/>
          <w:iCs/>
          <w:color w:val="000000" w:themeColor="text1"/>
          <w:szCs w:val="24"/>
          <w:highlight w:val="none"/>
          <w14:textFill>
            <w14:solidFill>
              <w14:schemeClr w14:val="tx1"/>
            </w14:solidFill>
          </w14:textFill>
        </w:rPr>
        <w:t>Imperata cylindrica Linn.Beauv.</w:t>
      </w:r>
      <w:r>
        <w:rPr>
          <w:rFonts w:cs="Times New Roman"/>
          <w:bCs/>
          <w:color w:val="000000" w:themeColor="text1"/>
          <w:szCs w:val="24"/>
          <w:highlight w:val="none"/>
          <w14:textFill>
            <w14:solidFill>
              <w14:schemeClr w14:val="tx1"/>
            </w14:solidFill>
          </w14:textFill>
        </w:rPr>
        <w:t>）等居于第Ⅱ亚层，高度30</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60cm，车前（</w:t>
      </w:r>
      <w:r>
        <w:rPr>
          <w:rFonts w:cs="Times New Roman"/>
          <w:bCs/>
          <w:i/>
          <w:iCs/>
          <w:color w:val="000000" w:themeColor="text1"/>
          <w:szCs w:val="24"/>
          <w:highlight w:val="none"/>
          <w14:textFill>
            <w14:solidFill>
              <w14:schemeClr w14:val="tx1"/>
            </w14:solidFill>
          </w14:textFill>
        </w:rPr>
        <w:t xml:space="preserve">Plantago asiatica </w:t>
      </w:r>
      <w:r>
        <w:rPr>
          <w:rFonts w:cs="Times New Roman"/>
          <w:bCs/>
          <w:color w:val="000000" w:themeColor="text1"/>
          <w:szCs w:val="24"/>
          <w:highlight w:val="none"/>
          <w14:textFill>
            <w14:solidFill>
              <w14:schemeClr w14:val="tx1"/>
            </w14:solidFill>
          </w14:textFill>
        </w:rPr>
        <w:t>L.）、聚花过路黄（</w:t>
      </w:r>
      <w:r>
        <w:rPr>
          <w:rFonts w:cs="Times New Roman"/>
          <w:bCs/>
          <w:i/>
          <w:iCs/>
          <w:color w:val="000000" w:themeColor="text1"/>
          <w:szCs w:val="24"/>
          <w:highlight w:val="none"/>
          <w14:textFill>
            <w14:solidFill>
              <w14:schemeClr w14:val="tx1"/>
            </w14:solidFill>
          </w14:textFill>
        </w:rPr>
        <w:t>Lysimachia congestiflora Hemsl.</w:t>
      </w:r>
      <w:r>
        <w:rPr>
          <w:rFonts w:cs="Times New Roman"/>
          <w:bCs/>
          <w:color w:val="000000" w:themeColor="text1"/>
          <w:szCs w:val="24"/>
          <w:highlight w:val="none"/>
          <w14:textFill>
            <w14:solidFill>
              <w14:schemeClr w14:val="tx1"/>
            </w14:solidFill>
          </w14:textFill>
        </w:rPr>
        <w:t>）、蕺菜（</w:t>
      </w:r>
      <w:r>
        <w:rPr>
          <w:rFonts w:cs="Times New Roman"/>
          <w:bCs/>
          <w:i/>
          <w:iCs/>
          <w:color w:val="000000" w:themeColor="text1"/>
          <w:szCs w:val="24"/>
          <w:highlight w:val="none"/>
          <w14:textFill>
            <w14:solidFill>
              <w14:schemeClr w14:val="tx1"/>
            </w14:solidFill>
          </w14:textFill>
        </w:rPr>
        <w:t xml:space="preserve">Houttuynia cordata </w:t>
      </w:r>
      <w:r>
        <w:rPr>
          <w:rFonts w:cs="Times New Roman"/>
          <w:bCs/>
          <w:color w:val="000000" w:themeColor="text1"/>
          <w:szCs w:val="24"/>
          <w:highlight w:val="none"/>
          <w14:textFill>
            <w14:solidFill>
              <w14:schemeClr w14:val="tx1"/>
            </w14:solidFill>
          </w14:textFill>
        </w:rPr>
        <w:t>Thunb）、葎草（</w:t>
      </w:r>
      <w:r>
        <w:rPr>
          <w:rFonts w:cs="Times New Roman"/>
          <w:bCs/>
          <w:i/>
          <w:iCs/>
          <w:color w:val="000000" w:themeColor="text1"/>
          <w:szCs w:val="24"/>
          <w:highlight w:val="none"/>
          <w14:textFill>
            <w14:solidFill>
              <w14:schemeClr w14:val="tx1"/>
            </w14:solidFill>
          </w14:textFill>
        </w:rPr>
        <w:t>Humulus scandens</w:t>
      </w:r>
      <w:r>
        <w:rPr>
          <w:rFonts w:cs="Times New Roman"/>
          <w:bCs/>
          <w:color w:val="000000" w:themeColor="text1"/>
          <w:szCs w:val="24"/>
          <w:highlight w:val="none"/>
          <w14:textFill>
            <w14:solidFill>
              <w14:schemeClr w14:val="tx1"/>
            </w14:solidFill>
          </w14:textFill>
        </w:rPr>
        <w:t>）等居于第Ⅲ亚层，高度在20cm以下。另外还有多种蕨类植物如毛蕨（</w:t>
      </w:r>
      <w:r>
        <w:rPr>
          <w:rFonts w:cs="Times New Roman"/>
          <w:bCs/>
          <w:i/>
          <w:iCs/>
          <w:color w:val="000000" w:themeColor="text1"/>
          <w:szCs w:val="24"/>
          <w:highlight w:val="none"/>
          <w14:textFill>
            <w14:solidFill>
              <w14:schemeClr w14:val="tx1"/>
            </w14:solidFill>
          </w14:textFill>
        </w:rPr>
        <w:t xml:space="preserve">Cyclosorus interruptus </w:t>
      </w:r>
      <w:r>
        <w:rPr>
          <w:rFonts w:cs="Times New Roman"/>
          <w:bCs/>
          <w:color w:val="000000" w:themeColor="text1"/>
          <w:szCs w:val="24"/>
          <w:highlight w:val="none"/>
          <w14:textFill>
            <w14:solidFill>
              <w14:schemeClr w14:val="tx1"/>
            </w14:solidFill>
          </w14:textFill>
        </w:rPr>
        <w:t>Willd. H. Ito）、铁角蕨（</w:t>
      </w:r>
      <w:r>
        <w:rPr>
          <w:rFonts w:cs="Times New Roman"/>
          <w:bCs/>
          <w:i/>
          <w:iCs/>
          <w:color w:val="000000" w:themeColor="text1"/>
          <w:szCs w:val="24"/>
          <w:highlight w:val="none"/>
          <w14:textFill>
            <w14:solidFill>
              <w14:schemeClr w14:val="tx1"/>
            </w14:solidFill>
          </w14:textFill>
        </w:rPr>
        <w:t>Asplenium trichomanes</w:t>
      </w:r>
      <w:r>
        <w:rPr>
          <w:rFonts w:cs="Times New Roman"/>
          <w:bCs/>
          <w:color w:val="000000" w:themeColor="text1"/>
          <w:szCs w:val="24"/>
          <w:highlight w:val="none"/>
          <w14:textFill>
            <w14:solidFill>
              <w14:schemeClr w14:val="tx1"/>
            </w14:solidFill>
          </w14:textFill>
        </w:rPr>
        <w:t>）在草本层生长。</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Ⅲ栽培植被</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栽培植被指人类在自然环境中，根据人类生产、生活的需要，通过人为的经营、管理措施而培育形成的植被类型。在评价范围，栽培植被主要为以农业技术措施为主培育形成的农田植被以及具有一定经济效益的经济林木。现分别就各类栽培植被分析如下：</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（1）农田植被</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①一年两熟水稻作物</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草本类型大田农作物型水田作物亚型，此类型对水利灌溉要求较高，主要分布在丘谷、河流两旁等地区。在水利条件好的地区水稻收割后可种植一季油菜、豆类等，而在部分地区，由于灌溉达不到要求只种植一季水稻。</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②一年</w:t>
      </w:r>
      <w:r>
        <w:rPr>
          <w:rFonts w:cs="Times New Roman"/>
          <w:bCs/>
          <w:color w:val="000000" w:themeColor="text1"/>
          <w:szCs w:val="24"/>
          <w:highlight w:val="none"/>
          <w14:textFill>
            <w14:solidFill>
              <w14:schemeClr w14:val="tx1"/>
            </w14:solidFill>
          </w14:textFill>
        </w:rPr>
        <w:t>两</w:t>
      </w:r>
      <w:r>
        <w:rPr>
          <w:rFonts w:cs="Times New Roman"/>
          <w:bCs/>
          <w:color w:val="000000" w:themeColor="text1"/>
          <w:szCs w:val="24"/>
          <w:highlight w:val="none"/>
          <w:lang w:val="de-DE"/>
          <w14:textFill>
            <w14:solidFill>
              <w14:schemeClr w14:val="tx1"/>
            </w14:solidFill>
          </w14:textFill>
        </w:rPr>
        <w:t>作为主的蔬菜组合</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草本类型蔬菜作物型旱地作物亚型，本组合型广泛分布于亚热带范围内，对灌溉要求不是很严格，本地组成蔬菜作物的建群种，有白菜、卷心菜、花椰菜、芥菜等白菜类，大头菜、萝卜、胡萝卜、洋葱、蒜、姜等根茎类、鳞茎类蔬菜，韭菜、葱、蒜、苋菜、芹菜、菠菜、莴笋等绿叶蔬菜，马铃薯、芋头等薯类，茄子、辣椒等茄果类，黄瓜、菜瓜、冬瓜、南瓜、葫芦、苦瓜、丝瓜等瓜类，豇豆、豌豆、蚕豆、大豆、菜豆等豆类，以及花生、油菜等油料作物。</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③以</w:t>
      </w:r>
      <w:r>
        <w:rPr>
          <w:rFonts w:cs="Times New Roman"/>
          <w:bCs/>
          <w:color w:val="000000" w:themeColor="text1"/>
          <w:spacing w:val="2"/>
          <w:szCs w:val="24"/>
          <w:highlight w:val="none"/>
          <w14:textFill>
            <w14:solidFill>
              <w14:schemeClr w14:val="tx1"/>
            </w14:solidFill>
          </w14:textFill>
        </w:rPr>
        <w:t>玉米、红苕、棉花、花生、小麦、马铃薯、豌豆</w:t>
      </w:r>
      <w:r>
        <w:rPr>
          <w:rFonts w:cs="Times New Roman"/>
          <w:bCs/>
          <w:color w:val="000000" w:themeColor="text1"/>
          <w:szCs w:val="24"/>
          <w:highlight w:val="none"/>
          <w:lang w:val="de-DE"/>
          <w14:textFill>
            <w14:solidFill>
              <w14:schemeClr w14:val="tx1"/>
            </w14:solidFill>
          </w14:textFill>
        </w:rPr>
        <w:t>为主的作物组合</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属于草本类型大田农作物型旱地作物亚型，广泛分布于四川盆地边缘的丘陵地区。</w:t>
      </w:r>
      <w:r>
        <w:rPr>
          <w:rFonts w:cs="Times New Roman"/>
          <w:bCs/>
          <w:color w:val="000000" w:themeColor="text1"/>
          <w:spacing w:val="2"/>
          <w:szCs w:val="24"/>
          <w:highlight w:val="none"/>
          <w14:textFill>
            <w14:solidFill>
              <w14:schemeClr w14:val="tx1"/>
            </w14:solidFill>
          </w14:textFill>
        </w:rPr>
        <w:t>小春作物以小麦、豌豆为主，深丘上</w:t>
      </w:r>
      <w:r>
        <w:rPr>
          <w:rFonts w:cs="Times New Roman"/>
          <w:bCs/>
          <w:color w:val="000000" w:themeColor="text1"/>
          <w:spacing w:val="-2"/>
          <w:szCs w:val="24"/>
          <w:highlight w:val="none"/>
          <w14:textFill>
            <w14:solidFill>
              <w14:schemeClr w14:val="tx1"/>
            </w14:solidFill>
          </w14:textFill>
        </w:rPr>
        <w:t>部种有马铃薯，多为一年两熟类型，</w:t>
      </w:r>
      <w:r>
        <w:rPr>
          <w:rFonts w:cs="Times New Roman"/>
          <w:bCs/>
          <w:color w:val="000000" w:themeColor="text1"/>
          <w:szCs w:val="24"/>
          <w:highlight w:val="none"/>
          <w14:textFill>
            <w14:solidFill>
              <w14:schemeClr w14:val="tx1"/>
            </w14:solidFill>
          </w14:textFill>
        </w:rPr>
        <w:t>调查区域内局部灌溉条件较差的地方实行这种作物组合。</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（2）经济林木</w:t>
      </w:r>
    </w:p>
    <w:p>
      <w:pPr>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常见种植的种类有苹果</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Malus pumila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w:t>
      </w:r>
      <w:r>
        <w:rPr>
          <w:rFonts w:cs="Times New Roman"/>
          <w:bCs/>
          <w:color w:val="000000" w:themeColor="text1"/>
          <w:spacing w:val="5"/>
          <w:szCs w:val="24"/>
          <w:highlight w:val="none"/>
          <w14:textFill>
            <w14:solidFill>
              <w14:schemeClr w14:val="tx1"/>
            </w14:solidFill>
          </w14:textFill>
        </w:rPr>
        <w:t>川梨</w:t>
      </w:r>
      <w:r>
        <w:rPr>
          <w:rFonts w:hint="eastAsia" w:cs="Times New Roman"/>
          <w:bCs/>
          <w:color w:val="000000" w:themeColor="text1"/>
          <w:spacing w:val="5"/>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Pyrus</w:t>
      </w:r>
      <w:r>
        <w:rPr>
          <w:rFonts w:cs="Times New Roman"/>
          <w:bCs/>
          <w:color w:val="000000" w:themeColor="text1"/>
          <w:spacing w:val="5"/>
          <w:szCs w:val="24"/>
          <w:highlight w:val="none"/>
          <w14:textFill>
            <w14:solidFill>
              <w14:schemeClr w14:val="tx1"/>
            </w14:solidFill>
          </w14:textFill>
        </w:rPr>
        <w:t xml:space="preserve"> </w:t>
      </w:r>
      <w:r>
        <w:rPr>
          <w:rFonts w:cs="Times New Roman"/>
          <w:bCs/>
          <w:i/>
          <w:iCs/>
          <w:color w:val="000000" w:themeColor="text1"/>
          <w:szCs w:val="24"/>
          <w:highlight w:val="none"/>
          <w14:textFill>
            <w14:solidFill>
              <w14:schemeClr w14:val="tx1"/>
            </w14:solidFill>
          </w14:textFill>
        </w:rPr>
        <w:t>pashia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5"/>
          <w:szCs w:val="24"/>
          <w:highlight w:val="none"/>
          <w14:textFill>
            <w14:solidFill>
              <w14:schemeClr w14:val="tx1"/>
            </w14:solidFill>
          </w14:textFill>
        </w:rPr>
        <w:t>、枇杷</w:t>
      </w:r>
      <w:r>
        <w:rPr>
          <w:rFonts w:hint="eastAsia" w:cs="Times New Roman"/>
          <w:bCs/>
          <w:color w:val="000000" w:themeColor="text1"/>
          <w:spacing w:val="5"/>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Eriobotryajaponica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5"/>
          <w:szCs w:val="24"/>
          <w:highlight w:val="none"/>
          <w14:textFill>
            <w14:solidFill>
              <w14:schemeClr w14:val="tx1"/>
            </w14:solidFill>
          </w14:textFill>
        </w:rPr>
        <w:t>、桃</w:t>
      </w:r>
      <w:r>
        <w:rPr>
          <w:rFonts w:hint="eastAsia" w:cs="Times New Roman"/>
          <w:bCs/>
          <w:color w:val="000000" w:themeColor="text1"/>
          <w:spacing w:val="5"/>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Amygdalus</w:t>
      </w:r>
      <w:r>
        <w:rPr>
          <w:rFonts w:cs="Times New Roman"/>
          <w:bCs/>
          <w:color w:val="000000" w:themeColor="text1"/>
          <w:szCs w:val="24"/>
          <w:highlight w:val="none"/>
          <w14:textFill>
            <w14:solidFill>
              <w14:schemeClr w14:val="tx1"/>
            </w14:solidFill>
          </w14:textFill>
        </w:rPr>
        <w:t xml:space="preserve"> </w:t>
      </w:r>
      <w:r>
        <w:rPr>
          <w:rFonts w:cs="Times New Roman"/>
          <w:bCs/>
          <w:i/>
          <w:iCs/>
          <w:color w:val="000000" w:themeColor="text1"/>
          <w:szCs w:val="24"/>
          <w:highlight w:val="none"/>
          <w14:textFill>
            <w14:solidFill>
              <w14:schemeClr w14:val="tx1"/>
            </w14:solidFill>
          </w14:textFill>
        </w:rPr>
        <w:t>persica</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pacing w:val="25"/>
          <w:szCs w:val="24"/>
          <w:highlight w:val="none"/>
          <w14:textFill>
            <w14:solidFill>
              <w14:schemeClr w14:val="tx1"/>
            </w14:solidFill>
          </w14:textFill>
        </w:rPr>
        <w:t>、木瓜</w:t>
      </w:r>
      <w:r>
        <w:rPr>
          <w:rFonts w:hint="eastAsia" w:cs="Times New Roman"/>
          <w:bCs/>
          <w:color w:val="000000" w:themeColor="text1"/>
          <w:spacing w:val="25"/>
          <w:szCs w:val="24"/>
          <w:highlight w:val="none"/>
          <w14:textFill>
            <w14:solidFill>
              <w14:schemeClr w14:val="tx1"/>
            </w14:solidFill>
          </w14:textFill>
        </w:rPr>
        <w:t>（</w:t>
      </w:r>
      <w:r>
        <w:rPr>
          <w:rFonts w:cs="Times New Roman"/>
          <w:bCs/>
          <w:i/>
          <w:iCs/>
          <w:color w:val="000000" w:themeColor="text1"/>
          <w:szCs w:val="24"/>
          <w:highlight w:val="none"/>
          <w14:textFill>
            <w14:solidFill>
              <w14:schemeClr w14:val="tx1"/>
            </w14:solidFill>
          </w14:textFill>
        </w:rPr>
        <w:t>ChaenomelessinensisKoehne</w:t>
      </w:r>
      <w:r>
        <w:rPr>
          <w:rFonts w:hint="eastAsia" w:cs="Times New Roman"/>
          <w:bCs/>
          <w:i/>
          <w:i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、樱桃</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Cerasus pseudocerasus</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、李</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Prunus salicina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、核桃</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Juglans regia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、柑橘</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Citrus reticulata</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、柚子</w:t>
      </w:r>
      <w:r>
        <w:rPr>
          <w:rFonts w:hint="eastAsia" w:cs="Times New Roman"/>
          <w:bCs/>
          <w:color w:val="000000" w:themeColor="text1"/>
          <w:szCs w:val="24"/>
          <w:highlight w:val="none"/>
          <w14:textFill>
            <w14:solidFill>
              <w14:schemeClr w14:val="tx1"/>
            </w14:solidFill>
          </w14:textFill>
        </w:rPr>
        <w:t>（</w:t>
      </w:r>
      <w:r>
        <w:rPr>
          <w:rFonts w:cs="Times New Roman"/>
          <w:bCs/>
          <w:i/>
          <w:color w:val="000000" w:themeColor="text1"/>
          <w:szCs w:val="24"/>
          <w:highlight w:val="none"/>
          <w14:textFill>
            <w14:solidFill>
              <w14:schemeClr w14:val="tx1"/>
            </w14:solidFill>
          </w14:textFill>
        </w:rPr>
        <w:t>Citrus grandis</w:t>
      </w:r>
      <w:r>
        <w:rPr>
          <w:rFonts w:hint="eastAsia" w:cs="Times New Roman"/>
          <w:bCs/>
          <w:i/>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等经济果树。</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与栽培植被共存的还有各种农田杂草及田间灌草丛，它们在农闲，轮作间歇期，或者农田管理不善时，成为栽培植被的主要替代者，此时即为杂草丛生的农田外貌，杂草以禾本科、菊科、莎草科、豆科、蓼科、唇形科植物为主。</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项目评价范围陆生植被现场照片见图</w:t>
      </w:r>
      <w:r>
        <w:rPr>
          <w:color w:val="000000" w:themeColor="text1"/>
          <w:highlight w:val="none"/>
          <w14:textFill>
            <w14:solidFill>
              <w14:schemeClr w14:val="tx1"/>
            </w14:solidFill>
          </w14:textFill>
        </w:rPr>
        <w:t>4.3-1。</w:t>
      </w:r>
    </w:p>
    <w:tbl>
      <w:tblPr>
        <w:tblStyle w:val="55"/>
        <w:tblW w:w="87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9"/>
        <w:gridCol w:w="4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9" w:type="dxa"/>
          </w:tcPr>
          <w:p>
            <w:pPr>
              <w:pStyle w:val="138"/>
              <w:ind w:firstLine="0" w:firstLineChars="0"/>
              <w:rPr>
                <w:rFonts w:ascii="Times New Roman" w:eastAsia="宋体" w:cs="Times New Roman"/>
                <w:bCs/>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33345" cy="1552575"/>
                  <wp:effectExtent l="0" t="0" r="5080" b="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34"/>
                          <a:stretch>
                            <a:fillRect/>
                          </a:stretch>
                        </pic:blipFill>
                        <pic:spPr>
                          <a:xfrm>
                            <a:off x="0" y="0"/>
                            <a:ext cx="2633345" cy="1552575"/>
                          </a:xfrm>
                          <a:prstGeom prst="rect">
                            <a:avLst/>
                          </a:prstGeom>
                          <a:noFill/>
                          <a:ln>
                            <a:noFill/>
                          </a:ln>
                        </pic:spPr>
                      </pic:pic>
                    </a:graphicData>
                  </a:graphic>
                </wp:inline>
              </w:drawing>
            </w:r>
          </w:p>
        </w:tc>
        <w:tc>
          <w:tcPr>
            <w:tcW w:w="4412" w:type="dxa"/>
          </w:tcPr>
          <w:p>
            <w:pPr>
              <w:pStyle w:val="138"/>
              <w:ind w:firstLine="0" w:firstLineChars="0"/>
              <w:rPr>
                <w:rFonts w:ascii="Times New Roman" w:eastAsia="宋体" w:cs="Times New Roman"/>
                <w:bCs/>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61920" cy="1624330"/>
                  <wp:effectExtent l="0" t="0" r="5080" b="4445"/>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35"/>
                          <a:stretch>
                            <a:fillRect/>
                          </a:stretch>
                        </pic:blipFill>
                        <pic:spPr>
                          <a:xfrm>
                            <a:off x="0" y="0"/>
                            <a:ext cx="2661920" cy="16243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9" w:type="dxa"/>
          </w:tcPr>
          <w:p>
            <w:pPr>
              <w:pStyle w:val="138"/>
              <w:ind w:firstLine="0" w:firstLineChars="0"/>
              <w:rPr>
                <w:rFonts w:ascii="Times New Roman" w:eastAsia="宋体" w:cs="Times New Roman"/>
                <w:bCs/>
                <w:color w:val="000000" w:themeColor="text1"/>
                <w:sz w:val="21"/>
                <w:szCs w:val="2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33980" cy="1694815"/>
                  <wp:effectExtent l="0" t="0" r="4445" b="63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36"/>
                          <a:stretch>
                            <a:fillRect/>
                          </a:stretch>
                        </pic:blipFill>
                        <pic:spPr>
                          <a:xfrm>
                            <a:off x="0" y="0"/>
                            <a:ext cx="2633980" cy="1694815"/>
                          </a:xfrm>
                          <a:prstGeom prst="rect">
                            <a:avLst/>
                          </a:prstGeom>
                          <a:noFill/>
                          <a:ln>
                            <a:noFill/>
                          </a:ln>
                        </pic:spPr>
                      </pic:pic>
                    </a:graphicData>
                  </a:graphic>
                </wp:inline>
              </w:drawing>
            </w:r>
          </w:p>
        </w:tc>
        <w:tc>
          <w:tcPr>
            <w:tcW w:w="4412" w:type="dxa"/>
          </w:tcPr>
          <w:p>
            <w:pPr>
              <w:pStyle w:val="138"/>
              <w:ind w:firstLine="0" w:firstLineChars="0"/>
              <w:rPr>
                <w:rFonts w:ascii="Times New Roman" w:eastAsia="宋体" w:cs="Times New Roman"/>
                <w:bCs/>
                <w:color w:val="000000" w:themeColor="text1"/>
                <w:sz w:val="21"/>
                <w:szCs w:val="2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63190" cy="1590675"/>
                  <wp:effectExtent l="0" t="0" r="3810" b="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37"/>
                          <a:stretch>
                            <a:fillRect/>
                          </a:stretch>
                        </pic:blipFill>
                        <pic:spPr>
                          <a:xfrm>
                            <a:off x="0" y="0"/>
                            <a:ext cx="2663190" cy="15906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9" w:type="dxa"/>
          </w:tcPr>
          <w:p>
            <w:pPr>
              <w:pStyle w:val="138"/>
              <w:ind w:firstLine="0" w:firstLineChars="0"/>
              <w:rPr>
                <w:rFonts w:ascii="Times New Roman" w:eastAsia="宋体" w:cs="Times New Roman"/>
                <w:bCs/>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37155" cy="1559560"/>
                  <wp:effectExtent l="0" t="0" r="1270" b="2540"/>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38"/>
                          <a:stretch>
                            <a:fillRect/>
                          </a:stretch>
                        </pic:blipFill>
                        <pic:spPr>
                          <a:xfrm>
                            <a:off x="0" y="0"/>
                            <a:ext cx="2637155" cy="1559560"/>
                          </a:xfrm>
                          <a:prstGeom prst="rect">
                            <a:avLst/>
                          </a:prstGeom>
                          <a:noFill/>
                          <a:ln>
                            <a:noFill/>
                          </a:ln>
                        </pic:spPr>
                      </pic:pic>
                    </a:graphicData>
                  </a:graphic>
                </wp:inline>
              </w:drawing>
            </w:r>
          </w:p>
        </w:tc>
        <w:tc>
          <w:tcPr>
            <w:tcW w:w="4412" w:type="dxa"/>
          </w:tcPr>
          <w:p>
            <w:pPr>
              <w:pStyle w:val="138"/>
              <w:ind w:firstLine="0" w:firstLineChars="0"/>
              <w:rPr>
                <w:rFonts w:ascii="Times New Roman" w:eastAsia="宋体" w:cs="Times New Roman"/>
                <w:bCs/>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58110" cy="1725295"/>
                  <wp:effectExtent l="0" t="0" r="8890" b="8255"/>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39"/>
                          <a:stretch>
                            <a:fillRect/>
                          </a:stretch>
                        </pic:blipFill>
                        <pic:spPr>
                          <a:xfrm>
                            <a:off x="0" y="0"/>
                            <a:ext cx="2658110" cy="17252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138"/>
              <w:ind w:firstLine="0" w:firstLineChars="0"/>
              <w:rPr>
                <w:rFonts w:ascii="Times New Roman" w:eastAsia="宋体" w:cs="Times New Roman"/>
                <w:bCs/>
                <w:color w:val="000000" w:themeColor="text1"/>
                <w:sz w:val="21"/>
                <w:szCs w:val="2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31440" cy="1837690"/>
                  <wp:effectExtent l="0" t="0" r="6985" b="63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40"/>
                          <a:stretch>
                            <a:fillRect/>
                          </a:stretch>
                        </pic:blipFill>
                        <pic:spPr>
                          <a:xfrm>
                            <a:off x="0" y="0"/>
                            <a:ext cx="2631440" cy="1837690"/>
                          </a:xfrm>
                          <a:prstGeom prst="rect">
                            <a:avLst/>
                          </a:prstGeom>
                          <a:noFill/>
                          <a:ln>
                            <a:noFill/>
                          </a:ln>
                        </pic:spPr>
                      </pic:pic>
                    </a:graphicData>
                  </a:graphic>
                </wp:inline>
              </w:drawing>
            </w:r>
          </w:p>
        </w:tc>
        <w:tc>
          <w:tcPr>
            <w:tcW w:w="4412" w:type="dxa"/>
          </w:tcPr>
          <w:p>
            <w:pPr>
              <w:pStyle w:val="138"/>
              <w:ind w:firstLine="0" w:firstLineChars="0"/>
              <w:rPr>
                <w:rFonts w:ascii="Times New Roman" w:eastAsia="宋体" w:cs="Times New Roman"/>
                <w:bCs/>
                <w:color w:val="000000" w:themeColor="text1"/>
                <w:sz w:val="21"/>
                <w:szCs w:val="2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520950" cy="1927225"/>
                  <wp:effectExtent l="0" t="0" r="3175" b="6350"/>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41"/>
                          <a:stretch>
                            <a:fillRect/>
                          </a:stretch>
                        </pic:blipFill>
                        <pic:spPr>
                          <a:xfrm>
                            <a:off x="0" y="0"/>
                            <a:ext cx="2520950" cy="19272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138"/>
              <w:ind w:firstLine="0" w:firstLineChars="0"/>
              <w:rPr>
                <w:rFonts w:ascii="Times New Roman" w:eastAsia="宋体" w:cs="Times New Roman"/>
                <w:bCs/>
                <w:color w:val="000000" w:themeColor="text1"/>
                <w:sz w:val="21"/>
                <w:szCs w:val="2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30170" cy="2042795"/>
                  <wp:effectExtent l="0" t="0" r="8255" b="5080"/>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pic:cNvPicPr>
                        </pic:nvPicPr>
                        <pic:blipFill>
                          <a:blip r:embed="rId42"/>
                          <a:stretch>
                            <a:fillRect/>
                          </a:stretch>
                        </pic:blipFill>
                        <pic:spPr>
                          <a:xfrm>
                            <a:off x="0" y="0"/>
                            <a:ext cx="2630170" cy="2042795"/>
                          </a:xfrm>
                          <a:prstGeom prst="rect">
                            <a:avLst/>
                          </a:prstGeom>
                          <a:noFill/>
                          <a:ln>
                            <a:noFill/>
                          </a:ln>
                        </pic:spPr>
                      </pic:pic>
                    </a:graphicData>
                  </a:graphic>
                </wp:inline>
              </w:drawing>
            </w:r>
          </w:p>
        </w:tc>
        <w:tc>
          <w:tcPr>
            <w:tcW w:w="4412" w:type="dxa"/>
          </w:tcPr>
          <w:p>
            <w:pPr>
              <w:pStyle w:val="138"/>
              <w:ind w:firstLine="0" w:firstLineChars="0"/>
              <w:rPr>
                <w:rFonts w:ascii="Times New Roman" w:eastAsia="宋体" w:cs="Times New Roman"/>
                <w:bCs/>
                <w:color w:val="000000" w:themeColor="text1"/>
                <w:sz w:val="21"/>
                <w:szCs w:val="2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62555" cy="1997075"/>
                  <wp:effectExtent l="0" t="0" r="4445" b="3175"/>
                  <wp:docPr id="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4"/>
                          <pic:cNvPicPr>
                            <a:picLocks noChangeAspect="1"/>
                          </pic:cNvPicPr>
                        </pic:nvPicPr>
                        <pic:blipFill>
                          <a:blip r:embed="rId43"/>
                          <a:stretch>
                            <a:fillRect/>
                          </a:stretch>
                        </pic:blipFill>
                        <pic:spPr>
                          <a:xfrm>
                            <a:off x="0" y="0"/>
                            <a:ext cx="2662555" cy="19970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138"/>
              <w:ind w:firstLine="0" w:firstLineChars="0"/>
              <w:rPr>
                <w:rFonts w:ascii="Times New Roman" w:eastAsia="宋体" w:cs="Times New Roman"/>
                <w:bCs/>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32075" cy="1975485"/>
                  <wp:effectExtent l="0" t="0" r="6350" b="5715"/>
                  <wp:docPr id="4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5"/>
                          <pic:cNvPicPr>
                            <a:picLocks noChangeAspect="1"/>
                          </pic:cNvPicPr>
                        </pic:nvPicPr>
                        <pic:blipFill>
                          <a:blip r:embed="rId44"/>
                          <a:stretch>
                            <a:fillRect/>
                          </a:stretch>
                        </pic:blipFill>
                        <pic:spPr>
                          <a:xfrm>
                            <a:off x="0" y="0"/>
                            <a:ext cx="2632075" cy="1975485"/>
                          </a:xfrm>
                          <a:prstGeom prst="rect">
                            <a:avLst/>
                          </a:prstGeom>
                          <a:noFill/>
                          <a:ln>
                            <a:noFill/>
                          </a:ln>
                        </pic:spPr>
                      </pic:pic>
                    </a:graphicData>
                  </a:graphic>
                </wp:inline>
              </w:drawing>
            </w:r>
            <w:r>
              <w:rPr>
                <w:rFonts w:ascii="Times New Roman" w:eastAsia="宋体" w:cs="Times New Roman"/>
                <w:color w:val="000000" w:themeColor="text1"/>
                <w:highlight w:val="none"/>
                <w14:textFill>
                  <w14:solidFill>
                    <w14:schemeClr w14:val="tx1"/>
                  </w14:solidFill>
                </w14:textFill>
              </w:rPr>
              <w:drawing>
                <wp:inline distT="0" distB="0" distL="114300" distR="114300">
                  <wp:extent cx="2635885" cy="2002790"/>
                  <wp:effectExtent l="0" t="0" r="2540" b="6985"/>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45"/>
                          <a:stretch>
                            <a:fillRect/>
                          </a:stretch>
                        </pic:blipFill>
                        <pic:spPr>
                          <a:xfrm>
                            <a:off x="0" y="0"/>
                            <a:ext cx="2635885" cy="2002790"/>
                          </a:xfrm>
                          <a:prstGeom prst="rect">
                            <a:avLst/>
                          </a:prstGeom>
                          <a:noFill/>
                          <a:ln>
                            <a:noFill/>
                          </a:ln>
                        </pic:spPr>
                      </pic:pic>
                    </a:graphicData>
                  </a:graphic>
                </wp:inline>
              </w:drawing>
            </w:r>
          </w:p>
        </w:tc>
        <w:tc>
          <w:tcPr>
            <w:tcW w:w="4412" w:type="dxa"/>
          </w:tcPr>
          <w:p>
            <w:pPr>
              <w:pStyle w:val="138"/>
              <w:ind w:firstLine="0" w:firstLineChars="0"/>
              <w:rPr>
                <w:rFonts w:ascii="Times New Roman" w:eastAsia="宋体" w:cs="Times New Roman"/>
                <w:bCs/>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61285" cy="1951990"/>
                  <wp:effectExtent l="0" t="0" r="5715" b="635"/>
                  <wp:docPr id="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5"/>
                          <pic:cNvPicPr>
                            <a:picLocks noChangeAspect="1"/>
                          </pic:cNvPicPr>
                        </pic:nvPicPr>
                        <pic:blipFill>
                          <a:blip r:embed="rId46"/>
                          <a:stretch>
                            <a:fillRect/>
                          </a:stretch>
                        </pic:blipFill>
                        <pic:spPr>
                          <a:xfrm>
                            <a:off x="0" y="0"/>
                            <a:ext cx="2661285" cy="1951990"/>
                          </a:xfrm>
                          <a:prstGeom prst="rect">
                            <a:avLst/>
                          </a:prstGeom>
                          <a:noFill/>
                          <a:ln>
                            <a:noFill/>
                          </a:ln>
                        </pic:spPr>
                      </pic:pic>
                    </a:graphicData>
                  </a:graphic>
                </wp:inline>
              </w:drawing>
            </w:r>
            <w:r>
              <w:rPr>
                <w:rFonts w:ascii="Times New Roman" w:eastAsia="宋体" w:cs="Times New Roman"/>
                <w:color w:val="000000" w:themeColor="text1"/>
                <w:highlight w:val="none"/>
                <w14:textFill>
                  <w14:solidFill>
                    <w14:schemeClr w14:val="tx1"/>
                  </w14:solidFill>
                </w14:textFill>
              </w:rPr>
              <w:drawing>
                <wp:inline distT="0" distB="0" distL="114300" distR="114300">
                  <wp:extent cx="2662555" cy="1939925"/>
                  <wp:effectExtent l="0" t="0" r="4445" b="3175"/>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pic:cNvPicPr>
                        </pic:nvPicPr>
                        <pic:blipFill>
                          <a:blip r:embed="rId47"/>
                          <a:stretch>
                            <a:fillRect/>
                          </a:stretch>
                        </pic:blipFill>
                        <pic:spPr>
                          <a:xfrm>
                            <a:off x="0" y="0"/>
                            <a:ext cx="2662555" cy="19399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138"/>
              <w:ind w:firstLine="0" w:firstLineChars="0"/>
              <w:rPr>
                <w:rFonts w:ascii="Times New Roman" w:eastAsia="宋体" w:cs="Times New Roman"/>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32075" cy="1945005"/>
                  <wp:effectExtent l="0" t="0" r="6350" b="7620"/>
                  <wp:docPr id="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7"/>
                          <pic:cNvPicPr>
                            <a:picLocks noChangeAspect="1"/>
                          </pic:cNvPicPr>
                        </pic:nvPicPr>
                        <pic:blipFill>
                          <a:blip r:embed="rId48"/>
                          <a:stretch>
                            <a:fillRect/>
                          </a:stretch>
                        </pic:blipFill>
                        <pic:spPr>
                          <a:xfrm>
                            <a:off x="0" y="0"/>
                            <a:ext cx="2632075" cy="1945005"/>
                          </a:xfrm>
                          <a:prstGeom prst="rect">
                            <a:avLst/>
                          </a:prstGeom>
                          <a:noFill/>
                          <a:ln>
                            <a:noFill/>
                          </a:ln>
                        </pic:spPr>
                      </pic:pic>
                    </a:graphicData>
                  </a:graphic>
                </wp:inline>
              </w:drawing>
            </w:r>
          </w:p>
        </w:tc>
        <w:tc>
          <w:tcPr>
            <w:tcW w:w="4412" w:type="dxa"/>
          </w:tcPr>
          <w:p>
            <w:pPr>
              <w:pStyle w:val="138"/>
              <w:ind w:firstLine="0" w:firstLineChars="0"/>
              <w:rPr>
                <w:rFonts w:ascii="Times New Roman" w:eastAsia="宋体" w:cs="Times New Roman"/>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59380" cy="1974850"/>
                  <wp:effectExtent l="0" t="0" r="7620" b="6350"/>
                  <wp:docPr id="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8"/>
                          <pic:cNvPicPr>
                            <a:picLocks noChangeAspect="1"/>
                          </pic:cNvPicPr>
                        </pic:nvPicPr>
                        <pic:blipFill>
                          <a:blip r:embed="rId49"/>
                          <a:stretch>
                            <a:fillRect/>
                          </a:stretch>
                        </pic:blipFill>
                        <pic:spPr>
                          <a:xfrm>
                            <a:off x="0" y="0"/>
                            <a:ext cx="2659380" cy="19748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138"/>
              <w:ind w:firstLine="0" w:firstLineChars="0"/>
              <w:rPr>
                <w:rFonts w:ascii="Times New Roman" w:eastAsia="宋体" w:cs="Times New Roman"/>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33345" cy="2080895"/>
                  <wp:effectExtent l="0" t="0" r="5080" b="5080"/>
                  <wp:docPr id="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9"/>
                          <pic:cNvPicPr>
                            <a:picLocks noChangeAspect="1"/>
                          </pic:cNvPicPr>
                        </pic:nvPicPr>
                        <pic:blipFill>
                          <a:blip r:embed="rId50"/>
                          <a:stretch>
                            <a:fillRect/>
                          </a:stretch>
                        </pic:blipFill>
                        <pic:spPr>
                          <a:xfrm>
                            <a:off x="0" y="0"/>
                            <a:ext cx="2633345" cy="2080895"/>
                          </a:xfrm>
                          <a:prstGeom prst="rect">
                            <a:avLst/>
                          </a:prstGeom>
                          <a:noFill/>
                          <a:ln>
                            <a:noFill/>
                          </a:ln>
                        </pic:spPr>
                      </pic:pic>
                    </a:graphicData>
                  </a:graphic>
                </wp:inline>
              </w:drawing>
            </w:r>
          </w:p>
        </w:tc>
        <w:tc>
          <w:tcPr>
            <w:tcW w:w="4412" w:type="dxa"/>
          </w:tcPr>
          <w:p>
            <w:pPr>
              <w:pStyle w:val="138"/>
              <w:ind w:firstLine="0" w:firstLineChars="0"/>
              <w:rPr>
                <w:rFonts w:ascii="Times New Roman" w:eastAsia="宋体" w:cs="Times New Roman"/>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58745" cy="2044700"/>
                  <wp:effectExtent l="0" t="0" r="8255" b="3175"/>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51"/>
                          <a:stretch>
                            <a:fillRect/>
                          </a:stretch>
                        </pic:blipFill>
                        <pic:spPr>
                          <a:xfrm>
                            <a:off x="0" y="0"/>
                            <a:ext cx="2658745" cy="20447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9" w:type="dxa"/>
          </w:tcPr>
          <w:p>
            <w:pPr>
              <w:pStyle w:val="138"/>
              <w:ind w:firstLine="0" w:firstLineChars="0"/>
              <w:rPr>
                <w:rFonts w:ascii="Times New Roman" w:eastAsia="宋体" w:cs="Times New Roman"/>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32710" cy="2010410"/>
                  <wp:effectExtent l="0" t="0" r="5715" b="8890"/>
                  <wp:docPr id="9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1"/>
                          <pic:cNvPicPr>
                            <a:picLocks noChangeAspect="1"/>
                          </pic:cNvPicPr>
                        </pic:nvPicPr>
                        <pic:blipFill>
                          <a:blip r:embed="rId52"/>
                          <a:stretch>
                            <a:fillRect/>
                          </a:stretch>
                        </pic:blipFill>
                        <pic:spPr>
                          <a:xfrm>
                            <a:off x="0" y="0"/>
                            <a:ext cx="2632710" cy="2010410"/>
                          </a:xfrm>
                          <a:prstGeom prst="rect">
                            <a:avLst/>
                          </a:prstGeom>
                          <a:noFill/>
                          <a:ln>
                            <a:noFill/>
                          </a:ln>
                        </pic:spPr>
                      </pic:pic>
                    </a:graphicData>
                  </a:graphic>
                </wp:inline>
              </w:drawing>
            </w:r>
          </w:p>
        </w:tc>
        <w:tc>
          <w:tcPr>
            <w:tcW w:w="4412" w:type="dxa"/>
          </w:tcPr>
          <w:p>
            <w:pPr>
              <w:pStyle w:val="138"/>
              <w:ind w:firstLine="0" w:firstLineChars="0"/>
              <w:rPr>
                <w:rFonts w:ascii="Times New Roman" w:eastAsia="宋体" w:cs="Times New Roman"/>
                <w:color w:val="000000" w:themeColor="text1"/>
                <w:highlight w:val="none"/>
                <w14:textFill>
                  <w14:solidFill>
                    <w14:schemeClr w14:val="tx1"/>
                  </w14:solidFill>
                </w14:textFill>
              </w:rPr>
            </w:pPr>
            <w:r>
              <w:rPr>
                <w:rFonts w:ascii="Times New Roman" w:eastAsia="宋体" w:cs="Times New Roman"/>
                <w:color w:val="000000" w:themeColor="text1"/>
                <w:highlight w:val="none"/>
                <w14:textFill>
                  <w14:solidFill>
                    <w14:schemeClr w14:val="tx1"/>
                  </w14:solidFill>
                </w14:textFill>
              </w:rPr>
              <w:drawing>
                <wp:inline distT="0" distB="0" distL="114300" distR="114300">
                  <wp:extent cx="2661920" cy="2058670"/>
                  <wp:effectExtent l="0" t="0" r="5080" b="8255"/>
                  <wp:docPr id="10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2"/>
                          <pic:cNvPicPr>
                            <a:picLocks noChangeAspect="1"/>
                          </pic:cNvPicPr>
                        </pic:nvPicPr>
                        <pic:blipFill>
                          <a:blip r:embed="rId53"/>
                          <a:stretch>
                            <a:fillRect/>
                          </a:stretch>
                        </pic:blipFill>
                        <pic:spPr>
                          <a:xfrm>
                            <a:off x="0" y="0"/>
                            <a:ext cx="2661920" cy="2058670"/>
                          </a:xfrm>
                          <a:prstGeom prst="rect">
                            <a:avLst/>
                          </a:prstGeom>
                          <a:noFill/>
                          <a:ln>
                            <a:noFill/>
                          </a:ln>
                        </pic:spPr>
                      </pic:pic>
                    </a:graphicData>
                  </a:graphic>
                </wp:inline>
              </w:drawing>
            </w:r>
          </w:p>
        </w:tc>
      </w:tr>
    </w:tbl>
    <w:p>
      <w:pPr>
        <w:pStyle w:val="14"/>
        <w:ind w:firstLine="420"/>
        <w:rPr>
          <w:rFonts w:ascii="Times New Roman" w:hAnsi="Times New Roman" w:eastAsia="黑体"/>
          <w:color w:val="000000" w:themeColor="text1"/>
          <w:sz w:val="21"/>
          <w:szCs w:val="21"/>
          <w:highlight w:val="none"/>
          <w14:textFill>
            <w14:solidFill>
              <w14:schemeClr w14:val="tx1"/>
            </w14:solidFill>
          </w14:textFill>
        </w:rPr>
      </w:pPr>
      <w:r>
        <w:rPr>
          <w:rFonts w:hint="eastAsia" w:ascii="Times New Roman" w:hAnsi="Times New Roman" w:eastAsia="黑体"/>
          <w:color w:val="000000" w:themeColor="text1"/>
          <w:sz w:val="21"/>
          <w:szCs w:val="21"/>
          <w:highlight w:val="none"/>
          <w14:textFill>
            <w14:solidFill>
              <w14:schemeClr w14:val="tx1"/>
            </w14:solidFill>
          </w14:textFill>
        </w:rPr>
        <w:t>图</w:t>
      </w:r>
      <w:r>
        <w:rPr>
          <w:rFonts w:hint="eastAsia" w:ascii="Times New Roman" w:hAnsi="Times New Roman" w:eastAsia="黑体"/>
          <w:color w:val="000000" w:themeColor="text1"/>
          <w:sz w:val="21"/>
          <w:szCs w:val="21"/>
          <w:highlight w:val="none"/>
          <w14:textFill>
            <w14:solidFill>
              <w14:schemeClr w14:val="tx1"/>
            </w14:solidFill>
          </w14:textFill>
        </w:rPr>
        <w:fldChar w:fldCharType="begin"/>
      </w:r>
      <w:r>
        <w:rPr>
          <w:rFonts w:hint="eastAsia" w:ascii="Times New Roman" w:hAnsi="Times New Roman" w:eastAsia="黑体"/>
          <w:color w:val="000000" w:themeColor="text1"/>
          <w:sz w:val="21"/>
          <w:szCs w:val="21"/>
          <w:highlight w:val="none"/>
          <w14:textFill>
            <w14:solidFill>
              <w14:schemeClr w14:val="tx1"/>
            </w14:solidFill>
          </w14:textFill>
        </w:rPr>
        <w:instrText xml:space="preserve"> STYLEREF 2 \s </w:instrText>
      </w:r>
      <w:r>
        <w:rPr>
          <w:rFonts w:hint="eastAsia" w:ascii="Times New Roman" w:hAnsi="Times New Roman" w:eastAsia="黑体"/>
          <w:color w:val="000000" w:themeColor="text1"/>
          <w:sz w:val="21"/>
          <w:szCs w:val="21"/>
          <w:highlight w:val="none"/>
          <w14:textFill>
            <w14:solidFill>
              <w14:schemeClr w14:val="tx1"/>
            </w14:solidFill>
          </w14:textFill>
        </w:rPr>
        <w:fldChar w:fldCharType="separate"/>
      </w:r>
      <w:r>
        <w:rPr>
          <w:rFonts w:hint="eastAsia" w:ascii="Times New Roman" w:hAnsi="Times New Roman" w:eastAsia="黑体"/>
          <w:color w:val="000000" w:themeColor="text1"/>
          <w:sz w:val="21"/>
          <w:szCs w:val="21"/>
          <w:highlight w:val="none"/>
          <w14:textFill>
            <w14:solidFill>
              <w14:schemeClr w14:val="tx1"/>
            </w14:solidFill>
          </w14:textFill>
        </w:rPr>
        <w:t>4.3</w:t>
      </w:r>
      <w:r>
        <w:rPr>
          <w:rFonts w:hint="eastAsia" w:ascii="Times New Roman" w:hAnsi="Times New Roman" w:eastAsia="黑体"/>
          <w:color w:val="000000" w:themeColor="text1"/>
          <w:sz w:val="21"/>
          <w:szCs w:val="21"/>
          <w:highlight w:val="none"/>
          <w14:textFill>
            <w14:solidFill>
              <w14:schemeClr w14:val="tx1"/>
            </w14:solidFill>
          </w14:textFill>
        </w:rPr>
        <w:fldChar w:fldCharType="end"/>
      </w:r>
      <w:r>
        <w:rPr>
          <w:rFonts w:hint="eastAsia" w:ascii="Times New Roman" w:hAnsi="Times New Roman" w:eastAsia="黑体"/>
          <w:color w:val="000000" w:themeColor="text1"/>
          <w:sz w:val="21"/>
          <w:szCs w:val="21"/>
          <w:highlight w:val="none"/>
          <w14:textFill>
            <w14:solidFill>
              <w14:schemeClr w14:val="tx1"/>
            </w14:solidFill>
          </w14:textFill>
        </w:rPr>
        <w:noBreakHyphen/>
      </w:r>
      <w:r>
        <w:rPr>
          <w:rFonts w:hint="eastAsia" w:ascii="Times New Roman" w:hAnsi="Times New Roman" w:eastAsia="黑体"/>
          <w:color w:val="000000" w:themeColor="text1"/>
          <w:sz w:val="21"/>
          <w:szCs w:val="21"/>
          <w:highlight w:val="none"/>
          <w14:textFill>
            <w14:solidFill>
              <w14:schemeClr w14:val="tx1"/>
            </w14:solidFill>
          </w14:textFill>
        </w:rPr>
        <w:fldChar w:fldCharType="begin"/>
      </w:r>
      <w:r>
        <w:rPr>
          <w:rFonts w:hint="eastAsia" w:ascii="Times New Roman" w:hAnsi="Times New Roman" w:eastAsia="黑体"/>
          <w:color w:val="000000" w:themeColor="text1"/>
          <w:sz w:val="21"/>
          <w:szCs w:val="21"/>
          <w:highlight w:val="none"/>
          <w14:textFill>
            <w14:solidFill>
              <w14:schemeClr w14:val="tx1"/>
            </w14:solidFill>
          </w14:textFill>
        </w:rPr>
        <w:instrText xml:space="preserve"> SEQ 图 \* ARABIC \s 2 </w:instrText>
      </w:r>
      <w:r>
        <w:rPr>
          <w:rFonts w:hint="eastAsia" w:ascii="Times New Roman" w:hAnsi="Times New Roman" w:eastAsia="黑体"/>
          <w:color w:val="000000" w:themeColor="text1"/>
          <w:sz w:val="21"/>
          <w:szCs w:val="21"/>
          <w:highlight w:val="none"/>
          <w14:textFill>
            <w14:solidFill>
              <w14:schemeClr w14:val="tx1"/>
            </w14:solidFill>
          </w14:textFill>
        </w:rPr>
        <w:fldChar w:fldCharType="separate"/>
      </w:r>
      <w:r>
        <w:rPr>
          <w:rFonts w:hint="eastAsia" w:ascii="Times New Roman" w:hAnsi="Times New Roman" w:eastAsia="黑体"/>
          <w:color w:val="000000" w:themeColor="text1"/>
          <w:sz w:val="21"/>
          <w:szCs w:val="21"/>
          <w:highlight w:val="none"/>
          <w14:textFill>
            <w14:solidFill>
              <w14:schemeClr w14:val="tx1"/>
            </w14:solidFill>
          </w14:textFill>
        </w:rPr>
        <w:t>1</w:t>
      </w:r>
      <w:r>
        <w:rPr>
          <w:rFonts w:hint="eastAsia" w:ascii="Times New Roman" w:hAnsi="Times New Roman" w:eastAsia="黑体"/>
          <w:color w:val="000000" w:themeColor="text1"/>
          <w:sz w:val="21"/>
          <w:szCs w:val="21"/>
          <w:highlight w:val="none"/>
          <w14:textFill>
            <w14:solidFill>
              <w14:schemeClr w14:val="tx1"/>
            </w14:solidFill>
          </w14:textFill>
        </w:rPr>
        <w:fldChar w:fldCharType="end"/>
      </w:r>
      <w:r>
        <w:rPr>
          <w:rFonts w:hint="eastAsia" w:ascii="Times New Roman" w:hAnsi="Times New Roman" w:eastAsia="黑体"/>
          <w:color w:val="000000" w:themeColor="text1"/>
          <w:sz w:val="21"/>
          <w:szCs w:val="21"/>
          <w:highlight w:val="none"/>
          <w14:textFill>
            <w14:solidFill>
              <w14:schemeClr w14:val="tx1"/>
            </w14:solidFill>
          </w14:textFill>
        </w:rPr>
        <w:t xml:space="preserve"> 陆生植被现场照片</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4、评价区生态现状介绍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评价区所在区域属IA3(6</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川北深丘植被小区，范围相对较小，水热条件、海拔、土壤理化性质均一致，根据现场调查及遥感卫片纹理特征可知，评价区植被概况与项目区域总体情况基本一致，自然植被主要为麻栎、青冈、栓皮栎、马尾松、柏木林、亚热带草丛及其各种过渡类型。每种群落内部种群差异较小。</w:t>
      </w:r>
    </w:p>
    <w:p>
      <w:pPr>
        <w:ind w:firstLine="480"/>
        <w:jc w:val="left"/>
        <w:rPr>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外来植物是指在一个特定地域的生态系统中，不是本地自然发生和进化而来，而是后来通过不同的途径从其他地区传播过来的植物。外来植物如果能够在自然状态下获得生长和繁殖，就构成了外来植物的入侵。参考马金双的《中国入侵植物名录》(2013)，根据实地调查，评价区内有外来入侵植物4种，具体名录见表</w:t>
      </w:r>
      <w:r>
        <w:rPr>
          <w:rFonts w:hint="eastAsia"/>
          <w:bCs/>
          <w:color w:val="000000" w:themeColor="text1"/>
          <w:highlight w:val="none"/>
          <w14:textFill>
            <w14:solidFill>
              <w14:schemeClr w14:val="tx1"/>
            </w14:solidFill>
          </w14:textFill>
        </w:rPr>
        <w:t>4.3-8。</w:t>
      </w:r>
    </w:p>
    <w:p>
      <w:pPr>
        <w:pStyle w:val="30"/>
        <w:spacing w:before="120" w:line="240" w:lineRule="auto"/>
        <w:ind w:firstLine="420"/>
        <w:jc w:val="center"/>
        <w:rPr>
          <w:rFonts w:ascii="Times New Roman" w:eastAsia="黑体"/>
          <w:b w:val="0"/>
          <w:bCs w:val="0"/>
          <w:color w:val="000000" w:themeColor="text1"/>
          <w:sz w:val="21"/>
          <w:szCs w:val="21"/>
          <w:highlight w:val="none"/>
          <w14:textFill>
            <w14:solidFill>
              <w14:schemeClr w14:val="tx1"/>
            </w14:solidFill>
          </w14:textFill>
        </w:rPr>
      </w:pPr>
      <w:r>
        <w:rPr>
          <w:rFonts w:hint="eastAsia" w:ascii="Times New Roman" w:eastAsia="黑体"/>
          <w:b w:val="0"/>
          <w:bCs w:val="0"/>
          <w:color w:val="000000" w:themeColor="text1"/>
          <w:sz w:val="21"/>
          <w:szCs w:val="21"/>
          <w:highlight w:val="none"/>
          <w14:textFill>
            <w14:solidFill>
              <w14:schemeClr w14:val="tx1"/>
            </w14:solidFill>
          </w14:textFill>
        </w:rPr>
        <w:t>表4.3-8 评价区入侵植物调查结果统计表</w:t>
      </w:r>
    </w:p>
    <w:tbl>
      <w:tblPr>
        <w:tblStyle w:val="5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1251"/>
        <w:gridCol w:w="2225"/>
        <w:gridCol w:w="1946"/>
        <w:gridCol w:w="2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400" w:type="pct"/>
            <w:vAlign w:val="center"/>
          </w:tcPr>
          <w:p>
            <w:pPr>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序号</w:t>
            </w:r>
          </w:p>
        </w:tc>
        <w:tc>
          <w:tcPr>
            <w:tcW w:w="734" w:type="pct"/>
            <w:vAlign w:val="center"/>
          </w:tcPr>
          <w:p>
            <w:pPr>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中文名称</w:t>
            </w:r>
          </w:p>
        </w:tc>
        <w:tc>
          <w:tcPr>
            <w:tcW w:w="1304" w:type="pct"/>
            <w:vAlign w:val="center"/>
          </w:tcPr>
          <w:p>
            <w:pPr>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拉丁文名</w:t>
            </w:r>
          </w:p>
        </w:tc>
        <w:tc>
          <w:tcPr>
            <w:tcW w:w="1140" w:type="pct"/>
            <w:vAlign w:val="center"/>
          </w:tcPr>
          <w:p>
            <w:pPr>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分布区域</w:t>
            </w:r>
          </w:p>
        </w:tc>
        <w:tc>
          <w:tcPr>
            <w:tcW w:w="1419" w:type="pct"/>
            <w:vAlign w:val="center"/>
          </w:tcPr>
          <w:p>
            <w:pPr>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资料来源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400" w:type="pct"/>
            <w:vAlign w:val="center"/>
          </w:tcPr>
          <w:p>
            <w:pPr>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w:t>
            </w:r>
          </w:p>
        </w:tc>
        <w:tc>
          <w:tcPr>
            <w:tcW w:w="734" w:type="pct"/>
            <w:vAlign w:val="center"/>
          </w:tcPr>
          <w:p>
            <w:pPr>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苦苣菜</w:t>
            </w:r>
          </w:p>
        </w:tc>
        <w:tc>
          <w:tcPr>
            <w:tcW w:w="1304" w:type="pct"/>
            <w:vAlign w:val="center"/>
          </w:tcPr>
          <w:p>
            <w:pPr>
              <w:spacing w:before="120" w:line="240" w:lineRule="auto"/>
              <w:ind w:firstLine="0" w:firstLineChars="0"/>
              <w:jc w:val="center"/>
              <w:rPr>
                <w:rFonts w:cs="Times New Roman"/>
                <w:bCs/>
                <w:i/>
                <w:iCs/>
                <w:color w:val="000000" w:themeColor="text1"/>
                <w:kern w:val="0"/>
                <w:sz w:val="21"/>
                <w:szCs w:val="21"/>
                <w:highlight w:val="none"/>
                <w14:textFill>
                  <w14:solidFill>
                    <w14:schemeClr w14:val="tx1"/>
                  </w14:solidFill>
                </w14:textFill>
              </w:rPr>
            </w:pPr>
            <w:r>
              <w:rPr>
                <w:rFonts w:cs="Times New Roman"/>
                <w:bCs/>
                <w:i/>
                <w:iCs/>
                <w:color w:val="000000" w:themeColor="text1"/>
                <w:kern w:val="0"/>
                <w:sz w:val="21"/>
                <w:szCs w:val="21"/>
                <w:highlight w:val="none"/>
                <w14:textFill>
                  <w14:solidFill>
                    <w14:schemeClr w14:val="tx1"/>
                  </w14:solidFill>
                </w14:textFill>
              </w:rPr>
              <w:t>Sonchus arvensis</w:t>
            </w:r>
          </w:p>
        </w:tc>
        <w:tc>
          <w:tcPr>
            <w:tcW w:w="1140" w:type="pct"/>
            <w:vAlign w:val="center"/>
          </w:tcPr>
          <w:p>
            <w:pPr>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分布在路边、田坎</w:t>
            </w:r>
          </w:p>
        </w:tc>
        <w:tc>
          <w:tcPr>
            <w:tcW w:w="1419" w:type="pct"/>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调查、《中国外来入侵物种名单》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400" w:type="pct"/>
            <w:vAlign w:val="center"/>
          </w:tcPr>
          <w:p>
            <w:pPr>
              <w:spacing w:before="120"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w:t>
            </w:r>
          </w:p>
        </w:tc>
        <w:tc>
          <w:tcPr>
            <w:tcW w:w="734" w:type="pct"/>
            <w:vAlign w:val="center"/>
          </w:tcPr>
          <w:p>
            <w:pPr>
              <w:spacing w:before="120"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鬼针草</w:t>
            </w:r>
          </w:p>
        </w:tc>
        <w:tc>
          <w:tcPr>
            <w:tcW w:w="1304" w:type="pct"/>
            <w:vAlign w:val="center"/>
          </w:tcPr>
          <w:p>
            <w:pPr>
              <w:spacing w:before="120" w:line="240" w:lineRule="auto"/>
              <w:ind w:firstLine="0" w:firstLineChars="0"/>
              <w:jc w:val="center"/>
              <w:rPr>
                <w:rFonts w:cs="Times New Roman"/>
                <w:bCs/>
                <w:i/>
                <w:iCs/>
                <w:color w:val="000000" w:themeColor="text1"/>
                <w:kern w:val="0"/>
                <w:sz w:val="21"/>
                <w:szCs w:val="21"/>
                <w:highlight w:val="none"/>
                <w14:textFill>
                  <w14:solidFill>
                    <w14:schemeClr w14:val="tx1"/>
                  </w14:solidFill>
                </w14:textFill>
              </w:rPr>
            </w:pPr>
            <w:r>
              <w:rPr>
                <w:rFonts w:cs="Times New Roman"/>
                <w:bCs/>
                <w:i/>
                <w:iCs/>
                <w:color w:val="000000" w:themeColor="text1"/>
                <w:kern w:val="0"/>
                <w:sz w:val="21"/>
                <w:szCs w:val="21"/>
                <w:highlight w:val="none"/>
                <w14:textFill>
                  <w14:solidFill>
                    <w14:schemeClr w14:val="tx1"/>
                  </w14:solidFill>
                </w14:textFill>
              </w:rPr>
              <w:t>Bidens pilosa</w:t>
            </w:r>
          </w:p>
        </w:tc>
        <w:tc>
          <w:tcPr>
            <w:tcW w:w="1140" w:type="pct"/>
            <w:vAlign w:val="center"/>
          </w:tcPr>
          <w:p>
            <w:pPr>
              <w:adjustRightInd/>
              <w:snapToGrid/>
              <w:spacing w:before="120"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分布在路边、荒地、灌草丛</w:t>
            </w:r>
          </w:p>
        </w:tc>
        <w:tc>
          <w:tcPr>
            <w:tcW w:w="1419" w:type="pct"/>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调查、《中国外来入侵物种名单》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400" w:type="pct"/>
            <w:vAlign w:val="center"/>
          </w:tcPr>
          <w:p>
            <w:pPr>
              <w:spacing w:before="120"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3</w:t>
            </w:r>
          </w:p>
        </w:tc>
        <w:tc>
          <w:tcPr>
            <w:tcW w:w="734" w:type="pct"/>
            <w:vAlign w:val="center"/>
          </w:tcPr>
          <w:p>
            <w:pPr>
              <w:spacing w:before="120"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白车轴草</w:t>
            </w:r>
          </w:p>
        </w:tc>
        <w:tc>
          <w:tcPr>
            <w:tcW w:w="1304" w:type="pct"/>
            <w:vAlign w:val="center"/>
          </w:tcPr>
          <w:p>
            <w:pPr>
              <w:spacing w:before="120" w:line="240" w:lineRule="auto"/>
              <w:ind w:firstLine="0" w:firstLineChars="0"/>
              <w:jc w:val="center"/>
              <w:rPr>
                <w:rFonts w:cs="Times New Roman"/>
                <w:bCs/>
                <w:i/>
                <w:iCs/>
                <w:color w:val="000000" w:themeColor="text1"/>
                <w:kern w:val="0"/>
                <w:sz w:val="21"/>
                <w:szCs w:val="21"/>
                <w:highlight w:val="none"/>
                <w14:textFill>
                  <w14:solidFill>
                    <w14:schemeClr w14:val="tx1"/>
                  </w14:solidFill>
                </w14:textFill>
              </w:rPr>
            </w:pPr>
            <w:r>
              <w:rPr>
                <w:rFonts w:cs="Times New Roman"/>
                <w:bCs/>
                <w:i/>
                <w:iCs/>
                <w:color w:val="000000" w:themeColor="text1"/>
                <w:kern w:val="0"/>
                <w:sz w:val="21"/>
                <w:szCs w:val="21"/>
                <w:highlight w:val="none"/>
                <w14:textFill>
                  <w14:solidFill>
                    <w14:schemeClr w14:val="tx1"/>
                  </w14:solidFill>
                </w14:textFill>
              </w:rPr>
              <w:t>Trifoliumrepens</w:t>
            </w:r>
          </w:p>
        </w:tc>
        <w:tc>
          <w:tcPr>
            <w:tcW w:w="1140" w:type="pct"/>
            <w:vAlign w:val="center"/>
          </w:tcPr>
          <w:p>
            <w:pPr>
              <w:adjustRightInd/>
              <w:snapToGrid/>
              <w:spacing w:before="120"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分布在路边、荒地、灌草丛</w:t>
            </w:r>
          </w:p>
        </w:tc>
        <w:tc>
          <w:tcPr>
            <w:tcW w:w="1419" w:type="pct"/>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调查、《中国外来入侵物种名单》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400" w:type="pct"/>
            <w:vAlign w:val="center"/>
          </w:tcPr>
          <w:p>
            <w:pPr>
              <w:spacing w:before="120"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4</w:t>
            </w:r>
          </w:p>
        </w:tc>
        <w:tc>
          <w:tcPr>
            <w:tcW w:w="734" w:type="pct"/>
            <w:vAlign w:val="center"/>
          </w:tcPr>
          <w:p>
            <w:pPr>
              <w:spacing w:before="120"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阿拉伯婆婆纳</w:t>
            </w:r>
          </w:p>
        </w:tc>
        <w:tc>
          <w:tcPr>
            <w:tcW w:w="1304" w:type="pct"/>
            <w:vAlign w:val="center"/>
          </w:tcPr>
          <w:p>
            <w:pPr>
              <w:spacing w:before="120" w:line="240" w:lineRule="auto"/>
              <w:ind w:firstLine="0" w:firstLineChars="0"/>
              <w:jc w:val="center"/>
              <w:rPr>
                <w:rFonts w:cs="Times New Roman"/>
                <w:bCs/>
                <w:i/>
                <w:iCs/>
                <w:color w:val="000000" w:themeColor="text1"/>
                <w:kern w:val="0"/>
                <w:sz w:val="21"/>
                <w:szCs w:val="21"/>
                <w:highlight w:val="none"/>
                <w14:textFill>
                  <w14:solidFill>
                    <w14:schemeClr w14:val="tx1"/>
                  </w14:solidFill>
                </w14:textFill>
              </w:rPr>
            </w:pPr>
            <w:r>
              <w:rPr>
                <w:rFonts w:cs="Times New Roman"/>
                <w:bCs/>
                <w:i/>
                <w:iCs/>
                <w:color w:val="000000" w:themeColor="text1"/>
                <w:kern w:val="0"/>
                <w:sz w:val="21"/>
                <w:szCs w:val="21"/>
                <w:highlight w:val="none"/>
                <w14:textFill>
                  <w14:solidFill>
                    <w14:schemeClr w14:val="tx1"/>
                  </w14:solidFill>
                </w14:textFill>
              </w:rPr>
              <w:t>Veronica persica</w:t>
            </w:r>
          </w:p>
        </w:tc>
        <w:tc>
          <w:tcPr>
            <w:tcW w:w="1945" w:type="dxa"/>
            <w:vAlign w:val="center"/>
          </w:tcPr>
          <w:p>
            <w:pPr>
              <w:adjustRightInd/>
              <w:snapToGrid/>
              <w:spacing w:before="120"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分布在路边、荒地</w:t>
            </w:r>
          </w:p>
        </w:tc>
        <w:tc>
          <w:tcPr>
            <w:tcW w:w="2421" w:type="dxa"/>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调查、《中国外来入侵物种名单》</w:t>
            </w:r>
          </w:p>
        </w:tc>
      </w:tr>
    </w:tbl>
    <w:p>
      <w:pPr>
        <w:spacing w:before="120" w:beforeLines="50"/>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上表，评价区内的入侵植物有苦苣菜、鬼针草、白车轴草、阿拉伯婆婆纳，这些入侵植物在评价区部分地段形成了优势群落，其中鬼针草、白车轴草、阿拉伯婆婆纳主要分布于路边空旷地和撂荒地，本区域已有很多林下区域和宜林荒地被外来入侵生物鬼针草、白车轴草、阿拉伯婆婆纳所侵占。</w:t>
      </w:r>
    </w:p>
    <w:p>
      <w:pPr>
        <w:spacing w:before="120" w:beforeLines="50"/>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据实际分布情况，以及前文所述样方布点原则，在评价区对每种典型群系选取3个具代表性的地段设置样方，进行列表明示。具体记录如下</w:t>
      </w:r>
      <w:r>
        <w:rPr>
          <w:rFonts w:hint="eastAsia"/>
          <w:color w:val="000000" w:themeColor="text1"/>
          <w:highlight w:val="none"/>
          <w14:textFill>
            <w14:solidFill>
              <w14:schemeClr w14:val="tx1"/>
            </w14:solidFill>
          </w14:textFill>
        </w:rPr>
        <w:t>。</w:t>
      </w:r>
    </w:p>
    <w:p>
      <w:pPr>
        <w:adjustRightInd/>
        <w:snapToGrid/>
        <w:spacing w:line="500" w:lineRule="exact"/>
        <w:ind w:left="60" w:right="100" w:firstLine="482" w:firstLineChars="0"/>
        <w:jc w:val="center"/>
        <w:rPr>
          <w:rFonts w:eastAsia="黑体" w:cs="Times New Roman"/>
          <w:color w:val="000000" w:themeColor="text1"/>
          <w:sz w:val="21"/>
          <w:szCs w:val="21"/>
          <w:highlight w:val="none"/>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样方1 麻栎、青冈、栓皮栎群系样地表（1）</w:t>
      </w:r>
    </w:p>
    <w:tbl>
      <w:tblPr>
        <w:tblStyle w:val="54"/>
        <w:tblW w:w="94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92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7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92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pacing w:val="15"/>
                <w:sz w:val="21"/>
                <w:szCs w:val="21"/>
                <w:highlight w:val="none"/>
                <w14:textFill>
                  <w14:solidFill>
                    <w14:schemeClr w14:val="tx1"/>
                  </w14:solidFill>
                </w14:textFill>
              </w:rPr>
              <w:t>107.8074,31.6464</w:t>
            </w:r>
          </w:p>
        </w:tc>
        <w:tc>
          <w:tcPr>
            <w:tcW w:w="70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w:t>
            </w:r>
            <w:r>
              <w:rPr>
                <w:rFonts w:hint="eastAsia" w:cs="Times New Roman"/>
                <w:b/>
                <w:color w:val="000000" w:themeColor="text1"/>
                <w:sz w:val="21"/>
                <w:szCs w:val="21"/>
                <w:highlight w:val="none"/>
                <w14:textFill>
                  <w14:solidFill>
                    <w14:schemeClr w14:val="tx1"/>
                  </w14:solidFill>
                </w14:textFill>
              </w:rPr>
              <w:t>（</w:t>
            </w:r>
            <w:r>
              <w:rPr>
                <w:rFonts w:cs="Times New Roman"/>
                <w:b/>
                <w:color w:val="000000" w:themeColor="text1"/>
                <w:sz w:val="21"/>
                <w:szCs w:val="21"/>
                <w:highlight w:val="none"/>
                <w14:textFill>
                  <w14:solidFill>
                    <w14:schemeClr w14:val="tx1"/>
                  </w14:solidFill>
                </w14:textFill>
              </w:rPr>
              <w:t>m</w:t>
            </w:r>
            <w:r>
              <w:rPr>
                <w:rFonts w:hint="eastAsia" w:cs="Times New Roman"/>
                <w:b/>
                <w:color w:val="000000" w:themeColor="text1"/>
                <w:sz w:val="21"/>
                <w:szCs w:val="21"/>
                <w:highlight w:val="none"/>
                <w14:textFill>
                  <w14:solidFill>
                    <w14:schemeClr w14:val="tx1"/>
                  </w14:solidFill>
                </w14:textFill>
              </w:rPr>
              <w:t>）</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pacing w:val="15"/>
                <w:sz w:val="21"/>
                <w:szCs w:val="21"/>
                <w:highlight w:val="none"/>
                <w14:textFill>
                  <w14:solidFill>
                    <w14:schemeClr w14:val="tx1"/>
                  </w14:solidFill>
                </w14:textFill>
              </w:rPr>
              <w:t>666</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壤土</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中文名（拉丁名）</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乔木层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麻栎（</w:t>
            </w:r>
            <w:r>
              <w:rPr>
                <w:rFonts w:cs="Times New Roman"/>
                <w:bCs/>
                <w:i/>
                <w:iCs/>
                <w:color w:val="000000" w:themeColor="text1"/>
                <w:sz w:val="21"/>
                <w:szCs w:val="21"/>
                <w:highlight w:val="none"/>
                <w14:textFill>
                  <w14:solidFill>
                    <w14:schemeClr w14:val="tx1"/>
                  </w14:solidFill>
                </w14:textFill>
              </w:rPr>
              <w:t>Quercus acutissima</w:t>
            </w:r>
            <w:r>
              <w:rPr>
                <w:rFonts w:cs="Times New Roman"/>
                <w:bCs/>
                <w:color w:val="000000" w:themeColor="text1"/>
                <w:sz w:val="21"/>
                <w:szCs w:val="21"/>
                <w:highlight w:val="none"/>
                <w14:textFill>
                  <w14:solidFill>
                    <w14:schemeClr w14:val="tx1"/>
                  </w14:solidFill>
                </w14:textFill>
              </w:rPr>
              <w:t>）</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25</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22</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5*4</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青冈</w:t>
            </w:r>
            <w:r>
              <w:rPr>
                <w:rFonts w:cs="Times New Roman"/>
                <w:bCs/>
                <w:i/>
                <w:iCs/>
                <w:color w:val="000000" w:themeColor="text1"/>
                <w:sz w:val="21"/>
                <w:szCs w:val="21"/>
                <w:highlight w:val="none"/>
                <w14:textFill>
                  <w14:solidFill>
                    <w14:schemeClr w14:val="tx1"/>
                  </w14:solidFill>
                </w14:textFill>
              </w:rPr>
              <w:t>TCyclobalanopsis glaucaThunb.Oerst</w:t>
            </w:r>
            <w:r>
              <w:rPr>
                <w:rFonts w:cs="Times New Roman"/>
                <w:bCs/>
                <w:color w:val="000000" w:themeColor="text1"/>
                <w:sz w:val="21"/>
                <w:szCs w:val="21"/>
                <w:highlight w:val="none"/>
                <w14:textFill>
                  <w14:solidFill>
                    <w14:schemeClr w14:val="tx1"/>
                  </w14:solidFill>
                </w14:textFill>
              </w:rPr>
              <w:t>.</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21</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4*4</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枫香（</w:t>
            </w:r>
            <w:r>
              <w:rPr>
                <w:rFonts w:cs="Times New Roman"/>
                <w:bCs/>
                <w:i/>
                <w:iCs/>
                <w:color w:val="000000" w:themeColor="text1"/>
                <w:sz w:val="21"/>
                <w:szCs w:val="21"/>
                <w:highlight w:val="none"/>
                <w14:textFill>
                  <w14:solidFill>
                    <w14:schemeClr w14:val="tx1"/>
                  </w14:solidFill>
                </w14:textFill>
              </w:rPr>
              <w:t>Liquidambar formosana Hance</w:t>
            </w:r>
            <w:r>
              <w:rPr>
                <w:rFonts w:cs="Times New Roman"/>
                <w:bCs/>
                <w:color w:val="000000" w:themeColor="text1"/>
                <w:sz w:val="21"/>
                <w:szCs w:val="21"/>
                <w:highlight w:val="none"/>
                <w14:textFill>
                  <w14:solidFill>
                    <w14:schemeClr w14:val="tx1"/>
                  </w14:solidFill>
                </w14:textFill>
              </w:rPr>
              <w:t>）</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18</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5*6</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马尾松（PinusmassonianaLamb）</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4*4</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棕榈（Trachycarpus fortunei）</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6</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刺红珠（Berberis dictyophylla）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豪猪刺（Berberis julianae）</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1.3</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盐肤木（Rhus chinensis）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5</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胡颓子（Elaeagnus pungens）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宜昌悬钩子（Rubus ichangensis）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8</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金佛山荚蒾（Viburnum chinshanense）</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狗牙根（Cynodon dactylon）</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车前（Plantgo asiatica）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0.95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芒萁（Dicranopteris dichotoma）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野艾蒿（Artemisia lavandulaefolia）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蕺菜（Houttuynia cordata）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白茅（Imperata cylindrica）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Soc</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野艾蒿（Artemisia lavandulaefolia）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0.95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Soc</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adjustRightInd/>
        <w:snapToGrid/>
        <w:spacing w:line="500" w:lineRule="exact"/>
        <w:ind w:left="60" w:right="100" w:firstLine="482" w:firstLineChars="0"/>
        <w:jc w:val="center"/>
        <w:rPr>
          <w:rFonts w:eastAsia="黑体" w:cs="Times New Roman"/>
          <w:color w:val="000000" w:themeColor="text1"/>
          <w:sz w:val="21"/>
          <w:szCs w:val="21"/>
          <w:highlight w:val="none"/>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样方1  麻栎、青冈、栓皮栎群系样地表（2）</w:t>
      </w:r>
    </w:p>
    <w:tbl>
      <w:tblPr>
        <w:tblStyle w:val="54"/>
        <w:tblW w:w="94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92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7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92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107.8061,31.6434</w:t>
            </w:r>
          </w:p>
        </w:tc>
        <w:tc>
          <w:tcPr>
            <w:tcW w:w="70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w:t>
            </w:r>
            <w:r>
              <w:rPr>
                <w:rFonts w:hint="eastAsia" w:cs="Times New Roman"/>
                <w:b/>
                <w:color w:val="000000" w:themeColor="text1"/>
                <w:sz w:val="21"/>
                <w:szCs w:val="21"/>
                <w:highlight w:val="none"/>
                <w14:textFill>
                  <w14:solidFill>
                    <w14:schemeClr w14:val="tx1"/>
                  </w14:solidFill>
                </w14:textFill>
              </w:rPr>
              <w:t>（</w:t>
            </w:r>
            <w:r>
              <w:rPr>
                <w:rFonts w:cs="Times New Roman"/>
                <w:b/>
                <w:color w:val="000000" w:themeColor="text1"/>
                <w:sz w:val="21"/>
                <w:szCs w:val="21"/>
                <w:highlight w:val="none"/>
                <w14:textFill>
                  <w14:solidFill>
                    <w14:schemeClr w14:val="tx1"/>
                  </w14:solidFill>
                </w14:textFill>
              </w:rPr>
              <w:t>m</w:t>
            </w:r>
            <w:r>
              <w:rPr>
                <w:rFonts w:hint="eastAsia" w:cs="Times New Roman"/>
                <w:b/>
                <w:color w:val="000000" w:themeColor="text1"/>
                <w:sz w:val="21"/>
                <w:szCs w:val="21"/>
                <w:highlight w:val="none"/>
                <w14:textFill>
                  <w14:solidFill>
                    <w14:schemeClr w14:val="tx1"/>
                  </w14:solidFill>
                </w14:textFill>
              </w:rPr>
              <w:t>）</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pacing w:val="15"/>
                <w:sz w:val="21"/>
                <w:szCs w:val="21"/>
                <w:highlight w:val="none"/>
                <w14:textFill>
                  <w14:solidFill>
                    <w14:schemeClr w14:val="tx1"/>
                  </w14:solidFill>
                </w14:textFill>
              </w:rPr>
              <w:t>668</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壤土</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中文名（拉丁名）</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乔木层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麻栎（Quercus acutissima）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20</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19</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4*4</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青冈TCyclobalanopsis glaucaThunb.Oerst.</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18</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4*5</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栓皮栎（Quercus variabilis Bl.）</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4*3</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马尾松（PinusmassonianaLamb）</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4*4</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铁仔（Myrsine africana）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6</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红花檵木（</w:t>
            </w:r>
            <w:r>
              <w:rPr>
                <w:rFonts w:cs="Times New Roman"/>
                <w:bCs/>
                <w:color w:val="000000" w:themeColor="text1"/>
                <w:sz w:val="21"/>
                <w:szCs w:val="21"/>
                <w:highlight w:val="none"/>
                <w:lang w:val="pt-BR"/>
                <w14:textFill>
                  <w14:solidFill>
                    <w14:schemeClr w14:val="tx1"/>
                  </w14:solidFill>
                </w14:textFill>
              </w:rPr>
              <w:t>Loropetalum chinensis</w:t>
            </w:r>
            <w:r>
              <w:rPr>
                <w:rFonts w:cs="Times New Roman"/>
                <w:bCs/>
                <w:color w:val="000000" w:themeColor="text1"/>
                <w:sz w:val="21"/>
                <w:szCs w:val="21"/>
                <w:highlight w:val="none"/>
                <w14:textFill>
                  <w14:solidFill>
                    <w14:schemeClr w14:val="tx1"/>
                  </w14:solidFill>
                </w14:textFill>
              </w:rPr>
              <w:t>）</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铁仔（Myrsine africana）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1.3</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米饭花（Vacciniuim sprengelii）</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5</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杭子梢（Campylotropis macrocarpa）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川莓（Rubus setchuensis）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胡颓子（Elaeagnus pungens）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1.75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白茅（Imperata cylindrica）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0.95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芒萁（Dicranopteris dichotoma）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里白（Hicriopteris glauca）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苎麻（Boehmeria nivea）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葛（Pueraria lobata）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矛叶荩草（Arthraxon lanceolatus）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adjustRightInd/>
        <w:snapToGrid/>
        <w:spacing w:line="500" w:lineRule="exact"/>
        <w:ind w:left="60" w:right="100" w:firstLine="482" w:firstLineChars="0"/>
        <w:jc w:val="center"/>
        <w:rPr>
          <w:rFonts w:eastAsia="黑体" w:cs="Times New Roman"/>
          <w:color w:val="000000" w:themeColor="text1"/>
          <w:sz w:val="21"/>
          <w:szCs w:val="21"/>
          <w:highlight w:val="none"/>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样方1  麻栎、青冈、栓皮栎群系样地表（3）</w:t>
      </w:r>
    </w:p>
    <w:tbl>
      <w:tblPr>
        <w:tblStyle w:val="54"/>
        <w:tblW w:w="94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92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7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92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107.8073,31.6440</w:t>
            </w:r>
          </w:p>
        </w:tc>
        <w:tc>
          <w:tcPr>
            <w:tcW w:w="70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w:t>
            </w:r>
            <w:r>
              <w:rPr>
                <w:rFonts w:hint="eastAsia" w:cs="Times New Roman"/>
                <w:b/>
                <w:color w:val="000000" w:themeColor="text1"/>
                <w:sz w:val="21"/>
                <w:szCs w:val="21"/>
                <w:highlight w:val="none"/>
                <w14:textFill>
                  <w14:solidFill>
                    <w14:schemeClr w14:val="tx1"/>
                  </w14:solidFill>
                </w14:textFill>
              </w:rPr>
              <w:t>（</w:t>
            </w:r>
            <w:r>
              <w:rPr>
                <w:rFonts w:cs="Times New Roman"/>
                <w:b/>
                <w:color w:val="000000" w:themeColor="text1"/>
                <w:sz w:val="21"/>
                <w:szCs w:val="21"/>
                <w:highlight w:val="none"/>
                <w14:textFill>
                  <w14:solidFill>
                    <w14:schemeClr w14:val="tx1"/>
                  </w14:solidFill>
                </w14:textFill>
              </w:rPr>
              <w:t>m</w:t>
            </w:r>
            <w:r>
              <w:rPr>
                <w:rFonts w:hint="eastAsia" w:cs="Times New Roman"/>
                <w:b/>
                <w:color w:val="000000" w:themeColor="text1"/>
                <w:sz w:val="21"/>
                <w:szCs w:val="21"/>
                <w:highlight w:val="none"/>
                <w14:textFill>
                  <w14:solidFill>
                    <w14:schemeClr w14:val="tx1"/>
                  </w14:solidFill>
                </w14:textFill>
              </w:rPr>
              <w:t>）</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pacing w:val="15"/>
                <w:sz w:val="21"/>
                <w:szCs w:val="21"/>
                <w:highlight w:val="none"/>
                <w14:textFill>
                  <w14:solidFill>
                    <w14:schemeClr w14:val="tx1"/>
                  </w14:solidFill>
                </w14:textFill>
              </w:rPr>
              <w:t>685</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壤土</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SW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中文名（拉丁名）</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乔木层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麻栎（Quercus acutissima）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3*4</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青冈（TCyclobalanopsis glaucaThunb.Oerst.）</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4*4</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栓皮栎（Quercus variabilis Bl.）</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2*3</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柏木（Cupressus funebris Endl.）</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8</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2*3</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马桑（Coriaria nepalensis）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6</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棕榈（Trachycarpus fortunei）</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9</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刺红珠（Berberis dictyophylla）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1.3</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豪猪刺（Berberis julianae）</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5</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盐肤木（Rhus chinensis）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宜昌悬钩子（Rubus ichangensis）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8</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皱叶荚蒾（Viburnum rhytidophyllum）</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白茅Imperata cylindrica.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Soc</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狗脊（</w:t>
            </w:r>
            <w:r>
              <w:rPr>
                <w:rFonts w:cs="Times New Roman"/>
                <w:bCs/>
                <w:color w:val="000000" w:themeColor="text1"/>
                <w:sz w:val="21"/>
                <w:szCs w:val="21"/>
                <w:highlight w:val="none"/>
                <w:lang w:val="pt-BR"/>
                <w14:textFill>
                  <w14:solidFill>
                    <w14:schemeClr w14:val="tx1"/>
                  </w14:solidFill>
                </w14:textFill>
              </w:rPr>
              <w:t>Woodwardia japonica</w:t>
            </w:r>
            <w:r>
              <w:rPr>
                <w:rFonts w:cs="Times New Roman"/>
                <w:bCs/>
                <w:color w:val="000000" w:themeColor="text1"/>
                <w:sz w:val="21"/>
                <w:szCs w:val="21"/>
                <w:highlight w:val="none"/>
                <w14:textFill>
                  <w14:solidFill>
                    <w14:schemeClr w14:val="tx1"/>
                  </w14:solidFill>
                </w14:textFill>
              </w:rPr>
              <w:t>）</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芒萁（Dicranopteris dichotoma）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芒Miscanthus sinensis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麦冬（Ophiopogon japonicus）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淡竹叶（Lophatherum gracile）</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0.95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Soc</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adjustRightInd/>
        <w:snapToGrid/>
        <w:spacing w:line="500" w:lineRule="exact"/>
        <w:ind w:left="60" w:right="100" w:firstLine="482" w:firstLineChars="0"/>
        <w:jc w:val="center"/>
        <w:rPr>
          <w:rFonts w:eastAsia="黑体" w:cs="Times New Roman"/>
          <w:color w:val="000000" w:themeColor="text1"/>
          <w:sz w:val="21"/>
          <w:szCs w:val="21"/>
          <w:highlight w:val="none"/>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样方2  慈竹群落样方表（1）</w:t>
      </w:r>
    </w:p>
    <w:tbl>
      <w:tblPr>
        <w:tblStyle w:val="54"/>
        <w:tblW w:w="94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92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7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92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107.8055,31.</w:t>
            </w:r>
            <w:r>
              <w:rPr>
                <w:rFonts w:hint="eastAsia" w:cs="Times New Roman"/>
                <w:b/>
                <w:color w:val="000000" w:themeColor="text1"/>
                <w:sz w:val="21"/>
                <w:szCs w:val="21"/>
                <w:highlight w:val="none"/>
                <w:lang w:eastAsia="zh-CN"/>
                <w14:textFill>
                  <w14:solidFill>
                    <w14:schemeClr w14:val="tx1"/>
                  </w14:solidFill>
                </w14:textFill>
              </w:rPr>
              <w:t>***</w:t>
            </w:r>
            <w:r>
              <w:rPr>
                <w:rFonts w:cs="Times New Roman"/>
                <w:b/>
                <w:color w:val="000000" w:themeColor="text1"/>
                <w:sz w:val="21"/>
                <w:szCs w:val="21"/>
                <w:highlight w:val="none"/>
                <w14:textFill>
                  <w14:solidFill>
                    <w14:schemeClr w14:val="tx1"/>
                  </w14:solidFill>
                </w14:textFill>
              </w:rPr>
              <w:t>8</w:t>
            </w:r>
          </w:p>
        </w:tc>
        <w:tc>
          <w:tcPr>
            <w:tcW w:w="70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海拔（m）</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639</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壤土</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SW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中文名（拉丁名）</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乔木层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慈竹（Neosinocalamus affinis）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118</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棕榈（Trachycarpus fortunei）</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4</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刺红珠（Berberis dictyophylla）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2.1</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芒萁</w:t>
            </w:r>
            <w:r>
              <w:rPr>
                <w:rFonts w:hint="eastAsia" w:cs="Times New Roman"/>
                <w:bCs/>
                <w:color w:val="000000" w:themeColor="text1"/>
                <w:sz w:val="21"/>
                <w:szCs w:val="21"/>
                <w:highlight w:val="none"/>
                <w14:textFill>
                  <w14:solidFill>
                    <w14:schemeClr w14:val="tx1"/>
                  </w14:solidFill>
                </w14:textFill>
              </w:rPr>
              <w:t>（Dicranopteris dichotoma）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0.9</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Cop</w:t>
            </w:r>
            <w:r>
              <w:rPr>
                <w:rFonts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野艾蒿</w:t>
            </w:r>
            <w:r>
              <w:rPr>
                <w:rFonts w:cs="Times New Roman"/>
                <w:bCs/>
                <w:color w:val="000000" w:themeColor="text1"/>
                <w:sz w:val="21"/>
                <w:szCs w:val="21"/>
                <w:highlight w:val="none"/>
                <w14:textFill>
                  <w14:solidFill>
                    <w14:schemeClr w14:val="tx1"/>
                  </w14:solidFill>
                </w14:textFill>
              </w:rPr>
              <w:t>（</w:t>
            </w:r>
            <w:r>
              <w:rPr>
                <w:rFonts w:hint="eastAsia" w:cs="Times New Roman"/>
                <w:bCs/>
                <w:color w:val="000000" w:themeColor="text1"/>
                <w:sz w:val="21"/>
                <w:szCs w:val="21"/>
                <w:highlight w:val="none"/>
                <w14:textFill>
                  <w14:solidFill>
                    <w14:schemeClr w14:val="tx1"/>
                  </w14:solidFill>
                </w14:textFill>
              </w:rPr>
              <w:t>Artemisia lavandulaefolia</w:t>
            </w:r>
            <w:r>
              <w:rPr>
                <w:rFonts w:cs="Times New Roman"/>
                <w:bCs/>
                <w:color w:val="000000" w:themeColor="text1"/>
                <w:sz w:val="21"/>
                <w:szCs w:val="21"/>
                <w:highlight w:val="none"/>
                <w14:textFill>
                  <w14:solidFill>
                    <w14:schemeClr w14:val="tx1"/>
                  </w14:solidFill>
                </w14:textFill>
              </w:rPr>
              <w:t>）</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adjustRightInd/>
        <w:snapToGrid/>
        <w:spacing w:line="500" w:lineRule="exact"/>
        <w:ind w:left="60" w:right="100" w:firstLine="482" w:firstLineChars="0"/>
        <w:jc w:val="center"/>
        <w:rPr>
          <w:rFonts w:cs="Times New Roman"/>
          <w:bCs/>
          <w:color w:val="000000" w:themeColor="text1"/>
          <w:sz w:val="21"/>
          <w:szCs w:val="20"/>
          <w:highlight w:val="none"/>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样方2  慈竹群落样方表（2）</w:t>
      </w:r>
    </w:p>
    <w:tbl>
      <w:tblPr>
        <w:tblStyle w:val="54"/>
        <w:tblW w:w="94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92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7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92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107.8064,31.</w:t>
            </w:r>
            <w:r>
              <w:rPr>
                <w:rFonts w:hint="eastAsia" w:cs="Times New Roman"/>
                <w:b/>
                <w:color w:val="000000" w:themeColor="text1"/>
                <w:sz w:val="21"/>
                <w:szCs w:val="21"/>
                <w:highlight w:val="none"/>
                <w:lang w:eastAsia="zh-CN"/>
                <w14:textFill>
                  <w14:solidFill>
                    <w14:schemeClr w14:val="tx1"/>
                  </w14:solidFill>
                </w14:textFill>
              </w:rPr>
              <w:t>***</w:t>
            </w:r>
            <w:r>
              <w:rPr>
                <w:rFonts w:cs="Times New Roman"/>
                <w:b/>
                <w:color w:val="000000" w:themeColor="text1"/>
                <w:sz w:val="21"/>
                <w:szCs w:val="21"/>
                <w:highlight w:val="none"/>
                <w14:textFill>
                  <w14:solidFill>
                    <w14:schemeClr w14:val="tx1"/>
                  </w14:solidFill>
                </w14:textFill>
              </w:rPr>
              <w:t>0</w:t>
            </w:r>
          </w:p>
        </w:tc>
        <w:tc>
          <w:tcPr>
            <w:tcW w:w="70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海拔（m）</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638</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壤土</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中文名（拉丁名）</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乔木层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慈竹（Neosinocalamus affinis）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85</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13</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铁仔（Myrsine africana）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7</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2.5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米饭花（Vacciniuim sprengelii）</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1.35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1.8</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白茅（Imperata cylindrica）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Soc</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野艾蒿</w:t>
            </w:r>
            <w:r>
              <w:rPr>
                <w:rFonts w:cs="Times New Roman"/>
                <w:bCs/>
                <w:color w:val="000000" w:themeColor="text1"/>
                <w:sz w:val="21"/>
                <w:szCs w:val="21"/>
                <w:highlight w:val="none"/>
                <w14:textFill>
                  <w14:solidFill>
                    <w14:schemeClr w14:val="tx1"/>
                  </w14:solidFill>
                </w14:textFill>
              </w:rPr>
              <w:t>（</w:t>
            </w:r>
            <w:r>
              <w:rPr>
                <w:rFonts w:hint="eastAsia" w:cs="Times New Roman"/>
                <w:bCs/>
                <w:color w:val="000000" w:themeColor="text1"/>
                <w:sz w:val="21"/>
                <w:szCs w:val="21"/>
                <w:highlight w:val="none"/>
                <w14:textFill>
                  <w14:solidFill>
                    <w14:schemeClr w14:val="tx1"/>
                  </w14:solidFill>
                </w14:textFill>
              </w:rPr>
              <w:t>Artemisia lavandulaefolia</w:t>
            </w:r>
            <w:r>
              <w:rPr>
                <w:rFonts w:cs="Times New Roman"/>
                <w:bCs/>
                <w:color w:val="000000" w:themeColor="text1"/>
                <w:sz w:val="21"/>
                <w:szCs w:val="21"/>
                <w:highlight w:val="none"/>
                <w14:textFill>
                  <w14:solidFill>
                    <w14:schemeClr w14:val="tx1"/>
                  </w14:solidFill>
                </w14:textFill>
              </w:rPr>
              <w:t>）</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0.95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Soc</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adjustRightInd/>
        <w:snapToGrid/>
        <w:spacing w:line="500" w:lineRule="exact"/>
        <w:ind w:left="60" w:right="100" w:firstLine="482" w:firstLineChars="0"/>
        <w:jc w:val="center"/>
        <w:rPr>
          <w:rFonts w:eastAsia="黑体" w:cs="Times New Roman"/>
          <w:color w:val="000000" w:themeColor="text1"/>
          <w:sz w:val="21"/>
          <w:szCs w:val="21"/>
          <w:highlight w:val="none"/>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样方2  慈竹群落样方表（3）</w:t>
      </w:r>
    </w:p>
    <w:tbl>
      <w:tblPr>
        <w:tblStyle w:val="54"/>
        <w:tblW w:w="94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92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7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92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107.8071,31.</w:t>
            </w:r>
            <w:r>
              <w:rPr>
                <w:rFonts w:hint="eastAsia" w:cs="Times New Roman"/>
                <w:b/>
                <w:color w:val="000000" w:themeColor="text1"/>
                <w:kern w:val="0"/>
                <w:sz w:val="21"/>
                <w:szCs w:val="21"/>
                <w:highlight w:val="none"/>
                <w:lang w:eastAsia="zh-CN"/>
                <w14:textFill>
                  <w14:solidFill>
                    <w14:schemeClr w14:val="tx1"/>
                  </w14:solidFill>
                </w14:textFill>
              </w:rPr>
              <w:t>***</w:t>
            </w:r>
            <w:r>
              <w:rPr>
                <w:rFonts w:cs="Times New Roman"/>
                <w:b/>
                <w:color w:val="000000" w:themeColor="text1"/>
                <w:kern w:val="0"/>
                <w:sz w:val="21"/>
                <w:szCs w:val="21"/>
                <w:highlight w:val="none"/>
                <w14:textFill>
                  <w14:solidFill>
                    <w14:schemeClr w14:val="tx1"/>
                  </w14:solidFill>
                </w14:textFill>
              </w:rPr>
              <w:t>2</w:t>
            </w:r>
          </w:p>
        </w:tc>
        <w:tc>
          <w:tcPr>
            <w:tcW w:w="70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海拔（m）</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665</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壤土</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中文名（拉丁名）</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乔木层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慈竹（Neosinocalamus affinis）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13</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115</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野桐（Polystichum acutidens）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1.8</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盐肤木（Rhus chinensis）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1.3</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10</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1.8</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白茅（Imperata cylindrica）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0.25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车前（Plantago asiatica）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Sp</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adjustRightInd/>
        <w:snapToGrid/>
        <w:spacing w:line="500" w:lineRule="exact"/>
        <w:ind w:left="60" w:right="100" w:firstLine="482" w:firstLineChars="0"/>
        <w:jc w:val="center"/>
        <w:rPr>
          <w:rFonts w:eastAsia="黑体" w:cs="Times New Roman"/>
          <w:color w:val="000000" w:themeColor="text1"/>
          <w:sz w:val="21"/>
          <w:szCs w:val="21"/>
          <w:highlight w:val="none"/>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样方3  马桑、黄荆、火棘、荚蒾群系样方表（1）</w:t>
      </w:r>
    </w:p>
    <w:tbl>
      <w:tblPr>
        <w:tblStyle w:val="54"/>
        <w:tblW w:w="94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92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7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92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107.8063,31.6472</w:t>
            </w:r>
          </w:p>
        </w:tc>
        <w:tc>
          <w:tcPr>
            <w:tcW w:w="70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海拔（m）</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pacing w:val="15"/>
                <w:sz w:val="21"/>
                <w:szCs w:val="21"/>
                <w:highlight w:val="none"/>
                <w14:textFill>
                  <w14:solidFill>
                    <w14:schemeClr w14:val="tx1"/>
                  </w14:solidFill>
                </w14:textFill>
              </w:rPr>
              <w:t>656</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壤土</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10</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中文名（拉丁名）</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火棘Pyracantha fortuneana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3.5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黄荆Vitex negundo</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2.3</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9</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荚蒾（Viburnum dilatatum）</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2.7</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4</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马桑Coriaria nepalensis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6</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2.3</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野桐Mallotus japonicus var. floccosus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3.0</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千里光（Senecio scandens）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Cop</w:t>
            </w:r>
            <w:r>
              <w:rPr>
                <w:rFonts w:hint="eastAsia" w:cs="Times New Roman"/>
                <w:bCs/>
                <w:color w:val="000000" w:themeColor="text1"/>
                <w:sz w:val="21"/>
                <w:szCs w:val="21"/>
                <w:highlight w:val="none"/>
                <w:vertAlign w:val="subscript"/>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糙苏（Phlomis umbrosa）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0.45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Cop</w:t>
            </w:r>
            <w:r>
              <w:rPr>
                <w:rFonts w:hint="eastAsia"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白茅（Imperata cylindrica）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车前（Plantago asiatica）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蕺菜（Houttuynia cordata）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野艾蒿（Artemisia lavandulaefolia）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白茅（Imperata cylindrica）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芒萁（Dicranopteris dichotoma）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淡竹叶（Lophatherum gracile）</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1.2</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adjustRightInd/>
        <w:snapToGrid/>
        <w:spacing w:line="500" w:lineRule="exact"/>
        <w:ind w:left="60" w:right="100" w:firstLine="482" w:firstLineChars="0"/>
        <w:jc w:val="center"/>
        <w:rPr>
          <w:rFonts w:eastAsia="黑体" w:cs="Times New Roman"/>
          <w:color w:val="000000" w:themeColor="text1"/>
          <w:sz w:val="21"/>
          <w:szCs w:val="21"/>
          <w:highlight w:val="none"/>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样方3  马桑、黄荆、火棘、荚蒾群系样方表（2）</w:t>
      </w:r>
    </w:p>
    <w:tbl>
      <w:tblPr>
        <w:tblStyle w:val="54"/>
        <w:tblW w:w="94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92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7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92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107.8063,31.6441</w:t>
            </w:r>
          </w:p>
        </w:tc>
        <w:tc>
          <w:tcPr>
            <w:tcW w:w="70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海拔（m）</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pacing w:val="15"/>
                <w:sz w:val="21"/>
                <w:szCs w:val="21"/>
                <w:highlight w:val="none"/>
                <w14:textFill>
                  <w14:solidFill>
                    <w14:schemeClr w14:val="tx1"/>
                  </w14:solidFill>
                </w14:textFill>
              </w:rPr>
              <w:t>666</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壤土</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25</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中文名（拉丁名）</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火棘Pyracantha fortuneana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2.3</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3.4</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黄荆Vitex negundo</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2.0</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7</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荚蒾（Viburnum dilatatum）</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2.1</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4</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马桑Coriaria nepalensis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6</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2.3</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杜鹃（Rhododendron simsii Planch.）</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0.8</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川莓（Rubus setchuensis）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野艾蒿（Artemisia lavandulaefolia）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0.25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Cop</w:t>
            </w:r>
            <w:r>
              <w:rPr>
                <w:rFonts w:hint="eastAsia" w:cs="Times New Roman"/>
                <w:bCs/>
                <w:color w:val="000000" w:themeColor="text1"/>
                <w:sz w:val="21"/>
                <w:szCs w:val="21"/>
                <w:highlight w:val="none"/>
                <w:vertAlign w:val="subscript"/>
                <w14:textFill>
                  <w14:solidFill>
                    <w14:schemeClr w14:val="tx1"/>
                  </w14:solidFill>
                </w14:textFill>
              </w:rPr>
              <w:t>3</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白茅（Imperata cylindrica）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Cop</w:t>
            </w:r>
            <w:r>
              <w:rPr>
                <w:rFonts w:hint="eastAsia"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芒萁（Dicranopteris dichotoma）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Sp</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野青茅（Deyeuxia arundinacea）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Sp</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华南毛蕨（Cyclosorus parasiticus）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0.25</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异叶黄鹌菜（Youngia heterophylla）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蕺菜（Houttuynia cordata）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紫花地丁（Viola philippica）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狗牙根（Cynodon dactylon）</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车前（Plantgo asiatica）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adjustRightInd/>
        <w:snapToGrid/>
        <w:spacing w:line="500" w:lineRule="exact"/>
        <w:ind w:left="60" w:right="100" w:firstLine="482" w:firstLineChars="0"/>
        <w:jc w:val="center"/>
        <w:rPr>
          <w:rFonts w:eastAsia="黑体" w:cs="Times New Roman"/>
          <w:color w:val="000000" w:themeColor="text1"/>
          <w:sz w:val="21"/>
          <w:szCs w:val="21"/>
          <w:highlight w:val="none"/>
          <w14:textFill>
            <w14:solidFill>
              <w14:schemeClr w14:val="tx1"/>
            </w14:solidFill>
          </w14:textFill>
        </w:rPr>
      </w:pPr>
    </w:p>
    <w:p>
      <w:pPr>
        <w:adjustRightInd/>
        <w:snapToGrid/>
        <w:spacing w:line="500" w:lineRule="exact"/>
        <w:ind w:left="60" w:right="100" w:firstLine="482" w:firstLineChars="0"/>
        <w:jc w:val="center"/>
        <w:rPr>
          <w:rFonts w:eastAsia="黑体" w:cs="Times New Roman"/>
          <w:color w:val="000000" w:themeColor="text1"/>
          <w:sz w:val="21"/>
          <w:szCs w:val="21"/>
          <w:highlight w:val="none"/>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样方3  马桑、黄荆、火棘、荚蒾群系样方表（3）</w:t>
      </w:r>
    </w:p>
    <w:tbl>
      <w:tblPr>
        <w:tblStyle w:val="54"/>
        <w:tblW w:w="94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3928"/>
        <w:gridCol w:w="703"/>
        <w:gridCol w:w="481"/>
        <w:gridCol w:w="621"/>
        <w:gridCol w:w="648"/>
        <w:gridCol w:w="550"/>
        <w:gridCol w:w="523"/>
        <w:gridCol w:w="659"/>
        <w:gridCol w:w="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7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坐标</w:t>
            </w:r>
          </w:p>
        </w:tc>
        <w:tc>
          <w:tcPr>
            <w:tcW w:w="3928"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107.8049,31.6463</w:t>
            </w:r>
          </w:p>
        </w:tc>
        <w:tc>
          <w:tcPr>
            <w:tcW w:w="70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海拔（m）</w:t>
            </w:r>
          </w:p>
        </w:tc>
        <w:tc>
          <w:tcPr>
            <w:tcW w:w="48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pacing w:val="15"/>
                <w:sz w:val="21"/>
                <w:szCs w:val="21"/>
                <w:highlight w:val="none"/>
                <w14:textFill>
                  <w14:solidFill>
                    <w14:schemeClr w14:val="tx1"/>
                  </w14:solidFill>
                </w14:textFill>
              </w:rPr>
              <w:t>649</w:t>
            </w:r>
          </w:p>
        </w:tc>
        <w:tc>
          <w:tcPr>
            <w:tcW w:w="621"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土壤类型</w:t>
            </w:r>
          </w:p>
        </w:tc>
        <w:tc>
          <w:tcPr>
            <w:tcW w:w="648" w:type="dxa"/>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壤土</w:t>
            </w:r>
          </w:p>
        </w:tc>
        <w:tc>
          <w:tcPr>
            <w:tcW w:w="550"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坡度</w:t>
            </w:r>
          </w:p>
        </w:tc>
        <w:tc>
          <w:tcPr>
            <w:tcW w:w="52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5</w:t>
            </w:r>
          </w:p>
        </w:tc>
        <w:tc>
          <w:tcPr>
            <w:tcW w:w="659"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坡向</w:t>
            </w:r>
          </w:p>
        </w:tc>
        <w:tc>
          <w:tcPr>
            <w:tcW w:w="743" w:type="dxa"/>
            <w:vAlign w:val="center"/>
          </w:tcPr>
          <w:p>
            <w:pPr>
              <w:adjustRightInd/>
              <w:snapToGri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中文名（拉丁名）</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平均高度m</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株数/多度</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平均胸径cm</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平均</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冠幅</w:t>
            </w: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茂盛</w:t>
            </w:r>
          </w:p>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灌木层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火棘Pyracantha fortuneana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10</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3.5</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黄荆Vitex negundo</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2.0</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4</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荚蒾（Viburnum dilatatum）</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4</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2.0</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马桑Coriaria nepalensis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1.8</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5</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2.3</w:t>
            </w: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restart"/>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草本层</w:t>
            </w: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千里光（Senecio scandens）</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Cop</w:t>
            </w:r>
            <w:r>
              <w:rPr>
                <w:rFonts w:hint="eastAsia" w:cs="Times New Roman"/>
                <w:bCs/>
                <w:color w:val="000000" w:themeColor="text1"/>
                <w:sz w:val="21"/>
                <w:szCs w:val="21"/>
                <w:highlight w:val="none"/>
                <w:vertAlign w:val="subscript"/>
                <w14:textFill>
                  <w14:solidFill>
                    <w14:schemeClr w14:val="tx1"/>
                  </w14:solidFill>
                </w14:textFill>
              </w:rPr>
              <w:t>1</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糙苏（Phlomis umbrosa）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Sp</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白茅（Imperata cylindrica）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0.4</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Sp</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车前（Plantago asiatica）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0.7</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Sol.</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蕺菜（Houttuynia cordata）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Un.</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570" w:type="dxa"/>
            <w:vMerge w:val="continue"/>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392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葛（Pueraria lobata）</w:t>
            </w:r>
          </w:p>
        </w:tc>
        <w:tc>
          <w:tcPr>
            <w:tcW w:w="1805" w:type="dxa"/>
            <w:gridSpan w:val="3"/>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0.6</w:t>
            </w:r>
          </w:p>
        </w:tc>
        <w:tc>
          <w:tcPr>
            <w:tcW w:w="648"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hint="eastAsia" w:cs="Times New Roman"/>
                <w:bCs/>
                <w:color w:val="000000" w:themeColor="text1"/>
                <w:sz w:val="21"/>
                <w:szCs w:val="21"/>
                <w:highlight w:val="none"/>
                <w14:textFill>
                  <w14:solidFill>
                    <w14:schemeClr w14:val="tx1"/>
                  </w14:solidFill>
                </w14:textFill>
              </w:rPr>
              <w:t>Sp</w:t>
            </w:r>
          </w:p>
        </w:tc>
        <w:tc>
          <w:tcPr>
            <w:tcW w:w="1073" w:type="dxa"/>
            <w:gridSpan w:val="2"/>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659"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c>
          <w:tcPr>
            <w:tcW w:w="743" w:type="dxa"/>
            <w:vAlign w:val="center"/>
          </w:tcPr>
          <w:p>
            <w:pPr>
              <w:adjustRightInd/>
              <w:snapToGri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p>
        </w:tc>
      </w:tr>
    </w:tbl>
    <w:p>
      <w:pPr>
        <w:pStyle w:val="30"/>
        <w:ind w:firstLine="482"/>
        <w:rPr>
          <w:color w:val="000000" w:themeColor="text1"/>
          <w:highlight w:val="none"/>
          <w14:textFill>
            <w14:solidFill>
              <w14:schemeClr w14:val="tx1"/>
            </w14:solidFill>
          </w14:textFill>
        </w:rPr>
      </w:pPr>
    </w:p>
    <w:p>
      <w:pPr>
        <w:pStyle w:val="31"/>
        <w:ind w:firstLine="480"/>
        <w:rPr>
          <w:color w:val="000000" w:themeColor="text1"/>
          <w:highlight w:val="none"/>
          <w14:textFill>
            <w14:solidFill>
              <w14:schemeClr w14:val="tx1"/>
            </w14:solidFill>
          </w14:textFill>
        </w:rPr>
      </w:pPr>
    </w:p>
    <w:p>
      <w:pPr>
        <w:pStyle w:val="132"/>
        <w:ind w:firstLine="480"/>
        <w:rPr>
          <w:bCs/>
          <w:color w:val="000000" w:themeColor="text1"/>
          <w:szCs w:val="24"/>
          <w:highlight w:val="none"/>
          <w:lang w:val="de-DE"/>
          <w14:textFill>
            <w14:solidFill>
              <w14:schemeClr w14:val="tx1"/>
            </w14:solidFill>
          </w14:textFill>
        </w:rPr>
      </w:pPr>
      <w:r>
        <w:rPr>
          <w:rFonts w:hint="eastAsia"/>
          <w:bCs/>
          <w:color w:val="000000" w:themeColor="text1"/>
          <w:szCs w:val="24"/>
          <w:highlight w:val="none"/>
          <w14:textFill>
            <w14:solidFill>
              <w14:schemeClr w14:val="tx1"/>
            </w14:solidFill>
          </w14:textFill>
        </w:rPr>
        <w:t>5</w:t>
      </w:r>
      <w:r>
        <w:rPr>
          <w:bCs/>
          <w:color w:val="000000" w:themeColor="text1"/>
          <w:szCs w:val="24"/>
          <w:highlight w:val="none"/>
          <w14:textFill>
            <w14:solidFill>
              <w14:schemeClr w14:val="tx1"/>
            </w14:solidFill>
          </w14:textFill>
        </w:rPr>
        <w:t>、项目评价范围</w:t>
      </w:r>
      <w:r>
        <w:rPr>
          <w:bCs/>
          <w:color w:val="000000" w:themeColor="text1"/>
          <w:szCs w:val="24"/>
          <w:highlight w:val="none"/>
          <w:lang w:val="de-DE"/>
          <w14:textFill>
            <w14:solidFill>
              <w14:schemeClr w14:val="tx1"/>
            </w14:solidFill>
          </w14:textFill>
        </w:rPr>
        <w:t>植被的基本特征</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根据对评价范围进行的植被考察和若干重点地区代表类型的样方调查，可知区域内植被具有以下特征：</w:t>
      </w:r>
    </w:p>
    <w:p>
      <w:pPr>
        <w:numPr>
          <w:ilvl w:val="0"/>
          <w:numId w:val="12"/>
        </w:num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植被次生性明显</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在植被带谱上应为常绿阔叶林类型，但现有的常绿阔叶林面积很少，只有在人烟稀少、田头地角有残存的常绿阔叶林。评价区山体中上部经过近年来的人工造林和封山育林等工程，许多地方已经蔚然成林，多为针叶阔叶混交林带，主要是以麻栎、青冈、栓皮栎等为主的阔叶林植被带，其群落结构大多具备有乔木、灌木、草本、地衣层，覆盖度基本保持在70%左右。次生灌丛则以马桑、黄荆、火棘、荚蒾为主要的优势群落，草本优势种群主要是白茅、千里光、狗牙根、芒萁</w:t>
      </w:r>
      <w:r>
        <w:rPr>
          <w:rFonts w:hint="eastAsia" w:cs="Times New Roman"/>
          <w:bCs/>
          <w:color w:val="000000" w:themeColor="text1"/>
          <w:szCs w:val="24"/>
          <w:highlight w:val="none"/>
          <w14:textFill>
            <w14:solidFill>
              <w14:schemeClr w14:val="tx1"/>
            </w14:solidFill>
          </w14:textFill>
        </w:rPr>
        <w:t>、野艾蒿</w:t>
      </w:r>
      <w:r>
        <w:rPr>
          <w:rFonts w:cs="Times New Roman"/>
          <w:bCs/>
          <w:color w:val="000000" w:themeColor="text1"/>
          <w:szCs w:val="24"/>
          <w:highlight w:val="none"/>
          <w14:textFill>
            <w14:solidFill>
              <w14:schemeClr w14:val="tx1"/>
            </w14:solidFill>
          </w14:textFill>
        </w:rPr>
        <w:t>。在评价区海拔400m以下、坡度较缓的地带均已毁林开荒种植粮食作物，导致水土流失，自然条件发生变化，农业植被或者荒芜逐渐代替自然植被。</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地带性常绿阔叶林的消失，使蕴藏其中的大部分珍稀动植物失去生存繁衍的环境，同时，植被的明显次生性，大面积人工种植的落叶阔叶林以及次生的灌丛及灌草丛在评价范围的广泛分布，致使区内植被的生态效应的有效性、生物物种的多样性及植被生物量的丰富程度都受到一定的影响。</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w:t>
      </w:r>
      <w:r>
        <w:rPr>
          <w:rFonts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lang w:val="de-DE"/>
          <w14:textFill>
            <w14:solidFill>
              <w14:schemeClr w14:val="tx1"/>
            </w14:solidFill>
          </w14:textFill>
        </w:rPr>
        <w:t>）森林植被覆盖率较低，质量欠佳且分布不均</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评价范围的森林植被分布较为广泛，但多为人工培育中幼龄林，因此森林蓄积量较低，森林群落的结构简单，郁闭度相对较低，生物量及生产力亦较低，因此，森林植被的生态效应较差。项目建设过程中，施工方应千方百计注意保护现有森林植被，并在项目开发的同时，采取有效措施促进森林植被的恢复，加强人工封闭或人工促进措施，做好封山育林工作，使灌丛植被尽快地向森林植被演替。</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（3）人工植被分布广泛，尤其旱地植被占明显优势</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评价范围地处川东北中低山区域，土地负荷极大。目前评价范围内有农田植被</w:t>
      </w:r>
      <w:r>
        <w:rPr>
          <w:rFonts w:cs="Times New Roman"/>
          <w:bCs/>
          <w:color w:val="000000" w:themeColor="text1"/>
          <w:szCs w:val="24"/>
          <w:highlight w:val="none"/>
          <w14:textFill>
            <w14:solidFill>
              <w14:schemeClr w14:val="tx1"/>
            </w14:solidFill>
          </w14:textFill>
        </w:rPr>
        <w:t>3.01</w:t>
      </w:r>
      <w:r>
        <w:rPr>
          <w:rFonts w:cs="Times New Roman"/>
          <w:bCs/>
          <w:color w:val="000000" w:themeColor="text1"/>
          <w:szCs w:val="24"/>
          <w:highlight w:val="none"/>
          <w:lang w:val="de-DE"/>
          <w14:textFill>
            <w14:solidFill>
              <w14:schemeClr w14:val="tx1"/>
            </w14:solidFill>
          </w14:textFill>
        </w:rPr>
        <w:t>hm²，约占评价区内土地总面积的</w:t>
      </w:r>
      <w:r>
        <w:rPr>
          <w:rFonts w:cs="Times New Roman"/>
          <w:bCs/>
          <w:color w:val="000000" w:themeColor="text1"/>
          <w:kern w:val="0"/>
          <w:szCs w:val="24"/>
          <w:highlight w:val="none"/>
          <w14:textFill>
            <w14:solidFill>
              <w14:schemeClr w14:val="tx1"/>
            </w14:solidFill>
          </w14:textFill>
        </w:rPr>
        <w:t>9.75</w:t>
      </w:r>
      <w:r>
        <w:rPr>
          <w:rFonts w:cs="Times New Roman"/>
          <w:bCs/>
          <w:color w:val="000000" w:themeColor="text1"/>
          <w:szCs w:val="24"/>
          <w:highlight w:val="none"/>
          <w:lang w:val="de-DE"/>
          <w14:textFill>
            <w14:solidFill>
              <w14:schemeClr w14:val="tx1"/>
            </w14:solidFill>
          </w14:textFill>
        </w:rPr>
        <w:t>%，即垦殖指数达</w:t>
      </w:r>
      <w:r>
        <w:rPr>
          <w:rFonts w:cs="Times New Roman"/>
          <w:bCs/>
          <w:color w:val="000000" w:themeColor="text1"/>
          <w:szCs w:val="24"/>
          <w:highlight w:val="none"/>
          <w14:textFill>
            <w14:solidFill>
              <w14:schemeClr w14:val="tx1"/>
            </w14:solidFill>
          </w14:textFill>
        </w:rPr>
        <w:t>9.75</w:t>
      </w:r>
      <w:r>
        <w:rPr>
          <w:rFonts w:cs="Times New Roman"/>
          <w:bCs/>
          <w:color w:val="000000" w:themeColor="text1"/>
          <w:szCs w:val="24"/>
          <w:highlight w:val="none"/>
          <w:lang w:val="de-DE"/>
          <w14:textFill>
            <w14:solidFill>
              <w14:schemeClr w14:val="tx1"/>
            </w14:solidFill>
          </w14:textFill>
        </w:rPr>
        <w:t>%。大面积的农田植被对于解决区内人口的粮食、蔬菜等起到了重要作用，但是由于不少旱地是在河谷斜坡和丘陵山地的斜坡面上开垦出来的，这种坡耕旱地在人类长期的翻耕种植下，会加速土壤的侵蚀，使山区生态环境进一步退化。</w:t>
      </w:r>
    </w:p>
    <w:bookmarkEnd w:id="259"/>
    <w:p>
      <w:pPr>
        <w:pStyle w:val="4"/>
        <w:spacing w:before="120"/>
        <w:ind w:firstLine="480"/>
        <w:rPr>
          <w:color w:val="000000" w:themeColor="text1"/>
          <w:highlight w:val="none"/>
          <w:lang w:eastAsia="zh-CN"/>
          <w14:textFill>
            <w14:solidFill>
              <w14:schemeClr w14:val="tx1"/>
            </w14:solidFill>
          </w14:textFill>
        </w:rPr>
      </w:pPr>
      <w:r>
        <w:rPr>
          <w:color w:val="000000" w:themeColor="text1"/>
          <w:szCs w:val="24"/>
          <w:highlight w:val="none"/>
          <w:lang w:eastAsia="zh-CN"/>
          <w14:textFill>
            <w14:solidFill>
              <w14:schemeClr w14:val="tx1"/>
            </w14:solidFill>
          </w14:textFill>
        </w:rPr>
        <w:t>评价范围植被生产力和生物量分析</w:t>
      </w:r>
    </w:p>
    <w:p>
      <w:pPr>
        <w:spacing w:line="480" w:lineRule="exact"/>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w:t>
      </w:r>
      <w:r>
        <w:rPr>
          <w:rFonts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lang w:val="de-DE"/>
          <w14:textFill>
            <w14:solidFill>
              <w14:schemeClr w14:val="tx1"/>
            </w14:solidFill>
          </w14:textFill>
        </w:rPr>
        <w:t>）土地自然生产力估算</w:t>
      </w:r>
    </w:p>
    <w:p>
      <w:pPr>
        <w:spacing w:line="480" w:lineRule="exact"/>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采用H.lieth生物生产力经验公式计算项目区域土地自然生产力：</w:t>
      </w:r>
    </w:p>
    <w:p>
      <w:pPr>
        <w:ind w:firstLine="480"/>
        <w:jc w:val="center"/>
        <w:rPr>
          <w:rFonts w:cs="Times New Roman"/>
          <w:bCs/>
          <w:color w:val="000000" w:themeColor="text1"/>
          <w:szCs w:val="24"/>
          <w:highlight w:val="none"/>
          <w14:textFill>
            <w14:solidFill>
              <w14:schemeClr w14:val="tx1"/>
            </w14:solidFill>
          </w14:textFill>
        </w:rPr>
      </w:pPr>
      <w:r>
        <w:rPr>
          <w:rFonts w:cs="Times New Roman"/>
          <w:bCs/>
          <w:color w:val="000000" w:themeColor="text1"/>
          <w:position w:val="-26"/>
          <w:szCs w:val="24"/>
          <w:highlight w:val="none"/>
          <w14:textFill>
            <w14:solidFill>
              <w14:schemeClr w14:val="tx1"/>
            </w14:solidFill>
          </w14:textFill>
        </w:rPr>
        <w:object>
          <v:shape id="_x0000_i1027" o:spt="75" type="#_x0000_t75" style="height:36.7pt;width:129.55pt;" o:ole="t" filled="f" o:preferrelative="t" stroked="f" coordsize="21600,21600">
            <v:path/>
            <v:fill on="f" focussize="0,0"/>
            <v:stroke on="f" joinstyle="miter"/>
            <v:imagedata r:id="rId55" o:title=""/>
            <o:lock v:ext="edit" aspectratio="t"/>
            <w10:wrap type="none"/>
            <w10:anchorlock/>
          </v:shape>
          <o:OLEObject Type="Embed" ProgID="Equation.3" ShapeID="_x0000_i1027" DrawAspect="Content" ObjectID="_1468075727" r:id="rId54">
            <o:LockedField>false</o:LockedField>
          </o:OLEObject>
        </w:object>
      </w:r>
    </w:p>
    <w:p>
      <w:pPr>
        <w:ind w:firstLine="480"/>
        <w:jc w:val="center"/>
        <w:rPr>
          <w:rFonts w:cs="Times New Roman"/>
          <w:bCs/>
          <w:color w:val="000000" w:themeColor="text1"/>
          <w:szCs w:val="24"/>
          <w:highlight w:val="none"/>
          <w14:textFill>
            <w14:solidFill>
              <w14:schemeClr w14:val="tx1"/>
            </w14:solidFill>
          </w14:textFill>
        </w:rPr>
      </w:pPr>
      <w:r>
        <w:rPr>
          <w:rFonts w:cs="Times New Roman"/>
          <w:bCs/>
          <w:color w:val="000000" w:themeColor="text1"/>
          <w:position w:val="-10"/>
          <w:szCs w:val="24"/>
          <w:highlight w:val="none"/>
          <w14:textFill>
            <w14:solidFill>
              <w14:schemeClr w14:val="tx1"/>
            </w14:solidFill>
          </w14:textFill>
        </w:rPr>
        <w:object>
          <v:shape id="_x0000_i1028" o:spt="75" type="#_x0000_t75" style="height:21.7pt;width:151.25pt;" o:ole="t" filled="f" o:preferrelative="t" stroked="f" coordsize="21600,21600">
            <v:path/>
            <v:fill on="f" focussize="0,0"/>
            <v:stroke on="f" joinstyle="miter"/>
            <v:imagedata r:id="rId57" o:title=""/>
            <o:lock v:ext="edit" aspectratio="t"/>
            <w10:wrap type="none"/>
            <w10:anchorlock/>
          </v:shape>
          <o:OLEObject Type="Embed" ProgID="Equation.3" ShapeID="_x0000_i1028" DrawAspect="Content" ObjectID="_1468075728" r:id="rId56">
            <o:LockedField>false</o:LockedField>
          </o:OLEObject>
        </w:object>
      </w:r>
    </w:p>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式中：</w:t>
      </w:r>
      <w:r>
        <w:rPr>
          <w:rFonts w:cs="Times New Roman"/>
          <w:bCs/>
          <w:i/>
          <w:color w:val="000000" w:themeColor="text1"/>
          <w:szCs w:val="24"/>
          <w:highlight w:val="none"/>
          <w14:textFill>
            <w14:solidFill>
              <w14:schemeClr w14:val="tx1"/>
            </w14:solidFill>
          </w14:textFill>
        </w:rPr>
        <w:t>Y</w:t>
      </w:r>
      <w:r>
        <w:rPr>
          <w:rFonts w:cs="Times New Roman"/>
          <w:bCs/>
          <w:i/>
          <w:color w:val="000000" w:themeColor="text1"/>
          <w:szCs w:val="24"/>
          <w:highlight w:val="none"/>
          <w:vertAlign w:val="subscript"/>
          <w14:textFill>
            <w14:solidFill>
              <w14:schemeClr w14:val="tx1"/>
            </w14:solidFill>
          </w14:textFill>
        </w:rPr>
        <w:t>1</w:t>
      </w:r>
      <w:r>
        <w:rPr>
          <w:rFonts w:cs="Times New Roman"/>
          <w:bCs/>
          <w:color w:val="000000" w:themeColor="text1"/>
          <w:szCs w:val="24"/>
          <w:highlight w:val="none"/>
          <w:lang w:val="de-DE"/>
          <w14:textFill>
            <w14:solidFill>
              <w14:schemeClr w14:val="tx1"/>
            </w14:solidFill>
          </w14:textFill>
        </w:rPr>
        <w:t>——根据年均温度（t）估算的热量</w:t>
      </w:r>
      <w:r>
        <w:rPr>
          <w:rFonts w:cs="Times New Roman"/>
          <w:bCs/>
          <w:color w:val="000000" w:themeColor="text1"/>
          <w:szCs w:val="24"/>
          <w:highlight w:val="none"/>
          <w14:textFill>
            <w14:solidFill>
              <w14:schemeClr w14:val="tx1"/>
            </w14:solidFill>
          </w14:textFill>
        </w:rPr>
        <w:t>生产力（g/m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spacing w:line="480" w:lineRule="exact"/>
        <w:ind w:firstLine="720" w:firstLineChars="300"/>
        <w:rPr>
          <w:rFonts w:cs="Times New Roman"/>
          <w:bCs/>
          <w:color w:val="000000" w:themeColor="text1"/>
          <w:szCs w:val="24"/>
          <w:highlight w:val="none"/>
          <w14:textFill>
            <w14:solidFill>
              <w14:schemeClr w14:val="tx1"/>
            </w14:solidFill>
          </w14:textFill>
        </w:rPr>
      </w:pPr>
      <w:r>
        <w:rPr>
          <w:rFonts w:cs="Times New Roman"/>
          <w:bCs/>
          <w:i/>
          <w:color w:val="000000" w:themeColor="text1"/>
          <w:szCs w:val="24"/>
          <w:highlight w:val="none"/>
          <w14:textFill>
            <w14:solidFill>
              <w14:schemeClr w14:val="tx1"/>
            </w14:solidFill>
          </w14:textFill>
        </w:rPr>
        <w:t>Y</w:t>
      </w:r>
      <w:r>
        <w:rPr>
          <w:rFonts w:cs="Times New Roman"/>
          <w:bCs/>
          <w:color w:val="000000" w:themeColor="text1"/>
          <w:szCs w:val="24"/>
          <w:highlight w:val="none"/>
          <w:vertAlign w:val="sub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——根据年降水量（</w:t>
      </w:r>
      <w:r>
        <w:rPr>
          <w:rFonts w:cs="Times New Roman"/>
          <w:bCs/>
          <w:i/>
          <w:color w:val="000000" w:themeColor="text1"/>
          <w:szCs w:val="24"/>
          <w:highlight w:val="none"/>
          <w14:textFill>
            <w14:solidFill>
              <w14:schemeClr w14:val="tx1"/>
            </w14:solidFill>
          </w14:textFill>
        </w:rPr>
        <w:t>p</w:t>
      </w:r>
      <w:r>
        <w:rPr>
          <w:rFonts w:cs="Times New Roman"/>
          <w:bCs/>
          <w:color w:val="000000" w:themeColor="text1"/>
          <w:szCs w:val="24"/>
          <w:highlight w:val="none"/>
          <w14:textFill>
            <w14:solidFill>
              <w14:schemeClr w14:val="tx1"/>
            </w14:solidFill>
          </w14:textFill>
        </w:rPr>
        <w:t>，mm）估算的水分生产力（g/m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spacing w:line="480" w:lineRule="exact"/>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评价范围地貌类型以中低山为主，区内气候在垂直及水平方向的变化都较小，土地自然生产力计算结果如下表所示：</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评价范围土地自然生产力计算表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0" w:type="dxa"/>
          <w:bottom w:w="0" w:type="dxa"/>
          <w:right w:w="30" w:type="dxa"/>
        </w:tblCellMar>
      </w:tblPr>
      <w:tblGrid>
        <w:gridCol w:w="1145"/>
        <w:gridCol w:w="1808"/>
        <w:gridCol w:w="1806"/>
        <w:gridCol w:w="1806"/>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703" w:hRule="atLeast"/>
          <w:jc w:val="center"/>
        </w:trPr>
        <w:tc>
          <w:tcPr>
            <w:tcW w:w="684" w:type="pct"/>
            <w:vAlign w:val="center"/>
          </w:tcPr>
          <w:p>
            <w:pPr>
              <w:adjustRightInd/>
              <w:snapToGrid/>
              <w:spacing w:before="1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区域</w:t>
            </w:r>
          </w:p>
        </w:tc>
        <w:tc>
          <w:tcPr>
            <w:tcW w:w="1080" w:type="pct"/>
            <w:vAlign w:val="center"/>
          </w:tcPr>
          <w:p>
            <w:pPr>
              <w:adjustRightInd/>
              <w:snapToGrid/>
              <w:spacing w:before="1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多年平均气温</w:t>
            </w:r>
          </w:p>
          <w:p>
            <w:pPr>
              <w:adjustRightInd/>
              <w:snapToGrid/>
              <w:spacing w:before="1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w:t>
            </w:r>
          </w:p>
        </w:tc>
        <w:tc>
          <w:tcPr>
            <w:tcW w:w="1079" w:type="pct"/>
            <w:vAlign w:val="center"/>
          </w:tcPr>
          <w:p>
            <w:pPr>
              <w:adjustRightInd/>
              <w:snapToGrid/>
              <w:spacing w:before="1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多年平均降水量</w:t>
            </w:r>
          </w:p>
          <w:p>
            <w:pPr>
              <w:adjustRightInd/>
              <w:snapToGrid/>
              <w:spacing w:before="1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w:t>
            </w:r>
            <w:r>
              <w:rPr>
                <w:rFonts w:cs="Times New Roman"/>
                <w:b/>
                <w:color w:val="000000" w:themeColor="text1"/>
                <w:sz w:val="21"/>
                <w:szCs w:val="21"/>
                <w:highlight w:val="none"/>
                <w14:textFill>
                  <w14:solidFill>
                    <w14:schemeClr w14:val="tx1"/>
                  </w14:solidFill>
                </w14:textFill>
              </w:rPr>
              <w:t>mm</w:t>
            </w:r>
            <w:r>
              <w:rPr>
                <w:rFonts w:hint="eastAsia" w:cs="Times New Roman"/>
                <w:b/>
                <w:color w:val="000000" w:themeColor="text1"/>
                <w:sz w:val="21"/>
                <w:szCs w:val="21"/>
                <w:highlight w:val="none"/>
                <w14:textFill>
                  <w14:solidFill>
                    <w14:schemeClr w14:val="tx1"/>
                  </w14:solidFill>
                </w14:textFill>
              </w:rPr>
              <w:t>)</w:t>
            </w:r>
          </w:p>
        </w:tc>
        <w:tc>
          <w:tcPr>
            <w:tcW w:w="1079" w:type="pct"/>
            <w:vAlign w:val="center"/>
          </w:tcPr>
          <w:p>
            <w:pPr>
              <w:adjustRightInd/>
              <w:snapToGrid/>
              <w:spacing w:before="1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热量生产力</w:t>
            </w:r>
          </w:p>
          <w:p>
            <w:pPr>
              <w:adjustRightInd/>
              <w:snapToGrid/>
              <w:spacing w:before="1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w:t>
            </w:r>
            <w:r>
              <w:rPr>
                <w:rFonts w:cs="Times New Roman"/>
                <w:b/>
                <w:color w:val="000000" w:themeColor="text1"/>
                <w:sz w:val="21"/>
                <w:szCs w:val="21"/>
                <w:highlight w:val="none"/>
                <w14:textFill>
                  <w14:solidFill>
                    <w14:schemeClr w14:val="tx1"/>
                  </w14:solidFill>
                </w14:textFill>
              </w:rPr>
              <w:t>g/m</w:t>
            </w:r>
            <w:r>
              <w:rPr>
                <w:rFonts w:cs="Times New Roman"/>
                <w:b/>
                <w:color w:val="000000" w:themeColor="text1"/>
                <w:sz w:val="21"/>
                <w:szCs w:val="21"/>
                <w:highlight w:val="none"/>
                <w:vertAlign w:val="superscript"/>
                <w14:textFill>
                  <w14:solidFill>
                    <w14:schemeClr w14:val="tx1"/>
                  </w14:solidFill>
                </w14:textFill>
              </w:rPr>
              <w:t>2</w:t>
            </w:r>
            <w:r>
              <w:rPr>
                <w:rFonts w:cs="Times New Roman"/>
                <w:b/>
                <w:color w:val="000000" w:themeColor="text1"/>
                <w:sz w:val="21"/>
                <w:szCs w:val="21"/>
                <w:highlight w:val="none"/>
                <w14:textFill>
                  <w14:solidFill>
                    <w14:schemeClr w14:val="tx1"/>
                  </w14:solidFill>
                </w14:textFill>
              </w:rPr>
              <w:t>·a</w:t>
            </w:r>
            <w:r>
              <w:rPr>
                <w:rFonts w:hint="eastAsia" w:cs="Times New Roman"/>
                <w:b/>
                <w:color w:val="000000" w:themeColor="text1"/>
                <w:sz w:val="21"/>
                <w:szCs w:val="21"/>
                <w:highlight w:val="none"/>
                <w14:textFill>
                  <w14:solidFill>
                    <w14:schemeClr w14:val="tx1"/>
                  </w14:solidFill>
                </w14:textFill>
              </w:rPr>
              <w:t>)</w:t>
            </w:r>
          </w:p>
        </w:tc>
        <w:tc>
          <w:tcPr>
            <w:tcW w:w="1079" w:type="pct"/>
            <w:vAlign w:val="center"/>
          </w:tcPr>
          <w:p>
            <w:pPr>
              <w:adjustRightInd/>
              <w:snapToGrid/>
              <w:spacing w:before="1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水分生产力</w:t>
            </w:r>
          </w:p>
          <w:p>
            <w:pPr>
              <w:adjustRightInd/>
              <w:snapToGrid/>
              <w:spacing w:before="120"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hint="eastAsia" w:cs="Times New Roman"/>
                <w:b/>
                <w:color w:val="000000" w:themeColor="text1"/>
                <w:sz w:val="21"/>
                <w:szCs w:val="21"/>
                <w:highlight w:val="none"/>
                <w14:textFill>
                  <w14:solidFill>
                    <w14:schemeClr w14:val="tx1"/>
                  </w14:solidFill>
                </w14:textFill>
              </w:rPr>
              <w:t>(</w:t>
            </w:r>
            <w:r>
              <w:rPr>
                <w:rFonts w:cs="Times New Roman"/>
                <w:b/>
                <w:color w:val="000000" w:themeColor="text1"/>
                <w:sz w:val="21"/>
                <w:szCs w:val="21"/>
                <w:highlight w:val="none"/>
                <w14:textFill>
                  <w14:solidFill>
                    <w14:schemeClr w14:val="tx1"/>
                  </w14:solidFill>
                </w14:textFill>
              </w:rPr>
              <w:t>g/m</w:t>
            </w:r>
            <w:r>
              <w:rPr>
                <w:rFonts w:cs="Times New Roman"/>
                <w:b/>
                <w:color w:val="000000" w:themeColor="text1"/>
                <w:sz w:val="21"/>
                <w:szCs w:val="21"/>
                <w:highlight w:val="none"/>
                <w:vertAlign w:val="superscript"/>
                <w14:textFill>
                  <w14:solidFill>
                    <w14:schemeClr w14:val="tx1"/>
                  </w14:solidFill>
                </w14:textFill>
              </w:rPr>
              <w:t>2</w:t>
            </w:r>
            <w:r>
              <w:rPr>
                <w:rFonts w:cs="Times New Roman"/>
                <w:b/>
                <w:color w:val="000000" w:themeColor="text1"/>
                <w:sz w:val="21"/>
                <w:szCs w:val="21"/>
                <w:highlight w:val="none"/>
                <w14:textFill>
                  <w14:solidFill>
                    <w14:schemeClr w14:val="tx1"/>
                  </w14:solidFill>
                </w14:textFill>
              </w:rPr>
              <w:t>·a</w:t>
            </w:r>
            <w:r>
              <w:rPr>
                <w:rFonts w:hint="eastAsia" w:cs="Times New Roman"/>
                <w:b/>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0" w:type="dxa"/>
            <w:bottom w:w="0" w:type="dxa"/>
            <w:right w:w="30" w:type="dxa"/>
          </w:tblCellMar>
        </w:tblPrEx>
        <w:trPr>
          <w:trHeight w:val="476" w:hRule="atLeast"/>
          <w:jc w:val="center"/>
        </w:trPr>
        <w:tc>
          <w:tcPr>
            <w:tcW w:w="684" w:type="pct"/>
            <w:vAlign w:val="center"/>
          </w:tcPr>
          <w:p>
            <w:pPr>
              <w:adjustRightInd/>
              <w:snapToGrid/>
              <w:spacing w:before="1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宣汉县</w:t>
            </w:r>
          </w:p>
        </w:tc>
        <w:tc>
          <w:tcPr>
            <w:tcW w:w="1080" w:type="pct"/>
            <w:vAlign w:val="center"/>
          </w:tcPr>
          <w:p>
            <w:pPr>
              <w:adjustRightInd/>
              <w:snapToGrid/>
              <w:spacing w:before="1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16.8</w:t>
            </w:r>
          </w:p>
        </w:tc>
        <w:tc>
          <w:tcPr>
            <w:tcW w:w="1079" w:type="pct"/>
            <w:vAlign w:val="center"/>
          </w:tcPr>
          <w:p>
            <w:pPr>
              <w:adjustRightInd/>
              <w:snapToGrid/>
              <w:spacing w:before="1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1132.69</w:t>
            </w:r>
          </w:p>
        </w:tc>
        <w:tc>
          <w:tcPr>
            <w:tcW w:w="1079" w:type="pct"/>
            <w:vAlign w:val="center"/>
          </w:tcPr>
          <w:p>
            <w:pPr>
              <w:adjustRightInd/>
              <w:snapToGrid/>
              <w:spacing w:before="1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1994.03</w:t>
            </w:r>
          </w:p>
        </w:tc>
        <w:tc>
          <w:tcPr>
            <w:tcW w:w="1079" w:type="pct"/>
            <w:vAlign w:val="center"/>
          </w:tcPr>
          <w:p>
            <w:pPr>
              <w:adjustRightInd/>
              <w:snapToGrid/>
              <w:spacing w:before="120"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1585.88</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从表4.3-</w:t>
      </w:r>
      <w:r>
        <w:rPr>
          <w:rFonts w:hint="eastAsia" w:cs="Times New Roman"/>
          <w:bCs/>
          <w:color w:val="000000" w:themeColor="text1"/>
          <w:szCs w:val="24"/>
          <w:highlight w:val="none"/>
          <w14:textFill>
            <w14:solidFill>
              <w14:schemeClr w14:val="tx1"/>
            </w14:solidFill>
          </w14:textFill>
        </w:rPr>
        <w:t>8</w:t>
      </w:r>
      <w:r>
        <w:rPr>
          <w:rFonts w:cs="Times New Roman"/>
          <w:bCs/>
          <w:color w:val="000000" w:themeColor="text1"/>
          <w:szCs w:val="24"/>
          <w:highlight w:val="none"/>
          <w14:textFill>
            <w14:solidFill>
              <w14:schemeClr w14:val="tx1"/>
            </w14:solidFill>
          </w14:textFill>
        </w:rPr>
        <w:t>可以看出，项目区域热量条件充足，水分条件不足，土地自然生产力受水分条件限制，根据项目区域降水量计算得出土地自然生产力为1585.88gc/m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ind w:firstLine="480"/>
        <w:rPr>
          <w:rFonts w:cs="Times New Roman"/>
          <w:bCs/>
          <w:color w:val="000000" w:themeColor="text1"/>
          <w:szCs w:val="24"/>
          <w:highlight w:val="none"/>
          <w:lang w:val="de-DE"/>
          <w14:textFill>
            <w14:solidFill>
              <w14:schemeClr w14:val="tx1"/>
            </w14:solidFill>
          </w14:textFill>
        </w:rPr>
      </w:pPr>
      <w:r>
        <w:rPr>
          <w:rFonts w:cs="Times New Roman"/>
          <w:bCs/>
          <w:color w:val="000000" w:themeColor="text1"/>
          <w:szCs w:val="24"/>
          <w:highlight w:val="none"/>
          <w:lang w:val="de-DE"/>
          <w14:textFill>
            <w14:solidFill>
              <w14:schemeClr w14:val="tx1"/>
            </w14:solidFill>
          </w14:textFill>
        </w:rPr>
        <w:t>（</w:t>
      </w:r>
      <w:r>
        <w:rPr>
          <w:rFonts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lang w:val="de-DE"/>
          <w14:textFill>
            <w14:solidFill>
              <w14:schemeClr w14:val="tx1"/>
            </w14:solidFill>
          </w14:textFill>
        </w:rPr>
        <w:t>）植被生产力现状评价</w:t>
      </w:r>
    </w:p>
    <w:p>
      <w:pPr>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植被既是重要的自然资源，又是自然条件（如地质、地貌、气候、土壤等）和人类开发利用资源状况的综合反映，植被作为陆地生物圈的主体，在生态系统中的作用也日益受到重视，尤其是对生态系统变化及稳定起决定性作用。植被净初级生产力（NPP）指绿色植物在单位时间和单位面积上所积累的有机干物质总量，它不仅是表征植物活动的重要变量，而且是判定生态系统碳汇和调节生态过程的主要因子，它直接反映植物群落在自然环境条件下的生产能力，也是生态现状质量评价的重要参数。在对评价区进行自然体系生产力评价中，数据主要来源于卫片解译，实地勘察、收集的现状资料（包括项目所在区域生态环境调查成果，各类环境信息图件及统计资料等），并采用了国内关于自然生态系统生产力和植被生物量的研究成果进行分析。</w:t>
      </w:r>
    </w:p>
    <w:p>
      <w:pPr>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植调查是通过实地勘察、卫片解译、室内分析并结合收集的资料经综合分析而完成。卫片信息的提取过程如下：对选取的卫片数据，利用3S技术进行解译，并经几何精校正、图象增强、进行融合，根据各类环境信息数据及相关图像处理软件进行综合分析，得到评价区内生态环境研究所需的相关数据和生态图件。</w:t>
      </w:r>
    </w:p>
    <w:p>
      <w:pPr>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根据调查和卫片解译，结合生态评价范围地表植被覆盖现状和植被立地情况，可将评价范围植被类型划分为以下5类：</w:t>
      </w:r>
    </w:p>
    <w:p>
      <w:pPr>
        <w:tabs>
          <w:tab w:val="left" w:pos="540"/>
        </w:tabs>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①阔叶林植被：主要有麻栎、青冈、栓皮栎等阔叶树种，此植被类型广泛分布，面积</w:t>
      </w:r>
      <w:r>
        <w:rPr>
          <w:rFonts w:cs="Times New Roman"/>
          <w:bCs/>
          <w:snapToGrid w:val="0"/>
          <w:color w:val="000000" w:themeColor="text1"/>
          <w:szCs w:val="24"/>
          <w:highlight w:val="none"/>
          <w14:textFill>
            <w14:solidFill>
              <w14:schemeClr w14:val="tx1"/>
            </w14:solidFill>
          </w14:textFill>
        </w:rPr>
        <w:t>112.95</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，占评价范围面积的</w:t>
      </w:r>
      <w:r>
        <w:rPr>
          <w:rFonts w:cs="Times New Roman"/>
          <w:bCs/>
          <w:snapToGrid w:val="0"/>
          <w:color w:val="000000" w:themeColor="text1"/>
          <w:szCs w:val="24"/>
          <w:highlight w:val="none"/>
          <w14:textFill>
            <w14:solidFill>
              <w14:schemeClr w14:val="tx1"/>
            </w14:solidFill>
          </w14:textFill>
        </w:rPr>
        <w:t>60.87</w:t>
      </w:r>
      <w:r>
        <w:rPr>
          <w:rFonts w:cs="Times New Roman"/>
          <w:bCs/>
          <w:color w:val="000000" w:themeColor="text1"/>
          <w:szCs w:val="24"/>
          <w:highlight w:val="none"/>
          <w14:textFill>
            <w14:solidFill>
              <w14:schemeClr w14:val="tx1"/>
            </w14:solidFill>
          </w14:textFill>
        </w:rPr>
        <w:t>%，平均净初级生产力（落叶阔叶林）642.9gC/（m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tabs>
          <w:tab w:val="left" w:pos="540"/>
        </w:tabs>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②竹林：此植被类型在评价范围零星分布，在居民点房前屋后、路边居多，面积1.70hm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，占评价范围面积的0.92%，平均净初级生产力参考落叶阔叶林642.9gC/（m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tabs>
          <w:tab w:val="left" w:pos="540"/>
        </w:tabs>
        <w:ind w:firstLine="480"/>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③灌丛植被：代表植物有马桑、黄荆、火棘、荚蒾等。主要分布在林下、林缘、山脚、路边、农田两旁，对保护农田和水土保持起到很重要的作用，此植被类型面积为</w:t>
      </w:r>
      <w:r>
        <w:rPr>
          <w:rFonts w:cs="Times New Roman"/>
          <w:bCs/>
          <w:snapToGrid w:val="0"/>
          <w:color w:val="000000" w:themeColor="text1"/>
          <w:szCs w:val="24"/>
          <w:highlight w:val="none"/>
          <w14:textFill>
            <w14:solidFill>
              <w14:schemeClr w14:val="tx1"/>
            </w14:solidFill>
          </w14:textFill>
        </w:rPr>
        <w:t>11.32</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，占评价范围总面积的</w:t>
      </w:r>
      <w:r>
        <w:rPr>
          <w:rFonts w:cs="Times New Roman"/>
          <w:bCs/>
          <w:snapToGrid w:val="0"/>
          <w:color w:val="000000" w:themeColor="text1"/>
          <w:szCs w:val="24"/>
          <w:highlight w:val="none"/>
          <w14:textFill>
            <w14:solidFill>
              <w14:schemeClr w14:val="tx1"/>
            </w14:solidFill>
          </w14:textFill>
        </w:rPr>
        <w:t>6.10</w:t>
      </w:r>
      <w:r>
        <w:rPr>
          <w:rFonts w:cs="Times New Roman"/>
          <w:bCs/>
          <w:color w:val="000000" w:themeColor="text1"/>
          <w:szCs w:val="24"/>
          <w:highlight w:val="none"/>
          <w14:textFill>
            <w14:solidFill>
              <w14:schemeClr w14:val="tx1"/>
            </w14:solidFill>
          </w14:textFill>
        </w:rPr>
        <w:t>%，平均净初级生产力为（灌木）367.7gC/（m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ind w:firstLine="537" w:firstLineChars="224"/>
        <w:jc w:val="left"/>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④农作物植被：该地区的农作物主要有水稻、玉米、红苕、棉花、花生、小麦、马铃薯、豌豆等，主要分布在山谷、河谷两侧等低海拔区；农作物植被面积</w:t>
      </w:r>
      <w:r>
        <w:rPr>
          <w:rFonts w:cs="Times New Roman"/>
          <w:bCs/>
          <w:snapToGrid w:val="0"/>
          <w:color w:val="000000" w:themeColor="text1"/>
          <w:szCs w:val="24"/>
          <w:highlight w:val="none"/>
          <w14:textFill>
            <w14:solidFill>
              <w14:schemeClr w14:val="tx1"/>
            </w14:solidFill>
          </w14:textFill>
        </w:rPr>
        <w:t>29.87</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，占评价范围面积的</w:t>
      </w:r>
      <w:r>
        <w:rPr>
          <w:rFonts w:cs="Times New Roman"/>
          <w:bCs/>
          <w:snapToGrid w:val="0"/>
          <w:color w:val="000000" w:themeColor="text1"/>
          <w:szCs w:val="24"/>
          <w:highlight w:val="none"/>
          <w14:textFill>
            <w14:solidFill>
              <w14:schemeClr w14:val="tx1"/>
            </w14:solidFill>
          </w14:textFill>
        </w:rPr>
        <w:t>16.10</w:t>
      </w:r>
      <w:r>
        <w:rPr>
          <w:rFonts w:cs="Times New Roman"/>
          <w:bCs/>
          <w:color w:val="000000" w:themeColor="text1"/>
          <w:szCs w:val="24"/>
          <w:highlight w:val="none"/>
          <w14:textFill>
            <w14:solidFill>
              <w14:schemeClr w14:val="tx1"/>
            </w14:solidFill>
          </w14:textFill>
        </w:rPr>
        <w:t>%，平均净初级生产力426.5gC/（m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w:t>
      </w:r>
    </w:p>
    <w:p>
      <w:pPr>
        <w:ind w:firstLine="480"/>
        <w:jc w:val="left"/>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评价范围内各植被类型净生产力情况见下表。</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评价范围植被自然生产力情况表</w:t>
      </w:r>
    </w:p>
    <w:tbl>
      <w:tblPr>
        <w:tblStyle w:val="5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3"/>
        <w:gridCol w:w="2096"/>
        <w:gridCol w:w="1101"/>
        <w:gridCol w:w="848"/>
        <w:gridCol w:w="1226"/>
        <w:gridCol w:w="1169"/>
        <w:gridCol w:w="1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vAlign w:val="center"/>
          </w:tcPr>
          <w:p>
            <w:pPr>
              <w:adjustRightInd/>
              <w:spacing w:line="240" w:lineRule="auto"/>
              <w:ind w:firstLine="0" w:firstLineChars="0"/>
              <w:jc w:val="center"/>
              <w:rPr>
                <w:rFonts w:cs="Times New Roman"/>
                <w:b/>
                <w:snapToGrid w:val="0"/>
                <w:color w:val="000000" w:themeColor="text1"/>
                <w:sz w:val="21"/>
                <w:szCs w:val="21"/>
                <w:highlight w:val="none"/>
                <w14:textFill>
                  <w14:solidFill>
                    <w14:schemeClr w14:val="tx1"/>
                  </w14:solidFill>
                </w14:textFill>
              </w:rPr>
            </w:pPr>
            <w:r>
              <w:rPr>
                <w:rFonts w:cs="Times New Roman"/>
                <w:b/>
                <w:snapToGrid w:val="0"/>
                <w:color w:val="000000" w:themeColor="text1"/>
                <w:sz w:val="21"/>
                <w:szCs w:val="21"/>
                <w:highlight w:val="none"/>
                <w14:textFill>
                  <w14:solidFill>
                    <w14:schemeClr w14:val="tx1"/>
                  </w14:solidFill>
                </w14:textFill>
              </w:rPr>
              <w:t>植被</w:t>
            </w:r>
          </w:p>
          <w:p>
            <w:pPr>
              <w:adjustRightIn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snapToGrid w:val="0"/>
                <w:color w:val="000000" w:themeColor="text1"/>
                <w:sz w:val="21"/>
                <w:szCs w:val="21"/>
                <w:highlight w:val="none"/>
                <w14:textFill>
                  <w14:solidFill>
                    <w14:schemeClr w14:val="tx1"/>
                  </w14:solidFill>
                </w14:textFill>
              </w:rPr>
              <w:t>类型</w:t>
            </w:r>
          </w:p>
        </w:tc>
        <w:tc>
          <w:tcPr>
            <w:tcW w:w="1233" w:type="pct"/>
            <w:vAlign w:val="center"/>
          </w:tcPr>
          <w:p>
            <w:pPr>
              <w:adjustRightIn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snapToGrid w:val="0"/>
                <w:color w:val="000000" w:themeColor="text1"/>
                <w:sz w:val="21"/>
                <w:szCs w:val="21"/>
                <w:highlight w:val="none"/>
                <w14:textFill>
                  <w14:solidFill>
                    <w14:schemeClr w14:val="tx1"/>
                  </w14:solidFill>
                </w14:textFill>
              </w:rPr>
              <w:t>代表植物</w:t>
            </w:r>
          </w:p>
        </w:tc>
        <w:tc>
          <w:tcPr>
            <w:tcW w:w="650" w:type="pct"/>
            <w:vAlign w:val="center"/>
          </w:tcPr>
          <w:p>
            <w:pPr>
              <w:adjustRightInd/>
              <w:spacing w:line="240" w:lineRule="auto"/>
              <w:ind w:firstLine="0" w:firstLineChars="0"/>
              <w:rPr>
                <w:rFonts w:cs="Times New Roman"/>
                <w:b/>
                <w:color w:val="000000" w:themeColor="text1"/>
                <w:sz w:val="21"/>
                <w:szCs w:val="21"/>
                <w:highlight w:val="none"/>
                <w14:textFill>
                  <w14:solidFill>
                    <w14:schemeClr w14:val="tx1"/>
                  </w14:solidFill>
                </w14:textFill>
              </w:rPr>
            </w:pPr>
            <w:r>
              <w:rPr>
                <w:rFonts w:cs="Times New Roman"/>
                <w:b/>
                <w:snapToGrid w:val="0"/>
                <w:color w:val="000000" w:themeColor="text1"/>
                <w:sz w:val="21"/>
                <w:szCs w:val="21"/>
                <w:highlight w:val="none"/>
                <w14:textFill>
                  <w14:solidFill>
                    <w14:schemeClr w14:val="tx1"/>
                  </w14:solidFill>
                </w14:textFill>
              </w:rPr>
              <w:t>面积（hm</w:t>
            </w:r>
            <w:r>
              <w:rPr>
                <w:rFonts w:cs="Times New Roman"/>
                <w:b/>
                <w:snapToGrid w:val="0"/>
                <w:color w:val="000000" w:themeColor="text1"/>
                <w:sz w:val="21"/>
                <w:szCs w:val="21"/>
                <w:highlight w:val="none"/>
                <w:vertAlign w:val="superscript"/>
                <w14:textFill>
                  <w14:solidFill>
                    <w14:schemeClr w14:val="tx1"/>
                  </w14:solidFill>
                </w14:textFill>
              </w:rPr>
              <w:t>2</w:t>
            </w:r>
            <w:r>
              <w:rPr>
                <w:rFonts w:cs="Times New Roman"/>
                <w:b/>
                <w:snapToGrid w:val="0"/>
                <w:color w:val="000000" w:themeColor="text1"/>
                <w:sz w:val="21"/>
                <w:szCs w:val="21"/>
                <w:highlight w:val="none"/>
                <w14:textFill>
                  <w14:solidFill>
                    <w14:schemeClr w14:val="tx1"/>
                  </w14:solidFill>
                </w14:textFill>
              </w:rPr>
              <w:t>）</w:t>
            </w:r>
          </w:p>
        </w:tc>
        <w:tc>
          <w:tcPr>
            <w:tcW w:w="486" w:type="pct"/>
            <w:vAlign w:val="center"/>
          </w:tcPr>
          <w:p>
            <w:pPr>
              <w:adjustRightIn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snapToGrid w:val="0"/>
                <w:color w:val="000000" w:themeColor="text1"/>
                <w:sz w:val="21"/>
                <w:szCs w:val="21"/>
                <w:highlight w:val="none"/>
                <w14:textFill>
                  <w14:solidFill>
                    <w14:schemeClr w14:val="tx1"/>
                  </w14:solidFill>
                </w14:textFill>
              </w:rPr>
              <w:t>占评价范围（%）</w:t>
            </w:r>
          </w:p>
        </w:tc>
        <w:tc>
          <w:tcPr>
            <w:tcW w:w="707" w:type="pct"/>
            <w:vAlign w:val="center"/>
          </w:tcPr>
          <w:p>
            <w:pPr>
              <w:adjustRightInd/>
              <w:spacing w:line="240" w:lineRule="auto"/>
              <w:ind w:firstLine="0" w:firstLineChars="0"/>
              <w:jc w:val="center"/>
              <w:rPr>
                <w:rFonts w:cs="Times New Roman"/>
                <w:b/>
                <w:color w:val="000000" w:themeColor="text1"/>
                <w:sz w:val="21"/>
                <w:szCs w:val="21"/>
                <w:highlight w:val="none"/>
                <w14:textFill>
                  <w14:solidFill>
                    <w14:schemeClr w14:val="tx1"/>
                  </w14:solidFill>
                </w14:textFill>
              </w:rPr>
            </w:pPr>
            <w:r>
              <w:rPr>
                <w:rFonts w:cs="Times New Roman"/>
                <w:b/>
                <w:snapToGrid w:val="0"/>
                <w:color w:val="000000" w:themeColor="text1"/>
                <w:sz w:val="21"/>
                <w:szCs w:val="21"/>
                <w:highlight w:val="none"/>
                <w14:textFill>
                  <w14:solidFill>
                    <w14:schemeClr w14:val="tx1"/>
                  </w14:solidFill>
                </w14:textFill>
              </w:rPr>
              <w:t>平均净生产力[</w:t>
            </w:r>
            <w:r>
              <w:rPr>
                <w:rFonts w:cs="Times New Roman"/>
                <w:b/>
                <w:color w:val="000000" w:themeColor="text1"/>
                <w:szCs w:val="24"/>
                <w:highlight w:val="none"/>
                <w14:textFill>
                  <w14:solidFill>
                    <w14:schemeClr w14:val="tx1"/>
                  </w14:solidFill>
                </w14:textFill>
              </w:rPr>
              <w:t>gC/（m</w:t>
            </w:r>
            <w:r>
              <w:rPr>
                <w:rFonts w:cs="Times New Roman"/>
                <w:b/>
                <w:color w:val="000000" w:themeColor="text1"/>
                <w:szCs w:val="24"/>
                <w:highlight w:val="none"/>
                <w:vertAlign w:val="superscript"/>
                <w14:textFill>
                  <w14:solidFill>
                    <w14:schemeClr w14:val="tx1"/>
                  </w14:solidFill>
                </w14:textFill>
              </w:rPr>
              <w:t>2</w:t>
            </w:r>
            <w:r>
              <w:rPr>
                <w:rFonts w:cs="Times New Roman"/>
                <w:b/>
                <w:color w:val="000000" w:themeColor="text1"/>
                <w:szCs w:val="24"/>
                <w:highlight w:val="none"/>
                <w14:textFill>
                  <w14:solidFill>
                    <w14:schemeClr w14:val="tx1"/>
                  </w14:solidFill>
                </w14:textFill>
              </w:rPr>
              <w:t>.a）</w:t>
            </w:r>
            <w:r>
              <w:rPr>
                <w:rFonts w:cs="Times New Roman"/>
                <w:b/>
                <w:snapToGrid w:val="0"/>
                <w:color w:val="000000" w:themeColor="text1"/>
                <w:sz w:val="21"/>
                <w:szCs w:val="21"/>
                <w:highlight w:val="none"/>
                <w14:textFill>
                  <w14:solidFill>
                    <w14:schemeClr w14:val="tx1"/>
                  </w14:solidFill>
                </w14:textFill>
              </w:rPr>
              <w:t>]</w:t>
            </w:r>
          </w:p>
        </w:tc>
        <w:tc>
          <w:tcPr>
            <w:tcW w:w="689" w:type="pct"/>
            <w:vAlign w:val="center"/>
          </w:tcPr>
          <w:p>
            <w:pPr>
              <w:adjustRightInd/>
              <w:spacing w:line="240" w:lineRule="auto"/>
              <w:ind w:firstLine="0" w:firstLineChars="0"/>
              <w:jc w:val="center"/>
              <w:rPr>
                <w:rFonts w:cs="Times New Roman"/>
                <w:b/>
                <w:snapToGrid w:val="0"/>
                <w:color w:val="000000" w:themeColor="text1"/>
                <w:sz w:val="21"/>
                <w:szCs w:val="21"/>
                <w:highlight w:val="none"/>
                <w14:textFill>
                  <w14:solidFill>
                    <w14:schemeClr w14:val="tx1"/>
                  </w14:solidFill>
                </w14:textFill>
              </w:rPr>
            </w:pPr>
            <w:r>
              <w:rPr>
                <w:rFonts w:cs="Times New Roman"/>
                <w:b/>
                <w:snapToGrid w:val="0"/>
                <w:color w:val="000000" w:themeColor="text1"/>
                <w:sz w:val="21"/>
                <w:szCs w:val="21"/>
                <w:highlight w:val="none"/>
                <w14:textFill>
                  <w14:solidFill>
                    <w14:schemeClr w14:val="tx1"/>
                  </w14:solidFill>
                </w14:textFill>
              </w:rPr>
              <w:t>总生产力[tC/（a）]</w:t>
            </w:r>
          </w:p>
        </w:tc>
        <w:tc>
          <w:tcPr>
            <w:tcW w:w="697" w:type="pct"/>
            <w:vAlign w:val="center"/>
          </w:tcPr>
          <w:p>
            <w:pPr>
              <w:adjustRightInd/>
              <w:spacing w:line="240" w:lineRule="auto"/>
              <w:ind w:firstLine="0" w:firstLineChars="0"/>
              <w:jc w:val="center"/>
              <w:rPr>
                <w:rFonts w:cs="Times New Roman"/>
                <w:b/>
                <w:snapToGrid w:val="0"/>
                <w:color w:val="000000" w:themeColor="text1"/>
                <w:sz w:val="21"/>
                <w:szCs w:val="21"/>
                <w:highlight w:val="none"/>
                <w14:textFill>
                  <w14:solidFill>
                    <w14:schemeClr w14:val="tx1"/>
                  </w14:solidFill>
                </w14:textFill>
              </w:rPr>
            </w:pPr>
            <w:r>
              <w:rPr>
                <w:rFonts w:cs="Times New Roman"/>
                <w:b/>
                <w:snapToGrid w:val="0"/>
                <w:color w:val="000000" w:themeColor="text1"/>
                <w:sz w:val="21"/>
                <w:szCs w:val="21"/>
                <w:highlight w:val="none"/>
                <w14:textFill>
                  <w14:solidFill>
                    <w14:schemeClr w14:val="tx1"/>
                  </w14:solidFill>
                </w14:textFill>
              </w:rPr>
              <w:t>生产力比重</w:t>
            </w:r>
          </w:p>
          <w:p>
            <w:pPr>
              <w:adjustRightInd/>
              <w:spacing w:line="240" w:lineRule="auto"/>
              <w:ind w:firstLine="0" w:firstLineChars="0"/>
              <w:jc w:val="center"/>
              <w:rPr>
                <w:rFonts w:cs="Times New Roman"/>
                <w:b/>
                <w:snapToGrid w:val="0"/>
                <w:color w:val="000000" w:themeColor="text1"/>
                <w:sz w:val="21"/>
                <w:szCs w:val="21"/>
                <w:highlight w:val="none"/>
                <w14:textFill>
                  <w14:solidFill>
                    <w14:schemeClr w14:val="tx1"/>
                  </w14:solidFill>
                </w14:textFill>
              </w:rPr>
            </w:pPr>
            <w:r>
              <w:rPr>
                <w:rFonts w:cs="Times New Roman"/>
                <w:b/>
                <w:snapToGrid w:val="0"/>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534"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阔叶林植被（含竹林）</w:t>
            </w:r>
          </w:p>
        </w:tc>
        <w:tc>
          <w:tcPr>
            <w:tcW w:w="1233"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麻栎、青冈、栓皮栎、慈竹</w:t>
            </w:r>
          </w:p>
        </w:tc>
        <w:tc>
          <w:tcPr>
            <w:tcW w:w="110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23.73 </w:t>
            </w:r>
          </w:p>
        </w:tc>
        <w:tc>
          <w:tcPr>
            <w:tcW w:w="82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76.90 </w:t>
            </w:r>
          </w:p>
        </w:tc>
        <w:tc>
          <w:tcPr>
            <w:tcW w:w="1207"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642.9</w:t>
            </w:r>
          </w:p>
        </w:tc>
        <w:tc>
          <w:tcPr>
            <w:tcW w:w="1176"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152.56 </w:t>
            </w:r>
          </w:p>
        </w:tc>
        <w:tc>
          <w:tcPr>
            <w:tcW w:w="1190"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90.98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34"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灌丛植被</w:t>
            </w:r>
          </w:p>
        </w:tc>
        <w:tc>
          <w:tcPr>
            <w:tcW w:w="1233"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马桑、黄荆、火棘、荚蒾</w:t>
            </w:r>
          </w:p>
        </w:tc>
        <w:tc>
          <w:tcPr>
            <w:tcW w:w="110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0.62 </w:t>
            </w:r>
          </w:p>
        </w:tc>
        <w:tc>
          <w:tcPr>
            <w:tcW w:w="82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2.01 </w:t>
            </w:r>
          </w:p>
        </w:tc>
        <w:tc>
          <w:tcPr>
            <w:tcW w:w="1207"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367.7</w:t>
            </w:r>
          </w:p>
        </w:tc>
        <w:tc>
          <w:tcPr>
            <w:tcW w:w="1176"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2.28 </w:t>
            </w:r>
          </w:p>
        </w:tc>
        <w:tc>
          <w:tcPr>
            <w:tcW w:w="1190"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1.36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534" w:type="pct"/>
            <w:vAlign w:val="center"/>
          </w:tcPr>
          <w:p>
            <w:pPr>
              <w:adjustRightIn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农作物植被</w:t>
            </w:r>
          </w:p>
        </w:tc>
        <w:tc>
          <w:tcPr>
            <w:tcW w:w="1233"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水稻、玉米、红苕、棉花、花生、小麦、马铃薯、豌豆</w:t>
            </w:r>
          </w:p>
        </w:tc>
        <w:tc>
          <w:tcPr>
            <w:tcW w:w="110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3.01 </w:t>
            </w:r>
          </w:p>
        </w:tc>
        <w:tc>
          <w:tcPr>
            <w:tcW w:w="82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9.75 </w:t>
            </w:r>
          </w:p>
        </w:tc>
        <w:tc>
          <w:tcPr>
            <w:tcW w:w="1207"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426.5</w:t>
            </w:r>
          </w:p>
        </w:tc>
        <w:tc>
          <w:tcPr>
            <w:tcW w:w="1176"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12.84 </w:t>
            </w:r>
          </w:p>
        </w:tc>
        <w:tc>
          <w:tcPr>
            <w:tcW w:w="1190"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7.66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4" w:type="pct"/>
            <w:vAlign w:val="center"/>
          </w:tcPr>
          <w:p>
            <w:pPr>
              <w:adjustRightIn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无植被</w:t>
            </w:r>
          </w:p>
        </w:tc>
        <w:tc>
          <w:tcPr>
            <w:tcW w:w="1233"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650"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3.50</w:t>
            </w:r>
          </w:p>
        </w:tc>
        <w:tc>
          <w:tcPr>
            <w:tcW w:w="82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11.34 </w:t>
            </w:r>
          </w:p>
        </w:tc>
        <w:tc>
          <w:tcPr>
            <w:tcW w:w="1207"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1176"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0.00 </w:t>
            </w:r>
          </w:p>
        </w:tc>
        <w:tc>
          <w:tcPr>
            <w:tcW w:w="1190"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vAlign w:val="center"/>
          </w:tcPr>
          <w:p>
            <w:pPr>
              <w:adjustRightIn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color w:val="000000" w:themeColor="text1"/>
                <w:sz w:val="21"/>
                <w:szCs w:val="21"/>
                <w:highlight w:val="none"/>
                <w14:textFill>
                  <w14:solidFill>
                    <w14:schemeClr w14:val="tx1"/>
                  </w14:solidFill>
                </w14:textFill>
              </w:rPr>
              <w:t>合计</w:t>
            </w:r>
          </w:p>
        </w:tc>
        <w:tc>
          <w:tcPr>
            <w:tcW w:w="1233"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650"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30.85 </w:t>
            </w:r>
          </w:p>
        </w:tc>
        <w:tc>
          <w:tcPr>
            <w:tcW w:w="82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100.00 </w:t>
            </w:r>
          </w:p>
        </w:tc>
        <w:tc>
          <w:tcPr>
            <w:tcW w:w="1207"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1176"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167.68 </w:t>
            </w:r>
          </w:p>
        </w:tc>
        <w:tc>
          <w:tcPr>
            <w:tcW w:w="1190"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100.00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vAlign w:val="center"/>
          </w:tcPr>
          <w:p>
            <w:pPr>
              <w:adjustRightIn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平均</w:t>
            </w:r>
          </w:p>
        </w:tc>
        <w:tc>
          <w:tcPr>
            <w:tcW w:w="1233"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650"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82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1207"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 xml:space="preserve">543.35 </w:t>
            </w:r>
          </w:p>
        </w:tc>
        <w:tc>
          <w:tcPr>
            <w:tcW w:w="1176"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p>
        </w:tc>
        <w:tc>
          <w:tcPr>
            <w:tcW w:w="1190"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4" w:type="pct"/>
            <w:vAlign w:val="center"/>
          </w:tcPr>
          <w:p>
            <w:pPr>
              <w:adjustRightInd/>
              <w:spacing w:line="240" w:lineRule="auto"/>
              <w:ind w:firstLine="0" w:firstLineChars="0"/>
              <w:jc w:val="center"/>
              <w:rPr>
                <w:rFonts w:cs="Times New Roman"/>
                <w:bCs/>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参考标准</w:t>
            </w:r>
          </w:p>
        </w:tc>
        <w:tc>
          <w:tcPr>
            <w:tcW w:w="1233"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650" w:type="pct"/>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829"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1207"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684</w:t>
            </w:r>
          </w:p>
        </w:tc>
        <w:tc>
          <w:tcPr>
            <w:tcW w:w="1176"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c>
          <w:tcPr>
            <w:tcW w:w="1190" w:type="dxa"/>
            <w:vAlign w:val="center"/>
          </w:tcPr>
          <w:p>
            <w:pPr>
              <w:adjustRightInd/>
              <w:spacing w:line="240" w:lineRule="auto"/>
              <w:ind w:firstLine="0" w:firstLineChars="0"/>
              <w:jc w:val="center"/>
              <w:rPr>
                <w:rFonts w:cs="Times New Roman"/>
                <w:bCs/>
                <w:snapToGrid w:val="0"/>
                <w:color w:val="000000" w:themeColor="text1"/>
                <w:sz w:val="21"/>
                <w:szCs w:val="21"/>
                <w:highlight w:val="none"/>
                <w14:textFill>
                  <w14:solidFill>
                    <w14:schemeClr w14:val="tx1"/>
                  </w14:solidFill>
                </w14:textFill>
              </w:rPr>
            </w:pPr>
            <w:r>
              <w:rPr>
                <w:rFonts w:cs="Times New Roman"/>
                <w:bCs/>
                <w:snapToGrid w:val="0"/>
                <w:color w:val="000000" w:themeColor="text1"/>
                <w:sz w:val="21"/>
                <w:szCs w:val="21"/>
                <w:highlight w:val="none"/>
                <w14:textFill>
                  <w14:solidFill>
                    <w14:schemeClr w14:val="tx1"/>
                  </w14:solidFill>
                </w14:textFill>
              </w:rPr>
              <w:t>-</w:t>
            </w:r>
          </w:p>
        </w:tc>
      </w:tr>
    </w:tbl>
    <w:p>
      <w:pPr>
        <w:spacing w:line="240" w:lineRule="auto"/>
        <w:ind w:firstLine="0" w:firstLineChars="0"/>
        <w:rPr>
          <w:rFonts w:cs="Times New Roman"/>
          <w:bCs/>
          <w:i/>
          <w:iCs/>
          <w:color w:val="000000" w:themeColor="text1"/>
          <w:szCs w:val="21"/>
          <w:highlight w:val="none"/>
          <w14:textFill>
            <w14:solidFill>
              <w14:schemeClr w14:val="tx1"/>
            </w14:solidFill>
          </w14:textFill>
        </w:rPr>
      </w:pPr>
      <w:r>
        <w:rPr>
          <w:rFonts w:ascii="宋体" w:hAnsi="宋体" w:cs="Times New Roman"/>
          <w:i/>
          <w:iCs/>
          <w:color w:val="000000" w:themeColor="text1"/>
          <w:sz w:val="20"/>
          <w:szCs w:val="20"/>
          <w:highlight w:val="none"/>
          <w14:textFill>
            <w14:solidFill>
              <w14:schemeClr w14:val="tx1"/>
            </w14:solidFill>
          </w14:textFill>
        </w:rPr>
        <w:t>注：表中平均生产力值来源于《中国陆地植被净初级生产力遥感估算》等文献，参考标准采用全国1989-1993中国陆地生态系统平均NPP值</w:t>
      </w:r>
      <w:r>
        <w:rPr>
          <w:rFonts w:hint="eastAsia" w:ascii="宋体" w:hAnsi="宋体" w:cs="Times New Roman"/>
          <w:i/>
          <w:iCs/>
          <w:color w:val="000000" w:themeColor="text1"/>
          <w:sz w:val="20"/>
          <w:szCs w:val="20"/>
          <w:highlight w:val="none"/>
          <w14:textFill>
            <w14:solidFill>
              <w14:schemeClr w14:val="tx1"/>
            </w14:solidFill>
          </w14:textFill>
        </w:rPr>
        <w:t>。</w:t>
      </w:r>
    </w:p>
    <w:p>
      <w:pPr>
        <w:spacing w:before="120" w:beforeLines="50"/>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从表4.3-</w:t>
      </w:r>
      <w:r>
        <w:rPr>
          <w:rFonts w:hint="eastAsia" w:cs="Times New Roman"/>
          <w:bCs/>
          <w:color w:val="000000" w:themeColor="text1"/>
          <w:szCs w:val="24"/>
          <w:highlight w:val="none"/>
          <w14:textFill>
            <w14:solidFill>
              <w14:schemeClr w14:val="tx1"/>
            </w14:solidFill>
          </w14:textFill>
        </w:rPr>
        <w:t>9</w:t>
      </w:r>
      <w:r>
        <w:rPr>
          <w:rFonts w:cs="Times New Roman"/>
          <w:bCs/>
          <w:color w:val="000000" w:themeColor="text1"/>
          <w:szCs w:val="24"/>
          <w:highlight w:val="none"/>
          <w14:textFill>
            <w14:solidFill>
              <w14:schemeClr w14:val="tx1"/>
            </w14:solidFill>
          </w14:textFill>
        </w:rPr>
        <w:t>中可以看出，评价范围总</w:t>
      </w:r>
      <w:r>
        <w:rPr>
          <w:rFonts w:cs="Times New Roman"/>
          <w:bCs/>
          <w:snapToGrid w:val="0"/>
          <w:color w:val="000000" w:themeColor="text1"/>
          <w:szCs w:val="24"/>
          <w:highlight w:val="none"/>
          <w14:textFill>
            <w14:solidFill>
              <w14:schemeClr w14:val="tx1"/>
            </w14:solidFill>
          </w14:textFill>
        </w:rPr>
        <w:t>生产力167.68tC/（a），</w:t>
      </w:r>
      <w:r>
        <w:rPr>
          <w:rFonts w:cs="Times New Roman"/>
          <w:bCs/>
          <w:color w:val="000000" w:themeColor="text1"/>
          <w:szCs w:val="24"/>
          <w:highlight w:val="none"/>
          <w14:textFill>
            <w14:solidFill>
              <w14:schemeClr w14:val="tx1"/>
            </w14:solidFill>
          </w14:textFill>
        </w:rPr>
        <w:t>平均净生产</w:t>
      </w:r>
      <w:r>
        <w:rPr>
          <w:rFonts w:cs="Times New Roman"/>
          <w:bCs/>
          <w:snapToGrid w:val="0"/>
          <w:color w:val="000000" w:themeColor="text1"/>
          <w:szCs w:val="24"/>
          <w:highlight w:val="none"/>
          <w14:textFill>
            <w14:solidFill>
              <w14:schemeClr w14:val="tx1"/>
            </w14:solidFill>
          </w14:textFill>
        </w:rPr>
        <w:t>543.35</w:t>
      </w:r>
      <w:r>
        <w:rPr>
          <w:rFonts w:cs="Times New Roman"/>
          <w:bCs/>
          <w:color w:val="000000" w:themeColor="text1"/>
          <w:szCs w:val="24"/>
          <w:highlight w:val="none"/>
          <w14:textFill>
            <w14:solidFill>
              <w14:schemeClr w14:val="tx1"/>
            </w14:solidFill>
          </w14:textFill>
        </w:rPr>
        <w:t>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.a），比中国陆地生态系统</w:t>
      </w:r>
      <w:r>
        <w:rPr>
          <w:rFonts w:cs="Times New Roman"/>
          <w:bCs/>
          <w:snapToGrid w:val="0"/>
          <w:color w:val="000000" w:themeColor="text1"/>
          <w:szCs w:val="24"/>
          <w:highlight w:val="none"/>
          <w14:textFill>
            <w14:solidFill>
              <w14:schemeClr w14:val="tx1"/>
            </w14:solidFill>
          </w14:textFill>
        </w:rPr>
        <w:t>平均值低140.65</w:t>
      </w:r>
      <w:r>
        <w:rPr>
          <w:rFonts w:cs="Times New Roman"/>
          <w:bCs/>
          <w:color w:val="000000" w:themeColor="text1"/>
          <w:szCs w:val="24"/>
          <w:highlight w:val="none"/>
          <w14:textFill>
            <w14:solidFill>
              <w14:schemeClr w14:val="tx1"/>
            </w14:solidFill>
          </w14:textFill>
        </w:rPr>
        <w:t>gC/（m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.a），远不及评价范围土地自然生产力1585.88t/hm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/a，主要是由于评价范围内</w:t>
      </w:r>
      <w:r>
        <w:rPr>
          <w:rFonts w:cs="Times New Roman"/>
          <w:bCs/>
          <w:snapToGrid w:val="0"/>
          <w:color w:val="000000" w:themeColor="text1"/>
          <w:szCs w:val="24"/>
          <w:highlight w:val="none"/>
          <w14:textFill>
            <w14:solidFill>
              <w14:schemeClr w14:val="tx1"/>
            </w14:solidFill>
          </w14:textFill>
        </w:rPr>
        <w:t>平均净生产力水平较高的地带性常绿阔叶林植被，因为人为干扰，已经基本不复存在，取而代之的是平均净生产力水平</w:t>
      </w:r>
      <w:r>
        <w:rPr>
          <w:rFonts w:cs="Times New Roman"/>
          <w:bCs/>
          <w:color w:val="000000" w:themeColor="text1"/>
          <w:szCs w:val="24"/>
          <w:highlight w:val="none"/>
          <w14:textFill>
            <w14:solidFill>
              <w14:schemeClr w14:val="tx1"/>
            </w14:solidFill>
          </w14:textFill>
        </w:rPr>
        <w:t>较低的落叶阔叶林植被及耕地植被</w:t>
      </w:r>
      <w:r>
        <w:rPr>
          <w:rFonts w:cs="Times New Roman"/>
          <w:bCs/>
          <w:color w:val="000000" w:themeColor="text1"/>
          <w:kern w:val="0"/>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（3）评价范围植被生物量现状评价</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植被的生物量是指一定地段面积内植物群落在某一时期生存着的活有机物质之重量，以t/hm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表示。群落类型不同，其生物量测定的方法也有所不同。</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1、森林群落生物量</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森林生物量目前常用材积推算法来估算，用此方法估算出的生物量被称为材积源生物量。由于在作材积分析时需要对森林群落样地的林木进行砍伐取样，在实际操作中要</w:t>
      </w:r>
      <w:r>
        <w:rPr>
          <w:rFonts w:hint="eastAsia" w:cs="Times New Roman"/>
          <w:bCs/>
          <w:color w:val="000000" w:themeColor="text1"/>
          <w:kern w:val="0"/>
          <w:szCs w:val="24"/>
          <w:highlight w:val="none"/>
          <w:lang w:eastAsia="zh-CN"/>
          <w14:textFill>
            <w14:solidFill>
              <w14:schemeClr w14:val="tx1"/>
            </w14:solidFill>
          </w14:textFill>
        </w:rPr>
        <w:t>涉及</w:t>
      </w:r>
      <w:r>
        <w:rPr>
          <w:rFonts w:cs="Times New Roman"/>
          <w:bCs/>
          <w:color w:val="000000" w:themeColor="text1"/>
          <w:kern w:val="0"/>
          <w:szCs w:val="24"/>
          <w:highlight w:val="none"/>
          <w14:textFill>
            <w14:solidFill>
              <w14:schemeClr w14:val="tx1"/>
            </w14:solidFill>
          </w14:textFill>
        </w:rPr>
        <w:t>取样木砍伐的审批手续及样木赔偿付费等问题，因此，本次森林生物量的估算采取借用中国科学院生态环境研究中心专家建立的我国森林生物量的基本参数，以79.2t/hm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作为本次森林生物量估算的基础。考虑到上述参数未将森林群落的林下灌木、草本之生物量计入，因此，又借用中山大学学者在我国南方地区（广州林区）所进行的森林生物量测定中增加的灌木草本层生物量之补充，即在材积源生物量中增加10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，即以（79.2＋10）t/hm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来作为本评价范围森林群落生物量的基数。</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2、灌丛生物量</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灌丛生物量采用收获法测定。本次野外实地调查中，选择不同灌丛类型，进行了典型样方生物量测定，考虑到不同灌丛类型其生物量有很大的差异，故分别对本区内两种类型的灌丛进行生物量的测定。灌丛共作4个5×5m的生物量样方，在每个样方内均匀取样4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的生物量（鲜重），并将部分鲜样称重后带回实验室内恒温箱中80℃烘干至恒重，计算含水量及干物质重量，将生物量鲜重换算成干重，得到灌丛地上部分平均生物量为16.28t/hm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由于现场测定仅作了灌丛的地上部分生物量的测定，地下部分生物量则利用已有的生物量资料中地上部分（T）与地下部分（R）之比例系数（T/R）为1.44的系数来推算出本评价范围内灌丛生物量的地下部分（屠玉麟，贵州中部喀斯特灌丛群落生物量研究，《中国岩溶》．Vol.14.No.3.1995）。因此，灌丛的生物量即为地上部分与地下部分之和：（16.28＋16.28/1.44）=27.58t/hm</w:t>
      </w:r>
      <w:r>
        <w:rPr>
          <w:rFonts w:cs="Times New Roman"/>
          <w:bCs/>
          <w:color w:val="000000" w:themeColor="text1"/>
          <w:kern w:val="0"/>
          <w:szCs w:val="24"/>
          <w:highlight w:val="none"/>
          <w:vertAlign w:val="superscript"/>
          <w14:textFill>
            <w14:solidFill>
              <w14:schemeClr w14:val="tx1"/>
            </w14:solidFill>
          </w14:textFill>
        </w:rPr>
        <w:t>2</w:t>
      </w:r>
      <w:r>
        <w:rPr>
          <w:rFonts w:cs="Times New Roman"/>
          <w:bCs/>
          <w:color w:val="000000" w:themeColor="text1"/>
          <w:kern w:val="0"/>
          <w:szCs w:val="24"/>
          <w:highlight w:val="none"/>
          <w14:textFill>
            <w14:solidFill>
              <w14:schemeClr w14:val="tx1"/>
            </w14:solidFill>
          </w14:textFill>
        </w:rPr>
        <w:t>。</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 xml:space="preserve">    3、农田植被的生物量</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农田植被生物量由三部分组成，即作物子粒、</w:t>
      </w:r>
      <w:r>
        <w:rPr>
          <w:rFonts w:hint="eastAsia" w:cs="Times New Roman"/>
          <w:bCs/>
          <w:color w:val="000000" w:themeColor="text1"/>
          <w:szCs w:val="24"/>
          <w:highlight w:val="none"/>
          <w:lang w:eastAsia="zh-CN"/>
          <w14:textFill>
            <w14:solidFill>
              <w14:schemeClr w14:val="tx1"/>
            </w14:solidFill>
          </w14:textFill>
        </w:rPr>
        <w:t>秸秆</w:t>
      </w:r>
      <w:r>
        <w:rPr>
          <w:rFonts w:cs="Times New Roman"/>
          <w:bCs/>
          <w:color w:val="000000" w:themeColor="text1"/>
          <w:szCs w:val="24"/>
          <w:highlight w:val="none"/>
          <w14:textFill>
            <w14:solidFill>
              <w14:schemeClr w14:val="tx1"/>
            </w14:solidFill>
          </w14:textFill>
        </w:rPr>
        <w:t>和根茬。由于目前尚无宣汉县农田的</w:t>
      </w:r>
      <w:r>
        <w:rPr>
          <w:rFonts w:hint="eastAsia" w:cs="Times New Roman"/>
          <w:bCs/>
          <w:color w:val="000000" w:themeColor="text1"/>
          <w:szCs w:val="24"/>
          <w:highlight w:val="none"/>
          <w:lang w:eastAsia="zh-CN"/>
          <w14:textFill>
            <w14:solidFill>
              <w14:schemeClr w14:val="tx1"/>
            </w14:solidFill>
          </w14:textFill>
        </w:rPr>
        <w:t>秸秆</w:t>
      </w:r>
      <w:r>
        <w:rPr>
          <w:rFonts w:cs="Times New Roman"/>
          <w:bCs/>
          <w:color w:val="000000" w:themeColor="text1"/>
          <w:szCs w:val="24"/>
          <w:highlight w:val="none"/>
          <w14:textFill>
            <w14:solidFill>
              <w14:schemeClr w14:val="tx1"/>
            </w14:solidFill>
          </w14:textFill>
        </w:rPr>
        <w:t>、根茬单位面积产量数据，农田植被生物量基数参考周边已有案例。</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评价范围内的植被生物量现状值</w:t>
      </w:r>
    </w:p>
    <w:tbl>
      <w:tblPr>
        <w:tblStyle w:val="54"/>
        <w:tblpPr w:leftFromText="180" w:rightFromText="180" w:vertAnchor="text" w:horzAnchor="page" w:tblpX="1794" w:tblpY="253"/>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2"/>
        <w:gridCol w:w="1699"/>
        <w:gridCol w:w="1883"/>
        <w:gridCol w:w="1690"/>
        <w:gridCol w:w="1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vMerge w:val="restar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植被类型</w:t>
            </w:r>
          </w:p>
        </w:tc>
        <w:tc>
          <w:tcPr>
            <w:tcW w:w="3091" w:type="pct"/>
            <w:gridSpan w:val="3"/>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项目评价范围</w:t>
            </w:r>
          </w:p>
        </w:tc>
        <w:tc>
          <w:tcPr>
            <w:tcW w:w="910"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vMerge w:val="continue"/>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p>
        </w:tc>
        <w:tc>
          <w:tcPr>
            <w:tcW w:w="996"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面积</w:t>
            </w:r>
            <w:r>
              <w:rPr>
                <w:rFonts w:hint="eastAsia" w:cs="Times New Roman"/>
                <w:b/>
                <w:color w:val="000000" w:themeColor="text1"/>
                <w:kern w:val="0"/>
                <w:sz w:val="21"/>
                <w:szCs w:val="21"/>
                <w:highlight w:val="none"/>
                <w14:textFill>
                  <w14:solidFill>
                    <w14:schemeClr w14:val="tx1"/>
                  </w14:solidFill>
                </w14:textFill>
              </w:rPr>
              <w:t>（</w:t>
            </w:r>
            <w:r>
              <w:rPr>
                <w:rFonts w:cs="Times New Roman"/>
                <w:b/>
                <w:color w:val="000000" w:themeColor="text1"/>
                <w:kern w:val="0"/>
                <w:sz w:val="21"/>
                <w:szCs w:val="21"/>
                <w:highlight w:val="none"/>
                <w14:textFill>
                  <w14:solidFill>
                    <w14:schemeClr w14:val="tx1"/>
                  </w14:solidFill>
                </w14:textFill>
              </w:rPr>
              <w:t>hm</w:t>
            </w:r>
            <w:r>
              <w:rPr>
                <w:rFonts w:cs="Times New Roman"/>
                <w:b/>
                <w:color w:val="000000" w:themeColor="text1"/>
                <w:kern w:val="0"/>
                <w:sz w:val="21"/>
                <w:szCs w:val="21"/>
                <w:highlight w:val="none"/>
                <w:vertAlign w:val="superscript"/>
                <w14:textFill>
                  <w14:solidFill>
                    <w14:schemeClr w14:val="tx1"/>
                  </w14:solidFill>
                </w14:textFill>
              </w:rPr>
              <w:t>2</w:t>
            </w:r>
            <w:r>
              <w:rPr>
                <w:rFonts w:hint="eastAsia" w:cs="Times New Roman"/>
                <w:b/>
                <w:color w:val="000000" w:themeColor="text1"/>
                <w:kern w:val="0"/>
                <w:sz w:val="21"/>
                <w:szCs w:val="21"/>
                <w:highlight w:val="none"/>
                <w:vertAlign w:val="superscript"/>
                <w14:textFill>
                  <w14:solidFill>
                    <w14:schemeClr w14:val="tx1"/>
                  </w14:solidFill>
                </w14:textFill>
              </w:rPr>
              <w:t>）</w:t>
            </w:r>
          </w:p>
        </w:tc>
        <w:tc>
          <w:tcPr>
            <w:tcW w:w="1104"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基数</w:t>
            </w:r>
            <w:r>
              <w:rPr>
                <w:rFonts w:cs="Times New Roman"/>
                <w:b/>
                <w:color w:val="000000" w:themeColor="text1"/>
                <w:kern w:val="0"/>
                <w:szCs w:val="24"/>
                <w:highlight w:val="none"/>
                <w14:textFill>
                  <w14:solidFill>
                    <w14:schemeClr w14:val="tx1"/>
                  </w14:solidFill>
                </w14:textFill>
              </w:rPr>
              <w:t>（t/hm²）</w:t>
            </w:r>
          </w:p>
        </w:tc>
        <w:tc>
          <w:tcPr>
            <w:tcW w:w="991"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生物量</w:t>
            </w:r>
            <w:r>
              <w:rPr>
                <w:rFonts w:hint="eastAsia" w:cs="Times New Roman"/>
                <w:b/>
                <w:color w:val="000000" w:themeColor="text1"/>
                <w:kern w:val="0"/>
                <w:sz w:val="21"/>
                <w:szCs w:val="21"/>
                <w:highlight w:val="none"/>
                <w14:textFill>
                  <w14:solidFill>
                    <w14:schemeClr w14:val="tx1"/>
                  </w14:solidFill>
                </w14:textFill>
              </w:rPr>
              <w:t>（</w:t>
            </w:r>
            <w:r>
              <w:rPr>
                <w:rFonts w:cs="Times New Roman"/>
                <w:b/>
                <w:color w:val="000000" w:themeColor="text1"/>
                <w:kern w:val="0"/>
                <w:sz w:val="21"/>
                <w:szCs w:val="21"/>
                <w:highlight w:val="none"/>
                <w14:textFill>
                  <w14:solidFill>
                    <w14:schemeClr w14:val="tx1"/>
                  </w14:solidFill>
                </w14:textFill>
              </w:rPr>
              <w:t>t</w:t>
            </w:r>
            <w:r>
              <w:rPr>
                <w:rFonts w:hint="eastAsia" w:cs="Times New Roman"/>
                <w:b/>
                <w:color w:val="000000" w:themeColor="text1"/>
                <w:kern w:val="0"/>
                <w:sz w:val="21"/>
                <w:szCs w:val="21"/>
                <w:highlight w:val="none"/>
                <w14:textFill>
                  <w14:solidFill>
                    <w14:schemeClr w14:val="tx1"/>
                  </w14:solidFill>
                </w14:textFill>
              </w:rPr>
              <w:t>）</w:t>
            </w:r>
          </w:p>
        </w:tc>
        <w:tc>
          <w:tcPr>
            <w:tcW w:w="910" w:type="pct"/>
            <w:tcBorders>
              <w:tl2br w:val="nil"/>
              <w:tr2bl w:val="nil"/>
            </w:tcBorders>
            <w:vAlign w:val="center"/>
          </w:tcPr>
          <w:p>
            <w:pPr>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百分比（%）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水田植被</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0.73</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10.51</w:t>
            </w:r>
          </w:p>
        </w:tc>
        <w:tc>
          <w:tcPr>
            <w:tcW w:w="991"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7.67 </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0.35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旱地植被</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2.28</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10.31</w:t>
            </w:r>
          </w:p>
        </w:tc>
        <w:tc>
          <w:tcPr>
            <w:tcW w:w="991"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23.51 </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1.09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森林植被（竹林）</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23.73 </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89.2</w:t>
            </w:r>
          </w:p>
        </w:tc>
        <w:tc>
          <w:tcPr>
            <w:tcW w:w="991"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2116.72 </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97.77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灌丛植被</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0.62 </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27.58</w:t>
            </w:r>
          </w:p>
        </w:tc>
        <w:tc>
          <w:tcPr>
            <w:tcW w:w="991"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17.10 </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0.79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8"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合计</w:t>
            </w:r>
          </w:p>
        </w:tc>
        <w:tc>
          <w:tcPr>
            <w:tcW w:w="996"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178.81</w:t>
            </w:r>
          </w:p>
        </w:tc>
        <w:tc>
          <w:tcPr>
            <w:tcW w:w="1104"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p>
        </w:tc>
        <w:tc>
          <w:tcPr>
            <w:tcW w:w="991"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2164.99 </w:t>
            </w:r>
          </w:p>
        </w:tc>
        <w:tc>
          <w:tcPr>
            <w:tcW w:w="910" w:type="pct"/>
            <w:tcBorders>
              <w:tl2br w:val="nil"/>
              <w:tr2bl w:val="nil"/>
            </w:tcBorders>
            <w:vAlign w:val="center"/>
          </w:tcPr>
          <w:p>
            <w:pPr>
              <w:adjustRightInd/>
              <w:snapToGrid/>
              <w:spacing w:line="240" w:lineRule="auto"/>
              <w:ind w:firstLine="0" w:firstLineChars="0"/>
              <w:jc w:val="center"/>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 xml:space="preserve">100.00 </w:t>
            </w:r>
          </w:p>
        </w:tc>
      </w:tr>
    </w:tbl>
    <w:p>
      <w:pPr>
        <w:spacing w:before="120" w:beforeLines="50"/>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kern w:val="0"/>
          <w:szCs w:val="24"/>
          <w:highlight w:val="none"/>
          <w14:textFill>
            <w14:solidFill>
              <w14:schemeClr w14:val="tx1"/>
            </w14:solidFill>
          </w14:textFill>
        </w:rPr>
        <w:t>由表4.3-1</w:t>
      </w:r>
      <w:r>
        <w:rPr>
          <w:rFonts w:hint="eastAsia" w:cs="Times New Roman"/>
          <w:bCs/>
          <w:color w:val="000000" w:themeColor="text1"/>
          <w:kern w:val="0"/>
          <w:szCs w:val="24"/>
          <w:highlight w:val="none"/>
          <w14:textFill>
            <w14:solidFill>
              <w14:schemeClr w14:val="tx1"/>
            </w14:solidFill>
          </w14:textFill>
        </w:rPr>
        <w:t>0</w:t>
      </w:r>
      <w:r>
        <w:rPr>
          <w:rFonts w:cs="Times New Roman"/>
          <w:bCs/>
          <w:color w:val="000000" w:themeColor="text1"/>
          <w:kern w:val="0"/>
          <w:szCs w:val="24"/>
          <w:highlight w:val="none"/>
          <w14:textFill>
            <w14:solidFill>
              <w14:schemeClr w14:val="tx1"/>
            </w14:solidFill>
          </w14:textFill>
        </w:rPr>
        <w:t>可知，在评价范围内植物总生物量中，森林植被生物量所占比重最大，达到97.77%，可见森林植被对区域生物量的贡献之大，同时也表明森林植被是本评价范围最重要的生态系统，森林生态效益不可忽视，在维持区域生态平衡方面有绝对的意义。</w:t>
      </w:r>
    </w:p>
    <w:p>
      <w:pPr>
        <w:pStyle w:val="4"/>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景观生态体系现状调查</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景观（Landscape）的定义有多种表述，但大部分都是反映内陆地形、地貌或景色的，或是反映某一地理区域的综合地形特征。而景观生态学（LandscapeEcology）将景观定义为：“一个空间异质性的区域，由相互作用的拼块（patch）或生态系统组成，以相似的形式重复出现的生态体系”。为了深入认识评价范围内的环境特征，下面用景观生态学的原理和方法来研究生态体系的组成、特征、生产力及其稳定性。</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1、景观生态体系组成与特征</w:t>
      </w:r>
    </w:p>
    <w:p>
      <w:pPr>
        <w:ind w:firstLine="480"/>
        <w:rPr>
          <w:rFonts w:cs="Times New Roman"/>
          <w:bCs/>
          <w:color w:val="000000" w:themeColor="text1"/>
          <w:kern w:val="0"/>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按照生态学中景观的概念描述可知，景观生态体系的组成即生态系统或土地利</w:t>
      </w:r>
      <w:r>
        <w:rPr>
          <w:rFonts w:cs="Times New Roman"/>
          <w:bCs/>
          <w:color w:val="000000" w:themeColor="text1"/>
          <w:kern w:val="0"/>
          <w:szCs w:val="24"/>
          <w:highlight w:val="none"/>
          <w14:textFill>
            <w14:solidFill>
              <w14:schemeClr w14:val="tx1"/>
            </w14:solidFill>
          </w14:textFill>
        </w:rPr>
        <w:t>用类型组成，因而可以用评价范围内的主要土地利用类型——森林、灌丛、灌草丛、耕地、河流水面、建设用地等生态系统作为景观体系的基本单元——拼块来进行景观分析。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（1）麻栎、青冈、栓皮栎、竹林及乔木经济树种等为主的森林拼块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属于人工栽培或干预后经过一段时间自然生长发育形成，具有一定人工性，属于环境资源拼块。该拼块广泛分布，连通程度较高。该拼块面积为</w:t>
      </w:r>
      <w:r>
        <w:rPr>
          <w:rFonts w:cs="Times New Roman"/>
          <w:bCs/>
          <w:color w:val="000000" w:themeColor="text1"/>
          <w:kern w:val="0"/>
          <w:szCs w:val="21"/>
          <w:highlight w:val="none"/>
          <w:lang w:bidi="ar"/>
          <w14:textFill>
            <w14:solidFill>
              <w14:schemeClr w14:val="tx1"/>
            </w14:solidFill>
          </w14:textFill>
        </w:rPr>
        <w:t xml:space="preserve">23.73 </w:t>
      </w:r>
      <w:r>
        <w:rPr>
          <w:rFonts w:cs="Times New Roman"/>
          <w:bCs/>
          <w:color w:val="000000" w:themeColor="text1"/>
          <w:szCs w:val="24"/>
          <w:highlight w:val="none"/>
          <w14:textFill>
            <w14:solidFill>
              <w14:schemeClr w14:val="tx1"/>
            </w14:solidFill>
          </w14:textFill>
        </w:rPr>
        <w:t>hm²，约占评价范围总面积的76.90%，是评价区内较最重要的景观拼块，对评价区内生态起着绝对作用。</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马桑、黄荆、火棘、荚蒾及灌木经济树种等为主的灌丛拼块属于人类活动影响下形成的干扰拼块，多分布在林地边缘地带或荒坡田坎，由于人类活动频繁，受干扰程度高，水土流失和生物多样性受损较严重。该拼块面积为</w:t>
      </w:r>
      <w:r>
        <w:rPr>
          <w:rFonts w:cs="Times New Roman"/>
          <w:bCs/>
          <w:color w:val="000000" w:themeColor="text1"/>
          <w:kern w:val="0"/>
          <w:szCs w:val="21"/>
          <w:highlight w:val="none"/>
          <w:lang w:bidi="ar"/>
          <w14:textFill>
            <w14:solidFill>
              <w14:schemeClr w14:val="tx1"/>
            </w14:solidFill>
          </w14:textFill>
        </w:rPr>
        <w:t>0.62</w:t>
      </w:r>
      <w:r>
        <w:rPr>
          <w:rFonts w:cs="Times New Roman"/>
          <w:bCs/>
          <w:color w:val="000000" w:themeColor="text1"/>
          <w:szCs w:val="24"/>
          <w:highlight w:val="none"/>
          <w14:textFill>
            <w14:solidFill>
              <w14:schemeClr w14:val="tx1"/>
            </w14:solidFill>
          </w14:textFill>
        </w:rPr>
        <w:t>hm²，占评价范围总面积的</w:t>
      </w:r>
      <w:r>
        <w:rPr>
          <w:rFonts w:cs="Times New Roman"/>
          <w:bCs/>
          <w:color w:val="000000" w:themeColor="text1"/>
          <w:kern w:val="0"/>
          <w:szCs w:val="24"/>
          <w:highlight w:val="none"/>
          <w14:textFill>
            <w14:solidFill>
              <w14:schemeClr w14:val="tx1"/>
            </w14:solidFill>
          </w14:textFill>
        </w:rPr>
        <w:t>2.01</w:t>
      </w:r>
      <w:r>
        <w:rPr>
          <w:rFonts w:cs="Times New Roman"/>
          <w:bCs/>
          <w:color w:val="000000" w:themeColor="text1"/>
          <w:szCs w:val="24"/>
          <w:highlight w:val="none"/>
          <w14:textFill>
            <w14:solidFill>
              <w14:schemeClr w14:val="tx1"/>
            </w14:solidFill>
          </w14:textFill>
        </w:rPr>
        <w:t>%，是评价区内重要的拼块之一。</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（3）以水稻、玉米、红苕、棉花、花生、小麦、马铃薯、豌豆为主的耕地植被拼块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属于人工引进的种植拼块。该拼块的生境、外貌及结构与水田均有明显区别，其生境一般比较干燥，地面具有一定坡度，作物种类比较多样化，并形成多种组合。该拼块面积为</w:t>
      </w:r>
      <w:r>
        <w:rPr>
          <w:rFonts w:cs="Times New Roman"/>
          <w:bCs/>
          <w:color w:val="000000" w:themeColor="text1"/>
          <w:kern w:val="0"/>
          <w:szCs w:val="21"/>
          <w:highlight w:val="none"/>
          <w:lang w:bidi="ar"/>
          <w14:textFill>
            <w14:solidFill>
              <w14:schemeClr w14:val="tx1"/>
            </w14:solidFill>
          </w14:textFill>
        </w:rPr>
        <w:t>3.01</w:t>
      </w:r>
      <w:r>
        <w:rPr>
          <w:rFonts w:cs="Times New Roman"/>
          <w:bCs/>
          <w:color w:val="000000" w:themeColor="text1"/>
          <w:szCs w:val="24"/>
          <w:highlight w:val="none"/>
          <w14:textFill>
            <w14:solidFill>
              <w14:schemeClr w14:val="tx1"/>
            </w14:solidFill>
          </w14:textFill>
        </w:rPr>
        <w:t>hm²，占评价区面积的9.75%。</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（4）建设用地为主的人工生态系统拼块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该拼块是人工建造引进的拼块，为人类的聚居地，是拼块中受人类干扰最明显的组分之一，表现在拼块外貌和结构上不再具有自然属性，更具社会性，该拼块在区内分布比较局限，在村寨所在地有成片分布。该拼块面积约为</w:t>
      </w:r>
      <w:r>
        <w:rPr>
          <w:rFonts w:cs="Times New Roman"/>
          <w:bCs/>
          <w:color w:val="000000" w:themeColor="text1"/>
          <w:kern w:val="0"/>
          <w:szCs w:val="21"/>
          <w:highlight w:val="none"/>
          <w:lang w:bidi="ar"/>
          <w14:textFill>
            <w14:solidFill>
              <w14:schemeClr w14:val="tx1"/>
            </w14:solidFill>
          </w14:textFill>
        </w:rPr>
        <w:t>3.50</w:t>
      </w:r>
      <w:r>
        <w:rPr>
          <w:rFonts w:cs="Times New Roman"/>
          <w:bCs/>
          <w:color w:val="000000" w:themeColor="text1"/>
          <w:szCs w:val="24"/>
          <w:highlight w:val="none"/>
          <w14:textFill>
            <w14:solidFill>
              <w14:schemeClr w14:val="tx1"/>
            </w14:solidFill>
          </w14:textFill>
        </w:rPr>
        <w:t>hm²，占评价区总面积的11.33%。</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以上拼块类型构成了本区景观生态体系，它们之间既相互联系又相互制约。</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以麻栎、青冈、栓皮栎及乔木经济树种的森林拼块，以马桑、黄荆、火棘、荚蒾及灌木经济树种为主的灌丛拼块等陆地生态系统对以水稻、玉米、红苕、棉花、花生、小麦、马铃薯、豌豆为主的耕地植被的生产力水平有着重要影响。环境资源拼块自然生产能力和稳定性的维护是决定本区生态环境质量的主导性因素，该类型拼块的总面积为24.35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，占所有拼块总面积的78.91%；人为活动影响产生的拼块总面积为6.51hm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，占所有拼块总面积的21.08%。</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评价范围内以上各景观拼块相应特征见表4.3-1</w:t>
      </w: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评价范围拼块类型、数量及面积表</w:t>
      </w:r>
    </w:p>
    <w:tbl>
      <w:tblPr>
        <w:tblStyle w:val="54"/>
        <w:tblW w:w="5000" w:type="pct"/>
        <w:jc w:val="center"/>
        <w:tblLayout w:type="autofit"/>
        <w:tblCellMar>
          <w:top w:w="15" w:type="dxa"/>
          <w:left w:w="15" w:type="dxa"/>
          <w:bottom w:w="15" w:type="dxa"/>
          <w:right w:w="15" w:type="dxa"/>
        </w:tblCellMar>
      </w:tblPr>
      <w:tblGrid>
        <w:gridCol w:w="3121"/>
        <w:gridCol w:w="2786"/>
        <w:gridCol w:w="2433"/>
      </w:tblGrid>
      <w:tr>
        <w:tblPrEx>
          <w:tblCellMar>
            <w:top w:w="15" w:type="dxa"/>
            <w:left w:w="15" w:type="dxa"/>
            <w:bottom w:w="15" w:type="dxa"/>
            <w:right w:w="15" w:type="dxa"/>
          </w:tblCellMar>
        </w:tblPrEx>
        <w:trPr>
          <w:trHeight w:val="315" w:hRule="atLeast"/>
          <w:jc w:val="center"/>
        </w:trPr>
        <w:tc>
          <w:tcPr>
            <w:tcW w:w="187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拼块类型</w:t>
            </w:r>
          </w:p>
        </w:tc>
        <w:tc>
          <w:tcPr>
            <w:tcW w:w="167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面积（hm</w:t>
            </w:r>
            <w:r>
              <w:rPr>
                <w:rFonts w:cs="Times New Roman"/>
                <w:b/>
                <w:color w:val="000000" w:themeColor="text1"/>
                <w:kern w:val="0"/>
                <w:sz w:val="21"/>
                <w:szCs w:val="21"/>
                <w:highlight w:val="none"/>
                <w:vertAlign w:val="superscript"/>
                <w:lang w:bidi="ar"/>
                <w14:textFill>
                  <w14:solidFill>
                    <w14:schemeClr w14:val="tx1"/>
                  </w14:solidFill>
                </w14:textFill>
              </w:rPr>
              <w:t>2</w:t>
            </w:r>
            <w:r>
              <w:rPr>
                <w:rFonts w:cs="Times New Roman"/>
                <w:b/>
                <w:color w:val="000000" w:themeColor="text1"/>
                <w:kern w:val="0"/>
                <w:sz w:val="21"/>
                <w:szCs w:val="21"/>
                <w:highlight w:val="none"/>
                <w:lang w:bidi="ar"/>
                <w14:textFill>
                  <w14:solidFill>
                    <w14:schemeClr w14:val="tx1"/>
                  </w14:solidFill>
                </w14:textFill>
              </w:rPr>
              <w:t>）</w:t>
            </w:r>
          </w:p>
        </w:tc>
        <w:tc>
          <w:tcPr>
            <w:tcW w:w="145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百分比（%）</w:t>
            </w:r>
          </w:p>
        </w:tc>
      </w:tr>
      <w:tr>
        <w:tblPrEx>
          <w:tblCellMar>
            <w:top w:w="15" w:type="dxa"/>
            <w:left w:w="15" w:type="dxa"/>
            <w:bottom w:w="15" w:type="dxa"/>
            <w:right w:w="15" w:type="dxa"/>
          </w:tblCellMar>
        </w:tblPrEx>
        <w:trPr>
          <w:trHeight w:val="315" w:hRule="atLeast"/>
          <w:jc w:val="center"/>
        </w:trPr>
        <w:tc>
          <w:tcPr>
            <w:tcW w:w="187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森林拼块（</w:t>
            </w:r>
            <w:r>
              <w:rPr>
                <w:rFonts w:cs="Times New Roman"/>
                <w:bCs/>
                <w:color w:val="000000" w:themeColor="text1"/>
                <w:kern w:val="0"/>
                <w:sz w:val="21"/>
                <w:szCs w:val="21"/>
                <w:highlight w:val="none"/>
                <w14:textFill>
                  <w14:solidFill>
                    <w14:schemeClr w14:val="tx1"/>
                  </w14:solidFill>
                </w14:textFill>
              </w:rPr>
              <w:t>竹林）</w:t>
            </w:r>
          </w:p>
        </w:tc>
        <w:tc>
          <w:tcPr>
            <w:tcW w:w="167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23.73 </w:t>
            </w:r>
          </w:p>
        </w:tc>
        <w:tc>
          <w:tcPr>
            <w:tcW w:w="145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76.90 </w:t>
            </w:r>
          </w:p>
        </w:tc>
      </w:tr>
      <w:tr>
        <w:tblPrEx>
          <w:tblCellMar>
            <w:top w:w="15" w:type="dxa"/>
            <w:left w:w="15" w:type="dxa"/>
            <w:bottom w:w="15" w:type="dxa"/>
            <w:right w:w="15" w:type="dxa"/>
          </w:tblCellMar>
        </w:tblPrEx>
        <w:trPr>
          <w:trHeight w:val="405" w:hRule="atLeast"/>
          <w:jc w:val="center"/>
        </w:trPr>
        <w:tc>
          <w:tcPr>
            <w:tcW w:w="1871"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灌丛拼块</w:t>
            </w:r>
          </w:p>
        </w:tc>
        <w:tc>
          <w:tcPr>
            <w:tcW w:w="167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0.62 </w:t>
            </w:r>
          </w:p>
        </w:tc>
        <w:tc>
          <w:tcPr>
            <w:tcW w:w="145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2.01 </w:t>
            </w:r>
          </w:p>
        </w:tc>
      </w:tr>
      <w:tr>
        <w:tblPrEx>
          <w:tblCellMar>
            <w:top w:w="15" w:type="dxa"/>
            <w:left w:w="15" w:type="dxa"/>
            <w:bottom w:w="15" w:type="dxa"/>
            <w:right w:w="15" w:type="dxa"/>
          </w:tblCellMar>
        </w:tblPrEx>
        <w:trPr>
          <w:trHeight w:val="330" w:hRule="atLeast"/>
          <w:jc w:val="center"/>
        </w:trPr>
        <w:tc>
          <w:tcPr>
            <w:tcW w:w="1871" w:type="pct"/>
            <w:tcBorders>
              <w:top w:val="single" w:color="000000" w:sz="4" w:space="0"/>
              <w:left w:val="single" w:color="000000" w:sz="4" w:space="0"/>
              <w:bottom w:val="single" w:color="auto"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耕地植被拼块</w:t>
            </w:r>
          </w:p>
        </w:tc>
        <w:tc>
          <w:tcPr>
            <w:tcW w:w="167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3.01 </w:t>
            </w:r>
          </w:p>
        </w:tc>
        <w:tc>
          <w:tcPr>
            <w:tcW w:w="145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9.75 </w:t>
            </w:r>
          </w:p>
        </w:tc>
      </w:tr>
      <w:tr>
        <w:tblPrEx>
          <w:tblCellMar>
            <w:top w:w="15" w:type="dxa"/>
            <w:left w:w="15" w:type="dxa"/>
            <w:bottom w:w="15" w:type="dxa"/>
            <w:right w:w="15" w:type="dxa"/>
          </w:tblCellMar>
        </w:tblPrEx>
        <w:trPr>
          <w:trHeight w:val="330" w:hRule="atLeast"/>
          <w:jc w:val="center"/>
        </w:trPr>
        <w:tc>
          <w:tcPr>
            <w:tcW w:w="1871" w:type="pct"/>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人工生态系统拼块</w:t>
            </w:r>
          </w:p>
        </w:tc>
        <w:tc>
          <w:tcPr>
            <w:tcW w:w="1670" w:type="pct"/>
            <w:tcBorders>
              <w:top w:val="single" w:color="000000" w:sz="4" w:space="0"/>
              <w:left w:val="single" w:color="auto"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3.50 </w:t>
            </w:r>
          </w:p>
        </w:tc>
        <w:tc>
          <w:tcPr>
            <w:tcW w:w="145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11.33 </w:t>
            </w:r>
          </w:p>
        </w:tc>
      </w:tr>
      <w:tr>
        <w:tblPrEx>
          <w:tblCellMar>
            <w:top w:w="15" w:type="dxa"/>
            <w:left w:w="15" w:type="dxa"/>
            <w:bottom w:w="15" w:type="dxa"/>
            <w:right w:w="15" w:type="dxa"/>
          </w:tblCellMar>
        </w:tblPrEx>
        <w:trPr>
          <w:trHeight w:val="330" w:hRule="atLeast"/>
          <w:jc w:val="center"/>
        </w:trPr>
        <w:tc>
          <w:tcPr>
            <w:tcW w:w="1871" w:type="pct"/>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总计</w:t>
            </w:r>
          </w:p>
        </w:tc>
        <w:tc>
          <w:tcPr>
            <w:tcW w:w="1670" w:type="pct"/>
            <w:tcBorders>
              <w:top w:val="single" w:color="000000" w:sz="4" w:space="0"/>
              <w:left w:val="single" w:color="auto"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30.85 </w:t>
            </w:r>
          </w:p>
        </w:tc>
        <w:tc>
          <w:tcPr>
            <w:tcW w:w="1458"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100.00 </w:t>
            </w:r>
          </w:p>
        </w:tc>
      </w:tr>
    </w:tbl>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2、景观生态体系现状质量评价</w:t>
      </w:r>
    </w:p>
    <w:p>
      <w:pPr>
        <w:spacing w:line="500" w:lineRule="exact"/>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景观稳定性是景观的各种参数的长期变化呈水平状态，或是在水平线上下摆动的幅度和周期性具有统计特征（Format，1990），它的稳定性本质上是景观各组分，即气候、地貌、岩石、土壤、植被、水文等稳定性的综合体现，它们之间既有一定联系，又有一定区别。因此，在评价景观的稳定性时应考虑到景观组分间的相互联系与相互作用，在实际中评价景观的稳定性时，主要考虑的是植被组分的变化。</w:t>
      </w:r>
    </w:p>
    <w:p>
      <w:pPr>
        <w:spacing w:line="500" w:lineRule="exact"/>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环境是一个以自然环境为主、受人类活动干扰强烈的区域环境，其环境质量状况是由区内自然环境各个因子与人类社会之间的相互作用来决定的。根据景观生态学中景观生态结构与功能相匹配的原理，景观结构的合理性将决定区域净功能状况的优劣，即决定景观生态体系的质量状况。因此，采取区内景观生态体系空间结构合理程度的方法，来判断区内景观生态体系的稳定性。具体方法采用《环境影响评价技术导则——生态影响》（HJ19-2011）中推荐的优势度计算法，各参数计算公式如下：</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 xml:space="preserve">        密度Rd=I拼块的数目/拼块的总数×100﹪；</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频率Rf=拼块I出现的小样方数/小样方总数×100﹪；</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景观比例Lp＝拼块I的面积/样地总面积×100﹪；</w:t>
      </w:r>
    </w:p>
    <w:p>
      <w:pPr>
        <w:spacing w:line="500" w:lineRule="exact"/>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景观优势度Do＝12[（Rd+Rf）/2＋Lp]×100﹪。</w:t>
      </w:r>
    </w:p>
    <w:p>
      <w:pPr>
        <w:spacing w:line="500" w:lineRule="exact"/>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在景观频率的评判中，采取在微机上的土地利用图上取样的方法，共选取200个小样方。统计各类拼块出现的小样方数，得出各个拼块的频度，计算出主要拼块的优势度，结果见表4.3-1</w:t>
      </w: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评价范围各拼块优势度值</w:t>
      </w:r>
    </w:p>
    <w:tbl>
      <w:tblPr>
        <w:tblStyle w:val="54"/>
        <w:tblW w:w="5000" w:type="pct"/>
        <w:jc w:val="center"/>
        <w:tblLayout w:type="autofit"/>
        <w:tblCellMar>
          <w:top w:w="15" w:type="dxa"/>
          <w:left w:w="15" w:type="dxa"/>
          <w:bottom w:w="15" w:type="dxa"/>
          <w:right w:w="15" w:type="dxa"/>
        </w:tblCellMar>
      </w:tblPr>
      <w:tblGrid>
        <w:gridCol w:w="1640"/>
        <w:gridCol w:w="1535"/>
        <w:gridCol w:w="1610"/>
        <w:gridCol w:w="1961"/>
        <w:gridCol w:w="1594"/>
      </w:tblGrid>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拼块类型</w:t>
            </w:r>
          </w:p>
        </w:tc>
        <w:tc>
          <w:tcPr>
            <w:tcW w:w="92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密度Rd（%）</w:t>
            </w:r>
          </w:p>
        </w:tc>
        <w:tc>
          <w:tcPr>
            <w:tcW w:w="96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频率Rf（%）</w:t>
            </w:r>
          </w:p>
        </w:tc>
        <w:tc>
          <w:tcPr>
            <w:tcW w:w="117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景观比例Lp（%）</w:t>
            </w:r>
          </w:p>
        </w:tc>
        <w:tc>
          <w:tcPr>
            <w:tcW w:w="955"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优势度Do（%）</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森林（含</w:t>
            </w:r>
            <w:r>
              <w:rPr>
                <w:rFonts w:cs="Times New Roman"/>
                <w:bCs/>
                <w:color w:val="000000" w:themeColor="text1"/>
                <w:kern w:val="0"/>
                <w:sz w:val="21"/>
                <w:szCs w:val="21"/>
                <w:highlight w:val="none"/>
                <w14:textFill>
                  <w14:solidFill>
                    <w14:schemeClr w14:val="tx1"/>
                  </w14:solidFill>
                </w14:textFill>
              </w:rPr>
              <w:t>竹林）</w:t>
            </w:r>
          </w:p>
        </w:tc>
        <w:tc>
          <w:tcPr>
            <w:tcW w:w="1535"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44.26 </w:t>
            </w:r>
          </w:p>
        </w:tc>
        <w:tc>
          <w:tcPr>
            <w:tcW w:w="1610"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73.94 </w:t>
            </w:r>
          </w:p>
        </w:tc>
        <w:tc>
          <w:tcPr>
            <w:tcW w:w="1961"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72.73 </w:t>
            </w:r>
          </w:p>
        </w:tc>
        <w:tc>
          <w:tcPr>
            <w:tcW w:w="1594"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65.92 </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灌丛</w:t>
            </w:r>
          </w:p>
        </w:tc>
        <w:tc>
          <w:tcPr>
            <w:tcW w:w="1535"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8.20 </w:t>
            </w:r>
          </w:p>
        </w:tc>
        <w:tc>
          <w:tcPr>
            <w:tcW w:w="1610"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2.73 </w:t>
            </w:r>
          </w:p>
        </w:tc>
        <w:tc>
          <w:tcPr>
            <w:tcW w:w="1961"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2.81 </w:t>
            </w:r>
          </w:p>
        </w:tc>
        <w:tc>
          <w:tcPr>
            <w:tcW w:w="1594"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4.14 </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耕地</w:t>
            </w:r>
          </w:p>
        </w:tc>
        <w:tc>
          <w:tcPr>
            <w:tcW w:w="1535"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31.15 </w:t>
            </w:r>
          </w:p>
        </w:tc>
        <w:tc>
          <w:tcPr>
            <w:tcW w:w="1610"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10.43 </w:t>
            </w:r>
          </w:p>
        </w:tc>
        <w:tc>
          <w:tcPr>
            <w:tcW w:w="1961"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11.02 </w:t>
            </w:r>
          </w:p>
        </w:tc>
        <w:tc>
          <w:tcPr>
            <w:tcW w:w="1594"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15.91 </w:t>
            </w:r>
          </w:p>
        </w:tc>
      </w:tr>
      <w:tr>
        <w:tblPrEx>
          <w:tblCellMar>
            <w:top w:w="15" w:type="dxa"/>
            <w:left w:w="15" w:type="dxa"/>
            <w:bottom w:w="15" w:type="dxa"/>
            <w:right w:w="15" w:type="dxa"/>
          </w:tblCellMar>
        </w:tblPrEx>
        <w:trPr>
          <w:trHeight w:val="340" w:hRule="exact"/>
          <w:jc w:val="center"/>
        </w:trPr>
        <w:tc>
          <w:tcPr>
            <w:tcW w:w="983"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人工生态系统</w:t>
            </w:r>
          </w:p>
        </w:tc>
        <w:tc>
          <w:tcPr>
            <w:tcW w:w="1535"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16.39 </w:t>
            </w:r>
          </w:p>
        </w:tc>
        <w:tc>
          <w:tcPr>
            <w:tcW w:w="1610"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12.90 </w:t>
            </w:r>
          </w:p>
        </w:tc>
        <w:tc>
          <w:tcPr>
            <w:tcW w:w="1961" w:type="dxa"/>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13.44 </w:t>
            </w:r>
          </w:p>
        </w:tc>
        <w:tc>
          <w:tcPr>
            <w:tcW w:w="1594" w:type="dxa"/>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14.04 </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从4.3-1</w:t>
      </w:r>
      <w:r>
        <w:rPr>
          <w:rFonts w:hint="eastAsia" w:cs="Times New Roman"/>
          <w:bCs/>
          <w:color w:val="000000" w:themeColor="text1"/>
          <w:szCs w:val="24"/>
          <w:highlight w:val="none"/>
          <w14:textFill>
            <w14:solidFill>
              <w14:schemeClr w14:val="tx1"/>
            </w14:solidFill>
          </w14:textFill>
        </w:rPr>
        <w:t>2</w:t>
      </w:r>
      <w:r>
        <w:rPr>
          <w:rFonts w:cs="Times New Roman"/>
          <w:bCs/>
          <w:color w:val="000000" w:themeColor="text1"/>
          <w:szCs w:val="24"/>
          <w:highlight w:val="none"/>
          <w14:textFill>
            <w14:solidFill>
              <w14:schemeClr w14:val="tx1"/>
            </w14:solidFill>
          </w14:textFill>
        </w:rPr>
        <w:t>可以看出，在本次评价范围，各类拼块的优势度值差异较大，具有一定连通度，但它们之间都存在一定差异。其中森林拼块的优势度Do值最高，为65.92%，景观比例Lp为72.73%，出现的频率为73.94%；其次是耕地拼块，优势度Do值15.91%，景观比例Lp为11.02%，出现的频率Rf为10.43%，灌丛拼块所占比较低于5%。</w:t>
      </w:r>
    </w:p>
    <w:p>
      <w:pPr>
        <w:pStyle w:val="4"/>
        <w:spacing w:before="12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生态系统类型调查与评价</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地形地貌、土地利用类型以及植被类型的不同，将评价范围内生态系统划分为不同的类型。调查显示，评价范围内生态系统类型主要包括阔叶林生态系统、阔叶灌丛生态系统、耕地生态系统、居住地生态系统、工矿交通生态系统。生态系统整体开发强度大，区域内森林多为人工林，少量为次生林。</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根据现场调查，评价范围内的森林生态系统占绝对优势，面积23.73hm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比76.90%。森林生态系统是以乔木为主的生物群落以及其非生物环境综合组成的陆地生态系统，生态系统中的植物以乔木为主，也有少量灌木和草本植物，还有不同种类的动物资源。森林生态系统生态服务功能高，在涵养水源、净化空气、保持水土、吸烟滞尘、改变区域水热状况等方面有着突出的作用。</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评价区生态系统类型分布特征及解译结果见下表。</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生态系统类型面积统计表</w:t>
      </w:r>
    </w:p>
    <w:tbl>
      <w:tblPr>
        <w:tblStyle w:val="5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01"/>
        <w:gridCol w:w="2812"/>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exact"/>
          <w:jc w:val="center"/>
        </w:trPr>
        <w:tc>
          <w:tcPr>
            <w:tcW w:w="1760" w:type="pct"/>
            <w:vMerge w:val="restart"/>
            <w:shd w:val="clear" w:color="auto" w:fill="auto"/>
            <w:noWrap/>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生态系统类型</w:t>
            </w:r>
          </w:p>
        </w:tc>
        <w:tc>
          <w:tcPr>
            <w:tcW w:w="3239" w:type="pct"/>
            <w:gridSpan w:val="2"/>
            <w:shd w:val="clear" w:color="000000" w:fill="FFFFFF"/>
            <w:noWrap/>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评价区范围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exact"/>
          <w:jc w:val="center"/>
        </w:trPr>
        <w:tc>
          <w:tcPr>
            <w:tcW w:w="1760" w:type="pct"/>
            <w:vMerge w:val="continue"/>
            <w:shd w:val="clear" w:color="auto" w:fill="auto"/>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p>
        </w:tc>
        <w:tc>
          <w:tcPr>
            <w:tcW w:w="1649" w:type="pct"/>
            <w:shd w:val="clear" w:color="000000" w:fill="FFFFFF"/>
            <w:noWrap/>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面积（hm</w:t>
            </w:r>
            <w:r>
              <w:rPr>
                <w:rFonts w:cs="Times New Roman"/>
                <w:b/>
                <w:color w:val="000000" w:themeColor="text1"/>
                <w:kern w:val="0"/>
                <w:sz w:val="21"/>
                <w:szCs w:val="21"/>
                <w:highlight w:val="none"/>
                <w:vertAlign w:val="superscript"/>
                <w:lang w:bidi="ar"/>
                <w14:textFill>
                  <w14:solidFill>
                    <w14:schemeClr w14:val="tx1"/>
                  </w14:solidFill>
                </w14:textFill>
              </w:rPr>
              <w:t>2</w:t>
            </w:r>
            <w:r>
              <w:rPr>
                <w:rFonts w:cs="Times New Roman"/>
                <w:b/>
                <w:color w:val="000000" w:themeColor="text1"/>
                <w:kern w:val="0"/>
                <w:sz w:val="21"/>
                <w:szCs w:val="21"/>
                <w:highlight w:val="none"/>
                <w:lang w:bidi="ar"/>
                <w14:textFill>
                  <w14:solidFill>
                    <w14:schemeClr w14:val="tx1"/>
                  </w14:solidFill>
                </w14:textFill>
              </w:rPr>
              <w:t>）</w:t>
            </w:r>
          </w:p>
        </w:tc>
        <w:tc>
          <w:tcPr>
            <w:tcW w:w="1590" w:type="pct"/>
            <w:shd w:val="clear" w:color="000000" w:fill="FFFFFF"/>
            <w:noWrap/>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占比（%）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exact"/>
          <w:jc w:val="center"/>
        </w:trPr>
        <w:tc>
          <w:tcPr>
            <w:tcW w:w="1760" w:type="pct"/>
            <w:shd w:val="clear" w:color="auto" w:fill="auto"/>
            <w:noWrap/>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阔叶林生态系统</w:t>
            </w:r>
          </w:p>
        </w:tc>
        <w:tc>
          <w:tcPr>
            <w:tcW w:w="1649"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23.73 </w:t>
            </w:r>
          </w:p>
        </w:tc>
        <w:tc>
          <w:tcPr>
            <w:tcW w:w="1590"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76.90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exact"/>
          <w:jc w:val="center"/>
        </w:trPr>
        <w:tc>
          <w:tcPr>
            <w:tcW w:w="1760" w:type="pct"/>
            <w:shd w:val="clear" w:color="auto" w:fill="auto"/>
            <w:noWrap/>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阔叶灌丛生态系统</w:t>
            </w:r>
          </w:p>
        </w:tc>
        <w:tc>
          <w:tcPr>
            <w:tcW w:w="1649"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0.62 </w:t>
            </w:r>
          </w:p>
        </w:tc>
        <w:tc>
          <w:tcPr>
            <w:tcW w:w="1590"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2.01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exact"/>
          <w:jc w:val="center"/>
        </w:trPr>
        <w:tc>
          <w:tcPr>
            <w:tcW w:w="1760" w:type="pct"/>
            <w:shd w:val="clear" w:color="auto" w:fill="auto"/>
            <w:noWrap/>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耕地生态系统</w:t>
            </w:r>
          </w:p>
        </w:tc>
        <w:tc>
          <w:tcPr>
            <w:tcW w:w="1649"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3.01 </w:t>
            </w:r>
          </w:p>
        </w:tc>
        <w:tc>
          <w:tcPr>
            <w:tcW w:w="1590"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9.75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exact"/>
          <w:jc w:val="center"/>
        </w:trPr>
        <w:tc>
          <w:tcPr>
            <w:tcW w:w="1760" w:type="pct"/>
            <w:shd w:val="clear" w:color="auto" w:fill="auto"/>
            <w:noWrap/>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居住地生态系统</w:t>
            </w:r>
          </w:p>
        </w:tc>
        <w:tc>
          <w:tcPr>
            <w:tcW w:w="1649"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0.23 </w:t>
            </w:r>
          </w:p>
        </w:tc>
        <w:tc>
          <w:tcPr>
            <w:tcW w:w="1590"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0.73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exact"/>
          <w:jc w:val="center"/>
        </w:trPr>
        <w:tc>
          <w:tcPr>
            <w:tcW w:w="1760" w:type="pct"/>
            <w:shd w:val="clear" w:color="auto" w:fill="auto"/>
            <w:noWrap/>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工矿交通生态系统</w:t>
            </w:r>
          </w:p>
        </w:tc>
        <w:tc>
          <w:tcPr>
            <w:tcW w:w="1649"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3.27 </w:t>
            </w:r>
          </w:p>
        </w:tc>
        <w:tc>
          <w:tcPr>
            <w:tcW w:w="1590"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10.60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exact"/>
          <w:jc w:val="center"/>
        </w:trPr>
        <w:tc>
          <w:tcPr>
            <w:tcW w:w="1760" w:type="pct"/>
            <w:shd w:val="clear" w:color="auto" w:fill="auto"/>
            <w:noWrap/>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合计</w:t>
            </w:r>
          </w:p>
        </w:tc>
        <w:tc>
          <w:tcPr>
            <w:tcW w:w="1649"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30.85 </w:t>
            </w:r>
          </w:p>
        </w:tc>
        <w:tc>
          <w:tcPr>
            <w:tcW w:w="1590" w:type="pct"/>
            <w:shd w:val="clear" w:color="000000" w:fill="FFFFFF"/>
            <w:noWrap/>
            <w:vAlign w:val="center"/>
          </w:tcPr>
          <w:p>
            <w:pPr>
              <w:widowControl/>
              <w:adjustRightInd/>
              <w:snapToGrid/>
              <w:spacing w:line="240" w:lineRule="auto"/>
              <w:ind w:firstLine="0" w:firstLineChars="0"/>
              <w:jc w:val="center"/>
              <w:textAlignment w:val="center"/>
              <w:rPr>
                <w:rFonts w:cs="Times New Roman"/>
                <w:color w:val="000000" w:themeColor="text1"/>
                <w:kern w:val="0"/>
                <w:sz w:val="21"/>
                <w:szCs w:val="21"/>
                <w:highlight w:val="none"/>
                <w:lang w:bidi="ar"/>
                <w14:textFill>
                  <w14:solidFill>
                    <w14:schemeClr w14:val="tx1"/>
                  </w14:solidFill>
                </w14:textFill>
              </w:rPr>
            </w:pPr>
            <w:r>
              <w:rPr>
                <w:rFonts w:cs="Times New Roman"/>
                <w:color w:val="000000" w:themeColor="text1"/>
                <w:kern w:val="0"/>
                <w:sz w:val="21"/>
                <w:szCs w:val="21"/>
                <w:highlight w:val="none"/>
                <w:lang w:bidi="ar"/>
                <w14:textFill>
                  <w14:solidFill>
                    <w14:schemeClr w14:val="tx1"/>
                  </w14:solidFill>
                </w14:textFill>
              </w:rPr>
              <w:t xml:space="preserve">100.00 </w:t>
            </w:r>
          </w:p>
        </w:tc>
      </w:tr>
    </w:tbl>
    <w:p>
      <w:pPr>
        <w:pStyle w:val="4"/>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物种多样性分析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地处亚热带常绿阔叶林区域，气候温暖湿润，区内丘陵、低山分布其间，植被类型主要有麻栎、青冈、栓皮栎等森林植被以及马桑、黄荆、火棘、荚蒾、芒、白茅等为主的灌草丛植被，群落结构和组成相对复杂，但均为当地常见类型，分布较广。</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物种多样性是物种丰富度和分布均匀性的综合反映，体现了群落结构类型、组织水平、发展阶段、稳定程度和生境差异。本项目采用“物种丰富度指数”（Margalef）来测量植被群落的物种多样性。</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公式：D=(S-1)/lnN</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其中：s为群落中物种数目 N为观察到的个体总数</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评价区各群落优势种优势度情况见下表。</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评价范围各群落物种丰富度指数</w:t>
      </w:r>
    </w:p>
    <w:tbl>
      <w:tblPr>
        <w:tblStyle w:val="583"/>
        <w:tblW w:w="473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36"/>
        <w:gridCol w:w="2991"/>
        <w:gridCol w:w="1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004" w:type="pct"/>
            <w:vAlign w:val="center"/>
          </w:tcPr>
          <w:p>
            <w:pPr>
              <w:tabs>
                <w:tab w:val="left" w:pos="1440"/>
              </w:tabs>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群落名称</w:t>
            </w:r>
          </w:p>
        </w:tc>
        <w:tc>
          <w:tcPr>
            <w:tcW w:w="1852" w:type="pct"/>
            <w:vAlign w:val="center"/>
          </w:tcPr>
          <w:p>
            <w:pPr>
              <w:tabs>
                <w:tab w:val="left" w:pos="1440"/>
              </w:tabs>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优势种</w:t>
            </w:r>
          </w:p>
        </w:tc>
        <w:tc>
          <w:tcPr>
            <w:tcW w:w="1142" w:type="pct"/>
            <w:vAlign w:val="center"/>
          </w:tcPr>
          <w:p>
            <w:pPr>
              <w:tabs>
                <w:tab w:val="left" w:pos="1440"/>
              </w:tabs>
              <w:adjustRightInd/>
              <w:snapToGrid/>
              <w:spacing w:line="240" w:lineRule="auto"/>
              <w:ind w:firstLine="0" w:firstLineChars="0"/>
              <w:jc w:val="center"/>
              <w:rPr>
                <w:rFonts w:cs="Times New Roman"/>
                <w:b/>
                <w:color w:val="000000" w:themeColor="text1"/>
                <w:kern w:val="0"/>
                <w:sz w:val="21"/>
                <w:szCs w:val="21"/>
                <w:highlight w:val="none"/>
                <w14:textFill>
                  <w14:solidFill>
                    <w14:schemeClr w14:val="tx1"/>
                  </w14:solidFill>
                </w14:textFill>
              </w:rPr>
            </w:pPr>
            <w:r>
              <w:rPr>
                <w:rFonts w:cs="Times New Roman"/>
                <w:b/>
                <w:color w:val="000000" w:themeColor="text1"/>
                <w:kern w:val="0"/>
                <w:sz w:val="21"/>
                <w:szCs w:val="21"/>
                <w:highlight w:val="none"/>
                <w14:textFill>
                  <w14:solidFill>
                    <w14:schemeClr w14:val="tx1"/>
                  </w14:solidFill>
                </w14:textFill>
              </w:rPr>
              <w:t>Margalef指数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exact"/>
          <w:jc w:val="center"/>
        </w:trPr>
        <w:tc>
          <w:tcPr>
            <w:tcW w:w="2004"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麻栎、青冈、栓皮栎群落</w:t>
            </w:r>
          </w:p>
        </w:tc>
        <w:tc>
          <w:tcPr>
            <w:tcW w:w="185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麻栎、青冈、栓皮栎</w:t>
            </w:r>
          </w:p>
        </w:tc>
        <w:tc>
          <w:tcPr>
            <w:tcW w:w="114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0.771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exact"/>
          <w:jc w:val="center"/>
        </w:trPr>
        <w:tc>
          <w:tcPr>
            <w:tcW w:w="2004" w:type="pct"/>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慈竹群落</w:t>
            </w:r>
          </w:p>
        </w:tc>
        <w:tc>
          <w:tcPr>
            <w:tcW w:w="1852" w:type="pct"/>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慈竹</w:t>
            </w:r>
          </w:p>
        </w:tc>
        <w:tc>
          <w:tcPr>
            <w:tcW w:w="114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0.594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exact"/>
          <w:jc w:val="center"/>
        </w:trPr>
        <w:tc>
          <w:tcPr>
            <w:tcW w:w="2004"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马桑、黄荆、火棘、荚蒾灌丛</w:t>
            </w:r>
          </w:p>
        </w:tc>
        <w:tc>
          <w:tcPr>
            <w:tcW w:w="185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spacing w:val="15"/>
                <w:sz w:val="21"/>
                <w:szCs w:val="21"/>
                <w:highlight w:val="none"/>
                <w14:textFill>
                  <w14:solidFill>
                    <w14:schemeClr w14:val="tx1"/>
                  </w14:solidFill>
                </w14:textFill>
              </w:rPr>
              <w:t>马桑、黄荆、火棘、荚蒾</w:t>
            </w:r>
          </w:p>
        </w:tc>
        <w:tc>
          <w:tcPr>
            <w:tcW w:w="114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0.670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exact"/>
          <w:jc w:val="center"/>
        </w:trPr>
        <w:tc>
          <w:tcPr>
            <w:tcW w:w="2004"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芒、</w:t>
            </w:r>
            <w:r>
              <w:rPr>
                <w:rFonts w:cs="Times New Roman"/>
                <w:bCs/>
                <w:color w:val="000000" w:themeColor="text1"/>
                <w:spacing w:val="-4"/>
                <w:sz w:val="21"/>
                <w:szCs w:val="21"/>
                <w:highlight w:val="none"/>
                <w14:textFill>
                  <w14:solidFill>
                    <w14:schemeClr w14:val="tx1"/>
                  </w14:solidFill>
                </w14:textFill>
              </w:rPr>
              <w:t>白茅草丛</w:t>
            </w:r>
            <w:r>
              <w:rPr>
                <w:rFonts w:cs="Times New Roman"/>
                <w:bCs/>
                <w:color w:val="000000" w:themeColor="text1"/>
                <w:kern w:val="0"/>
                <w:sz w:val="21"/>
                <w:szCs w:val="21"/>
                <w:highlight w:val="none"/>
                <w14:textFill>
                  <w14:solidFill>
                    <w14:schemeClr w14:val="tx1"/>
                  </w14:solidFill>
                </w14:textFill>
              </w:rPr>
              <w:t>群系</w:t>
            </w:r>
          </w:p>
        </w:tc>
        <w:tc>
          <w:tcPr>
            <w:tcW w:w="1852" w:type="pct"/>
            <w:vAlign w:val="center"/>
          </w:tcPr>
          <w:p>
            <w:pPr>
              <w:snapToGrid/>
              <w:spacing w:line="240" w:lineRule="auto"/>
              <w:ind w:firstLine="0" w:firstLineChars="0"/>
              <w:jc w:val="center"/>
              <w:textAlignment w:val="baseline"/>
              <w:rPr>
                <w:rFonts w:cs="Times New Roman"/>
                <w:bCs/>
                <w:color w:val="000000" w:themeColor="text1"/>
                <w:spacing w:val="15"/>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芒、</w:t>
            </w:r>
            <w:r>
              <w:rPr>
                <w:rFonts w:cs="Times New Roman"/>
                <w:bCs/>
                <w:color w:val="000000" w:themeColor="text1"/>
                <w:spacing w:val="-4"/>
                <w:sz w:val="21"/>
                <w:szCs w:val="21"/>
                <w:highlight w:val="none"/>
                <w14:textFill>
                  <w14:solidFill>
                    <w14:schemeClr w14:val="tx1"/>
                  </w14:solidFill>
                </w14:textFill>
              </w:rPr>
              <w:t>白茅、五节芒</w:t>
            </w:r>
          </w:p>
        </w:tc>
        <w:tc>
          <w:tcPr>
            <w:tcW w:w="1142" w:type="pct"/>
            <w:vAlign w:val="center"/>
          </w:tcPr>
          <w:p>
            <w:pPr>
              <w:snapToGrid/>
              <w:spacing w:line="240" w:lineRule="auto"/>
              <w:ind w:firstLine="0" w:firstLineChars="0"/>
              <w:jc w:val="center"/>
              <w:textAlignment w:val="baseline"/>
              <w:rPr>
                <w:rFonts w:cs="Times New Roman"/>
                <w:bCs/>
                <w:color w:val="000000" w:themeColor="text1"/>
                <w:kern w:val="0"/>
                <w:sz w:val="21"/>
                <w:szCs w:val="21"/>
                <w:highlight w:val="none"/>
                <w14:textFill>
                  <w14:solidFill>
                    <w14:schemeClr w14:val="tx1"/>
                  </w14:solidFill>
                </w14:textFill>
              </w:rPr>
            </w:pPr>
            <w:r>
              <w:rPr>
                <w:rFonts w:cs="Times New Roman"/>
                <w:bCs/>
                <w:color w:val="000000" w:themeColor="text1"/>
                <w:kern w:val="0"/>
                <w:sz w:val="21"/>
                <w:szCs w:val="21"/>
                <w:highlight w:val="none"/>
                <w14:textFill>
                  <w14:solidFill>
                    <w14:schemeClr w14:val="tx1"/>
                  </w14:solidFill>
                </w14:textFill>
              </w:rPr>
              <w:t>0.356</w:t>
            </w:r>
          </w:p>
        </w:tc>
      </w:tr>
    </w:tbl>
    <w:p>
      <w:pPr>
        <w:spacing w:before="120" w:beforeLines="5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由上表可见，项目处于亚热带常绿阔叶林区域，水热条件较好，植被总体覆盖度较高，评价区主要群落物种丰富度指数介于0.356-0.771之间，表明评价区物种多样性水平较高，总体结构较复杂。</w:t>
      </w:r>
    </w:p>
    <w:p>
      <w:pPr>
        <w:pStyle w:val="4"/>
        <w:spacing w:before="12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陆生野生动物现状调查</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1、项目评价范围内陆生野生脊椎动物现状和特点</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动物调查采用样线调查法，设置调查样线7条，样线长为200-1000m，单侧观察宽度为50m，样线分别设置在乔木林、灌草丛、耕地居民点等地，涵盖了不同的生境条件，尽量在评价区内均匀分布。由于项目评价范围现有土地开发利用程度较高，人类活动对当地野生动物影响较大，野生动物组成比较简单，种类较少，多为鸟类和小型啮齿类动物，鸟类繁殖期多在食物资源丰富的春夏季，啮齿类动物多无固定繁殖期，蛇类越冬期主要在11-次年4月，本次评价以项目所在区域宣汉县陆生野生动物分布情况为准。</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18</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野生动物野外调查样线分布表</w:t>
      </w:r>
    </w:p>
    <w:tbl>
      <w:tblPr>
        <w:tblStyle w:val="58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19"/>
        <w:gridCol w:w="2684"/>
        <w:gridCol w:w="3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tblHeader/>
          <w:jc w:val="center"/>
        </w:trPr>
        <w:tc>
          <w:tcPr>
            <w:tcW w:w="1033" w:type="pct"/>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样带编号</w:t>
            </w:r>
          </w:p>
        </w:tc>
        <w:tc>
          <w:tcPr>
            <w:tcW w:w="1613" w:type="pct"/>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生态环境</w:t>
            </w:r>
          </w:p>
        </w:tc>
        <w:tc>
          <w:tcPr>
            <w:tcW w:w="2354" w:type="pct"/>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主要野生动物类型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jc w:val="center"/>
        </w:trPr>
        <w:tc>
          <w:tcPr>
            <w:tcW w:w="1033" w:type="pct"/>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01-03</w:t>
            </w:r>
          </w:p>
        </w:tc>
        <w:tc>
          <w:tcPr>
            <w:tcW w:w="2684"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乔木林</w:t>
            </w:r>
          </w:p>
        </w:tc>
        <w:tc>
          <w:tcPr>
            <w:tcW w:w="3917"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鸟类、爬行类、兽类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1033" w:type="pct"/>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04-06</w:t>
            </w:r>
          </w:p>
        </w:tc>
        <w:tc>
          <w:tcPr>
            <w:tcW w:w="2684"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灌草丛、耕地、居民点</w:t>
            </w:r>
          </w:p>
        </w:tc>
        <w:tc>
          <w:tcPr>
            <w:tcW w:w="3917" w:type="dxa"/>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鸟类、两栖类、爬行类、兽类</w:t>
            </w:r>
          </w:p>
        </w:tc>
      </w:tr>
    </w:tbl>
    <w:p>
      <w:pPr>
        <w:spacing w:line="480" w:lineRule="exact"/>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2、物种组成</w:t>
      </w:r>
    </w:p>
    <w:p>
      <w:pPr>
        <w:spacing w:line="500" w:lineRule="exact"/>
        <w:ind w:left="60" w:right="100" w:firstLine="468" w:firstLineChars="195"/>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根据现场调查、访问，参考保护区科考报告资料，评价区及周边不完全统计有野生脊椎动物18目33科58种，其中两栖类1目3科5种，爬行类1目2科6种，哺乳类6目9科15种，鸟类10目19科32种。</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表 </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19</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评价区野生脊椎动物物种组成</w:t>
      </w:r>
    </w:p>
    <w:tbl>
      <w:tblPr>
        <w:tblStyle w:val="585"/>
        <w:tblW w:w="8286"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13"/>
        <w:gridCol w:w="1138"/>
        <w:gridCol w:w="1138"/>
        <w:gridCol w:w="1298"/>
        <w:gridCol w:w="1353"/>
        <w:gridCol w:w="1228"/>
        <w:gridCol w:w="81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0" w:hRule="atLeast"/>
          <w:jc w:val="center"/>
        </w:trPr>
        <w:tc>
          <w:tcPr>
            <w:tcW w:w="131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类别</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目数</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科数</w:t>
            </w:r>
          </w:p>
        </w:tc>
        <w:tc>
          <w:tcPr>
            <w:tcW w:w="129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物种数</w:t>
            </w:r>
          </w:p>
        </w:tc>
        <w:tc>
          <w:tcPr>
            <w:tcW w:w="135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国家Ⅰ级</w:t>
            </w:r>
          </w:p>
        </w:tc>
        <w:tc>
          <w:tcPr>
            <w:tcW w:w="122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国家Ⅱ级</w:t>
            </w:r>
          </w:p>
        </w:tc>
        <w:tc>
          <w:tcPr>
            <w:tcW w:w="81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省级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131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两栖类</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w:t>
            </w:r>
          </w:p>
        </w:tc>
        <w:tc>
          <w:tcPr>
            <w:tcW w:w="129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5</w:t>
            </w:r>
          </w:p>
        </w:tc>
        <w:tc>
          <w:tcPr>
            <w:tcW w:w="135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131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爬行类</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w:t>
            </w:r>
          </w:p>
        </w:tc>
        <w:tc>
          <w:tcPr>
            <w:tcW w:w="129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6</w:t>
            </w:r>
          </w:p>
        </w:tc>
        <w:tc>
          <w:tcPr>
            <w:tcW w:w="135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6" w:hRule="atLeast"/>
          <w:jc w:val="center"/>
        </w:trPr>
        <w:tc>
          <w:tcPr>
            <w:tcW w:w="131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鸟类</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10</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19</w:t>
            </w:r>
          </w:p>
        </w:tc>
        <w:tc>
          <w:tcPr>
            <w:tcW w:w="129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32</w:t>
            </w:r>
          </w:p>
        </w:tc>
        <w:tc>
          <w:tcPr>
            <w:tcW w:w="135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7" w:hRule="atLeast"/>
          <w:jc w:val="center"/>
        </w:trPr>
        <w:tc>
          <w:tcPr>
            <w:tcW w:w="131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兽类</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6</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9</w:t>
            </w:r>
          </w:p>
        </w:tc>
        <w:tc>
          <w:tcPr>
            <w:tcW w:w="129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15</w:t>
            </w:r>
          </w:p>
        </w:tc>
        <w:tc>
          <w:tcPr>
            <w:tcW w:w="135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r>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433" w:hRule="atLeast"/>
          <w:jc w:val="center"/>
        </w:trPr>
        <w:tc>
          <w:tcPr>
            <w:tcW w:w="131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合计</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18</w:t>
            </w:r>
          </w:p>
        </w:tc>
        <w:tc>
          <w:tcPr>
            <w:tcW w:w="113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33</w:t>
            </w:r>
          </w:p>
        </w:tc>
        <w:tc>
          <w:tcPr>
            <w:tcW w:w="129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58</w:t>
            </w:r>
          </w:p>
        </w:tc>
        <w:tc>
          <w:tcPr>
            <w:tcW w:w="1353"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122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c>
          <w:tcPr>
            <w:tcW w:w="818" w:type="dxa"/>
            <w:tcBorders>
              <w:top w:val="single" w:color="auto" w:sz="4" w:space="0"/>
              <w:left w:val="single" w:color="auto" w:sz="4" w:space="0"/>
              <w:bottom w:val="single" w:color="auto" w:sz="4" w:space="0"/>
              <w:right w:val="single" w:color="auto" w:sz="4" w:space="0"/>
            </w:tcBorders>
            <w:vAlign w:val="center"/>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w:t>
            </w:r>
          </w:p>
        </w:tc>
      </w:tr>
    </w:tbl>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A</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兽类的组成及分布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根据野外调查和文献资料核实，评价区共有兽类6目9科12属15种，即食虫目1科1种、翼手目1科1种、</w:t>
      </w:r>
      <w:r>
        <w:rPr>
          <w:rFonts w:cs="Times New Roman"/>
          <w:bCs/>
          <w:color w:val="000000" w:themeColor="text1"/>
          <w:kern w:val="0"/>
          <w:sz w:val="21"/>
          <w:szCs w:val="21"/>
          <w:highlight w:val="none"/>
          <w:lang w:bidi="ar"/>
          <w14:textFill>
            <w14:solidFill>
              <w14:schemeClr w14:val="tx1"/>
            </w14:solidFill>
          </w14:textFill>
        </w:rPr>
        <w:t>偶蹄目</w:t>
      </w:r>
      <w:r>
        <w:rPr>
          <w:rFonts w:cs="Times New Roman"/>
          <w:bCs/>
          <w:color w:val="000000" w:themeColor="text1"/>
          <w:szCs w:val="24"/>
          <w:highlight w:val="none"/>
          <w14:textFill>
            <w14:solidFill>
              <w14:schemeClr w14:val="tx1"/>
            </w14:solidFill>
          </w14:textFill>
        </w:rPr>
        <w:t>2科2种，食肉目1科1种、啮齿目3科9种、兔形目1科1属1种。从目一级水平看，啮齿目优势明显。由于人类活动影响，评价区的兽类主要以常见的小型兽类为主，基本难以寻觅大、中型兽类的痕迹，本次调查未发现保护兽类动物的踪迹。</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（1）区系分析</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区内有分布的15种兽类中，东洋界种类有5种，占该区域实际调查到有分布的兽类总种数的33.33%；古北界种类有3种，占20.00%，广布种有7种，占46.67%。</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（2）生态分布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根据该区域的环境特征和兽类的生活特性，该区域兽类主要分为如下几种生态类型：</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溪流区兽类：指生活在评价区内溪流和沿岸的物种，主要包括：黄鼬、草兔、社鼠等。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林区兽类：主要是指生活在森林环境的物种，森林环境在该区域主要分布于坡地中上部。为该区最广的生境类型，主要分布的兽类有隐纹花松鼠、社鼠等。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灌草丛区兽类：该区域的生境类型主要包括灌丛、草丛和农耕地等，分布海拔相对较低，生活于其中的兽类主要包括：黄鼬、草兔、社鼠等，其中的优势种类为草兔、社鼠等。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（3）保护物种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评价区内未发现国家级和省级重点保护兽类，同时评价区的相关资料也未记载相关国家级和省级重点保护兽类。</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B</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鸟类的组成及分布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根据文献查阅及现场调研，评价范围内共有鸟类32种，隶10目19科。其中，从类群构成看，雀形目鸟类18种，占评价区鸟类总种数的56.25%。</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（1）区系分析</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评价区内鸟类中属古北界的有11种，占评价区内鸟类总数的34.38%；属东洋界的有9种，占评价区内鸟类总数的28.13%；属广布种的有12种，占评价区内鸟类总数的37.50%。调查评价区内鸟类以广布种占优势。</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（2）居留类型</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内有留鸟19种，占鸟类总数的59.38%；夏候鸟12种，约占37.50%；冬候鸟1种，各占3.13%。调查评价区内鸟类以留鸟为主。鸟类飞行能力强，活动范围广泛，在评价区周边有广泛相似的生境，上述鸟类在评价区未发现有筑巢，在评价区只是过境取实或短暂停留，评价区也不涉及迁徙候鸟栖息地及重要生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（3）生态分布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根据评价区植被分布的特点，将评价区鸟类分布的生境划分为以下几种类型：</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溪流区鸟类：该区域的生境类型主要包括水域、草丛、灌丛等基本类型，分布海拔相对较低，活动于其中的鸟类主要包括：鹳形目的种类。该区的优势种类是：白鹭、赤麻鸭等。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森林区鸟类：森林环境在该区域较广泛。生活于该区的鸟类较多，主要为雉科、鸦科、雀科等。优势种类有雉鸡、山斑鸠、大杜鹃、树麻雀、噪鹃等。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草灌丛、农区鸟类：该类生境在评价区内分布较狭窄。该区段生活的鸟类主要是鸡形目及雀形目的部分鸟类。其中的优势种类主要有家燕、毛脚燕、普通翠鸟等。</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（4）保护物种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据调查和访问，评价区未发现属于国家级保护和四川省级保护的鸟类。</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C</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爬行动物的组成及分布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根据野外调查和相关资料，确认评价范围内共分布有爬行动物6种，分属1目2科，分别为游蛇科5种，</w:t>
      </w:r>
      <w:r>
        <w:rPr>
          <w:rFonts w:cs="Times New Roman"/>
          <w:bCs/>
          <w:color w:val="000000" w:themeColor="text1"/>
          <w:spacing w:val="-2"/>
          <w:kern w:val="0"/>
          <w:szCs w:val="24"/>
          <w:highlight w:val="none"/>
          <w:lang w:bidi="ar"/>
          <w14:textFill>
            <w14:solidFill>
              <w14:schemeClr w14:val="tx1"/>
            </w14:solidFill>
          </w14:textFill>
        </w:rPr>
        <w:t>石龙子</w:t>
      </w:r>
      <w:r>
        <w:rPr>
          <w:rFonts w:cs="Times New Roman"/>
          <w:bCs/>
          <w:color w:val="000000" w:themeColor="text1"/>
          <w:kern w:val="0"/>
          <w:szCs w:val="24"/>
          <w:highlight w:val="none"/>
          <w:lang w:bidi="ar"/>
          <w14:textFill>
            <w14:solidFill>
              <w14:schemeClr w14:val="tx1"/>
            </w14:solidFill>
          </w14:textFill>
        </w:rPr>
        <w:t>科</w:t>
      </w:r>
      <w:r>
        <w:rPr>
          <w:rFonts w:cs="Times New Roman"/>
          <w:bCs/>
          <w:color w:val="000000" w:themeColor="text1"/>
          <w:szCs w:val="24"/>
          <w:highlight w:val="none"/>
          <w14:textFill>
            <w14:solidFill>
              <w14:schemeClr w14:val="tx1"/>
            </w14:solidFill>
          </w14:textFill>
        </w:rPr>
        <w:t>1种。评价范围内生境较广泛，主要有翠青蛇、赤链蛇、乌梢蛇、王锦蛇等种类。从物种的目级组成看，评价区的爬行类均为有鳞目蛇亚目的种类。从科级组成看，评价区爬行类以游蛇科种类占优势。</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（1）区系分布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评价范围分布的6种爬行动物东洋界物种有3种，古北种1种，广布种2种。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（2）生态分布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评价区的爬行动物大多栖息在灌草丛中。</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（3）保护物种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调查中未发现属于国家级保护和四川省级保护的爬行类物种。</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两栖动物的组成及分布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据不完全统计，评价范围内分布有两栖动物5种，隶属于1目3科，分别为蟾蜍科2种，蛙科2种，叉舌蛙科1种。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（1）区系分析</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评价区内的两栖类以东洋界为主，仅有1个古北种和1个广布种。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（2）生态分布</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中华蟾蜍、黑眶蟾蜍、黑斑侧褶蛙等生活在河沟两侧或其附近环境植被较为茂密、阴湿的灌草丛区域；花臭蛙主要生活在大小溪两岸潮湿的岩石上；泽陆蛙主要在水域地区。</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（3）保护物种</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调查中未发现属于国家级保护和省级保护的两栖类物种。</w:t>
      </w:r>
    </w:p>
    <w:p>
      <w:pPr>
        <w:pStyle w:val="4"/>
        <w:spacing w:before="0" w:beforeLines="0"/>
        <w:ind w:firstLine="480"/>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重要物种、迁徙物种、重要生境调查</w:t>
      </w:r>
    </w:p>
    <w:p>
      <w:pPr>
        <w:ind w:left="60"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1、项目评价范围内重点保护野生植物和古树名木</w:t>
      </w:r>
    </w:p>
    <w:p>
      <w:pPr>
        <w:ind w:left="60" w:right="100" w:firstLine="456"/>
        <w:rPr>
          <w:rFonts w:cs="Times New Roman"/>
          <w:bCs/>
          <w:color w:val="000000" w:themeColor="text1"/>
          <w:spacing w:val="-6"/>
          <w:szCs w:val="24"/>
          <w:highlight w:val="none"/>
          <w14:textFill>
            <w14:solidFill>
              <w14:schemeClr w14:val="tx1"/>
            </w14:solidFill>
          </w14:textFill>
        </w:rPr>
      </w:pPr>
      <w:r>
        <w:rPr>
          <w:rFonts w:cs="Times New Roman"/>
          <w:bCs/>
          <w:color w:val="000000" w:themeColor="text1"/>
          <w:spacing w:val="-6"/>
          <w:szCs w:val="24"/>
          <w:highlight w:val="none"/>
          <w14:textFill>
            <w14:solidFill>
              <w14:schemeClr w14:val="tx1"/>
            </w14:solidFill>
          </w14:textFill>
        </w:rPr>
        <w:t>根据现场调查及相关文献资料查阅，本次评价范围内的林地主要为人工林，区域植物种类主要为栎类、马尾松、竹类及其他常见灌草植物和经济林木等。</w:t>
      </w:r>
      <w:r>
        <w:rPr>
          <w:rFonts w:cs="Times New Roman"/>
          <w:bCs/>
          <w:color w:val="000000" w:themeColor="text1"/>
          <w:szCs w:val="24"/>
          <w:highlight w:val="none"/>
          <w14:textFill>
            <w14:solidFill>
              <w14:schemeClr w14:val="tx1"/>
            </w14:solidFill>
          </w14:textFill>
        </w:rPr>
        <w:t>按照现行的《中华人民共和国野生植物保护条例（1999）</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国家重点保护野生植物名录》</w:t>
      </w:r>
      <w:r>
        <w:rPr>
          <w:rFonts w:hint="eastAsia" w:cs="Times New Roman"/>
          <w:bCs/>
          <w:color w:val="000000" w:themeColor="text1"/>
          <w:spacing w:val="-6"/>
          <w:szCs w:val="24"/>
          <w:highlight w:val="none"/>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国家林业和草原局农业农村部公告2021</w:t>
      </w:r>
      <w:r>
        <w:rPr>
          <w:rFonts w:cs="Times New Roman"/>
          <w:bCs/>
          <w:color w:val="000000" w:themeColor="text1"/>
          <w:spacing w:val="-9"/>
          <w:szCs w:val="24"/>
          <w:highlight w:val="none"/>
          <w14:textFill>
            <w14:solidFill>
              <w14:schemeClr w14:val="tx1"/>
            </w14:solidFill>
          </w14:textFill>
        </w:rPr>
        <w:t>年</w:t>
      </w:r>
      <w:r>
        <w:rPr>
          <w:rFonts w:cs="Times New Roman"/>
          <w:bCs/>
          <w:color w:val="000000" w:themeColor="text1"/>
          <w:spacing w:val="-5"/>
          <w:szCs w:val="24"/>
          <w:highlight w:val="none"/>
          <w14:textFill>
            <w14:solidFill>
              <w14:schemeClr w14:val="tx1"/>
            </w14:solidFill>
          </w14:textFill>
        </w:rPr>
        <w:t>第15号</w:t>
      </w:r>
      <w:r>
        <w:rPr>
          <w:rFonts w:hint="eastAsia" w:cs="Times New Roman"/>
          <w:bCs/>
          <w:color w:val="000000" w:themeColor="text1"/>
          <w:spacing w:val="-5"/>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w:t>
      </w:r>
      <w:r>
        <w:rPr>
          <w:rFonts w:cs="Times New Roman"/>
          <w:bCs/>
          <w:color w:val="000000" w:themeColor="text1"/>
          <w:spacing w:val="-6"/>
          <w:szCs w:val="24"/>
          <w:highlight w:val="none"/>
          <w14:textFill>
            <w14:solidFill>
              <w14:schemeClr w14:val="tx1"/>
            </w14:solidFill>
          </w14:textFill>
        </w:rPr>
        <w:t>《四川省重点保护野生植物名录</w:t>
      </w:r>
      <w:r>
        <w:rPr>
          <w:rFonts w:hint="eastAsia" w:cs="Times New Roman"/>
          <w:bCs/>
          <w:color w:val="000000" w:themeColor="text1"/>
          <w:spacing w:val="-6"/>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全国古树名木普查建档技术规定（2001）》以及相关科考资料，评价区无重点保护野生植物和古树名木等重要物种分布。</w:t>
      </w:r>
      <w:r>
        <w:rPr>
          <w:rFonts w:cs="Times New Roman"/>
          <w:bCs/>
          <w:color w:val="000000" w:themeColor="text1"/>
          <w:spacing w:val="-6"/>
          <w:szCs w:val="24"/>
          <w:highlight w:val="none"/>
          <w14:textFill>
            <w14:solidFill>
              <w14:schemeClr w14:val="tx1"/>
            </w14:solidFill>
          </w14:textFill>
        </w:rPr>
        <w:t>后续应加强评价范围内保护植物的跟踪调查，对及时发现的重点保护植物采取就地保护措施，对发现的名木古树采取挂牌保护。</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2、项目评价范围内重点保护野生动物</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根据实际调查及现场复核，参照《国家重点保护野生动物名录2021</w:t>
      </w:r>
      <w:r>
        <w:rPr>
          <w:rFonts w:hint="eastAsia" w:cs="Times New Roman"/>
          <w:bCs/>
          <w:color w:val="000000" w:themeColor="text1"/>
          <w:szCs w:val="24"/>
          <w:highlight w:val="none"/>
          <w:lang w:eastAsia="zh-CN"/>
          <w14:textFill>
            <w14:solidFill>
              <w14:schemeClr w14:val="tx1"/>
            </w14:solidFill>
          </w14:textFill>
        </w:rPr>
        <w:t>》《</w:t>
      </w:r>
      <w:r>
        <w:rPr>
          <w:rFonts w:cs="Times New Roman"/>
          <w:bCs/>
          <w:color w:val="000000" w:themeColor="text1"/>
          <w:szCs w:val="24"/>
          <w:highlight w:val="none"/>
          <w14:textFill>
            <w14:solidFill>
              <w14:schemeClr w14:val="tx1"/>
            </w14:solidFill>
          </w14:textFill>
        </w:rPr>
        <w:t>四川省重点保护野生动物名录》（川府发〔2024〕14号）及相关科考资料，在项目评价范围，未发现属于国家级保护和四川省级保护的野生动物及栖息地，无珍稀濒危、特有种及极小种群等重要物种分布，无分布生境，也无重要野生动物的迁徙通道。</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3、项目评价范围内重要生境</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项目评价范围无重要生境分布。</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4、公益林分布情况</w:t>
      </w:r>
    </w:p>
    <w:p>
      <w:pPr>
        <w:ind w:right="100"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项目评价范围与宣汉县林地一张图叠加分析，项目井场占地范围不涉及公益林，评价范围涉及公益林，最近公益林位于井场东南侧50m。评价范围内公益林面积1.8881公顷，占评价范围面积的6.12%，保护等级全部为国家二级公益林，树种为麻栎，郁闭度为0.4-0.7，龄组约20-30年，平均胸径约15cm，平均树高约13m，林种全部为水土保持林，其生态系统服务功能主要是水源涵养、土壤保持、生物多样性保护功能等，与周边植被从现状看无明显差异。</w:t>
      </w:r>
    </w:p>
    <w:p>
      <w:pPr>
        <w:numPr>
          <w:ilvl w:val="0"/>
          <w:numId w:val="13"/>
        </w:num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天然林分布情况</w:t>
      </w:r>
    </w:p>
    <w:p>
      <w:pPr>
        <w:pStyle w:val="30"/>
        <w:spacing w:line="360" w:lineRule="auto"/>
        <w:rPr>
          <w:color w:val="000000" w:themeColor="text1"/>
          <w:highlight w:val="none"/>
          <w14:textFill>
            <w14:solidFill>
              <w14:schemeClr w14:val="tx1"/>
            </w14:solidFill>
          </w14:textFill>
        </w:rPr>
      </w:pPr>
      <w:r>
        <w:rPr>
          <w:rFonts w:ascii="Times New Roman" w:eastAsia="宋体"/>
          <w:b w:val="0"/>
          <w:color w:val="000000" w:themeColor="text1"/>
          <w:highlight w:val="none"/>
          <w14:textFill>
            <w14:solidFill>
              <w14:schemeClr w14:val="tx1"/>
            </w14:solidFill>
          </w14:textFill>
        </w:rPr>
        <w:t>根据项目评价范围与宣汉县林地一张图叠加分析，项目井场占地范围不涉及天然林，项目评价范围内涉及天然林，最近天然林位于井场东南侧50m。评价范围内天然林面积7.8657公顷，占评价范围面积的25.49%，与上述国家级公益林有部分重复，重复面积1.4266公顷，其属性因子与上述国家级公益林一致；剩余部分面积6.4391公顷，树种为青冈，郁闭度为0.3-0.6，龄组约15-20年，平均胸径约13cm，平均树高约11m，林种为用材林，其生态系统服务功能主要也是水源涵养、土壤保持、生物多样性保护功能等，与周边植被从现状看无明显差异</w:t>
      </w:r>
      <w:r>
        <w:rPr>
          <w:rFonts w:hint="eastAsia" w:ascii="Times New Roman" w:eastAsia="宋体"/>
          <w:b w:val="0"/>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、生态红线分布情况</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通过项目红线与达州市“三线一单”成果图叠加分析，项目占地不涉及达州市生态保护红线。</w:t>
      </w:r>
    </w:p>
    <w:p>
      <w:pPr>
        <w:pStyle w:val="441"/>
        <w:spacing w:line="360" w:lineRule="auto"/>
        <w:ind w:firstLine="480"/>
        <w:rPr>
          <w:rFonts w:hAnsi="Times New Roman" w:cstheme="minorBidi"/>
          <w:color w:val="000000" w:themeColor="text1"/>
          <w:szCs w:val="22"/>
          <w:highlight w:val="none"/>
          <w14:textFill>
            <w14:solidFill>
              <w14:schemeClr w14:val="tx1"/>
            </w14:solidFill>
          </w14:textFill>
        </w:rPr>
      </w:pPr>
      <w:r>
        <w:rPr>
          <w:rFonts w:hint="eastAsia"/>
          <w:color w:val="000000" w:themeColor="text1"/>
          <w:highlight w:val="none"/>
          <w14:textFill>
            <w14:solidFill>
              <w14:schemeClr w14:val="tx1"/>
            </w14:solidFill>
          </w14:textFill>
        </w:rPr>
        <w:t>7、</w:t>
      </w:r>
      <w:r>
        <w:rPr>
          <w:rFonts w:hAnsi="Times New Roman" w:cstheme="minorBidi"/>
          <w:color w:val="000000" w:themeColor="text1"/>
          <w:szCs w:val="22"/>
          <w:highlight w:val="none"/>
          <w14:textFill>
            <w14:solidFill>
              <w14:schemeClr w14:val="tx1"/>
            </w14:solidFill>
          </w14:textFill>
        </w:rPr>
        <w:t>评价范围内重点保护、珍稀濒危、特有种及极小种群等重要物种种类、分布情况</w:t>
      </w:r>
    </w:p>
    <w:p>
      <w:pPr>
        <w:ind w:firstLine="480"/>
        <w:rPr>
          <w:rFonts w:cs="Times New Roman"/>
          <w:bCs/>
          <w:color w:val="000000" w:themeColor="text1"/>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经现场调查、访问及查阅相关资料，项目评价范围现有土地开发利用程度较高，人类活动对当地野生动物影响较大，野生动物组成比较简单，种类较少，多为鸟类和小型啮齿类动物。在项目评价范围，未发现属于国家级保护和四川省级保护的野生动物及栖息地，无珍稀濒危、特有种及极小种群等重要物种分布，无重要生境分布，也无重要野生动物的迁徙通道</w:t>
      </w:r>
      <w:r>
        <w:rPr>
          <w:rFonts w:cs="Times New Roman"/>
          <w:bCs/>
          <w:color w:val="000000" w:themeColor="text1"/>
          <w:szCs w:val="24"/>
          <w:highlight w:val="none"/>
          <w14:textFill>
            <w14:solidFill>
              <w14:schemeClr w14:val="tx1"/>
            </w14:solidFill>
          </w14:textFill>
        </w:rPr>
        <w:t>。</w:t>
      </w:r>
    </w:p>
    <w:p>
      <w:pPr>
        <w:ind w:firstLine="480"/>
        <w:rPr>
          <w:b/>
          <w:color w:val="000000" w:themeColor="text1"/>
          <w:highlight w:val="none"/>
          <w14:textFill>
            <w14:solidFill>
              <w14:schemeClr w14:val="tx1"/>
            </w14:solidFill>
          </w14:textFill>
        </w:rPr>
      </w:pPr>
      <w:bookmarkStart w:id="260" w:name="_Toc4142"/>
      <w:r>
        <w:rPr>
          <w:color w:val="000000" w:themeColor="text1"/>
          <w:highlight w:val="none"/>
          <w14:textFill>
            <w14:solidFill>
              <w14:schemeClr w14:val="tx1"/>
            </w14:solidFill>
          </w14:textFill>
        </w:rPr>
        <w:br w:type="page"/>
      </w:r>
    </w:p>
    <w:p>
      <w:pPr>
        <w:pStyle w:val="2"/>
        <w:rPr>
          <w:b/>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环境影响预测与评价</w:t>
      </w:r>
      <w:bookmarkEnd w:id="260"/>
    </w:p>
    <w:p>
      <w:pPr>
        <w:pStyle w:val="3"/>
        <w:spacing w:before="120"/>
        <w:rPr>
          <w:color w:val="000000" w:themeColor="text1"/>
          <w:highlight w:val="none"/>
          <w:lang w:eastAsia="zh-CN"/>
          <w14:textFill>
            <w14:solidFill>
              <w14:schemeClr w14:val="tx1"/>
            </w14:solidFill>
          </w14:textFill>
        </w:rPr>
      </w:pPr>
      <w:bookmarkStart w:id="261" w:name="_bookmark28"/>
      <w:bookmarkEnd w:id="261"/>
      <w:bookmarkStart w:id="262" w:name="5.1施工期环境影响分析"/>
      <w:bookmarkEnd w:id="262"/>
      <w:bookmarkStart w:id="263" w:name="_Toc16022"/>
      <w:r>
        <w:rPr>
          <w:color w:val="000000" w:themeColor="text1"/>
          <w:highlight w:val="none"/>
          <w:lang w:eastAsia="zh-CN"/>
          <w14:textFill>
            <w14:solidFill>
              <w14:schemeClr w14:val="tx1"/>
            </w14:solidFill>
          </w14:textFill>
        </w:rPr>
        <w:t>施工期环境影响分析</w:t>
      </w:r>
      <w:bookmarkEnd w:id="263"/>
    </w:p>
    <w:p>
      <w:pPr>
        <w:pStyle w:val="4"/>
        <w:spacing w:before="0" w:beforeLines="0"/>
        <w:ind w:firstLine="480"/>
        <w:rPr>
          <w:color w:val="000000" w:themeColor="text1"/>
          <w:highlight w:val="none"/>
          <w:lang w:eastAsia="zh-CN"/>
          <w14:textFill>
            <w14:solidFill>
              <w14:schemeClr w14:val="tx1"/>
            </w14:solidFill>
          </w14:textFill>
        </w:rPr>
      </w:pPr>
      <w:bookmarkStart w:id="264" w:name="_Toc120173150"/>
      <w:r>
        <w:rPr>
          <w:color w:val="000000" w:themeColor="text1"/>
          <w:highlight w:val="none"/>
          <w:lang w:eastAsia="zh-CN"/>
          <w14:textFill>
            <w14:solidFill>
              <w14:schemeClr w14:val="tx1"/>
            </w14:solidFill>
          </w14:textFill>
        </w:rPr>
        <w:t>施工期生态环境影响分析</w:t>
      </w:r>
      <w:bookmarkEnd w:id="264"/>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对土地利用类型的影响</w:t>
      </w:r>
    </w:p>
    <w:p>
      <w:pPr>
        <w:ind w:firstLine="480"/>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（1）对区域土地利用的影响分析</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施工期占地内容为井场及边坡、主放喷池及管线、副放喷池及边坡、副放喷管线及施工便道、表土堆放区、弃土区、生活营区，具体占地情况见下表</w:t>
      </w:r>
      <w:r>
        <w:rPr>
          <w:rFonts w:hint="eastAsia"/>
          <w:bCs/>
          <w:color w:val="000000" w:themeColor="text1"/>
          <w:highlight w:val="none"/>
          <w14:textFill>
            <w14:solidFill>
              <w14:schemeClr w14:val="tx1"/>
            </w14:solidFill>
          </w14:textFill>
        </w:rPr>
        <w:t>，</w:t>
      </w:r>
      <w:r>
        <w:rPr>
          <w:bCs/>
          <w:color w:val="000000" w:themeColor="text1"/>
          <w:highlight w:val="none"/>
          <w14:textFill>
            <w14:solidFill>
              <w14:schemeClr w14:val="tx1"/>
            </w14:solidFill>
          </w14:textFill>
        </w:rPr>
        <w:t>上述占地均为临时占地</w:t>
      </w:r>
      <w:r>
        <w:rPr>
          <w:rFonts w:hint="eastAsia"/>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具体占地情况见下表</w:t>
      </w:r>
      <w:r>
        <w:rPr>
          <w:color w:val="000000" w:themeColor="text1"/>
          <w:highlight w:val="none"/>
          <w14:textFill>
            <w14:solidFill>
              <w14:schemeClr w14:val="tx1"/>
            </w14:solidFill>
          </w14:textFill>
        </w:rPr>
        <w:t>。</w:t>
      </w:r>
    </w:p>
    <w:p>
      <w:pPr>
        <w:widowControl/>
        <w:tabs>
          <w:tab w:val="left" w:pos="863"/>
        </w:tabs>
        <w:spacing w:before="120" w:beforeLines="50" w:line="240" w:lineRule="auto"/>
        <w:ind w:firstLine="0" w:firstLineChars="0"/>
        <w:jc w:val="center"/>
        <w:rPr>
          <w:rFonts w:eastAsia="黑体" w:cs="Times New Roman"/>
          <w:color w:val="000000" w:themeColor="text1"/>
          <w:sz w:val="21"/>
          <w:szCs w:val="21"/>
          <w:highlight w:val="none"/>
          <w:vertAlign w:val="superscript"/>
          <w14:textFill>
            <w14:solidFill>
              <w14:schemeClr w14:val="tx1"/>
            </w14:solidFill>
          </w14:textFill>
        </w:rPr>
      </w:pPr>
      <w:r>
        <w:rPr>
          <w:rFonts w:eastAsia="黑体" w:cs="Times New Roman"/>
          <w:color w:val="000000" w:themeColor="text1"/>
          <w:sz w:val="21"/>
          <w:szCs w:val="21"/>
          <w:highlight w:val="none"/>
          <w14:textFill>
            <w14:solidFill>
              <w14:schemeClr w14:val="tx1"/>
            </w14:solidFill>
          </w14:textFill>
        </w:rPr>
        <w:t>表5.1-1 工程占地类型一览表   单位：m</w:t>
      </w:r>
      <w:r>
        <w:rPr>
          <w:rFonts w:eastAsia="黑体" w:cs="Times New Roman"/>
          <w:color w:val="000000" w:themeColor="text1"/>
          <w:sz w:val="21"/>
          <w:szCs w:val="21"/>
          <w:highlight w:val="none"/>
          <w:vertAlign w:val="superscript"/>
          <w14:textFill>
            <w14:solidFill>
              <w14:schemeClr w14:val="tx1"/>
            </w14:solidFill>
          </w14:textFill>
        </w:rPr>
        <w:t>2</w:t>
      </w:r>
    </w:p>
    <w:tbl>
      <w:tblPr>
        <w:tblStyle w:val="5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2"/>
        <w:gridCol w:w="1920"/>
        <w:gridCol w:w="1630"/>
        <w:gridCol w:w="1744"/>
        <w:gridCol w:w="1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051" w:type="pct"/>
            <w:vMerge w:val="restart"/>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占地类型</w:t>
            </w:r>
          </w:p>
        </w:tc>
        <w:tc>
          <w:tcPr>
            <w:tcW w:w="3105" w:type="pct"/>
            <w:gridSpan w:val="3"/>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占地类型</w:t>
            </w:r>
          </w:p>
        </w:tc>
        <w:tc>
          <w:tcPr>
            <w:tcW w:w="842" w:type="pct"/>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051" w:type="pct"/>
            <w:vMerge w:val="continue"/>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p>
        </w:tc>
        <w:tc>
          <w:tcPr>
            <w:tcW w:w="1126" w:type="pct"/>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乔木林地</w:t>
            </w:r>
          </w:p>
        </w:tc>
        <w:tc>
          <w:tcPr>
            <w:tcW w:w="956" w:type="pct"/>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灌丛</w:t>
            </w:r>
          </w:p>
        </w:tc>
        <w:tc>
          <w:tcPr>
            <w:tcW w:w="1021" w:type="pct"/>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非林地</w:t>
            </w:r>
          </w:p>
        </w:tc>
        <w:tc>
          <w:tcPr>
            <w:tcW w:w="842" w:type="pct"/>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051" w:type="pct"/>
            <w:vAlign w:val="bottom"/>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临时占地</w:t>
            </w:r>
          </w:p>
        </w:tc>
        <w:tc>
          <w:tcPr>
            <w:tcW w:w="1126" w:type="pct"/>
            <w:shd w:val="clear" w:color="auto" w:fill="auto"/>
            <w:vAlign w:val="bottom"/>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0.8254</w:t>
            </w:r>
          </w:p>
        </w:tc>
        <w:tc>
          <w:tcPr>
            <w:tcW w:w="956" w:type="pct"/>
            <w:shd w:val="clear" w:color="auto" w:fill="auto"/>
            <w:vAlign w:val="bottom"/>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0.5312</w:t>
            </w:r>
          </w:p>
        </w:tc>
        <w:tc>
          <w:tcPr>
            <w:tcW w:w="1021" w:type="pct"/>
            <w:shd w:val="clear" w:color="auto" w:fill="auto"/>
            <w:vAlign w:val="bottom"/>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0.2328</w:t>
            </w:r>
          </w:p>
        </w:tc>
        <w:tc>
          <w:tcPr>
            <w:tcW w:w="842" w:type="pct"/>
            <w:shd w:val="clear" w:color="auto" w:fill="auto"/>
            <w:vAlign w:val="bottom"/>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hint="eastAsia" w:cs="Times New Roman"/>
                <w:bCs/>
                <w:color w:val="000000" w:themeColor="text1"/>
                <w:kern w:val="0"/>
                <w:sz w:val="21"/>
                <w:szCs w:val="21"/>
                <w:highlight w:val="none"/>
                <w:lang w:bidi="ar"/>
                <w14:textFill>
                  <w14:solidFill>
                    <w14:schemeClr w14:val="tx1"/>
                  </w14:solidFill>
                </w14:textFill>
              </w:rPr>
              <w:t>1.7314</w:t>
            </w:r>
          </w:p>
        </w:tc>
      </w:tr>
    </w:tbl>
    <w:p>
      <w:pPr>
        <w:adjustRightInd/>
        <w:snapToGrid/>
        <w:spacing w:before="240" w:beforeLines="100"/>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由于施工占地将会改变占地区土地利用方式，减少地表植被。</w:t>
      </w:r>
      <w:r>
        <w:rPr>
          <w:rFonts w:hint="eastAsia" w:cs="Times New Roman"/>
          <w:bCs/>
          <w:color w:val="000000" w:themeColor="text1"/>
          <w:szCs w:val="24"/>
          <w:highlight w:val="none"/>
          <w:lang w:val="en-US" w:eastAsia="zh-CN"/>
          <w14:textFill>
            <w14:solidFill>
              <w14:schemeClr w14:val="tx1"/>
            </w14:solidFill>
          </w14:textFill>
        </w:rPr>
        <w:t>根据上表，本项目</w:t>
      </w:r>
      <w:r>
        <w:rPr>
          <w:rFonts w:cs="Times New Roman"/>
          <w:bCs/>
          <w:color w:val="000000" w:themeColor="text1"/>
          <w:szCs w:val="24"/>
          <w:highlight w:val="none"/>
          <w14:textFill>
            <w14:solidFill>
              <w14:schemeClr w14:val="tx1"/>
            </w14:solidFill>
          </w14:textFill>
        </w:rPr>
        <w:t>占用地类主要以乔木林地为主，面积0.8254hm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。这些新增占地将使占用的地表植被被剥离，在一定时间内改变土地利用的类型，但施工时间较短，施工结束后临时占地区将采取土地整平、植被恢复等措施，不会长期改变土地</w:t>
      </w:r>
      <w:r>
        <w:rPr>
          <w:rFonts w:hint="eastAsia" w:cs="Times New Roman"/>
          <w:bCs/>
          <w:color w:val="000000" w:themeColor="text1"/>
          <w:szCs w:val="24"/>
          <w:highlight w:val="none"/>
          <w:lang w:val="en-US" w:eastAsia="zh-CN"/>
          <w14:textFill>
            <w14:solidFill>
              <w14:schemeClr w14:val="tx1"/>
            </w14:solidFill>
          </w14:textFill>
        </w:rPr>
        <w:t>利用类型</w:t>
      </w:r>
      <w:r>
        <w:rPr>
          <w:rFonts w:cs="Times New Roman"/>
          <w:bCs/>
          <w:color w:val="000000" w:themeColor="text1"/>
          <w:szCs w:val="24"/>
          <w:highlight w:val="none"/>
          <w14:textFill>
            <w14:solidFill>
              <w14:schemeClr w14:val="tx1"/>
            </w14:solidFill>
          </w14:textFill>
        </w:rPr>
        <w:t>，综合来看，整体上不会改变评价区内现有的土地利用类型的基本格局。</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由于本项目在建设期间会剥离表土、产生一</w:t>
      </w:r>
      <w:r>
        <w:rPr>
          <w:rFonts w:cs="Times New Roman"/>
          <w:bCs/>
          <w:color w:val="000000" w:themeColor="text1"/>
          <w:highlight w:val="none"/>
          <w14:textFill>
            <w14:solidFill>
              <w14:schemeClr w14:val="tx1"/>
            </w14:solidFill>
          </w14:textFill>
        </w:rPr>
        <w:t>定的裸露地面，出现地表植被破坏，施工区较易产生水土流失等特点，在项目建设中应当尽可能减少对土地的占用，严格在征地红线范围内施工，最大限度节约土地资源</w:t>
      </w:r>
      <w:r>
        <w:rPr>
          <w:rFonts w:hint="eastAsia" w:cs="Times New Roman"/>
          <w:bCs/>
          <w:color w:val="000000" w:themeColor="text1"/>
          <w:highlight w:val="none"/>
          <w14:textFill>
            <w14:solidFill>
              <w14:schemeClr w14:val="tx1"/>
            </w14:solidFill>
          </w14:textFill>
        </w:rPr>
        <w:t>。</w:t>
      </w:r>
    </w:p>
    <w:p>
      <w:pPr>
        <w:adjustRightInd/>
        <w:snapToGrid/>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（2）对永久基本农田的影响分析</w:t>
      </w:r>
    </w:p>
    <w:p>
      <w:pPr>
        <w:adjustRightInd/>
        <w:snapToGrid/>
        <w:ind w:firstLine="480"/>
        <w:rPr>
          <w:rFonts w:cs="Times New Roman"/>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项目不新增占用基本农田，但利旧的主放喷池、清水池临时占用永久基本农田，利旧的主放喷池及清水池涉及占用基本农田的手续已在前期大湾408井台钻井及试采工程中统一办理（见附件8））</w:t>
      </w:r>
      <w:r>
        <w:rPr>
          <w:rFonts w:hint="eastAsia"/>
          <w:bCs/>
          <w:color w:val="000000" w:themeColor="text1"/>
          <w:highlight w:val="none"/>
          <w14:textFill>
            <w14:solidFill>
              <w14:schemeClr w14:val="tx1"/>
            </w14:solidFill>
          </w14:textFill>
        </w:rPr>
        <w:t>，本项目后续在施工结束后，将按照《石油天然气项目土地复垦与生态修复技术规范》（GB/T 4396-2024）要求制定土地复垦计划，对永久基本农田加以重点保护，</w:t>
      </w:r>
      <w:r>
        <w:rPr>
          <w:rFonts w:hint="eastAsia"/>
          <w:color w:val="000000" w:themeColor="text1"/>
          <w:highlight w:val="none"/>
          <w14:textFill>
            <w14:solidFill>
              <w14:schemeClr w14:val="tx1"/>
            </w14:solidFill>
          </w14:textFill>
        </w:rPr>
        <w:t>施工结束后及时进行耕地恢复</w:t>
      </w:r>
      <w:r>
        <w:rPr>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对植被及生物量的影响</w:t>
      </w:r>
    </w:p>
    <w:p>
      <w:pPr>
        <w:adjustRightInd/>
        <w:snapToGrid/>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（1）项目占地</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项目占地主要</w:t>
      </w:r>
      <w:r>
        <w:rPr>
          <w:rFonts w:hint="eastAsia" w:cs="Times New Roman"/>
          <w:bCs/>
          <w:color w:val="000000" w:themeColor="text1"/>
          <w:szCs w:val="24"/>
          <w:highlight w:val="none"/>
          <w14:textFill>
            <w14:solidFill>
              <w14:schemeClr w14:val="tx1"/>
            </w14:solidFill>
          </w14:textFill>
        </w:rPr>
        <w:t>包括</w:t>
      </w:r>
      <w:r>
        <w:rPr>
          <w:rFonts w:cs="Times New Roman"/>
          <w:bCs/>
          <w:color w:val="000000" w:themeColor="text1"/>
          <w:highlight w:val="none"/>
          <w14:textFill>
            <w14:solidFill>
              <w14:schemeClr w14:val="tx1"/>
            </w14:solidFill>
          </w14:textFill>
        </w:rPr>
        <w:t>井场及边坡、主放喷池及管线、副放喷池及边坡、副放喷管线及施工便道、表土堆放区、弃土区、生活营区</w:t>
      </w:r>
      <w:r>
        <w:rPr>
          <w:rFonts w:cs="Times New Roman"/>
          <w:bCs/>
          <w:color w:val="000000" w:themeColor="text1"/>
          <w:szCs w:val="24"/>
          <w:highlight w:val="none"/>
          <w14:textFill>
            <w14:solidFill>
              <w14:schemeClr w14:val="tx1"/>
            </w14:solidFill>
          </w14:textFill>
        </w:rPr>
        <w:t>，占地总面积</w:t>
      </w:r>
      <w:r>
        <w:rPr>
          <w:rFonts w:hint="eastAsia" w:cs="Times New Roman"/>
          <w:bCs/>
          <w:color w:val="000000" w:themeColor="text1"/>
          <w:szCs w:val="24"/>
          <w:highlight w:val="none"/>
          <w14:textFill>
            <w14:solidFill>
              <w14:schemeClr w14:val="tx1"/>
            </w14:solidFill>
          </w14:textFill>
        </w:rPr>
        <w:t>1.7314</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，占地范围内不涉及国家保护野生植物和四川省重点保护野生植物。</w:t>
      </w:r>
    </w:p>
    <w:p>
      <w:pPr>
        <w:adjustRightInd/>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项目占地施工损毁的植被类型属于评价范围内普遍分布的类型，主要有麻栎、青冈、栓皮栎、竹林等乔木林地及马桑、黄荆、火棘、荚蒾</w:t>
      </w:r>
      <w:r>
        <w:rPr>
          <w:rFonts w:cs="Times New Roman"/>
          <w:bCs/>
          <w:color w:val="000000" w:themeColor="text1"/>
          <w:highlight w:val="none"/>
          <w14:textFill>
            <w14:solidFill>
              <w14:schemeClr w14:val="tx1"/>
            </w14:solidFill>
          </w14:textFill>
        </w:rPr>
        <w:t>等灌草地，其物区系组成成分不会发生变化，损失的只是局部群落及部分</w:t>
      </w:r>
      <w:r>
        <w:rPr>
          <w:rFonts w:cs="Times New Roman"/>
          <w:bCs/>
          <w:color w:val="000000" w:themeColor="text1"/>
          <w:szCs w:val="24"/>
          <w:highlight w:val="none"/>
          <w14:textFill>
            <w14:solidFill>
              <w14:schemeClr w14:val="tx1"/>
            </w14:solidFill>
          </w14:textFill>
        </w:rPr>
        <w:t>生产力</w:t>
      </w:r>
      <w:r>
        <w:rPr>
          <w:rFonts w:cs="Times New Roman"/>
          <w:bCs/>
          <w:color w:val="000000" w:themeColor="text1"/>
          <w:highlight w:val="none"/>
          <w14:textFill>
            <w14:solidFill>
              <w14:schemeClr w14:val="tx1"/>
            </w14:solidFill>
          </w14:textFill>
        </w:rPr>
        <w:t>和生物量，项目占地损失总生产力7.26</w:t>
      </w:r>
      <w:r>
        <w:rPr>
          <w:rFonts w:hint="eastAsia" w:cs="Times New Roman"/>
          <w:bCs/>
          <w:color w:val="000000" w:themeColor="text1"/>
          <w:highlight w:val="none"/>
          <w:lang w:eastAsia="zh-CN"/>
          <w14:textFill>
            <w14:solidFill>
              <w14:schemeClr w14:val="tx1"/>
            </w14:solidFill>
          </w14:textFill>
        </w:rPr>
        <w:t>tC/a</w:t>
      </w:r>
      <w:r>
        <w:rPr>
          <w:rFonts w:cs="Times New Roman"/>
          <w:bCs/>
          <w:color w:val="000000" w:themeColor="text1"/>
          <w:highlight w:val="none"/>
          <w14:textFill>
            <w14:solidFill>
              <w14:schemeClr w14:val="tx1"/>
            </w14:solidFill>
          </w14:textFill>
        </w:rPr>
        <w:t>，损失总生物量为88.28t，占评价区总生产力和总生物量的比例为4.33%和4.08%，占比极低，主要因为项目占地面积小。</w:t>
      </w:r>
      <w:r>
        <w:rPr>
          <w:rFonts w:cs="Times New Roman"/>
          <w:bCs/>
          <w:color w:val="000000" w:themeColor="text1"/>
          <w:szCs w:val="24"/>
          <w:highlight w:val="none"/>
          <w14:textFill>
            <w14:solidFill>
              <w14:schemeClr w14:val="tx1"/>
            </w14:solidFill>
          </w14:textFill>
        </w:rPr>
        <w:t>损失植被类型及生物量见表</w:t>
      </w:r>
      <w:r>
        <w:rPr>
          <w:rFonts w:cs="Times New Roman"/>
          <w:bCs/>
          <w:color w:val="000000" w:themeColor="text1"/>
          <w:highlight w:val="none"/>
          <w14:textFill>
            <w14:solidFill>
              <w14:schemeClr w14:val="tx1"/>
            </w14:solidFill>
          </w14:textFill>
        </w:rPr>
        <w:t>。</w:t>
      </w:r>
    </w:p>
    <w:p>
      <w:pPr>
        <w:widowControl/>
        <w:tabs>
          <w:tab w:val="left" w:pos="863"/>
        </w:tabs>
        <w:spacing w:before="120" w:beforeLines="50" w:line="240" w:lineRule="auto"/>
        <w:ind w:firstLine="0" w:firstLineChars="0"/>
        <w:jc w:val="center"/>
        <w:rPr>
          <w:rFonts w:eastAsia="黑体" w:cs="Times New Roman"/>
          <w:color w:val="000000" w:themeColor="text1"/>
          <w:sz w:val="21"/>
          <w:szCs w:val="21"/>
          <w:highlight w:val="none"/>
          <w14:textFill>
            <w14:solidFill>
              <w14:schemeClr w14:val="tx1"/>
            </w14:solidFill>
          </w14:textFill>
        </w:rPr>
      </w:pPr>
      <w:r>
        <w:rPr>
          <w:rFonts w:hint="eastAsia" w:eastAsia="黑体" w:cs="Times New Roman"/>
          <w:color w:val="000000" w:themeColor="text1"/>
          <w:sz w:val="21"/>
          <w:szCs w:val="21"/>
          <w:highlight w:val="none"/>
          <w14:textFill>
            <w14:solidFill>
              <w14:schemeClr w14:val="tx1"/>
            </w14:solidFill>
          </w14:textFill>
        </w:rPr>
        <w:t>表</w:t>
      </w:r>
      <w:r>
        <w:rPr>
          <w:rFonts w:hint="eastAsia" w:eastAsia="黑体" w:cs="Times New Roman"/>
          <w:color w:val="000000" w:themeColor="text1"/>
          <w:sz w:val="21"/>
          <w:szCs w:val="21"/>
          <w:highlight w:val="none"/>
          <w14:textFill>
            <w14:solidFill>
              <w14:schemeClr w14:val="tx1"/>
            </w14:solidFill>
          </w14:textFill>
        </w:rPr>
        <w:fldChar w:fldCharType="begin"/>
      </w:r>
      <w:r>
        <w:rPr>
          <w:rFonts w:hint="eastAsia" w:eastAsia="黑体" w:cs="Times New Roman"/>
          <w:color w:val="000000" w:themeColor="text1"/>
          <w:sz w:val="21"/>
          <w:szCs w:val="21"/>
          <w:highlight w:val="none"/>
          <w14:textFill>
            <w14:solidFill>
              <w14:schemeClr w14:val="tx1"/>
            </w14:solidFill>
          </w14:textFill>
        </w:rPr>
        <w:instrText xml:space="preserve"> STYLEREF 2 \s </w:instrText>
      </w:r>
      <w:r>
        <w:rPr>
          <w:rFonts w:hint="eastAsia" w:eastAsia="黑体" w:cs="Times New Roman"/>
          <w:color w:val="000000" w:themeColor="text1"/>
          <w:sz w:val="21"/>
          <w:szCs w:val="21"/>
          <w:highlight w:val="none"/>
          <w14:textFill>
            <w14:solidFill>
              <w14:schemeClr w14:val="tx1"/>
            </w14:solidFill>
          </w14:textFill>
        </w:rPr>
        <w:fldChar w:fldCharType="separate"/>
      </w:r>
      <w:r>
        <w:rPr>
          <w:rFonts w:hint="eastAsia" w:eastAsia="黑体" w:cs="Times New Roman"/>
          <w:color w:val="000000" w:themeColor="text1"/>
          <w:sz w:val="21"/>
          <w:szCs w:val="21"/>
          <w:highlight w:val="none"/>
          <w14:textFill>
            <w14:solidFill>
              <w14:schemeClr w14:val="tx1"/>
            </w14:solidFill>
          </w14:textFill>
        </w:rPr>
        <w:t>5.1</w:t>
      </w:r>
      <w:r>
        <w:rPr>
          <w:rFonts w:hint="eastAsia" w:eastAsia="黑体" w:cs="Times New Roman"/>
          <w:color w:val="000000" w:themeColor="text1"/>
          <w:sz w:val="21"/>
          <w:szCs w:val="21"/>
          <w:highlight w:val="none"/>
          <w14:textFill>
            <w14:solidFill>
              <w14:schemeClr w14:val="tx1"/>
            </w14:solidFill>
          </w14:textFill>
        </w:rPr>
        <w:fldChar w:fldCharType="end"/>
      </w:r>
      <w:r>
        <w:rPr>
          <w:rFonts w:hint="eastAsia" w:eastAsia="黑体" w:cs="Times New Roman"/>
          <w:color w:val="000000" w:themeColor="text1"/>
          <w:sz w:val="21"/>
          <w:szCs w:val="21"/>
          <w:highlight w:val="none"/>
          <w14:textFill>
            <w14:solidFill>
              <w14:schemeClr w14:val="tx1"/>
            </w14:solidFill>
          </w14:textFill>
        </w:rPr>
        <w:noBreakHyphen/>
      </w:r>
      <w:r>
        <w:rPr>
          <w:rFonts w:hint="eastAsia" w:eastAsia="黑体" w:cs="Times New Roman"/>
          <w:color w:val="000000" w:themeColor="text1"/>
          <w:sz w:val="21"/>
          <w:szCs w:val="21"/>
          <w:highlight w:val="none"/>
          <w14:textFill>
            <w14:solidFill>
              <w14:schemeClr w14:val="tx1"/>
            </w14:solidFill>
          </w14:textFill>
        </w:rPr>
        <w:t>2  工程占地影响植被类型及生物量统计表</w:t>
      </w:r>
    </w:p>
    <w:tbl>
      <w:tblPr>
        <w:tblStyle w:val="54"/>
        <w:tblW w:w="8247" w:type="dxa"/>
        <w:jc w:val="center"/>
        <w:tblLayout w:type="fixed"/>
        <w:tblCellMar>
          <w:top w:w="0" w:type="dxa"/>
          <w:left w:w="108" w:type="dxa"/>
          <w:bottom w:w="0" w:type="dxa"/>
          <w:right w:w="108" w:type="dxa"/>
        </w:tblCellMar>
      </w:tblPr>
      <w:tblGrid>
        <w:gridCol w:w="438"/>
        <w:gridCol w:w="1288"/>
        <w:gridCol w:w="1095"/>
        <w:gridCol w:w="1396"/>
        <w:gridCol w:w="1181"/>
        <w:gridCol w:w="2849"/>
      </w:tblGrid>
      <w:tr>
        <w:tblPrEx>
          <w:tblCellMar>
            <w:top w:w="0" w:type="dxa"/>
            <w:left w:w="108" w:type="dxa"/>
            <w:bottom w:w="0" w:type="dxa"/>
            <w:right w:w="108" w:type="dxa"/>
          </w:tblCellMar>
        </w:tblPrEx>
        <w:trPr>
          <w:trHeight w:val="727" w:hRule="exact"/>
          <w:jc w:val="center"/>
        </w:trPr>
        <w:tc>
          <w:tcPr>
            <w:tcW w:w="43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序号</w:t>
            </w:r>
          </w:p>
        </w:tc>
        <w:tc>
          <w:tcPr>
            <w:tcW w:w="1288"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名称</w:t>
            </w:r>
          </w:p>
        </w:tc>
        <w:tc>
          <w:tcPr>
            <w:tcW w:w="1095"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占地面积</w:t>
            </w:r>
            <w:r>
              <w:rPr>
                <w:rFonts w:hint="eastAsia" w:cs="Times New Roman"/>
                <w:b/>
                <w:color w:val="000000" w:themeColor="text1"/>
                <w:kern w:val="0"/>
                <w:sz w:val="21"/>
                <w:szCs w:val="21"/>
                <w:highlight w:val="none"/>
                <w:lang w:bidi="ar"/>
                <w14:textFill>
                  <w14:solidFill>
                    <w14:schemeClr w14:val="tx1"/>
                  </w14:solidFill>
                </w14:textFill>
              </w:rPr>
              <w:t>（</w:t>
            </w:r>
            <w:r>
              <w:rPr>
                <w:rFonts w:cs="Times New Roman"/>
                <w:b/>
                <w:color w:val="000000" w:themeColor="text1"/>
                <w:kern w:val="0"/>
                <w:sz w:val="21"/>
                <w:szCs w:val="21"/>
                <w:highlight w:val="none"/>
                <w:lang w:bidi="ar"/>
                <w14:textFill>
                  <w14:solidFill>
                    <w14:schemeClr w14:val="tx1"/>
                  </w14:solidFill>
                </w14:textFill>
              </w:rPr>
              <w:t>hm</w:t>
            </w:r>
            <w:r>
              <w:rPr>
                <w:rFonts w:cs="Times New Roman"/>
                <w:b/>
                <w:color w:val="000000" w:themeColor="text1"/>
                <w:kern w:val="0"/>
                <w:sz w:val="21"/>
                <w:szCs w:val="21"/>
                <w:highlight w:val="none"/>
                <w:vertAlign w:val="superscript"/>
                <w:lang w:bidi="ar"/>
                <w14:textFill>
                  <w14:solidFill>
                    <w14:schemeClr w14:val="tx1"/>
                  </w14:solidFill>
                </w14:textFill>
              </w:rPr>
              <w:t>2</w:t>
            </w:r>
            <w:r>
              <w:rPr>
                <w:rFonts w:hint="eastAsia" w:cs="Times New Roman"/>
                <w:b/>
                <w:color w:val="000000" w:themeColor="text1"/>
                <w:kern w:val="0"/>
                <w:sz w:val="21"/>
                <w:szCs w:val="21"/>
                <w:highlight w:val="none"/>
                <w:vertAlign w:val="superscript"/>
                <w:lang w:bidi="ar"/>
                <w14:textFill>
                  <w14:solidFill>
                    <w14:schemeClr w14:val="tx1"/>
                  </w14:solidFill>
                </w14:textFill>
              </w:rPr>
              <w:t>）</w:t>
            </w:r>
          </w:p>
        </w:tc>
        <w:tc>
          <w:tcPr>
            <w:tcW w:w="1396"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损失生产力（</w:t>
            </w:r>
            <w:r>
              <w:rPr>
                <w:rFonts w:hint="eastAsia" w:cs="Times New Roman"/>
                <w:b/>
                <w:color w:val="000000" w:themeColor="text1"/>
                <w:kern w:val="0"/>
                <w:sz w:val="21"/>
                <w:szCs w:val="21"/>
                <w:highlight w:val="none"/>
                <w:lang w:eastAsia="zh-CN" w:bidi="ar"/>
                <w14:textFill>
                  <w14:solidFill>
                    <w14:schemeClr w14:val="tx1"/>
                  </w14:solidFill>
                </w14:textFill>
              </w:rPr>
              <w:t>tC/a</w:t>
            </w:r>
            <w:r>
              <w:rPr>
                <w:rFonts w:cs="Times New Roman"/>
                <w:b/>
                <w:color w:val="000000" w:themeColor="text1"/>
                <w:kern w:val="0"/>
                <w:sz w:val="21"/>
                <w:szCs w:val="21"/>
                <w:highlight w:val="none"/>
                <w:lang w:bidi="ar"/>
                <w14:textFill>
                  <w14:solidFill>
                    <w14:schemeClr w14:val="tx1"/>
                  </w14:solidFill>
                </w14:textFill>
              </w:rPr>
              <w:t>）</w:t>
            </w:r>
          </w:p>
        </w:tc>
        <w:tc>
          <w:tcPr>
            <w:tcW w:w="1181"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损失生物量（t）</w:t>
            </w:r>
          </w:p>
        </w:tc>
        <w:tc>
          <w:tcPr>
            <w:tcW w:w="2849" w:type="dxa"/>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受影响的植被类型</w:t>
            </w:r>
          </w:p>
        </w:tc>
      </w:tr>
      <w:tr>
        <w:tblPrEx>
          <w:tblCellMar>
            <w:top w:w="0" w:type="dxa"/>
            <w:left w:w="108" w:type="dxa"/>
            <w:bottom w:w="0" w:type="dxa"/>
            <w:right w:w="108" w:type="dxa"/>
          </w:tblCellMar>
        </w:tblPrEx>
        <w:trPr>
          <w:trHeight w:val="397" w:hRule="exact"/>
          <w:jc w:val="center"/>
        </w:trPr>
        <w:tc>
          <w:tcPr>
            <w:tcW w:w="438"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w:t>
            </w:r>
          </w:p>
        </w:tc>
        <w:tc>
          <w:tcPr>
            <w:tcW w:w="1288" w:type="dxa"/>
            <w:tcBorders>
              <w:top w:val="nil"/>
              <w:left w:val="nil"/>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阔叶林植被</w:t>
            </w:r>
          </w:p>
        </w:tc>
        <w:tc>
          <w:tcPr>
            <w:tcW w:w="1095"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0.8254</w:t>
            </w:r>
          </w:p>
        </w:tc>
        <w:tc>
          <w:tcPr>
            <w:tcW w:w="1396"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5.31</w:t>
            </w:r>
          </w:p>
        </w:tc>
        <w:tc>
          <w:tcPr>
            <w:tcW w:w="1181"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73.63</w:t>
            </w:r>
          </w:p>
        </w:tc>
        <w:tc>
          <w:tcPr>
            <w:tcW w:w="2849"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青冈、麻栎、栓皮栎、竹林</w:t>
            </w:r>
          </w:p>
        </w:tc>
      </w:tr>
      <w:tr>
        <w:tblPrEx>
          <w:tblCellMar>
            <w:top w:w="0" w:type="dxa"/>
            <w:left w:w="108" w:type="dxa"/>
            <w:bottom w:w="0" w:type="dxa"/>
            <w:right w:w="108" w:type="dxa"/>
          </w:tblCellMar>
        </w:tblPrEx>
        <w:trPr>
          <w:trHeight w:val="397" w:hRule="exact"/>
          <w:jc w:val="center"/>
        </w:trPr>
        <w:tc>
          <w:tcPr>
            <w:tcW w:w="438" w:type="dxa"/>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w:t>
            </w:r>
          </w:p>
        </w:tc>
        <w:tc>
          <w:tcPr>
            <w:tcW w:w="1288" w:type="dxa"/>
            <w:tcBorders>
              <w:top w:val="nil"/>
              <w:left w:val="nil"/>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灌丛植被</w:t>
            </w:r>
          </w:p>
        </w:tc>
        <w:tc>
          <w:tcPr>
            <w:tcW w:w="1095"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0.5312</w:t>
            </w:r>
          </w:p>
        </w:tc>
        <w:tc>
          <w:tcPr>
            <w:tcW w:w="1396"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1.95</w:t>
            </w:r>
          </w:p>
        </w:tc>
        <w:tc>
          <w:tcPr>
            <w:tcW w:w="1181"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14.65</w:t>
            </w:r>
          </w:p>
        </w:tc>
        <w:tc>
          <w:tcPr>
            <w:tcW w:w="2849"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马桑、黄荆、火棘、荚蒾</w:t>
            </w:r>
          </w:p>
        </w:tc>
      </w:tr>
      <w:tr>
        <w:tblPrEx>
          <w:tblCellMar>
            <w:top w:w="0" w:type="dxa"/>
            <w:left w:w="108" w:type="dxa"/>
            <w:bottom w:w="0" w:type="dxa"/>
            <w:right w:w="108" w:type="dxa"/>
          </w:tblCellMar>
        </w:tblPrEx>
        <w:trPr>
          <w:trHeight w:val="397" w:hRule="exact"/>
          <w:jc w:val="center"/>
        </w:trPr>
        <w:tc>
          <w:tcPr>
            <w:tcW w:w="1726" w:type="dxa"/>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合计</w:t>
            </w:r>
          </w:p>
        </w:tc>
        <w:tc>
          <w:tcPr>
            <w:tcW w:w="1095" w:type="dxa"/>
            <w:tcBorders>
              <w:top w:val="single" w:color="auto" w:sz="4" w:space="0"/>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1.3566</w:t>
            </w:r>
          </w:p>
        </w:tc>
        <w:tc>
          <w:tcPr>
            <w:tcW w:w="1396"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7.26</w:t>
            </w:r>
          </w:p>
        </w:tc>
        <w:tc>
          <w:tcPr>
            <w:tcW w:w="1181"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88.28</w:t>
            </w:r>
          </w:p>
        </w:tc>
        <w:tc>
          <w:tcPr>
            <w:tcW w:w="2849" w:type="dxa"/>
            <w:tcBorders>
              <w:top w:val="nil"/>
              <w:left w:val="nil"/>
              <w:bottom w:val="single" w:color="auto" w:sz="4" w:space="0"/>
              <w:right w:val="single" w:color="auto" w:sz="4" w:space="0"/>
            </w:tcBorders>
            <w:vAlign w:val="center"/>
          </w:tcPr>
          <w:p>
            <w:pPr>
              <w:widowControl/>
              <w:adjustRightInd/>
              <w:snapToGrid/>
              <w:spacing w:line="240" w:lineRule="auto"/>
              <w:ind w:firstLine="0" w:firstLineChars="0"/>
              <w:jc w:val="center"/>
              <w:textAlignment w:val="center"/>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w:t>
            </w:r>
          </w:p>
        </w:tc>
      </w:tr>
    </w:tbl>
    <w:p>
      <w:pPr>
        <w:adjustRightInd/>
        <w:snapToGrid/>
        <w:spacing w:before="120" w:beforeLines="50"/>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（2）人员进驻及施工活动</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在项目建设期间，大量人员和车辆、机械的进场和建设活动将给施工区的生态环境造成一定的影响。施工人员的活动等都会对生活在本区域内的植被产生影响，主要表现在施工人员活动产生的废水、废渣、废气等废弃物对生态环境的影响等方面。施工区表土剥离、废水处理设施等施工活动对生态环境的影响最大，但是由于施工是临时的，在施工结束后随着临时用地区土地整平、植被更新恢复措施的实施，其影响会得到逐步恢复的。</w:t>
      </w:r>
    </w:p>
    <w:p>
      <w:pPr>
        <w:ind w:firstLine="480"/>
        <w:jc w:val="left"/>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由上可见，项目施工占地</w:t>
      </w:r>
      <w:r>
        <w:rPr>
          <w:rFonts w:hint="eastAsia" w:cs="Times New Roman"/>
          <w:bCs/>
          <w:color w:val="000000" w:themeColor="text1"/>
          <w:highlight w:val="none"/>
          <w14:textFill>
            <w14:solidFill>
              <w14:schemeClr w14:val="tx1"/>
            </w14:solidFill>
          </w14:textFill>
        </w:rPr>
        <w:t>1.7314</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使得栖息在这片土上的生物资源受到影响，部分草地植被因生境发生改变而死亡，以此为栖息地的其他动物、微生物则失去原栖息场所，导致动、植物资源量减少，生物量受到一定影响。但项目占地相对整个宣汉县比例则极小，不会对该地区造成较大影响，同时，退役后，随着设施拆除、封井及植被恢复措施的实施及植被自然演替更新，占地影响也将逐渐消失。</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尽管如此，本报告仍然建议，在项目实施过程中通过优化施工布置，最大程度减少项目建设造成的植被资源损失，尽量减少对评价区灌草丛生态系统的影响。</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对景观生态的影响分析</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（1）对自然生态体系稳定性的影响</w:t>
      </w:r>
      <w:r>
        <w:rPr>
          <w:rFonts w:cs="Times New Roman"/>
          <w:b/>
          <w:color w:val="000000" w:themeColor="text1"/>
          <w:kern w:val="0"/>
          <w:szCs w:val="24"/>
          <w:highlight w:val="none"/>
          <w14:textFill>
            <w14:solidFill>
              <w14:schemeClr w14:val="tx1"/>
            </w14:solidFill>
          </w14:textFill>
        </w:rPr>
        <w:t>预测</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①恢复稳定性影响分析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对景观生态体系稳定状况的影响可以从恢复稳定性和阻抗稳定性两方面进行分析。恢复稳定性的度量通常采取对植被生物量进行度量的方法进行度量。项目建设会使评价区内自然生态体系的植被生物总量减少</w:t>
      </w:r>
      <w:r>
        <w:rPr>
          <w:rFonts w:hint="eastAsia" w:cs="Times New Roman"/>
          <w:bCs/>
          <w:color w:val="000000" w:themeColor="text1"/>
          <w:highlight w:val="none"/>
          <w14:textFill>
            <w14:solidFill>
              <w14:schemeClr w14:val="tx1"/>
            </w14:solidFill>
          </w14:textFill>
        </w:rPr>
        <w:t>，对</w:t>
      </w:r>
      <w:r>
        <w:rPr>
          <w:rFonts w:cs="Times New Roman"/>
          <w:bCs/>
          <w:color w:val="000000" w:themeColor="text1"/>
          <w:highlight w:val="none"/>
          <w14:textFill>
            <w14:solidFill>
              <w14:schemeClr w14:val="tx1"/>
            </w14:solidFill>
          </w14:textFill>
        </w:rPr>
        <w:t>评价范围域内景观生态体系有一定影响，退役后，随着设施拆除、植被恢复措施的实施及植被自然演替更新等，将会使项目占地区生态环境质量得到较大改善，植被会朝着正向演替方向发展，逐步恢复景观稳定性。</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②阻抗稳定性影响分析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占地损失的水稻</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玉米、红苕、棉花、花生、小麦、马铃薯、豌豆</w:t>
      </w:r>
      <w:r>
        <w:rPr>
          <w:rFonts w:hint="eastAsia" w:cs="Times New Roman"/>
          <w:bCs/>
          <w:color w:val="000000" w:themeColor="text1"/>
          <w:highlight w:val="none"/>
          <w14:textFill>
            <w14:solidFill>
              <w14:schemeClr w14:val="tx1"/>
            </w14:solidFill>
          </w14:textFill>
        </w:rPr>
        <w:t>植被</w:t>
      </w:r>
      <w:r>
        <w:rPr>
          <w:rFonts w:cs="Times New Roman"/>
          <w:bCs/>
          <w:color w:val="000000" w:themeColor="text1"/>
          <w:highlight w:val="none"/>
          <w14:textFill>
            <w14:solidFill>
              <w14:schemeClr w14:val="tx1"/>
            </w14:solidFill>
          </w14:textFill>
        </w:rPr>
        <w:t>均属广布种，对物种种类没有影响，仅损失部分生物量。在景观异质性影响方面，本评价范围的</w:t>
      </w:r>
      <w:r>
        <w:rPr>
          <w:rFonts w:hint="eastAsia" w:cs="Times New Roman"/>
          <w:bCs/>
          <w:color w:val="000000" w:themeColor="text1"/>
          <w:highlight w:val="none"/>
          <w14:textFill>
            <w14:solidFill>
              <w14:schemeClr w14:val="tx1"/>
            </w14:solidFill>
          </w14:textFill>
        </w:rPr>
        <w:t>耕地</w:t>
      </w:r>
      <w:r>
        <w:rPr>
          <w:rFonts w:cs="Times New Roman"/>
          <w:bCs/>
          <w:color w:val="000000" w:themeColor="text1"/>
          <w:highlight w:val="none"/>
          <w14:textFill>
            <w14:solidFill>
              <w14:schemeClr w14:val="tx1"/>
            </w14:solidFill>
          </w14:textFill>
        </w:rPr>
        <w:t>拼块在项目实施后所发生的变化主要是拼块面积的变化，而在拼块数量（密度）、拼块频率等要素特征上发生变化较小，随着设施拆除、</w:t>
      </w:r>
      <w:r>
        <w:rPr>
          <w:rFonts w:hint="eastAsia" w:cs="Times New Roman"/>
          <w:bCs/>
          <w:color w:val="000000" w:themeColor="text1"/>
          <w:highlight w:val="none"/>
          <w14:textFill>
            <w14:solidFill>
              <w14:schemeClr w14:val="tx1"/>
            </w14:solidFill>
          </w14:textFill>
        </w:rPr>
        <w:t>土地复垦、植被恢复</w:t>
      </w:r>
      <w:r>
        <w:rPr>
          <w:rFonts w:cs="Times New Roman"/>
          <w:bCs/>
          <w:color w:val="000000" w:themeColor="text1"/>
          <w:highlight w:val="none"/>
          <w14:textFill>
            <w14:solidFill>
              <w14:schemeClr w14:val="tx1"/>
            </w14:solidFill>
          </w14:textFill>
        </w:rPr>
        <w:t>措施的实施，评价范围内森林植被还将是当地的模地，模地不会动摇，景观的异质性不会发生质的变化。</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（2）景观生态体系质量影响预测</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根据前文森林拼块的景观优势度远高于其他拼块，属模地。因此在评价范围内占有十分重要的地位。项目实施后，对当地的自然系统造成一定损害，受损后的景观体系情况，如下表。</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5.1</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SEQ 表 \* ARABIC \s 2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评价范围自然体系受损前后的各类拼块的优势度值</w:t>
      </w:r>
    </w:p>
    <w:tbl>
      <w:tblPr>
        <w:tblStyle w:val="54"/>
        <w:tblW w:w="5000" w:type="pct"/>
        <w:jc w:val="center"/>
        <w:tblLayout w:type="autofit"/>
        <w:tblCellMar>
          <w:top w:w="15" w:type="dxa"/>
          <w:left w:w="15" w:type="dxa"/>
          <w:bottom w:w="15" w:type="dxa"/>
          <w:right w:w="15" w:type="dxa"/>
        </w:tblCellMar>
      </w:tblPr>
      <w:tblGrid>
        <w:gridCol w:w="1642"/>
        <w:gridCol w:w="912"/>
        <w:gridCol w:w="900"/>
        <w:gridCol w:w="1419"/>
        <w:gridCol w:w="1154"/>
        <w:gridCol w:w="1159"/>
        <w:gridCol w:w="1154"/>
      </w:tblGrid>
      <w:tr>
        <w:tblPrEx>
          <w:tblCellMar>
            <w:top w:w="15" w:type="dxa"/>
            <w:left w:w="15" w:type="dxa"/>
            <w:bottom w:w="15" w:type="dxa"/>
            <w:right w:w="15" w:type="dxa"/>
          </w:tblCellMar>
        </w:tblPrEx>
        <w:trPr>
          <w:trHeight w:val="645" w:hRule="exact"/>
          <w:jc w:val="center"/>
        </w:trPr>
        <w:tc>
          <w:tcPr>
            <w:tcW w:w="984"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拼块类型</w:t>
            </w:r>
          </w:p>
        </w:tc>
        <w:tc>
          <w:tcPr>
            <w:tcW w:w="546"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密度Rd（%）</w:t>
            </w:r>
          </w:p>
        </w:tc>
        <w:tc>
          <w:tcPr>
            <w:tcW w:w="539"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频率Rf（%）</w:t>
            </w:r>
          </w:p>
        </w:tc>
        <w:tc>
          <w:tcPr>
            <w:tcW w:w="850" w:type="pct"/>
            <w:tcBorders>
              <w:top w:val="single" w:color="000000" w:sz="4" w:space="0"/>
              <w:left w:val="single" w:color="000000" w:sz="4" w:space="0"/>
              <w:bottom w:val="single" w:color="000000" w:sz="4" w:space="0"/>
              <w:right w:val="single" w:color="000000" w:sz="4" w:space="0"/>
            </w:tcBorders>
            <w:vAlign w:val="center"/>
          </w:tcPr>
          <w:p>
            <w:pPr>
              <w:widowControl/>
              <w:adjustRightInd/>
              <w:snapToGrid/>
              <w:spacing w:line="240" w:lineRule="auto"/>
              <w:ind w:firstLine="0" w:firstLineChars="0"/>
              <w:jc w:val="center"/>
              <w:textAlignment w:val="bottom"/>
              <w:rPr>
                <w:rFonts w:cs="Times New Roman"/>
                <w:b/>
                <w:color w:val="000000" w:themeColor="text1"/>
                <w:sz w:val="21"/>
                <w:szCs w:val="21"/>
                <w:highlight w:val="none"/>
                <w14:textFill>
                  <w14:solidFill>
                    <w14:schemeClr w14:val="tx1"/>
                  </w14:solidFill>
                </w14:textFill>
              </w:rPr>
            </w:pPr>
            <w:r>
              <w:rPr>
                <w:rFonts w:cs="Times New Roman"/>
                <w:b/>
                <w:color w:val="000000" w:themeColor="text1"/>
                <w:kern w:val="0"/>
                <w:sz w:val="21"/>
                <w:szCs w:val="21"/>
                <w:highlight w:val="none"/>
                <w:lang w:bidi="ar"/>
                <w14:textFill>
                  <w14:solidFill>
                    <w14:schemeClr w14:val="tx1"/>
                  </w14:solidFill>
                </w14:textFill>
              </w:rPr>
              <w:t>景观比例Lp（%）</w:t>
            </w:r>
          </w:p>
        </w:tc>
        <w:tc>
          <w:tcPr>
            <w:tcW w:w="691" w:type="pct"/>
            <w:tcBorders>
              <w:top w:val="single" w:color="000000" w:sz="4" w:space="0"/>
              <w:left w:val="single" w:color="000000" w:sz="4" w:space="0"/>
              <w:bottom w:val="single" w:color="000000" w:sz="4" w:space="0"/>
              <w:right w:val="single" w:color="000000" w:sz="4"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优势度Do</w:t>
            </w:r>
            <w:r>
              <w:rPr>
                <w:rFonts w:cs="Times New Roman"/>
                <w:b/>
                <w:color w:val="000000" w:themeColor="text1"/>
                <w:kern w:val="0"/>
                <w:sz w:val="21"/>
                <w:szCs w:val="21"/>
                <w:highlight w:val="none"/>
                <w:lang w:bidi="ar"/>
                <w14:textFill>
                  <w14:solidFill>
                    <w14:schemeClr w14:val="tx1"/>
                  </w14:solidFill>
                </w14:textFill>
              </w:rPr>
              <w:t>（%）</w:t>
            </w:r>
          </w:p>
        </w:tc>
        <w:tc>
          <w:tcPr>
            <w:tcW w:w="694" w:type="pct"/>
            <w:tcBorders>
              <w:top w:val="single" w:color="000000" w:sz="4" w:space="0"/>
              <w:left w:val="single" w:color="000000" w:sz="4" w:space="0"/>
              <w:bottom w:val="single" w:color="000000" w:sz="4" w:space="0"/>
              <w:right w:val="single" w:color="000000" w:sz="4"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原有优势度Do</w:t>
            </w:r>
            <w:r>
              <w:rPr>
                <w:rFonts w:cs="Times New Roman"/>
                <w:b/>
                <w:color w:val="000000" w:themeColor="text1"/>
                <w:kern w:val="0"/>
                <w:sz w:val="21"/>
                <w:szCs w:val="21"/>
                <w:highlight w:val="none"/>
                <w:lang w:bidi="ar"/>
                <w14:textFill>
                  <w14:solidFill>
                    <w14:schemeClr w14:val="tx1"/>
                  </w14:solidFill>
                </w14:textFill>
              </w:rPr>
              <w:t>（%）</w:t>
            </w:r>
          </w:p>
        </w:tc>
        <w:tc>
          <w:tcPr>
            <w:tcW w:w="691" w:type="pct"/>
            <w:tcBorders>
              <w:top w:val="single" w:color="000000" w:sz="4" w:space="0"/>
              <w:left w:val="single" w:color="000000" w:sz="4" w:space="0"/>
              <w:bottom w:val="single" w:color="000000" w:sz="4" w:space="0"/>
              <w:right w:val="single" w:color="000000" w:sz="4" w:space="0"/>
            </w:tcBorders>
            <w:vAlign w:val="center"/>
          </w:tcPr>
          <w:p>
            <w:pPr>
              <w:snapToGrid/>
              <w:spacing w:line="240" w:lineRule="auto"/>
              <w:ind w:firstLine="0" w:firstLineChars="0"/>
              <w:jc w:val="center"/>
              <w:textAlignment w:val="baseline"/>
              <w:rPr>
                <w:rFonts w:cs="Times New Roman"/>
                <w:b/>
                <w:color w:val="000000" w:themeColor="text1"/>
                <w:kern w:val="0"/>
                <w:sz w:val="21"/>
                <w:szCs w:val="21"/>
                <w:highlight w:val="none"/>
                <w:lang w:bidi="ar"/>
                <w14:textFill>
                  <w14:solidFill>
                    <w14:schemeClr w14:val="tx1"/>
                  </w14:solidFill>
                </w14:textFill>
              </w:rPr>
            </w:pPr>
            <w:r>
              <w:rPr>
                <w:rFonts w:cs="Times New Roman"/>
                <w:b/>
                <w:color w:val="000000" w:themeColor="text1"/>
                <w:sz w:val="21"/>
                <w:szCs w:val="21"/>
                <w:highlight w:val="none"/>
                <w14:textFill>
                  <w14:solidFill>
                    <w14:schemeClr w14:val="tx1"/>
                  </w14:solidFill>
                </w14:textFill>
              </w:rPr>
              <w:t>变幅Do</w:t>
            </w:r>
            <w:r>
              <w:rPr>
                <w:rFonts w:cs="Times New Roman"/>
                <w:b/>
                <w:color w:val="000000" w:themeColor="text1"/>
                <w:kern w:val="0"/>
                <w:sz w:val="21"/>
                <w:szCs w:val="21"/>
                <w:highlight w:val="none"/>
                <w:lang w:bidi="ar"/>
                <w14:textFill>
                  <w14:solidFill>
                    <w14:schemeClr w14:val="tx1"/>
                  </w14:solidFill>
                </w14:textFill>
              </w:rPr>
              <w:t>（%）</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森林（含</w:t>
            </w:r>
            <w:r>
              <w:rPr>
                <w:rFonts w:cs="Times New Roman"/>
                <w:bCs/>
                <w:color w:val="000000" w:themeColor="text1"/>
                <w:kern w:val="0"/>
                <w:sz w:val="21"/>
                <w:szCs w:val="21"/>
                <w:highlight w:val="none"/>
                <w14:textFill>
                  <w14:solidFill>
                    <w14:schemeClr w14:val="tx1"/>
                  </w14:solidFill>
                </w14:textFill>
              </w:rPr>
              <w:t>竹林）</w:t>
            </w:r>
          </w:p>
        </w:tc>
        <w:tc>
          <w:tcPr>
            <w:tcW w:w="546"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42.72 </w:t>
            </w:r>
          </w:p>
        </w:tc>
        <w:tc>
          <w:tcPr>
            <w:tcW w:w="539"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71.37 </w:t>
            </w:r>
          </w:p>
        </w:tc>
        <w:tc>
          <w:tcPr>
            <w:tcW w:w="85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70.20 </w:t>
            </w:r>
          </w:p>
        </w:tc>
        <w:tc>
          <w:tcPr>
            <w:tcW w:w="691"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63.62 </w:t>
            </w:r>
          </w:p>
        </w:tc>
        <w:tc>
          <w:tcPr>
            <w:tcW w:w="69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65.92 </w:t>
            </w:r>
          </w:p>
        </w:tc>
        <w:tc>
          <w:tcPr>
            <w:tcW w:w="691"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-2.30 </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灌丛</w:t>
            </w:r>
          </w:p>
        </w:tc>
        <w:tc>
          <w:tcPr>
            <w:tcW w:w="546"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7.50 </w:t>
            </w:r>
          </w:p>
        </w:tc>
        <w:tc>
          <w:tcPr>
            <w:tcW w:w="539"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2.50 </w:t>
            </w:r>
          </w:p>
        </w:tc>
        <w:tc>
          <w:tcPr>
            <w:tcW w:w="85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2.57 </w:t>
            </w:r>
          </w:p>
        </w:tc>
        <w:tc>
          <w:tcPr>
            <w:tcW w:w="691"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3.78 </w:t>
            </w:r>
          </w:p>
        </w:tc>
        <w:tc>
          <w:tcPr>
            <w:tcW w:w="69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4.14 </w:t>
            </w:r>
          </w:p>
        </w:tc>
        <w:tc>
          <w:tcPr>
            <w:tcW w:w="691"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-0.36 </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耕地</w:t>
            </w:r>
          </w:p>
        </w:tc>
        <w:tc>
          <w:tcPr>
            <w:tcW w:w="546"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31.15 </w:t>
            </w:r>
          </w:p>
        </w:tc>
        <w:tc>
          <w:tcPr>
            <w:tcW w:w="539"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10.43 </w:t>
            </w:r>
          </w:p>
        </w:tc>
        <w:tc>
          <w:tcPr>
            <w:tcW w:w="85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11.02 </w:t>
            </w:r>
          </w:p>
        </w:tc>
        <w:tc>
          <w:tcPr>
            <w:tcW w:w="691"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15.91 </w:t>
            </w:r>
          </w:p>
        </w:tc>
        <w:tc>
          <w:tcPr>
            <w:tcW w:w="69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15.91 </w:t>
            </w:r>
          </w:p>
        </w:tc>
        <w:tc>
          <w:tcPr>
            <w:tcW w:w="691"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0</w:t>
            </w:r>
          </w:p>
        </w:tc>
      </w:tr>
      <w:tr>
        <w:tblPrEx>
          <w:tblCellMar>
            <w:top w:w="15" w:type="dxa"/>
            <w:left w:w="15" w:type="dxa"/>
            <w:bottom w:w="15" w:type="dxa"/>
            <w:right w:w="15" w:type="dxa"/>
          </w:tblCellMar>
        </w:tblPrEx>
        <w:trPr>
          <w:trHeight w:val="340" w:hRule="exact"/>
          <w:jc w:val="center"/>
        </w:trPr>
        <w:tc>
          <w:tcPr>
            <w:tcW w:w="98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人工生态系统</w:t>
            </w:r>
          </w:p>
        </w:tc>
        <w:tc>
          <w:tcPr>
            <w:tcW w:w="546"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18.63 </w:t>
            </w:r>
          </w:p>
        </w:tc>
        <w:tc>
          <w:tcPr>
            <w:tcW w:w="539"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15.71 </w:t>
            </w:r>
          </w:p>
        </w:tc>
        <w:tc>
          <w:tcPr>
            <w:tcW w:w="850"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16.21 </w:t>
            </w:r>
          </w:p>
        </w:tc>
        <w:tc>
          <w:tcPr>
            <w:tcW w:w="691"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16.70</w:t>
            </w:r>
          </w:p>
        </w:tc>
        <w:tc>
          <w:tcPr>
            <w:tcW w:w="694"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 xml:space="preserve">14.04 </w:t>
            </w:r>
          </w:p>
        </w:tc>
        <w:tc>
          <w:tcPr>
            <w:tcW w:w="691" w:type="pct"/>
            <w:tcBorders>
              <w:top w:val="single" w:color="000000" w:sz="4" w:space="0"/>
              <w:left w:val="single" w:color="000000" w:sz="4" w:space="0"/>
              <w:bottom w:val="single" w:color="000000" w:sz="4" w:space="0"/>
              <w:right w:val="single" w:color="000000" w:sz="4" w:space="0"/>
            </w:tcBorders>
            <w:vAlign w:val="bottom"/>
          </w:tcPr>
          <w:p>
            <w:pPr>
              <w:widowControl/>
              <w:adjustRightInd/>
              <w:snapToGrid/>
              <w:spacing w:line="240" w:lineRule="auto"/>
              <w:ind w:firstLine="0" w:firstLineChars="0"/>
              <w:jc w:val="center"/>
              <w:textAlignment w:val="bottom"/>
              <w:rPr>
                <w:rFonts w:cs="Times New Roman"/>
                <w:bCs/>
                <w:color w:val="000000" w:themeColor="text1"/>
                <w:kern w:val="0"/>
                <w:sz w:val="21"/>
                <w:szCs w:val="21"/>
                <w:highlight w:val="none"/>
                <w:lang w:bidi="ar"/>
                <w14:textFill>
                  <w14:solidFill>
                    <w14:schemeClr w14:val="tx1"/>
                  </w14:solidFill>
                </w14:textFill>
              </w:rPr>
            </w:pPr>
            <w:r>
              <w:rPr>
                <w:rFonts w:cs="Times New Roman"/>
                <w:bCs/>
                <w:color w:val="000000" w:themeColor="text1"/>
                <w:kern w:val="0"/>
                <w:sz w:val="21"/>
                <w:szCs w:val="21"/>
                <w:highlight w:val="none"/>
                <w:lang w:bidi="ar"/>
                <w14:textFill>
                  <w14:solidFill>
                    <w14:schemeClr w14:val="tx1"/>
                  </w14:solidFill>
                </w14:textFill>
              </w:rPr>
              <w:t>2.66</w:t>
            </w:r>
          </w:p>
        </w:tc>
      </w:tr>
    </w:tbl>
    <w:p>
      <w:pPr>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w:t>
      </w:r>
      <w:r>
        <w:rPr>
          <w:rFonts w:hint="eastAsia" w:cs="Times New Roman"/>
          <w:bCs/>
          <w:color w:val="000000" w:themeColor="text1"/>
          <w:szCs w:val="24"/>
          <w:highlight w:val="none"/>
          <w14:textFill>
            <w14:solidFill>
              <w14:schemeClr w14:val="tx1"/>
            </w14:solidFill>
          </w14:textFill>
        </w:rPr>
        <w:t>上表</w:t>
      </w:r>
      <w:r>
        <w:rPr>
          <w:rFonts w:cs="Times New Roman"/>
          <w:bCs/>
          <w:color w:val="000000" w:themeColor="text1"/>
          <w:szCs w:val="24"/>
          <w:highlight w:val="none"/>
          <w14:textFill>
            <w14:solidFill>
              <w14:schemeClr w14:val="tx1"/>
            </w14:solidFill>
          </w14:textFill>
        </w:rPr>
        <w:t>可以看出各拼块的优势度值变化较小，而人工生态系统拼块变幅最大是2.65%，森林（含竹林）拼块变幅为-2.30%，耕地拼块则无变化。森林拼块的景观优势度</w:t>
      </w:r>
      <w:r>
        <w:rPr>
          <w:rFonts w:hint="eastAsia" w:cs="Times New Roman"/>
          <w:bCs/>
          <w:color w:val="000000" w:themeColor="text1"/>
          <w:szCs w:val="24"/>
          <w:highlight w:val="none"/>
          <w14:textFill>
            <w14:solidFill>
              <w14:schemeClr w14:val="tx1"/>
            </w14:solidFill>
          </w14:textFill>
        </w:rPr>
        <w:t>仍</w:t>
      </w:r>
      <w:r>
        <w:rPr>
          <w:rFonts w:cs="Times New Roman"/>
          <w:bCs/>
          <w:color w:val="000000" w:themeColor="text1"/>
          <w:szCs w:val="24"/>
          <w:highlight w:val="none"/>
          <w14:textFill>
            <w14:solidFill>
              <w14:schemeClr w14:val="tx1"/>
            </w14:solidFill>
          </w14:textFill>
        </w:rPr>
        <w:t>远高于其他拼块，属模地，生态环境不会发生质的变化</w:t>
      </w:r>
      <w:r>
        <w:rPr>
          <w:rFonts w:cs="Times New Roman"/>
          <w:bCs/>
          <w:color w:val="000000" w:themeColor="text1"/>
          <w:highlight w:val="none"/>
          <w14:textFill>
            <w14:solidFill>
              <w14:schemeClr w14:val="tx1"/>
            </w14:solidFill>
          </w14:textFill>
        </w:rPr>
        <w:t>。</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（3）对自然景观协调性影响预测</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项目施工在视觉上会对项目区产生一定的影响，占据一定的数据空间及景观节点，尤其是与周边绿色植被环境形成明显的视觉异质性；</w:t>
      </w:r>
      <w:r>
        <w:rPr>
          <w:rFonts w:hint="eastAsia" w:cs="Times New Roman"/>
          <w:bCs/>
          <w:color w:val="000000" w:themeColor="text1"/>
          <w:highlight w:val="none"/>
          <w:lang w:val="en-US" w:eastAsia="zh-CN"/>
          <w14:textFill>
            <w14:solidFill>
              <w14:schemeClr w14:val="tx1"/>
            </w14:solidFill>
          </w14:textFill>
        </w:rPr>
        <w:t>由于本项目</w:t>
      </w:r>
      <w:r>
        <w:rPr>
          <w:rFonts w:hint="eastAsia" w:cs="Times New Roman"/>
          <w:bCs/>
          <w:color w:val="000000" w:themeColor="text1"/>
          <w:highlight w:val="none"/>
          <w14:textFill>
            <w14:solidFill>
              <w14:schemeClr w14:val="tx1"/>
            </w14:solidFill>
          </w14:textFill>
        </w:rPr>
        <w:t>集输管线</w:t>
      </w:r>
      <w:r>
        <w:rPr>
          <w:rFonts w:hint="eastAsia" w:cs="Times New Roman"/>
          <w:bCs/>
          <w:color w:val="000000" w:themeColor="text1"/>
          <w:highlight w:val="none"/>
          <w:lang w:val="en-US" w:eastAsia="zh-CN"/>
          <w14:textFill>
            <w14:solidFill>
              <w14:schemeClr w14:val="tx1"/>
            </w14:solidFill>
          </w14:textFill>
        </w:rPr>
        <w:t>较短，且沿着井场边沿建设，其对沿线</w:t>
      </w:r>
      <w:r>
        <w:rPr>
          <w:rFonts w:cs="Times New Roman"/>
          <w:bCs/>
          <w:color w:val="000000" w:themeColor="text1"/>
          <w:highlight w:val="none"/>
          <w14:textFill>
            <w14:solidFill>
              <w14:schemeClr w14:val="tx1"/>
            </w14:solidFill>
          </w14:textFill>
        </w:rPr>
        <w:t>视觉环境</w:t>
      </w:r>
      <w:r>
        <w:rPr>
          <w:rFonts w:hint="eastAsia" w:cs="Times New Roman"/>
          <w:bCs/>
          <w:color w:val="000000" w:themeColor="text1"/>
          <w:highlight w:val="none"/>
          <w:lang w:val="en-US" w:eastAsia="zh-CN"/>
          <w14:textFill>
            <w14:solidFill>
              <w14:schemeClr w14:val="tx1"/>
            </w14:solidFill>
          </w14:textFill>
        </w:rPr>
        <w:t>影响较小</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lang w:val="en-US" w:eastAsia="zh-CN"/>
          <w14:textFill>
            <w14:solidFill>
              <w14:schemeClr w14:val="tx1"/>
            </w14:solidFill>
          </w14:textFill>
        </w:rPr>
        <w:t>此外，</w:t>
      </w:r>
      <w:r>
        <w:rPr>
          <w:rFonts w:cs="Times New Roman"/>
          <w:bCs/>
          <w:color w:val="000000" w:themeColor="text1"/>
          <w:highlight w:val="none"/>
          <w14:textFill>
            <w14:solidFill>
              <w14:schemeClr w14:val="tx1"/>
            </w14:solidFill>
          </w14:textFill>
        </w:rPr>
        <w:t>本项目施工对周边原本连续的自然景观环境形成切割，对其空间连续性造成一定的破坏。切割山坡、植被，使绿色的背景呈现出明显的人工印迹。建议在项目退役后及时拆除临时建筑设施，</w:t>
      </w:r>
      <w:r>
        <w:rPr>
          <w:rFonts w:hint="eastAsia" w:cs="Times New Roman"/>
          <w:bCs/>
          <w:color w:val="000000" w:themeColor="text1"/>
          <w:highlight w:val="none"/>
          <w14:textFill>
            <w14:solidFill>
              <w14:schemeClr w14:val="tx1"/>
            </w14:solidFill>
          </w14:textFill>
        </w:rPr>
        <w:t>土地复垦</w:t>
      </w:r>
      <w:r>
        <w:rPr>
          <w:rFonts w:cs="Times New Roman"/>
          <w:bCs/>
          <w:color w:val="000000" w:themeColor="text1"/>
          <w:highlight w:val="none"/>
          <w14:textFill>
            <w14:solidFill>
              <w14:schemeClr w14:val="tx1"/>
            </w14:solidFill>
          </w14:textFill>
        </w:rPr>
        <w:t>，增加与周围自然景观的协调性。</w:t>
      </w:r>
    </w:p>
    <w:p>
      <w:pPr>
        <w:ind w:firstLine="482"/>
        <w:rPr>
          <w:rFonts w:cs="Times New Roman"/>
          <w:b/>
          <w:color w:val="000000" w:themeColor="text1"/>
          <w:highlight w:val="none"/>
          <w14:textFill>
            <w14:solidFill>
              <w14:schemeClr w14:val="tx1"/>
            </w14:solidFill>
          </w14:textFill>
        </w:rPr>
      </w:pPr>
      <w:r>
        <w:rPr>
          <w:rFonts w:hint="eastAsia" w:cs="Times New Roman"/>
          <w:b/>
          <w:color w:val="000000" w:themeColor="text1"/>
          <w:highlight w:val="none"/>
          <w14:textFill>
            <w14:solidFill>
              <w14:schemeClr w14:val="tx1"/>
            </w14:solidFill>
          </w14:textFill>
        </w:rPr>
        <w:t>（4）线路廊道区的生态和景观阻隔效应分析</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项目管线占地均为临时占地，</w:t>
      </w:r>
      <w:r>
        <w:rPr>
          <w:rFonts w:hint="eastAsia" w:cs="Times New Roman"/>
          <w:bCs/>
          <w:color w:val="000000" w:themeColor="text1"/>
          <w:highlight w:val="none"/>
          <w:lang w:val="en-US" w:eastAsia="zh-CN"/>
          <w14:textFill>
            <w14:solidFill>
              <w14:schemeClr w14:val="tx1"/>
            </w14:solidFill>
          </w14:textFill>
        </w:rPr>
        <w:t>由于本项目</w:t>
      </w:r>
      <w:r>
        <w:rPr>
          <w:rFonts w:hint="eastAsia" w:cs="Times New Roman"/>
          <w:bCs/>
          <w:color w:val="000000" w:themeColor="text1"/>
          <w:highlight w:val="none"/>
          <w14:textFill>
            <w14:solidFill>
              <w14:schemeClr w14:val="tx1"/>
            </w14:solidFill>
          </w14:textFill>
        </w:rPr>
        <w:t>集输管线</w:t>
      </w:r>
      <w:r>
        <w:rPr>
          <w:rFonts w:hint="eastAsia" w:cs="Times New Roman"/>
          <w:bCs/>
          <w:color w:val="000000" w:themeColor="text1"/>
          <w:highlight w:val="none"/>
          <w:lang w:val="en-US" w:eastAsia="zh-CN"/>
          <w14:textFill>
            <w14:solidFill>
              <w14:schemeClr w14:val="tx1"/>
            </w14:solidFill>
          </w14:textFill>
        </w:rPr>
        <w:t>较短，且沿着井场边沿建设，其对沿线</w:t>
      </w:r>
      <w:r>
        <w:rPr>
          <w:rFonts w:cs="Times New Roman"/>
          <w:bCs/>
          <w:color w:val="000000" w:themeColor="text1"/>
          <w:highlight w:val="none"/>
          <w14:textFill>
            <w14:solidFill>
              <w14:schemeClr w14:val="tx1"/>
            </w14:solidFill>
          </w14:textFill>
        </w:rPr>
        <w:t>视觉环境</w:t>
      </w:r>
      <w:r>
        <w:rPr>
          <w:rFonts w:hint="eastAsia" w:cs="Times New Roman"/>
          <w:bCs/>
          <w:color w:val="000000" w:themeColor="text1"/>
          <w:highlight w:val="none"/>
          <w:lang w:val="en-US" w:eastAsia="zh-CN"/>
          <w14:textFill>
            <w14:solidFill>
              <w14:schemeClr w14:val="tx1"/>
            </w14:solidFill>
          </w14:textFill>
        </w:rPr>
        <w:t>影响较小</w:t>
      </w:r>
      <w:r>
        <w:rPr>
          <w:rFonts w:hint="eastAsia" w:cs="Times New Roman"/>
          <w:bCs/>
          <w:color w:val="000000" w:themeColor="text1"/>
          <w:highlight w:val="none"/>
          <w:lang w:eastAsia="zh-CN"/>
          <w14:textFill>
            <w14:solidFill>
              <w14:schemeClr w14:val="tx1"/>
            </w14:solidFill>
          </w14:textFill>
        </w:rPr>
        <w:t>。</w:t>
      </w:r>
      <w:r>
        <w:rPr>
          <w:rFonts w:hint="eastAsia" w:cs="Times New Roman"/>
          <w:bCs/>
          <w:color w:val="000000" w:themeColor="text1"/>
          <w:highlight w:val="none"/>
          <w:lang w:val="en-US" w:eastAsia="zh-CN"/>
          <w14:textFill>
            <w14:solidFill>
              <w14:schemeClr w14:val="tx1"/>
            </w14:solidFill>
          </w14:textFill>
        </w:rPr>
        <w:t>在</w:t>
      </w:r>
      <w:r>
        <w:rPr>
          <w:rFonts w:hint="eastAsia" w:cs="Times New Roman"/>
          <w:bCs/>
          <w:color w:val="000000" w:themeColor="text1"/>
          <w:highlight w:val="none"/>
          <w14:textFill>
            <w14:solidFill>
              <w14:schemeClr w14:val="tx1"/>
            </w14:solidFill>
          </w14:textFill>
        </w:rPr>
        <w:t>项目建成后，</w:t>
      </w:r>
      <w:r>
        <w:rPr>
          <w:rFonts w:hint="eastAsia" w:cs="Times New Roman"/>
          <w:bCs/>
          <w:color w:val="000000" w:themeColor="text1"/>
          <w:highlight w:val="none"/>
          <w:lang w:val="en-US" w:eastAsia="zh-CN"/>
          <w14:textFill>
            <w14:solidFill>
              <w14:schemeClr w14:val="tx1"/>
            </w14:solidFill>
          </w14:textFill>
        </w:rPr>
        <w:t>将</w:t>
      </w:r>
      <w:r>
        <w:rPr>
          <w:rFonts w:hint="eastAsia" w:cs="Times New Roman"/>
          <w:bCs/>
          <w:color w:val="000000" w:themeColor="text1"/>
          <w:highlight w:val="none"/>
          <w14:textFill>
            <w14:solidFill>
              <w14:schemeClr w14:val="tx1"/>
            </w14:solidFill>
          </w14:textFill>
        </w:rPr>
        <w:t>及时</w:t>
      </w:r>
      <w:r>
        <w:rPr>
          <w:rFonts w:cs="Times New Roman"/>
          <w:bCs/>
          <w:color w:val="000000" w:themeColor="text1"/>
          <w:highlight w:val="none"/>
          <w14:textFill>
            <w14:solidFill>
              <w14:schemeClr w14:val="tx1"/>
            </w14:solidFill>
          </w14:textFill>
        </w:rPr>
        <w:t>拆除临时建筑设施，</w:t>
      </w:r>
      <w:r>
        <w:rPr>
          <w:rFonts w:hint="eastAsia" w:cs="Times New Roman"/>
          <w:bCs/>
          <w:color w:val="000000" w:themeColor="text1"/>
          <w:highlight w:val="none"/>
          <w:lang w:val="en-US" w:eastAsia="zh-CN"/>
          <w14:textFill>
            <w14:solidFill>
              <w14:schemeClr w14:val="tx1"/>
            </w14:solidFill>
          </w14:textFill>
        </w:rPr>
        <w:t>尽快完成</w:t>
      </w:r>
      <w:r>
        <w:rPr>
          <w:rFonts w:hint="eastAsia" w:cs="Times New Roman"/>
          <w:bCs/>
          <w:color w:val="000000" w:themeColor="text1"/>
          <w:highlight w:val="none"/>
          <w14:textFill>
            <w14:solidFill>
              <w14:schemeClr w14:val="tx1"/>
            </w14:solidFill>
          </w14:textFill>
        </w:rPr>
        <w:t>土地复垦、</w:t>
      </w:r>
      <w:r>
        <w:rPr>
          <w:rFonts w:cs="Times New Roman"/>
          <w:bCs/>
          <w:color w:val="000000" w:themeColor="text1"/>
          <w:highlight w:val="none"/>
          <w14:textFill>
            <w14:solidFill>
              <w14:schemeClr w14:val="tx1"/>
            </w14:solidFill>
          </w14:textFill>
        </w:rPr>
        <w:t>恢复植被</w:t>
      </w:r>
      <w:r>
        <w:rPr>
          <w:rFonts w:hint="eastAsia" w:cs="Times New Roman"/>
          <w:bCs/>
          <w:color w:val="000000" w:themeColor="text1"/>
          <w:highlight w:val="none"/>
          <w:lang w:val="en-US" w:eastAsia="zh-CN"/>
          <w14:textFill>
            <w14:solidFill>
              <w14:schemeClr w14:val="tx1"/>
            </w14:solidFill>
          </w14:textFill>
        </w:rPr>
        <w:t>工作</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lang w:val="en-US" w:eastAsia="zh-CN"/>
          <w14:textFill>
            <w14:solidFill>
              <w14:schemeClr w14:val="tx1"/>
            </w14:solidFill>
          </w14:textFill>
        </w:rPr>
        <w:t>并</w:t>
      </w:r>
      <w:r>
        <w:rPr>
          <w:rFonts w:cs="Times New Roman"/>
          <w:bCs/>
          <w:color w:val="000000" w:themeColor="text1"/>
          <w:highlight w:val="none"/>
          <w14:textFill>
            <w14:solidFill>
              <w14:schemeClr w14:val="tx1"/>
            </w14:solidFill>
          </w14:textFill>
        </w:rPr>
        <w:t>尽量采用当地乡土灌草先锋物种种植为首选的临时植被恢复工程</w:t>
      </w:r>
      <w:r>
        <w:rPr>
          <w:rFonts w:hint="eastAsia" w:cs="Times New Roman"/>
          <w:bCs/>
          <w:color w:val="000000" w:themeColor="text1"/>
          <w:highlight w:val="none"/>
          <w14:textFill>
            <w14:solidFill>
              <w14:schemeClr w14:val="tx1"/>
            </w14:solidFill>
          </w14:textFill>
        </w:rPr>
        <w:t>，栽植原占用树种马尾松并结合</w:t>
      </w:r>
      <w:r>
        <w:rPr>
          <w:rFonts w:cs="Times New Roman"/>
          <w:bCs/>
          <w:color w:val="000000" w:themeColor="text1"/>
          <w:highlight w:val="none"/>
          <w14:textFill>
            <w14:solidFill>
              <w14:schemeClr w14:val="tx1"/>
            </w14:solidFill>
          </w14:textFill>
        </w:rPr>
        <w:t>乡土灌草先锋物种种植</w:t>
      </w:r>
      <w:r>
        <w:rPr>
          <w:rFonts w:hint="eastAsia" w:cs="Times New Roman"/>
          <w:bCs/>
          <w:color w:val="000000" w:themeColor="text1"/>
          <w:highlight w:val="none"/>
          <w14:textFill>
            <w14:solidFill>
              <w14:schemeClr w14:val="tx1"/>
            </w14:solidFill>
          </w14:textFill>
        </w:rPr>
        <w:t>。项目区亚热带温暖湿润气候特点，可快速恢复植被，快速</w:t>
      </w:r>
      <w:r>
        <w:rPr>
          <w:rFonts w:cs="Times New Roman"/>
          <w:bCs/>
          <w:color w:val="000000" w:themeColor="text1"/>
          <w:highlight w:val="none"/>
          <w14:textFill>
            <w14:solidFill>
              <w14:schemeClr w14:val="tx1"/>
            </w14:solidFill>
          </w14:textFill>
        </w:rPr>
        <w:t>增加与周围自然景观的协调性</w:t>
      </w:r>
      <w:r>
        <w:rPr>
          <w:rFonts w:hint="eastAsia" w:cs="Times New Roman"/>
          <w:bCs/>
          <w:color w:val="000000" w:themeColor="text1"/>
          <w:highlight w:val="none"/>
          <w14:textFill>
            <w14:solidFill>
              <w14:schemeClr w14:val="tx1"/>
            </w14:solidFill>
          </w14:textFill>
        </w:rPr>
        <w:t>，</w:t>
      </w:r>
      <w:r>
        <w:rPr>
          <w:rFonts w:hint="eastAsia" w:cs="Times New Roman"/>
          <w:bCs/>
          <w:color w:val="000000" w:themeColor="text1"/>
          <w:highlight w:val="none"/>
          <w:lang w:val="en-US" w:eastAsia="zh-CN"/>
          <w14:textFill>
            <w14:solidFill>
              <w14:schemeClr w14:val="tx1"/>
            </w14:solidFill>
          </w14:textFill>
        </w:rPr>
        <w:t>能</w:t>
      </w:r>
      <w:r>
        <w:rPr>
          <w:rFonts w:hint="eastAsia" w:cs="Times New Roman"/>
          <w:bCs/>
          <w:color w:val="000000" w:themeColor="text1"/>
          <w:highlight w:val="none"/>
          <w14:textFill>
            <w14:solidFill>
              <w14:schemeClr w14:val="tx1"/>
            </w14:solidFill>
          </w14:textFill>
        </w:rPr>
        <w:t>将</w:t>
      </w:r>
      <w:r>
        <w:rPr>
          <w:rFonts w:cs="Times New Roman"/>
          <w:bCs/>
          <w:color w:val="000000" w:themeColor="text1"/>
          <w:highlight w:val="none"/>
          <w14:textFill>
            <w14:solidFill>
              <w14:schemeClr w14:val="tx1"/>
            </w14:solidFill>
          </w14:textFill>
        </w:rPr>
        <w:t>生态和景观阻隔效应</w:t>
      </w:r>
      <w:r>
        <w:rPr>
          <w:rFonts w:hint="eastAsia" w:cs="Times New Roman"/>
          <w:bCs/>
          <w:color w:val="000000" w:themeColor="text1"/>
          <w:highlight w:val="none"/>
          <w14:textFill>
            <w14:solidFill>
              <w14:schemeClr w14:val="tx1"/>
            </w14:solidFill>
          </w14:textFill>
        </w:rPr>
        <w:t>降到最低。</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对生态系统类型影响分析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根据项目《附图 生态系统类型图》，利用GIS软件，采用图形叠置分析可知，项目占用的生态系统类型主要为针阔混交林生态系统，面积为</w:t>
      </w:r>
      <w:r>
        <w:rPr>
          <w:rFonts w:cs="Times New Roman"/>
          <w:bCs/>
          <w:color w:val="000000" w:themeColor="text1"/>
          <w:szCs w:val="24"/>
          <w:highlight w:val="none"/>
          <w14:textFill>
            <w14:solidFill>
              <w14:schemeClr w14:val="tx1"/>
            </w14:solidFill>
          </w14:textFill>
        </w:rPr>
        <w:t>0.8254</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，占评价范围比例为2.68%；其次为灌丛生态系统，面积为</w:t>
      </w:r>
      <w:r>
        <w:rPr>
          <w:rFonts w:cs="Times New Roman"/>
          <w:bCs/>
          <w:color w:val="000000" w:themeColor="text1"/>
          <w:szCs w:val="24"/>
          <w:highlight w:val="none"/>
          <w14:textFill>
            <w14:solidFill>
              <w14:schemeClr w14:val="tx1"/>
            </w14:solidFill>
          </w14:textFill>
        </w:rPr>
        <w:t>0.5312</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，占评价范围比例为1.72%；占用人工生态系统，面积为</w:t>
      </w:r>
      <w:r>
        <w:rPr>
          <w:rFonts w:cs="Times New Roman"/>
          <w:bCs/>
          <w:color w:val="000000" w:themeColor="text1"/>
          <w:szCs w:val="24"/>
          <w:highlight w:val="none"/>
          <w14:textFill>
            <w14:solidFill>
              <w14:schemeClr w14:val="tx1"/>
            </w14:solidFill>
          </w14:textFill>
        </w:rPr>
        <w:t>0.2328</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，占评价范围比例为0.75%。</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项目占用的生态系统类型属于评价范围内普遍分布的类型，项目占地损失总生产力7.26</w:t>
      </w:r>
      <w:r>
        <w:rPr>
          <w:rFonts w:hint="eastAsia" w:cs="Times New Roman"/>
          <w:bCs/>
          <w:color w:val="000000" w:themeColor="text1"/>
          <w:highlight w:val="none"/>
          <w:lang w:eastAsia="zh-CN"/>
          <w14:textFill>
            <w14:solidFill>
              <w14:schemeClr w14:val="tx1"/>
            </w14:solidFill>
          </w14:textFill>
        </w:rPr>
        <w:t>tC/a</w:t>
      </w:r>
      <w:r>
        <w:rPr>
          <w:rFonts w:cs="Times New Roman"/>
          <w:bCs/>
          <w:color w:val="000000" w:themeColor="text1"/>
          <w:highlight w:val="none"/>
          <w14:textFill>
            <w14:solidFill>
              <w14:schemeClr w14:val="tx1"/>
            </w14:solidFill>
          </w14:textFill>
        </w:rPr>
        <w:t>，损失总生物量为88.28t，占评价区总生产力和总生物量的比例为4.33%和4.08%，占比极低。</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建设不会对该区域植被分布情况造成大的改变，项目对评价区内的自然生态系统的完整性和结构稳定性影响较小，随着退役后占地设施拆除和地形地貌以及植被恢复措施的实施，评价区内自然生态系统面积、结构和功能会得到进一步恢复；生态系统的结构与功能完整性、以及生态服务功能的完整性并不会受到项目建设的直接影响，依然具有维持良性发展的潜力。</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对生态系统结构稳定性分析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项目占地主要为井场及边坡、主放喷池及管线、副放喷池及边坡、副放喷管线及施工便道、表土堆放区、弃土区、生活营区占地，占地总面积</w:t>
      </w:r>
      <w:r>
        <w:rPr>
          <w:rFonts w:hint="eastAsia" w:cs="Times New Roman"/>
          <w:bCs/>
          <w:color w:val="000000" w:themeColor="text1"/>
          <w:highlight w:val="none"/>
          <w14:textFill>
            <w14:solidFill>
              <w14:schemeClr w14:val="tx1"/>
            </w14:solidFill>
          </w14:textFill>
        </w:rPr>
        <w:t>1.7314</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，占评价范围总面积的5.15%，对该区域植被分布情况和植被群落结构造成</w:t>
      </w:r>
      <w:r>
        <w:rPr>
          <w:rFonts w:hint="eastAsia" w:cs="Times New Roman"/>
          <w:bCs/>
          <w:color w:val="000000" w:themeColor="text1"/>
          <w:highlight w:val="none"/>
          <w:lang w:val="en-US" w:eastAsia="zh-CN"/>
          <w14:textFill>
            <w14:solidFill>
              <w14:schemeClr w14:val="tx1"/>
            </w14:solidFill>
          </w14:textFill>
        </w:rPr>
        <w:t>影响较小</w:t>
      </w:r>
      <w:r>
        <w:rPr>
          <w:rFonts w:cs="Times New Roman"/>
          <w:bCs/>
          <w:color w:val="000000" w:themeColor="text1"/>
          <w:highlight w:val="none"/>
          <w14:textFill>
            <w14:solidFill>
              <w14:schemeClr w14:val="tx1"/>
            </w14:solidFill>
          </w14:textFill>
        </w:rPr>
        <w:t>，项目对评价区内的草地自然生态系统的类型完整性和结构稳定性影响可忽略不计，随着退役后占地设施拆除和地形地貌以及植被恢复措施的实施，评价区内各生态系统（尤其是森林、灌丛）面积、结构和功能会得到进一步恢复；各类生态系统的结构与功能完整性、以及生态服务功能的完整性并不会受到项目施工运营的直接影响，依然具有维持良性发展的潜力。</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对生态系统完整性的影响分析</w:t>
      </w:r>
    </w:p>
    <w:p>
      <w:pPr>
        <w:adjustRightInd/>
        <w:snapToGrid/>
        <w:ind w:firstLine="480"/>
        <w:rPr>
          <w:rFonts w:eastAsia="黑体" w:cs="Times New Roman"/>
          <w:bCs/>
          <w:color w:val="000000" w:themeColor="text1"/>
          <w:highlight w:val="none"/>
          <w14:textFill>
            <w14:solidFill>
              <w14:schemeClr w14:val="tx1"/>
            </w14:solidFill>
          </w14:textFill>
        </w:rPr>
      </w:pPr>
      <w:r>
        <w:rPr>
          <w:rFonts w:eastAsia="黑体" w:cs="Times New Roman"/>
          <w:bCs/>
          <w:color w:val="000000" w:themeColor="text1"/>
          <w:highlight w:val="none"/>
          <w14:textFill>
            <w14:solidFill>
              <w14:schemeClr w14:val="tx1"/>
            </w14:solidFill>
          </w14:textFill>
        </w:rPr>
        <w:t>1、对生态效能的影响</w:t>
      </w:r>
    </w:p>
    <w:p>
      <w:pPr>
        <w:adjustRightInd/>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施工占用的植被均属于当地常见的物种，项目建设虽然会对该区域的生态环境和生态效能产生一定影响，但是局部植被资源的减少对区域生态效能影响不大。同时，项目在设计与施工各个环节中采取多种水土保持措施，项目退役后通过地形地貌及植被更新恢复，可保持较稳定的生态系统，因此项目建设对生态效能的影响可忽略不计。</w:t>
      </w:r>
    </w:p>
    <w:p>
      <w:pPr>
        <w:adjustRightInd/>
        <w:snapToGrid/>
        <w:ind w:firstLine="480"/>
        <w:rPr>
          <w:rFonts w:eastAsia="黑体" w:cs="Times New Roman"/>
          <w:bCs/>
          <w:color w:val="000000" w:themeColor="text1"/>
          <w:highlight w:val="none"/>
          <w14:textFill>
            <w14:solidFill>
              <w14:schemeClr w14:val="tx1"/>
            </w14:solidFill>
          </w14:textFill>
        </w:rPr>
      </w:pPr>
      <w:r>
        <w:rPr>
          <w:rFonts w:eastAsia="黑体" w:cs="Times New Roman"/>
          <w:bCs/>
          <w:color w:val="000000" w:themeColor="text1"/>
          <w:highlight w:val="none"/>
          <w14:textFill>
            <w14:solidFill>
              <w14:schemeClr w14:val="tx1"/>
            </w14:solidFill>
          </w14:textFill>
        </w:rPr>
        <w:t>2、对景观风貌的影响</w:t>
      </w:r>
    </w:p>
    <w:p>
      <w:pPr>
        <w:adjustRightInd/>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项目建设产生的表土剥离、运输等活动，均会影响土体的结构，降低原来地表的固土保水能力，改变其结构特征，自然景观受到一定影响，但在项目退役后，随着占地设施拆除及</w:t>
      </w:r>
      <w:r>
        <w:rPr>
          <w:rFonts w:hint="eastAsia" w:cs="Times New Roman"/>
          <w:bCs/>
          <w:color w:val="000000" w:themeColor="text1"/>
          <w:highlight w:val="none"/>
          <w14:textFill>
            <w14:solidFill>
              <w14:schemeClr w14:val="tx1"/>
            </w14:solidFill>
          </w14:textFill>
        </w:rPr>
        <w:t>土地复垦、</w:t>
      </w:r>
      <w:r>
        <w:rPr>
          <w:rFonts w:cs="Times New Roman"/>
          <w:bCs/>
          <w:color w:val="000000" w:themeColor="text1"/>
          <w:highlight w:val="none"/>
          <w14:textFill>
            <w14:solidFill>
              <w14:schemeClr w14:val="tx1"/>
            </w14:solidFill>
          </w14:textFill>
        </w:rPr>
        <w:t>植被自然恢复，项目区范围内的动、植物的繁衍条件将得以恢复，景观风貌也会逐步恢复。</w:t>
      </w:r>
    </w:p>
    <w:p>
      <w:pPr>
        <w:adjustRightInd/>
        <w:snapToGrid/>
        <w:ind w:firstLine="480"/>
        <w:rPr>
          <w:rFonts w:eastAsia="黑体" w:cs="Times New Roman"/>
          <w:bCs/>
          <w:color w:val="000000" w:themeColor="text1"/>
          <w:highlight w:val="none"/>
          <w14:textFill>
            <w14:solidFill>
              <w14:schemeClr w14:val="tx1"/>
            </w14:solidFill>
          </w14:textFill>
        </w:rPr>
      </w:pPr>
      <w:r>
        <w:rPr>
          <w:rFonts w:eastAsia="黑体" w:cs="Times New Roman"/>
          <w:bCs/>
          <w:color w:val="000000" w:themeColor="text1"/>
          <w:highlight w:val="none"/>
          <w14:textFill>
            <w14:solidFill>
              <w14:schemeClr w14:val="tx1"/>
            </w14:solidFill>
          </w14:textFill>
        </w:rPr>
        <w:t>3、对环境质量的影响</w:t>
      </w:r>
    </w:p>
    <w:p>
      <w:pPr>
        <w:adjustRightInd/>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建设过程中将造成一定的地表植被破坏，加剧水土流失；占地区表土剥离、运输、堆放等过程产生的扬尘和粉尘，造成小部分空气环境污染；施工中产生的废水、生活污水可能引起周边水质暂时的污染。但其不利影响是短暂的，项目建设过程中采取的技术措施可最大程度减少负面影响，项目建设对环境质量的影响很小。</w:t>
      </w:r>
    </w:p>
    <w:p>
      <w:pPr>
        <w:adjustRightInd/>
        <w:snapToGrid/>
        <w:ind w:firstLine="480"/>
        <w:rPr>
          <w:rFonts w:eastAsia="黑体" w:cs="Times New Roman"/>
          <w:bCs/>
          <w:color w:val="000000" w:themeColor="text1"/>
          <w:highlight w:val="none"/>
          <w14:textFill>
            <w14:solidFill>
              <w14:schemeClr w14:val="tx1"/>
            </w14:solidFill>
          </w14:textFill>
        </w:rPr>
      </w:pPr>
      <w:r>
        <w:rPr>
          <w:rFonts w:eastAsia="黑体" w:cs="Times New Roman"/>
          <w:bCs/>
          <w:color w:val="000000" w:themeColor="text1"/>
          <w:highlight w:val="none"/>
          <w14:textFill>
            <w14:solidFill>
              <w14:schemeClr w14:val="tx1"/>
            </w14:solidFill>
          </w14:textFill>
        </w:rPr>
        <w:t>4、对物种多样性的影响</w:t>
      </w:r>
    </w:p>
    <w:p>
      <w:pPr>
        <w:adjustRightInd/>
        <w:snapToGrid/>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项目占地范围植被类型主要</w:t>
      </w:r>
      <w:r>
        <w:rPr>
          <w:rFonts w:hint="eastAsia" w:cs="Times New Roman"/>
          <w:bCs/>
          <w:color w:val="000000" w:themeColor="text1"/>
          <w:highlight w:val="none"/>
          <w14:textFill>
            <w14:solidFill>
              <w14:schemeClr w14:val="tx1"/>
            </w14:solidFill>
          </w14:textFill>
        </w:rPr>
        <w:t>为</w:t>
      </w:r>
      <w:r>
        <w:rPr>
          <w:rFonts w:hint="eastAsia" w:cs="Times New Roman"/>
          <w:bCs/>
          <w:color w:val="000000" w:themeColor="text1"/>
          <w:highlight w:val="none"/>
          <w:lang w:val="en-US" w:eastAsia="zh-CN"/>
          <w14:textFill>
            <w14:solidFill>
              <w14:schemeClr w14:val="tx1"/>
            </w14:solidFill>
          </w14:textFill>
        </w:rPr>
        <w:t>乔木林</w:t>
      </w:r>
      <w:r>
        <w:rPr>
          <w:rFonts w:hint="eastAsia" w:cs="Times New Roman"/>
          <w:bCs/>
          <w:color w:val="000000" w:themeColor="text1"/>
          <w:highlight w:val="none"/>
          <w14:textFill>
            <w14:solidFill>
              <w14:schemeClr w14:val="tx1"/>
            </w14:solidFill>
          </w14:textFill>
        </w:rPr>
        <w:t>地植被</w:t>
      </w:r>
      <w:r>
        <w:rPr>
          <w:rFonts w:cs="Times New Roman"/>
          <w:bCs/>
          <w:color w:val="000000" w:themeColor="text1"/>
          <w:highlight w:val="none"/>
          <w14:textFill>
            <w14:solidFill>
              <w14:schemeClr w14:val="tx1"/>
            </w14:solidFill>
          </w14:textFill>
        </w:rPr>
        <w:t>，群落结构和组成相对简单，且均为当地常见类型，分布较广，施工期对生物群落多样性、生态系统多样性及完整性的影响较小，项目占地不会对用地范围物种多样性和生态功能产生较大影响。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综上所述，项目建设对项目区及周边区域生态效能、景观风貌、环境质量、物种多样性等生态因子影响很小，项目建设不会对区域生态完整性产生影响。</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对生态系统服务功能的影响分析</w:t>
      </w:r>
    </w:p>
    <w:p>
      <w:pPr>
        <w:adjustRightInd/>
        <w:snapToGrid/>
        <w:ind w:firstLine="480"/>
        <w:rPr>
          <w:rFonts w:eastAsia="黑体" w:cs="Times New Roman"/>
          <w:bCs/>
          <w:color w:val="000000" w:themeColor="text1"/>
          <w:highlight w:val="none"/>
          <w14:textFill>
            <w14:solidFill>
              <w14:schemeClr w14:val="tx1"/>
            </w14:solidFill>
          </w14:textFill>
        </w:rPr>
      </w:pPr>
      <w:r>
        <w:rPr>
          <w:rFonts w:hint="eastAsia" w:eastAsia="黑体" w:cs="Times New Roman"/>
          <w:bCs/>
          <w:color w:val="000000" w:themeColor="text1"/>
          <w:highlight w:val="none"/>
          <w14:textFill>
            <w14:solidFill>
              <w14:schemeClr w14:val="tx1"/>
            </w14:solidFill>
          </w14:textFill>
        </w:rPr>
        <w:t>1、</w:t>
      </w:r>
      <w:r>
        <w:rPr>
          <w:rFonts w:eastAsia="黑体" w:cs="Times New Roman"/>
          <w:bCs/>
          <w:color w:val="000000" w:themeColor="text1"/>
          <w:highlight w:val="none"/>
          <w14:textFill>
            <w14:solidFill>
              <w14:schemeClr w14:val="tx1"/>
            </w14:solidFill>
          </w14:textFill>
        </w:rPr>
        <w:t>水土流失与水源涵养功能的影响</w:t>
      </w:r>
    </w:p>
    <w:p>
      <w:pPr>
        <w:pStyle w:val="132"/>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评价区地表植被覆盖度高，但由于地形地貌的特殊性和降水量较大等特点使得水力侵蚀过程明显。项目建设对评价区水土流失的影响主要集中在项目建设期施工占地，如果不能及时采取相应的防护措施处理或治理，会造成新的水土流失。在项目施工过程中要尽量减少了对周边区域地表植被的破坏，并对填挖高度进行严格的控制。</w:t>
      </w:r>
    </w:p>
    <w:p>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森林和灌草丛等在评价区内发挥着较为重要的水源涵养功能，因此在施工结束及运营阶段应特别注重林草种植和植被恢复，通过增加植被覆盖，促进土壤蓄渗降水；而乔灌的枯枝落叶层吸收水分等方式对水资源进行充分利用，尽量选择乡土阔叶植物作为恢复树种，注意因地制宜和加强管理。</w:t>
      </w:r>
    </w:p>
    <w:p>
      <w:pPr>
        <w:adjustRightInd/>
        <w:snapToGrid/>
        <w:ind w:firstLine="480"/>
        <w:rPr>
          <w:rFonts w:eastAsia="黑体" w:cs="Times New Roman"/>
          <w:bCs/>
          <w:color w:val="000000" w:themeColor="text1"/>
          <w:highlight w:val="none"/>
          <w14:textFill>
            <w14:solidFill>
              <w14:schemeClr w14:val="tx1"/>
            </w14:solidFill>
          </w14:textFill>
        </w:rPr>
      </w:pPr>
      <w:r>
        <w:rPr>
          <w:rFonts w:hint="eastAsia" w:eastAsia="黑体" w:cs="Times New Roman"/>
          <w:bCs/>
          <w:color w:val="000000" w:themeColor="text1"/>
          <w:highlight w:val="none"/>
          <w14:textFill>
            <w14:solidFill>
              <w14:schemeClr w14:val="tx1"/>
            </w14:solidFill>
          </w14:textFill>
        </w:rPr>
        <w:t>2、对其它生态服务功能的影响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区内陆生生态资源除具有防止水土流失和水源涵养功能外，还具有保育土壤功能、净化大气环境、固碳释放以及积累营养物质等多种生态服务功能。其中保育土壤主要是指森林中活地被物和凋落物层层截留降水，降低水滴对表土的冲击和地表径流的侵蚀作用；同时林木根系固持土壤，防止土壤崩塌泻溜，减少土壤肥力损失以及改善土壤结构的功能，这就要求施工和试采期间的闲置土地及裸地应及时种植植被，以减少土壤养分的流失。本项目建设尽管占用了部分</w:t>
      </w:r>
      <w:r>
        <w:rPr>
          <w:rFonts w:hint="eastAsia" w:cs="Times New Roman"/>
          <w:bCs/>
          <w:color w:val="000000" w:themeColor="text1"/>
          <w:highlight w:val="none"/>
          <w:lang w:val="en-US" w:eastAsia="zh-CN"/>
          <w14:textFill>
            <w14:solidFill>
              <w14:schemeClr w14:val="tx1"/>
            </w14:solidFill>
          </w14:textFill>
        </w:rPr>
        <w:t>林地</w:t>
      </w:r>
      <w:r>
        <w:rPr>
          <w:rFonts w:cs="Times New Roman"/>
          <w:bCs/>
          <w:color w:val="000000" w:themeColor="text1"/>
          <w:highlight w:val="none"/>
          <w14:textFill>
            <w14:solidFill>
              <w14:schemeClr w14:val="tx1"/>
            </w14:solidFill>
          </w14:textFill>
        </w:rPr>
        <w:t>生态系统，部分改变了土地利用类型，但对评价区内自然生态系统肩负的维持生物多样性、净化空气、调节小气候等生态服务功能的影响还是非常间接和有限的。</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综上所述，本项目的建设对评价范围生态环境会有一定的影响，但不会显著改变评价范围的植物物种多样性状况、植被组成类型、动物多样性和种群结构组成。项目建设对景观生态系统的影响范围有限，评价范围内各类拼块构成、廊道类型和基质特点、各类环境资源拼块优势度等景观格局和动态不会发生明显变化；森林生态系统、灌丛和草地生态系统的稳定性和景观完整性没有显著影响。在采取植被恢复、水土流失防治措施、野生动植物保护等措施的情况下，本项目造成的生态影响可得到有效减缓，生态系统的稳定性尚好。</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对物种多样性的影响分析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项目占用的生态系统类型主要为针阔混交林生态系统，面积为</w:t>
      </w:r>
      <w:r>
        <w:rPr>
          <w:rFonts w:cs="Times New Roman"/>
          <w:bCs/>
          <w:color w:val="000000" w:themeColor="text1"/>
          <w:szCs w:val="24"/>
          <w:highlight w:val="none"/>
          <w14:textFill>
            <w14:solidFill>
              <w14:schemeClr w14:val="tx1"/>
            </w14:solidFill>
          </w14:textFill>
        </w:rPr>
        <w:t>0.8254</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，占评价范围比例为2.68%；其次为灌丛生态系统，面积为</w:t>
      </w:r>
      <w:r>
        <w:rPr>
          <w:rFonts w:cs="Times New Roman"/>
          <w:bCs/>
          <w:color w:val="000000" w:themeColor="text1"/>
          <w:szCs w:val="24"/>
          <w:highlight w:val="none"/>
          <w14:textFill>
            <w14:solidFill>
              <w14:schemeClr w14:val="tx1"/>
            </w14:solidFill>
          </w14:textFill>
        </w:rPr>
        <w:t>0.5312</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，占评价范围比例为1.72%；占用人工生态系统，面积为</w:t>
      </w:r>
      <w:r>
        <w:rPr>
          <w:rFonts w:cs="Times New Roman"/>
          <w:bCs/>
          <w:color w:val="000000" w:themeColor="text1"/>
          <w:szCs w:val="24"/>
          <w:highlight w:val="none"/>
          <w14:textFill>
            <w14:solidFill>
              <w14:schemeClr w14:val="tx1"/>
            </w14:solidFill>
          </w14:textFill>
        </w:rPr>
        <w:t>0.2328</w:t>
      </w:r>
      <w:r>
        <w:rPr>
          <w:rFonts w:cs="Times New Roman"/>
          <w:bCs/>
          <w:color w:val="000000" w:themeColor="text1"/>
          <w:highlight w:val="none"/>
          <w14:textFill>
            <w14:solidFill>
              <w14:schemeClr w14:val="tx1"/>
            </w14:solidFill>
          </w14:textFill>
        </w:rPr>
        <w:t>hm</w:t>
      </w:r>
      <w:r>
        <w:rPr>
          <w:rFonts w:cs="Times New Roman"/>
          <w:bCs/>
          <w:color w:val="000000" w:themeColor="text1"/>
          <w:highlight w:val="none"/>
          <w:vertAlign w:val="superscript"/>
          <w14:textFill>
            <w14:solidFill>
              <w14:schemeClr w14:val="tx1"/>
            </w14:solidFill>
          </w14:textFill>
        </w:rPr>
        <w:t>2</w:t>
      </w:r>
      <w:r>
        <w:rPr>
          <w:rFonts w:cs="Times New Roman"/>
          <w:bCs/>
          <w:color w:val="000000" w:themeColor="text1"/>
          <w:highlight w:val="none"/>
          <w14:textFill>
            <w14:solidFill>
              <w14:schemeClr w14:val="tx1"/>
            </w14:solidFill>
          </w14:textFill>
        </w:rPr>
        <w:t>，占评价范围比例为0.75%。</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建设影响的只是占地范围内的物种多样性，由原来的森林、灌丛生态系统临时变为工矿用地生态系统，损失的只是占地期限内占地范围的生物量和生产力，不会产生时间或空间的累计作用，不会导致生境丧失、退化及破碎化、生态系 统退化、生物多样性下降等情况发生。</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对陆生野生动物的影响分析</w:t>
      </w:r>
    </w:p>
    <w:p>
      <w:pPr>
        <w:adjustRightInd/>
        <w:snapToGrid/>
        <w:ind w:firstLine="480"/>
        <w:rPr>
          <w:rFonts w:eastAsia="黑体" w:cs="Times New Roman"/>
          <w:bCs/>
          <w:color w:val="000000" w:themeColor="text1"/>
          <w:highlight w:val="none"/>
          <w14:textFill>
            <w14:solidFill>
              <w14:schemeClr w14:val="tx1"/>
            </w14:solidFill>
          </w14:textFill>
        </w:rPr>
      </w:pPr>
      <w:r>
        <w:rPr>
          <w:rFonts w:hint="eastAsia" w:eastAsia="黑体" w:cs="Times New Roman"/>
          <w:bCs/>
          <w:color w:val="000000" w:themeColor="text1"/>
          <w:highlight w:val="none"/>
          <w14:textFill>
            <w14:solidFill>
              <w14:schemeClr w14:val="tx1"/>
            </w14:solidFill>
          </w14:textFill>
        </w:rPr>
        <w:t>1、施工占地</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项目占地类型主要为</w:t>
      </w:r>
      <w:r>
        <w:rPr>
          <w:rFonts w:hint="eastAsia" w:cs="Times New Roman"/>
          <w:bCs/>
          <w:color w:val="000000" w:themeColor="text1"/>
          <w:highlight w:val="none"/>
          <w:lang w:val="en-US" w:eastAsia="zh-CN"/>
          <w14:textFill>
            <w14:solidFill>
              <w14:schemeClr w14:val="tx1"/>
            </w14:solidFill>
          </w14:textFill>
        </w:rPr>
        <w:t>乔木林地</w:t>
      </w:r>
      <w:r>
        <w:rPr>
          <w:rFonts w:cs="Times New Roman"/>
          <w:bCs/>
          <w:color w:val="000000" w:themeColor="text1"/>
          <w:highlight w:val="none"/>
          <w14:textFill>
            <w14:solidFill>
              <w14:schemeClr w14:val="tx1"/>
            </w14:solidFill>
          </w14:textFill>
        </w:rPr>
        <w:t>。生活在这类土地的动物均为常见种，如鸟、兔、鼠类等，施工占地等会改变周边小生境，对其生存环境有短暂影响，对于依赖灌草丛为栖息、活动、隐蔽场所的野生动物来说，其生境在某种程度上会受到一定的影响，但在非施工区也可以找到相同或相似生境，可迁移到合适生境中生活，对其生存不会造成威胁，项目退役后这类动物还可迁回。对于迁移能力弱的动物，因占地面积较少，损失只局限于少数个体，不会对种群数量产生影响。</w:t>
      </w:r>
    </w:p>
    <w:p>
      <w:pPr>
        <w:adjustRightInd/>
        <w:snapToGrid/>
        <w:ind w:firstLine="480"/>
        <w:rPr>
          <w:rFonts w:eastAsia="黑体" w:cs="Times New Roman"/>
          <w:bCs/>
          <w:color w:val="000000" w:themeColor="text1"/>
          <w:highlight w:val="none"/>
          <w14:textFill>
            <w14:solidFill>
              <w14:schemeClr w14:val="tx1"/>
            </w14:solidFill>
          </w14:textFill>
        </w:rPr>
      </w:pPr>
      <w:r>
        <w:rPr>
          <w:rFonts w:hint="eastAsia" w:eastAsia="黑体" w:cs="Times New Roman"/>
          <w:bCs/>
          <w:color w:val="000000" w:themeColor="text1"/>
          <w:highlight w:val="none"/>
          <w14:textFill>
            <w14:solidFill>
              <w14:schemeClr w14:val="tx1"/>
            </w14:solidFill>
          </w14:textFill>
        </w:rPr>
        <w:t>2、施工人员非法捕猎</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由于施工人员进入，可能有非法捕猎，直接杀死动物、鸟类。可通过加强教育宣传来杜绝此类行为。</w:t>
      </w:r>
    </w:p>
    <w:p>
      <w:pPr>
        <w:adjustRightInd/>
        <w:snapToGrid/>
        <w:ind w:firstLine="480"/>
        <w:rPr>
          <w:rFonts w:eastAsia="黑体" w:cs="Times New Roman"/>
          <w:bCs/>
          <w:color w:val="000000" w:themeColor="text1"/>
          <w:highlight w:val="none"/>
          <w14:textFill>
            <w14:solidFill>
              <w14:schemeClr w14:val="tx1"/>
            </w14:solidFill>
          </w14:textFill>
        </w:rPr>
      </w:pPr>
      <w:r>
        <w:rPr>
          <w:rFonts w:hint="eastAsia" w:eastAsia="黑体" w:cs="Times New Roman"/>
          <w:bCs/>
          <w:color w:val="000000" w:themeColor="text1"/>
          <w:highlight w:val="none"/>
          <w14:textFill>
            <w14:solidFill>
              <w14:schemeClr w14:val="tx1"/>
            </w14:solidFill>
          </w14:textFill>
        </w:rPr>
        <w:t>3、</w:t>
      </w:r>
      <w:r>
        <w:rPr>
          <w:rFonts w:eastAsia="黑体" w:cs="Times New Roman"/>
          <w:bCs/>
          <w:color w:val="000000" w:themeColor="text1"/>
          <w:highlight w:val="none"/>
          <w14:textFill>
            <w14:solidFill>
              <w14:schemeClr w14:val="tx1"/>
            </w14:solidFill>
          </w14:textFill>
        </w:rPr>
        <w:t>施工活动</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通过回顾性类比分析项目附近的《大湾408-3井试采地面工程环评报告书》可知，本项目施工活动对野生动物影响较小。</w:t>
      </w:r>
    </w:p>
    <w:p>
      <w:pPr>
        <w:ind w:left="60" w:right="100" w:firstLine="480"/>
        <w:rPr>
          <w:rFonts w:cs="Times New Roman"/>
          <w:color w:val="000000" w:themeColor="text1"/>
          <w:szCs w:val="24"/>
          <w:highlight w:val="none"/>
          <w:lang w:bidi="ar"/>
          <w14:textFill>
            <w14:solidFill>
              <w14:schemeClr w14:val="tx1"/>
            </w14:solidFill>
          </w14:textFill>
        </w:rPr>
      </w:pPr>
      <w:r>
        <w:rPr>
          <w:rFonts w:hint="eastAsia" w:cs="Times New Roman"/>
          <w:color w:val="000000" w:themeColor="text1"/>
          <w:szCs w:val="24"/>
          <w:highlight w:val="none"/>
          <w:lang w:bidi="ar"/>
          <w14:textFill>
            <w14:solidFill>
              <w14:schemeClr w14:val="tx1"/>
            </w14:solidFill>
          </w14:textFill>
        </w:rPr>
        <w:t>项目</w:t>
      </w:r>
      <w:r>
        <w:rPr>
          <w:rFonts w:cs="Times New Roman"/>
          <w:color w:val="000000" w:themeColor="text1"/>
          <w:szCs w:val="24"/>
          <w:highlight w:val="none"/>
          <w:lang w:bidi="ar"/>
          <w14:textFill>
            <w14:solidFill>
              <w14:schemeClr w14:val="tx1"/>
            </w14:solidFill>
          </w14:textFill>
        </w:rPr>
        <w:t>施工</w:t>
      </w:r>
      <w:r>
        <w:rPr>
          <w:rFonts w:hint="eastAsia" w:cs="Times New Roman"/>
          <w:color w:val="000000" w:themeColor="text1"/>
          <w:szCs w:val="24"/>
          <w:highlight w:val="none"/>
          <w:lang w:bidi="ar"/>
          <w14:textFill>
            <w14:solidFill>
              <w14:schemeClr w14:val="tx1"/>
            </w14:solidFill>
          </w14:textFill>
        </w:rPr>
        <w:t>期间对评价区野生动物的</w:t>
      </w:r>
      <w:r>
        <w:rPr>
          <w:rFonts w:cs="Times New Roman"/>
          <w:color w:val="000000" w:themeColor="text1"/>
          <w:szCs w:val="24"/>
          <w:highlight w:val="none"/>
          <w:lang w:bidi="ar"/>
          <w14:textFill>
            <w14:solidFill>
              <w14:schemeClr w14:val="tx1"/>
            </w14:solidFill>
          </w14:textFill>
        </w:rPr>
        <w:t>主要影响因素是</w:t>
      </w:r>
      <w:r>
        <w:rPr>
          <w:rFonts w:hint="eastAsia" w:cs="Times New Roman"/>
          <w:color w:val="000000" w:themeColor="text1"/>
          <w:szCs w:val="24"/>
          <w:highlight w:val="none"/>
          <w:lang w:bidi="ar"/>
          <w14:textFill>
            <w14:solidFill>
              <w14:schemeClr w14:val="tx1"/>
            </w14:solidFill>
          </w14:textFill>
        </w:rPr>
        <w:t>施工活动产生的噪声、振动、</w:t>
      </w:r>
      <w:r>
        <w:rPr>
          <w:rFonts w:cs="Times New Roman"/>
          <w:color w:val="000000" w:themeColor="text1"/>
          <w:szCs w:val="24"/>
          <w:highlight w:val="none"/>
          <w:lang w:bidi="ar"/>
          <w14:textFill>
            <w14:solidFill>
              <w14:schemeClr w14:val="tx1"/>
            </w14:solidFill>
          </w14:textFill>
        </w:rPr>
        <w:t>灯光、粉尘</w:t>
      </w:r>
      <w:r>
        <w:rPr>
          <w:rFonts w:hint="eastAsia" w:cs="Times New Roman"/>
          <w:color w:val="000000" w:themeColor="text1"/>
          <w:szCs w:val="24"/>
          <w:highlight w:val="none"/>
          <w:lang w:bidi="ar"/>
          <w14:textFill>
            <w14:solidFill>
              <w14:schemeClr w14:val="tx1"/>
            </w14:solidFill>
          </w14:textFill>
        </w:rPr>
        <w:t>以及</w:t>
      </w:r>
      <w:r>
        <w:rPr>
          <w:rFonts w:cs="Times New Roman"/>
          <w:color w:val="000000" w:themeColor="text1"/>
          <w:szCs w:val="24"/>
          <w:highlight w:val="none"/>
          <w:lang w:bidi="ar"/>
          <w14:textFill>
            <w14:solidFill>
              <w14:schemeClr w14:val="tx1"/>
            </w14:solidFill>
          </w14:textFill>
        </w:rPr>
        <w:t>大量施工人员的进驻，对原生的动物造成惊扰，被迫迁移出原生境。</w:t>
      </w:r>
      <w:r>
        <w:rPr>
          <w:rFonts w:hint="eastAsia" w:cs="Times New Roman"/>
          <w:color w:val="000000" w:themeColor="text1"/>
          <w:szCs w:val="24"/>
          <w:highlight w:val="none"/>
          <w:lang w:bidi="ar"/>
          <w14:textFill>
            <w14:solidFill>
              <w14:schemeClr w14:val="tx1"/>
            </w14:solidFill>
          </w14:textFill>
        </w:rPr>
        <w:t>或者</w:t>
      </w:r>
      <w:r>
        <w:rPr>
          <w:rFonts w:cs="Times New Roman"/>
          <w:color w:val="000000" w:themeColor="text1"/>
          <w:szCs w:val="24"/>
          <w:highlight w:val="none"/>
          <w:lang w:bidi="ar"/>
          <w14:textFill>
            <w14:solidFill>
              <w14:schemeClr w14:val="tx1"/>
            </w14:solidFill>
          </w14:textFill>
        </w:rPr>
        <w:t>火源管理不当，</w:t>
      </w:r>
      <w:r>
        <w:rPr>
          <w:rFonts w:hint="eastAsia" w:cs="Times New Roman"/>
          <w:color w:val="000000" w:themeColor="text1"/>
          <w:szCs w:val="24"/>
          <w:highlight w:val="none"/>
          <w:lang w:bidi="ar"/>
          <w14:textFill>
            <w14:solidFill>
              <w14:schemeClr w14:val="tx1"/>
            </w14:solidFill>
          </w14:textFill>
        </w:rPr>
        <w:t>以及</w:t>
      </w:r>
      <w:r>
        <w:rPr>
          <w:rFonts w:cs="Times New Roman"/>
          <w:color w:val="000000" w:themeColor="text1"/>
          <w:szCs w:val="24"/>
          <w:highlight w:val="none"/>
          <w:lang w:bidi="ar"/>
          <w14:textFill>
            <w14:solidFill>
              <w14:schemeClr w14:val="tx1"/>
            </w14:solidFill>
          </w14:textFill>
        </w:rPr>
        <w:t>施工人员吸烟等引发森林火灾，这将对</w:t>
      </w:r>
      <w:r>
        <w:rPr>
          <w:rFonts w:hint="eastAsia" w:cs="Times New Roman"/>
          <w:color w:val="000000" w:themeColor="text1"/>
          <w:szCs w:val="24"/>
          <w:highlight w:val="none"/>
          <w:lang w:bidi="ar"/>
          <w14:textFill>
            <w14:solidFill>
              <w14:schemeClr w14:val="tx1"/>
            </w14:solidFill>
          </w14:textFill>
        </w:rPr>
        <w:t>评价</w:t>
      </w:r>
      <w:r>
        <w:rPr>
          <w:rFonts w:cs="Times New Roman"/>
          <w:color w:val="000000" w:themeColor="text1"/>
          <w:szCs w:val="24"/>
          <w:highlight w:val="none"/>
          <w:lang w:bidi="ar"/>
          <w14:textFill>
            <w14:solidFill>
              <w14:schemeClr w14:val="tx1"/>
            </w14:solidFill>
          </w14:textFill>
        </w:rPr>
        <w:t>区内陆生动物造成严重影响。</w:t>
      </w:r>
    </w:p>
    <w:p>
      <w:pPr>
        <w:ind w:left="60" w:right="100" w:firstLine="480"/>
        <w:rPr>
          <w:rFonts w:cs="Times New Roman"/>
          <w:color w:val="000000" w:themeColor="text1"/>
          <w:szCs w:val="24"/>
          <w:highlight w:val="none"/>
          <w:lang w:bidi="ar"/>
          <w14:textFill>
            <w14:solidFill>
              <w14:schemeClr w14:val="tx1"/>
            </w14:solidFill>
          </w14:textFill>
        </w:rPr>
      </w:pPr>
      <w:r>
        <w:rPr>
          <w:rFonts w:hint="eastAsia" w:cs="Times New Roman"/>
          <w:color w:val="000000" w:themeColor="text1"/>
          <w:szCs w:val="24"/>
          <w:highlight w:val="none"/>
          <w:lang w:bidi="ar"/>
          <w14:textFill>
            <w14:solidFill>
              <w14:schemeClr w14:val="tx1"/>
            </w14:solidFill>
          </w14:textFill>
        </w:rPr>
        <w:t>项目</w:t>
      </w:r>
      <w:r>
        <w:rPr>
          <w:rFonts w:cs="Times New Roman"/>
          <w:color w:val="000000" w:themeColor="text1"/>
          <w:szCs w:val="24"/>
          <w:highlight w:val="none"/>
          <w:lang w:bidi="ar"/>
          <w14:textFill>
            <w14:solidFill>
              <w14:schemeClr w14:val="tx1"/>
            </w14:solidFill>
          </w14:textFill>
        </w:rPr>
        <w:t>施工</w:t>
      </w:r>
      <w:r>
        <w:rPr>
          <w:rFonts w:hint="eastAsia" w:cs="Times New Roman"/>
          <w:color w:val="000000" w:themeColor="text1"/>
          <w:szCs w:val="24"/>
          <w:highlight w:val="none"/>
          <w:lang w:bidi="ar"/>
          <w14:textFill>
            <w14:solidFill>
              <w14:schemeClr w14:val="tx1"/>
            </w14:solidFill>
          </w14:textFill>
        </w:rPr>
        <w:t>期间产生的</w:t>
      </w:r>
      <w:r>
        <w:rPr>
          <w:rFonts w:cs="Times New Roman"/>
          <w:color w:val="000000" w:themeColor="text1"/>
          <w:szCs w:val="24"/>
          <w:highlight w:val="none"/>
          <w:lang w:bidi="ar"/>
          <w14:textFill>
            <w14:solidFill>
              <w14:schemeClr w14:val="tx1"/>
            </w14:solidFill>
          </w14:textFill>
        </w:rPr>
        <w:t>噪声对动物的影响主要表现在噪声会影响动物的觅食、求偶等活动；振动主要是</w:t>
      </w:r>
      <w:r>
        <w:rPr>
          <w:rFonts w:hint="eastAsia" w:cs="Times New Roman"/>
          <w:color w:val="000000" w:themeColor="text1"/>
          <w:szCs w:val="24"/>
          <w:highlight w:val="none"/>
          <w:lang w:bidi="ar"/>
          <w14:textFill>
            <w14:solidFill>
              <w14:schemeClr w14:val="tx1"/>
            </w14:solidFill>
          </w14:textFill>
        </w:rPr>
        <w:t>土石方挖掘</w:t>
      </w:r>
      <w:r>
        <w:rPr>
          <w:rFonts w:cs="Times New Roman"/>
          <w:color w:val="000000" w:themeColor="text1"/>
          <w:szCs w:val="24"/>
          <w:highlight w:val="none"/>
          <w:lang w:bidi="ar"/>
          <w14:textFill>
            <w14:solidFill>
              <w14:schemeClr w14:val="tx1"/>
            </w14:solidFill>
          </w14:textFill>
        </w:rPr>
        <w:t>以及</w:t>
      </w:r>
      <w:r>
        <w:rPr>
          <w:rFonts w:hint="eastAsia" w:cs="Times New Roman"/>
          <w:color w:val="000000" w:themeColor="text1"/>
          <w:szCs w:val="24"/>
          <w:highlight w:val="none"/>
          <w:lang w:bidi="ar"/>
          <w14:textFill>
            <w14:solidFill>
              <w14:schemeClr w14:val="tx1"/>
            </w14:solidFill>
          </w14:textFill>
        </w:rPr>
        <w:t>施工材料</w:t>
      </w:r>
      <w:r>
        <w:rPr>
          <w:rFonts w:cs="Times New Roman"/>
          <w:color w:val="000000" w:themeColor="text1"/>
          <w:szCs w:val="24"/>
          <w:highlight w:val="none"/>
          <w:lang w:bidi="ar"/>
          <w14:textFill>
            <w14:solidFill>
              <w14:schemeClr w14:val="tx1"/>
            </w14:solidFill>
          </w14:textFill>
        </w:rPr>
        <w:t>运输过程中产生的振动，地面的振动主要影响穴居以及在路旁灌草丛中活动的小动物，会对他们产生一定的惊扰；灯光主要体现在夜晚</w:t>
      </w:r>
      <w:r>
        <w:rPr>
          <w:rFonts w:hint="eastAsia" w:cs="Times New Roman"/>
          <w:color w:val="000000" w:themeColor="text1"/>
          <w:szCs w:val="24"/>
          <w:highlight w:val="none"/>
          <w:lang w:bidi="ar"/>
          <w14:textFill>
            <w14:solidFill>
              <w14:schemeClr w14:val="tx1"/>
            </w14:solidFill>
          </w14:textFill>
        </w:rPr>
        <w:t>施工</w:t>
      </w:r>
      <w:r>
        <w:rPr>
          <w:rFonts w:cs="Times New Roman"/>
          <w:color w:val="000000" w:themeColor="text1"/>
          <w:szCs w:val="24"/>
          <w:highlight w:val="none"/>
          <w:lang w:bidi="ar"/>
          <w14:textFill>
            <w14:solidFill>
              <w14:schemeClr w14:val="tx1"/>
            </w14:solidFill>
          </w14:textFill>
        </w:rPr>
        <w:t>运输时运输车辆的灯光，这些灯光可能会对夜间活动的动物造成影响。对于鸟类而言，它们都具有一定迁移能力，食物来源也呈多样化趋势，所以施工</w:t>
      </w:r>
      <w:r>
        <w:rPr>
          <w:rFonts w:hint="eastAsia" w:cs="Times New Roman"/>
          <w:color w:val="000000" w:themeColor="text1"/>
          <w:szCs w:val="24"/>
          <w:highlight w:val="none"/>
          <w:lang w:bidi="ar"/>
          <w14:textFill>
            <w14:solidFill>
              <w14:schemeClr w14:val="tx1"/>
            </w14:solidFill>
          </w14:textFill>
        </w:rPr>
        <w:t>期间</w:t>
      </w:r>
      <w:r>
        <w:rPr>
          <w:rFonts w:cs="Times New Roman"/>
          <w:color w:val="000000" w:themeColor="text1"/>
          <w:szCs w:val="24"/>
          <w:highlight w:val="none"/>
          <w:lang w:bidi="ar"/>
          <w14:textFill>
            <w14:solidFill>
              <w14:schemeClr w14:val="tx1"/>
            </w14:solidFill>
          </w14:textFill>
        </w:rPr>
        <w:t>不会对它们的栖息造成大的威胁。</w:t>
      </w:r>
    </w:p>
    <w:p>
      <w:pPr>
        <w:ind w:left="60" w:right="100" w:firstLine="480"/>
        <w:rPr>
          <w:rFonts w:cs="Times New Roman"/>
          <w:color w:val="000000" w:themeColor="text1"/>
          <w:szCs w:val="24"/>
          <w:highlight w:val="none"/>
          <w:lang w:bidi="ar"/>
          <w14:textFill>
            <w14:solidFill>
              <w14:schemeClr w14:val="tx1"/>
            </w14:solidFill>
          </w14:textFill>
        </w:rPr>
      </w:pPr>
      <w:r>
        <w:rPr>
          <w:rFonts w:hint="eastAsia" w:cs="Times New Roman"/>
          <w:color w:val="000000" w:themeColor="text1"/>
          <w:szCs w:val="24"/>
          <w:highlight w:val="none"/>
          <w:lang w:bidi="ar"/>
          <w14:textFill>
            <w14:solidFill>
              <w14:schemeClr w14:val="tx1"/>
            </w14:solidFill>
          </w14:textFill>
        </w:rPr>
        <w:t>项目</w:t>
      </w:r>
      <w:r>
        <w:rPr>
          <w:rFonts w:cs="Times New Roman"/>
          <w:color w:val="000000" w:themeColor="text1"/>
          <w:szCs w:val="24"/>
          <w:highlight w:val="none"/>
          <w:lang w:bidi="ar"/>
          <w14:textFill>
            <w14:solidFill>
              <w14:schemeClr w14:val="tx1"/>
            </w14:solidFill>
          </w14:textFill>
        </w:rPr>
        <w:t>施工</w:t>
      </w:r>
      <w:r>
        <w:rPr>
          <w:rFonts w:hint="eastAsia" w:cs="Times New Roman"/>
          <w:color w:val="000000" w:themeColor="text1"/>
          <w:szCs w:val="24"/>
          <w:highlight w:val="none"/>
          <w:lang w:bidi="ar"/>
          <w14:textFill>
            <w14:solidFill>
              <w14:schemeClr w14:val="tx1"/>
            </w14:solidFill>
          </w14:textFill>
        </w:rPr>
        <w:t>期间</w:t>
      </w:r>
      <w:r>
        <w:rPr>
          <w:rFonts w:cs="Times New Roman"/>
          <w:color w:val="000000" w:themeColor="text1"/>
          <w:szCs w:val="24"/>
          <w:highlight w:val="none"/>
          <w:lang w:bidi="ar"/>
          <w14:textFill>
            <w14:solidFill>
              <w14:schemeClr w14:val="tx1"/>
            </w14:solidFill>
          </w14:textFill>
        </w:rPr>
        <w:t>，将形成一道人工屏障，将对兽类及爬行类野生动物的生境和活动产生分割、分离及阻隔效应，造成动物活动范围的缩小，对其觅食、交配有一定的影响，但对鸟类活动范围影响较小。但由于兽类及爬行类都具有较强的移动能力，因此，</w:t>
      </w:r>
      <w:r>
        <w:rPr>
          <w:rFonts w:hint="eastAsia" w:cs="Times New Roman"/>
          <w:color w:val="000000" w:themeColor="text1"/>
          <w:szCs w:val="24"/>
          <w:highlight w:val="none"/>
          <w:lang w:bidi="ar"/>
          <w14:textFill>
            <w14:solidFill>
              <w14:schemeClr w14:val="tx1"/>
            </w14:solidFill>
          </w14:textFill>
        </w:rPr>
        <w:t>项目</w:t>
      </w:r>
      <w:r>
        <w:rPr>
          <w:rFonts w:cs="Times New Roman"/>
          <w:color w:val="000000" w:themeColor="text1"/>
          <w:szCs w:val="24"/>
          <w:highlight w:val="none"/>
          <w:lang w:bidi="ar"/>
          <w14:textFill>
            <w14:solidFill>
              <w14:schemeClr w14:val="tx1"/>
            </w14:solidFill>
          </w14:textFill>
        </w:rPr>
        <w:t>施工</w:t>
      </w:r>
      <w:r>
        <w:rPr>
          <w:rFonts w:hint="eastAsia" w:cs="Times New Roman"/>
          <w:color w:val="000000" w:themeColor="text1"/>
          <w:szCs w:val="24"/>
          <w:highlight w:val="none"/>
          <w:lang w:bidi="ar"/>
          <w14:textFill>
            <w14:solidFill>
              <w14:schemeClr w14:val="tx1"/>
            </w14:solidFill>
          </w14:textFill>
        </w:rPr>
        <w:t>期间</w:t>
      </w:r>
      <w:r>
        <w:rPr>
          <w:rFonts w:cs="Times New Roman"/>
          <w:color w:val="000000" w:themeColor="text1"/>
          <w:szCs w:val="24"/>
          <w:highlight w:val="none"/>
          <w:lang w:bidi="ar"/>
          <w14:textFill>
            <w14:solidFill>
              <w14:schemeClr w14:val="tx1"/>
            </w14:solidFill>
          </w14:textFill>
        </w:rPr>
        <w:t>对这些野生动物产生的分割、分离及阻隔影响较小，不会对其迁徙和交流产生大的影响。</w:t>
      </w:r>
      <w:r>
        <w:rPr>
          <w:rFonts w:hint="eastAsia" w:cs="Times New Roman"/>
          <w:color w:val="000000" w:themeColor="text1"/>
          <w:szCs w:val="24"/>
          <w:highlight w:val="none"/>
          <w:lang w:bidi="ar"/>
          <w14:textFill>
            <w14:solidFill>
              <w14:schemeClr w14:val="tx1"/>
            </w14:solidFill>
          </w14:textFill>
        </w:rPr>
        <w:t>另外，</w:t>
      </w:r>
      <w:r>
        <w:rPr>
          <w:rFonts w:cs="Times New Roman"/>
          <w:color w:val="000000" w:themeColor="text1"/>
          <w:szCs w:val="24"/>
          <w:highlight w:val="none"/>
          <w:lang w:bidi="ar"/>
          <w14:textFill>
            <w14:solidFill>
              <w14:schemeClr w14:val="tx1"/>
            </w14:solidFill>
          </w14:textFill>
        </w:rPr>
        <w:t>随着施工人员的进驻，在空闲的时候，可能会有施工人员非法狩猎，如下夹、放套，布置陷阱等，对中</w:t>
      </w:r>
      <w:r>
        <w:rPr>
          <w:rFonts w:hint="eastAsia" w:cs="Times New Roman"/>
          <w:color w:val="000000" w:themeColor="text1"/>
          <w:szCs w:val="24"/>
          <w:highlight w:val="none"/>
          <w:lang w:bidi="ar"/>
          <w14:textFill>
            <w14:solidFill>
              <w14:schemeClr w14:val="tx1"/>
            </w14:solidFill>
          </w14:textFill>
        </w:rPr>
        <w:t>小</w:t>
      </w:r>
      <w:r>
        <w:rPr>
          <w:rFonts w:cs="Times New Roman"/>
          <w:color w:val="000000" w:themeColor="text1"/>
          <w:szCs w:val="24"/>
          <w:highlight w:val="none"/>
          <w:lang w:bidi="ar"/>
          <w14:textFill>
            <w14:solidFill>
              <w14:schemeClr w14:val="tx1"/>
            </w14:solidFill>
          </w14:textFill>
        </w:rPr>
        <w:t>型兽类的生存就会构成严重的威胁。</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szCs w:val="24"/>
          <w:highlight w:val="none"/>
          <w:lang w:bidi="ar"/>
          <w14:textFill>
            <w14:solidFill>
              <w14:schemeClr w14:val="tx1"/>
            </w14:solidFill>
          </w14:textFill>
        </w:rPr>
        <w:t>总之，</w:t>
      </w:r>
      <w:r>
        <w:rPr>
          <w:rFonts w:hint="eastAsia" w:cs="Times New Roman"/>
          <w:color w:val="000000" w:themeColor="text1"/>
          <w:szCs w:val="24"/>
          <w:highlight w:val="none"/>
          <w:lang w:bidi="ar"/>
          <w14:textFill>
            <w14:solidFill>
              <w14:schemeClr w14:val="tx1"/>
            </w14:solidFill>
          </w14:textFill>
        </w:rPr>
        <w:t>项目</w:t>
      </w:r>
      <w:r>
        <w:rPr>
          <w:rFonts w:cs="Times New Roman"/>
          <w:color w:val="000000" w:themeColor="text1"/>
          <w:szCs w:val="24"/>
          <w:highlight w:val="none"/>
          <w:lang w:bidi="ar"/>
          <w14:textFill>
            <w14:solidFill>
              <w14:schemeClr w14:val="tx1"/>
            </w14:solidFill>
          </w14:textFill>
        </w:rPr>
        <w:t>施工</w:t>
      </w:r>
      <w:r>
        <w:rPr>
          <w:rFonts w:hint="eastAsia" w:cs="Times New Roman"/>
          <w:color w:val="000000" w:themeColor="text1"/>
          <w:szCs w:val="24"/>
          <w:highlight w:val="none"/>
          <w:lang w:bidi="ar"/>
          <w14:textFill>
            <w14:solidFill>
              <w14:schemeClr w14:val="tx1"/>
            </w14:solidFill>
          </w14:textFill>
        </w:rPr>
        <w:t>期间</w:t>
      </w:r>
      <w:r>
        <w:rPr>
          <w:rFonts w:cs="Times New Roman"/>
          <w:color w:val="000000" w:themeColor="text1"/>
          <w:szCs w:val="24"/>
          <w:highlight w:val="none"/>
          <w:lang w:bidi="ar"/>
          <w14:textFill>
            <w14:solidFill>
              <w14:schemeClr w14:val="tx1"/>
            </w14:solidFill>
          </w14:textFill>
        </w:rPr>
        <w:t>会直接或间接地对野生动物产生一定的影响，但影响较小</w:t>
      </w:r>
      <w:r>
        <w:rPr>
          <w:rFonts w:hint="eastAsia" w:cs="Times New Roman"/>
          <w:color w:val="000000" w:themeColor="text1"/>
          <w:szCs w:val="24"/>
          <w:highlight w:val="none"/>
          <w:lang w:bidi="ar"/>
          <w14:textFill>
            <w14:solidFill>
              <w14:schemeClr w14:val="tx1"/>
            </w14:solidFill>
          </w14:textFill>
        </w:rPr>
        <w:t>，需加强对施工运营人员的宣传、教育，严禁各种形式捕捉野生动物行为，严格按照规范施工、运营，严格使用明火，将人为影响降到最低</w:t>
      </w:r>
      <w:r>
        <w:rPr>
          <w:rFonts w:cs="Times New Roman"/>
          <w:bCs/>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对重点保护野生动植物的影响分析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根据实地调查，在项目评价区内未发现国家和省级重点保护野生动植物。</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对天然林、公益林及生态红线影响分析</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本项目不占用天然林、公益林，项目对周边天然林、公益林主要影响因素如下：</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（1）钻井过程中，如发生废水漏失情况，可能导致周边分布的天然林、公益林植被吸水量降低，但下水漏失属于风险影响，一般情况不会发生。因此本项目</w:t>
      </w:r>
      <w:r>
        <w:rPr>
          <w:rFonts w:hint="eastAsia"/>
          <w:color w:val="000000" w:themeColor="text1"/>
          <w:szCs w:val="24"/>
          <w:highlight w:val="none"/>
          <w:lang w:val="en-US" w:eastAsia="zh-CN" w:bidi="ar"/>
          <w14:textFill>
            <w14:solidFill>
              <w14:schemeClr w14:val="tx1"/>
            </w14:solidFill>
          </w14:textFill>
        </w:rPr>
        <w:t>正常施工建设不会</w:t>
      </w:r>
      <w:r>
        <w:rPr>
          <w:color w:val="000000" w:themeColor="text1"/>
          <w:szCs w:val="24"/>
          <w:highlight w:val="none"/>
          <w:lang w:bidi="ar"/>
          <w14:textFill>
            <w14:solidFill>
              <w14:schemeClr w14:val="tx1"/>
            </w14:solidFill>
          </w14:textFill>
        </w:rPr>
        <w:t>对天然林、公益林造成影响。</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2）输水管线发生废水漏失情况，可能导致周边分布的天然林、公益林植被吸水量降低，但下水漏失属于风险影响，一般情况不会发生，同时输水管线有完善的监控截断装置，风险情况下泄漏量小。同时管线临时占地后期恢复植被主要为乔灌植被，管线距离周边天然林、公益林有一定距离，管线临时占地恢复区</w:t>
      </w:r>
      <w:r>
        <w:rPr>
          <w:rFonts w:hint="eastAsia"/>
          <w:color w:val="000000" w:themeColor="text1"/>
          <w:szCs w:val="24"/>
          <w:highlight w:val="none"/>
          <w:lang w:bidi="ar"/>
          <w14:textFill>
            <w14:solidFill>
              <w14:schemeClr w14:val="tx1"/>
            </w14:solidFill>
          </w14:textFill>
        </w:rPr>
        <w:t>相当于在</w:t>
      </w:r>
      <w:r>
        <w:rPr>
          <w:color w:val="000000" w:themeColor="text1"/>
          <w:szCs w:val="24"/>
          <w:highlight w:val="none"/>
          <w:lang w:bidi="ar"/>
          <w14:textFill>
            <w14:solidFill>
              <w14:schemeClr w14:val="tx1"/>
            </w14:solidFill>
          </w14:textFill>
        </w:rPr>
        <w:t>泄漏管线两侧相对周边天然林、公益林设置了一定距离的缓冲区，因此即使发生输水管线废水泄漏也对附近的天然林、公益林影响小。</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根据地下水预测成果，正常情况下不会对地下水造成污染影响，非正常情况下，可能对下游地下水造成污染影响，从而对周边天然林、公益林造成影响，但根据周边天然林、公益林分布情况，</w:t>
      </w:r>
      <w:r>
        <w:rPr>
          <w:rFonts w:hint="eastAsia"/>
          <w:color w:val="000000" w:themeColor="text1"/>
          <w:szCs w:val="24"/>
          <w:highlight w:val="none"/>
          <w:lang w:val="en-US" w:eastAsia="zh-CN" w:bidi="ar"/>
          <w14:textFill>
            <w14:solidFill>
              <w14:schemeClr w14:val="tx1"/>
            </w14:solidFill>
          </w14:textFill>
        </w:rPr>
        <w:t>根据项目外环境关系可知，周边天然林、公益林主要分布在井场东侧、东南侧、东北侧等地势较高的区域，</w:t>
      </w:r>
      <w:r>
        <w:rPr>
          <w:color w:val="000000" w:themeColor="text1"/>
          <w:szCs w:val="24"/>
          <w:highlight w:val="none"/>
          <w:lang w:bidi="ar"/>
          <w14:textFill>
            <w14:solidFill>
              <w14:schemeClr w14:val="tx1"/>
            </w14:solidFill>
          </w14:textFill>
        </w:rPr>
        <w:t>项目地下水</w:t>
      </w:r>
      <w:r>
        <w:rPr>
          <w:rFonts w:hint="eastAsia"/>
          <w:color w:val="000000" w:themeColor="text1"/>
          <w:szCs w:val="24"/>
          <w:highlight w:val="none"/>
          <w:lang w:val="en-US" w:eastAsia="zh-CN" w:bidi="ar"/>
          <w14:textFill>
            <w14:solidFill>
              <w14:schemeClr w14:val="tx1"/>
            </w14:solidFill>
          </w14:textFill>
        </w:rPr>
        <w:t>流向下游无天然林、公益林分布，因此，本项目地下水</w:t>
      </w:r>
      <w:r>
        <w:rPr>
          <w:color w:val="000000" w:themeColor="text1"/>
          <w:szCs w:val="24"/>
          <w:highlight w:val="none"/>
          <w:lang w:bidi="ar"/>
          <w14:textFill>
            <w14:solidFill>
              <w14:schemeClr w14:val="tx1"/>
            </w14:solidFill>
          </w14:textFill>
        </w:rPr>
        <w:t>下游超标范围内无天然林、公益林分布，因此在极端情况下废水进入地下水对地下水造成污染也不会对天然林、公益林造成影响。</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3）废水排放、放喷废气沉降对土壤、大气的影响，根据土壤环境影响分析，项目建设对土壤环境的影响很小，同类项目还未出现过污染周边土壤的情况，因此通过污染土壤从而影响周边天然林、公益林的可能性极小。此外，即使发生废水发生溢出漫流，漫流量较小，井场内主要设施设置有围堰，且井场四周设置有双环排水沟，废水漫流至周边天然林、公益林的可能性较短，因此，也不会直接影响天然林、公益林；此外，放喷废气的沉降会对天然林、公益林造成一定的影响，但因测试放喷时间较短，距离较远，对其随着测试放喷结束影响消失，天然林、公益林将逐步恢复原有生长状态。</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（4）由于施工占地范围距评价区天然林、公益林较近，也可能产生间接影响，如粉尘、光照条件变化对其产生的影响，特别是林缘区域植被光合作用的影响。</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5）结合土壤影响预测成果和地下水预测成果可知，项目建设对土壤环境的影响很小，可接受。本项目除采取土壤污染防治措施外，还应将土壤污染防治措施和地下水污染防治、生态环境治理措施相结合，综合做好土壤环境、地下水环境和生态环境的保护；完钻后对钻井期临时占地进行污染治理后恢复，并进行生态修复，临时占地还耕前进行土壤监测，确保</w:t>
      </w:r>
      <w:r>
        <w:rPr>
          <w:rFonts w:hint="eastAsia"/>
          <w:color w:val="000000" w:themeColor="text1"/>
          <w:szCs w:val="24"/>
          <w:highlight w:val="none"/>
          <w:lang w:val="en-US" w:eastAsia="zh-CN" w:bidi="ar"/>
          <w14:textFill>
            <w14:solidFill>
              <w14:schemeClr w14:val="tx1"/>
            </w14:solidFill>
          </w14:textFill>
        </w:rPr>
        <w:t>土壤</w:t>
      </w:r>
      <w:r>
        <w:rPr>
          <w:color w:val="000000" w:themeColor="text1"/>
          <w:szCs w:val="24"/>
          <w:highlight w:val="none"/>
          <w:lang w:bidi="ar"/>
          <w14:textFill>
            <w14:solidFill>
              <w14:schemeClr w14:val="tx1"/>
            </w14:solidFill>
          </w14:textFill>
        </w:rPr>
        <w:t>无污染后再用作农用地复耕。</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根据野外调查结合宣汉县的气象数据资料，项目区位于亚热带多雨湿润季风区，年均降水量1132.69mm，说明区域内有较为稳定的地表水来源补给，浅层土壤水分主要来自于降水补充，尤其是夏季降水，仅分布在沟谷地带区域土壤水分有少部分来源于浅层地下水补充。</w:t>
      </w:r>
    </w:p>
    <w:p>
      <w:pPr>
        <w:pStyle w:val="132"/>
        <w:ind w:firstLine="480"/>
        <w:rPr>
          <w:color w:val="000000" w:themeColor="text1"/>
          <w:highlight w:val="none"/>
          <w14:textFill>
            <w14:solidFill>
              <w14:schemeClr w14:val="tx1"/>
            </w14:solidFill>
          </w14:textFill>
        </w:rPr>
      </w:pPr>
      <w:r>
        <w:rPr>
          <w:color w:val="000000" w:themeColor="text1"/>
          <w:szCs w:val="24"/>
          <w:highlight w:val="none"/>
          <w:lang w:bidi="ar"/>
          <w14:textFill>
            <w14:solidFill>
              <w14:schemeClr w14:val="tx1"/>
            </w14:solidFill>
          </w14:textFill>
        </w:rPr>
        <w:t>由植物生理生态学分析可知，植物生长所需水分主要由分布在地表10米以内深度的根系吸收地表浅层土壤水分。评价区及周边天然林、公益林主要分布在项目占地区东南侧山坡，与占地区有山脊阻隔，且树种多为高大乔木，其主根、侧根发达，冠幅较大，光合作用以及吸收养分和水分能力较强，且水分来源主要是大气降水所储存的地表浅层土壤水分，项目建设不会导致土壤理化性质变化，也不会对地下水环境造成明显不利影响，综上，对周边天然林、公益林影响较小</w:t>
      </w:r>
      <w:r>
        <w:rPr>
          <w:rFonts w:hint="eastAsia"/>
          <w:color w:val="000000" w:themeColor="text1"/>
          <w:highlight w:val="none"/>
          <w14:textFill>
            <w14:solidFill>
              <w14:schemeClr w14:val="tx1"/>
            </w14:solidFill>
          </w14:textFill>
        </w:rPr>
        <w:t>。</w:t>
      </w:r>
    </w:p>
    <w:p>
      <w:pPr>
        <w:pStyle w:val="132"/>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（6）放喷火炬热辐射对周边天然林、公益林等影响</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通过评价范围天然林、公益林分布图可知，放喷火炬距离最近的天然林、公益林直线距离约</w:t>
      </w:r>
      <w:r>
        <w:rPr>
          <w:rFonts w:hint="eastAsia"/>
          <w:color w:val="000000" w:themeColor="text1"/>
          <w:szCs w:val="24"/>
          <w:highlight w:val="none"/>
          <w:lang w:val="en-US" w:eastAsia="zh-CN" w:bidi="ar"/>
          <w14:textFill>
            <w14:solidFill>
              <w14:schemeClr w14:val="tx1"/>
            </w14:solidFill>
          </w14:textFill>
        </w:rPr>
        <w:t>5</w:t>
      </w:r>
      <w:r>
        <w:rPr>
          <w:color w:val="000000" w:themeColor="text1"/>
          <w:szCs w:val="24"/>
          <w:highlight w:val="none"/>
          <w:lang w:bidi="ar"/>
          <w14:textFill>
            <w14:solidFill>
              <w14:schemeClr w14:val="tx1"/>
            </w14:solidFill>
          </w14:textFill>
        </w:rPr>
        <w:t>0m，通过山脊阻隔、空间阻隔作用，喷火炬热辐射对周边天然林、公益林影响较小。</w:t>
      </w:r>
    </w:p>
    <w:p>
      <w:pPr>
        <w:pStyle w:val="132"/>
        <w:ind w:firstLine="480"/>
        <w:rPr>
          <w:color w:val="000000" w:themeColor="text1"/>
          <w:szCs w:val="24"/>
          <w:highlight w:val="none"/>
          <w:lang w:bidi="ar"/>
          <w14:textFill>
            <w14:solidFill>
              <w14:schemeClr w14:val="tx1"/>
            </w14:solidFill>
          </w14:textFill>
        </w:rPr>
      </w:pPr>
      <w:r>
        <w:rPr>
          <w:color w:val="000000" w:themeColor="text1"/>
          <w:szCs w:val="24"/>
          <w:highlight w:val="none"/>
          <w:lang w:bidi="ar"/>
          <w14:textFill>
            <w14:solidFill>
              <w14:schemeClr w14:val="tx1"/>
            </w14:solidFill>
          </w14:textFill>
        </w:rPr>
        <w:t>但结合现场调查，本项目拟占用的公益林和周边植被无明显差异，是评价区广泛分布的种类，植物区系组成成分不会发生变化，项目施工占用损失的只是局部群落和部分生产力及生物量，因此对</w:t>
      </w:r>
      <w:r>
        <w:rPr>
          <w:rFonts w:hint="eastAsia"/>
          <w:color w:val="000000" w:themeColor="text1"/>
          <w:szCs w:val="24"/>
          <w:highlight w:val="none"/>
          <w:lang w:bidi="ar"/>
          <w14:textFill>
            <w14:solidFill>
              <w14:schemeClr w14:val="tx1"/>
            </w14:solidFill>
          </w14:textFill>
        </w:rPr>
        <w:t>公益</w:t>
      </w:r>
      <w:r>
        <w:rPr>
          <w:color w:val="000000" w:themeColor="text1"/>
          <w:szCs w:val="24"/>
          <w:highlight w:val="none"/>
          <w:lang w:bidi="ar"/>
          <w14:textFill>
            <w14:solidFill>
              <w14:schemeClr w14:val="tx1"/>
            </w14:solidFill>
          </w14:textFill>
        </w:rPr>
        <w:t>林的结构、稳定性无明显影响。因此，项目施工前，需要①优化施工方案，严格控制施工作业面，必须避免超挖破坏周边天然林植被。②严格按照施工方案要求将弃土、弃渣等运往指定场地，禁止在非施工区任何位置随意堆放。③施工过程中，施工单位应加强防火知识宣传教育，增强员工和附近居民的防火意识，杜绝火灾的发生。</w:t>
      </w:r>
    </w:p>
    <w:p>
      <w:pPr>
        <w:ind w:firstLine="480"/>
        <w:rPr>
          <w:rFonts w:cs="Times New Roman"/>
          <w:color w:val="000000" w:themeColor="text1"/>
          <w:szCs w:val="20"/>
          <w:highlight w:val="none"/>
          <w14:textFill>
            <w14:solidFill>
              <w14:schemeClr w14:val="tx1"/>
            </w14:solidFill>
          </w14:textFill>
        </w:rPr>
      </w:pPr>
      <w:r>
        <w:rPr>
          <w:rFonts w:cs="Times New Roman"/>
          <w:color w:val="000000" w:themeColor="text1"/>
          <w:szCs w:val="24"/>
          <w:highlight w:val="none"/>
          <w:lang w:bidi="ar"/>
          <w14:textFill>
            <w14:solidFill>
              <w14:schemeClr w14:val="tx1"/>
            </w14:solidFill>
          </w14:textFill>
        </w:rPr>
        <w:t>综上，项目占地不涉及天然林、公益林和</w:t>
      </w:r>
      <w:r>
        <w:rPr>
          <w:rFonts w:cs="Times New Roman"/>
          <w:bCs/>
          <w:color w:val="000000" w:themeColor="text1"/>
          <w:highlight w:val="none"/>
          <w14:textFill>
            <w14:solidFill>
              <w14:schemeClr w14:val="tx1"/>
            </w14:solidFill>
          </w14:textFill>
        </w:rPr>
        <w:t>生态红线的</w:t>
      </w:r>
      <w:r>
        <w:rPr>
          <w:rFonts w:cs="Times New Roman"/>
          <w:color w:val="000000" w:themeColor="text1"/>
          <w:szCs w:val="24"/>
          <w:highlight w:val="none"/>
          <w:lang w:bidi="ar"/>
          <w14:textFill>
            <w14:solidFill>
              <w14:schemeClr w14:val="tx1"/>
            </w14:solidFill>
          </w14:textFill>
        </w:rPr>
        <w:t>占用，项目施工等对天然林公益林的面积、功能和性质无直接影响</w:t>
      </w:r>
      <w:r>
        <w:rPr>
          <w:rFonts w:cs="Times New Roman"/>
          <w:color w:val="000000" w:themeColor="text1"/>
          <w:szCs w:val="20"/>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对天然林、公益林及生态红线影响分析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工程施工和运行期间，导致外来物种入侵的途径只有在植被恢复阶段，如果盲目引进不经过筛选的物种，可能导致外来物种入侵情况的发生。这就要求我们在项目施工和运行期间，加大宣传力度，对外来物种的危害以及传播途径向施工人员进行宣传；对现有的外来种，利用工程施工的机会，对有种子的植物要现场烧毁，以防种子扩散。在选择绿化树种和水土保持植物中坚决杜绝使用外来植物，尽可能使用乡土树种。</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水土流失影响分析</w:t>
      </w:r>
    </w:p>
    <w:p>
      <w:pPr>
        <w:ind w:firstLine="482"/>
        <w:rPr>
          <w:rFonts w:cs="Times New Roman"/>
          <w:b/>
          <w:color w:val="000000" w:themeColor="text1"/>
          <w:highlight w:val="none"/>
          <w14:textFill>
            <w14:solidFill>
              <w14:schemeClr w14:val="tx1"/>
            </w14:solidFill>
          </w14:textFill>
        </w:rPr>
      </w:pPr>
      <w:r>
        <w:rPr>
          <w:rFonts w:hint="eastAsia" w:cs="Times New Roman"/>
          <w:b/>
          <w:color w:val="000000" w:themeColor="text1"/>
          <w:highlight w:val="none"/>
          <w14:textFill>
            <w14:solidFill>
              <w14:schemeClr w14:val="tx1"/>
            </w14:solidFill>
          </w14:textFill>
        </w:rPr>
        <w:t>（1）区域水土流失现状情况</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根据达州市水利局《关于水土保持</w:t>
      </w:r>
      <w:r>
        <w:rPr>
          <w:rFonts w:hint="eastAsia" w:ascii="宋体" w:hAnsi="宋体" w:cs="宋体"/>
          <w:bCs/>
          <w:color w:val="000000" w:themeColor="text1"/>
          <w:szCs w:val="24"/>
          <w:highlight w:val="none"/>
          <w14:textFill>
            <w14:solidFill>
              <w14:schemeClr w14:val="tx1"/>
            </w14:solidFill>
          </w14:textFill>
        </w:rPr>
        <w:t>“两区”</w:t>
      </w:r>
      <w:r>
        <w:rPr>
          <w:rFonts w:cs="Times New Roman"/>
          <w:bCs/>
          <w:color w:val="000000" w:themeColor="text1"/>
          <w:szCs w:val="24"/>
          <w:highlight w:val="none"/>
          <w14:textFill>
            <w14:solidFill>
              <w14:schemeClr w14:val="tx1"/>
            </w14:solidFill>
          </w14:textFill>
        </w:rPr>
        <w:t>划分的公告》，本项目涉及水土流失重点治理区</w:t>
      </w:r>
      <w:r>
        <w:rPr>
          <w:rFonts w:cs="Times New Roman"/>
          <w:bCs/>
          <w:color w:val="000000" w:themeColor="text1"/>
          <w:highlight w:val="none"/>
          <w14:textFill>
            <w14:solidFill>
              <w14:schemeClr w14:val="tx1"/>
            </w14:solidFill>
          </w14:textFill>
        </w:rPr>
        <w:t>，本项目在建设和试采期间必须加强水土保持工作，最大限度地减少工程建设造成的水土流失危害。</w:t>
      </w:r>
    </w:p>
    <w:p>
      <w:pPr>
        <w:ind w:firstLine="480"/>
        <w:rPr>
          <w:rFonts w:cs="Times New Roman"/>
          <w:bCs/>
          <w:color w:val="000000" w:themeColor="text1"/>
          <w:szCs w:val="24"/>
          <w:highlight w:val="none"/>
          <w14:textFill>
            <w14:solidFill>
              <w14:schemeClr w14:val="tx1"/>
            </w14:solidFill>
          </w14:textFill>
        </w:rPr>
      </w:pPr>
      <w:bookmarkStart w:id="265" w:name="_Hlk51604865"/>
      <w:r>
        <w:rPr>
          <w:rFonts w:cs="Times New Roman"/>
          <w:bCs/>
          <w:color w:val="000000" w:themeColor="text1"/>
          <w:highlight w:val="none"/>
          <w14:textFill>
            <w14:solidFill>
              <w14:schemeClr w14:val="tx1"/>
            </w14:solidFill>
          </w14:textFill>
        </w:rPr>
        <w:t>根据区域水土流失资料分析及水土流失现状调查，项目区水土流失类型主要为水力侵蚀，水力侵蚀以轻度和中度为主。</w:t>
      </w:r>
      <w:bookmarkEnd w:id="265"/>
      <w:r>
        <w:rPr>
          <w:rFonts w:cs="Times New Roman"/>
          <w:bCs/>
          <w:color w:val="000000" w:themeColor="text1"/>
          <w:szCs w:val="24"/>
          <w:highlight w:val="none"/>
          <w14:textFill>
            <w14:solidFill>
              <w14:schemeClr w14:val="tx1"/>
            </w14:solidFill>
          </w14:textFill>
        </w:rPr>
        <w:t>本工程根据现场勘察并结合</w:t>
      </w:r>
      <w:r>
        <w:rPr>
          <w:rFonts w:hint="eastAsia" w:cs="Times New Roman"/>
          <w:bCs/>
          <w:color w:val="000000" w:themeColor="text1"/>
          <w:szCs w:val="24"/>
          <w:highlight w:val="none"/>
          <w14:textFill>
            <w14:solidFill>
              <w14:schemeClr w14:val="tx1"/>
            </w14:solidFill>
          </w14:textFill>
        </w:rPr>
        <w:t>项目水土保持方案资料，本</w:t>
      </w:r>
      <w:r>
        <w:rPr>
          <w:rFonts w:cs="Times New Roman"/>
          <w:bCs/>
          <w:color w:val="000000" w:themeColor="text1"/>
          <w:szCs w:val="24"/>
          <w:highlight w:val="none"/>
          <w14:textFill>
            <w14:solidFill>
              <w14:schemeClr w14:val="tx1"/>
            </w14:solidFill>
          </w14:textFill>
        </w:rPr>
        <w:t>项目沿线土壤侵蚀现状以轻度水力侵蚀为主，平均土壤侵蚀模数在1765t/km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·a左右。</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（2）水土流失危害分析</w:t>
      </w:r>
    </w:p>
    <w:p>
      <w:pPr>
        <w:pStyle w:val="638"/>
        <w:ind w:firstLine="480"/>
        <w:rPr>
          <w:rFonts w:eastAsia="宋体"/>
          <w:bCs/>
          <w:color w:val="000000" w:themeColor="text1"/>
          <w:highlight w:val="none"/>
          <w14:textFill>
            <w14:solidFill>
              <w14:schemeClr w14:val="tx1"/>
            </w14:solidFill>
          </w14:textFill>
        </w:rPr>
      </w:pPr>
      <w:r>
        <w:rPr>
          <w:rFonts w:eastAsia="宋体"/>
          <w:bCs/>
          <w:color w:val="000000" w:themeColor="text1"/>
          <w:highlight w:val="none"/>
          <w14:textFill>
            <w14:solidFill>
              <w14:schemeClr w14:val="tx1"/>
            </w14:solidFill>
          </w14:textFill>
        </w:rPr>
        <w:t>结合工程区地貌条件、新增水土流失来源，在不采取水土流失防护措施前提下，工程区域内水土流失危害主要体现</w:t>
      </w:r>
      <w:r>
        <w:rPr>
          <w:rFonts w:hint="eastAsia" w:eastAsia="宋体"/>
          <w:bCs/>
          <w:color w:val="000000" w:themeColor="text1"/>
          <w:highlight w:val="none"/>
          <w14:textFill>
            <w14:solidFill>
              <w14:schemeClr w14:val="tx1"/>
            </w14:solidFill>
          </w14:textFill>
        </w:rPr>
        <w:t>为</w:t>
      </w:r>
      <w:r>
        <w:rPr>
          <w:rFonts w:eastAsia="宋体"/>
          <w:bCs/>
          <w:color w:val="000000" w:themeColor="text1"/>
          <w:highlight w:val="none"/>
          <w14:textFill>
            <w14:solidFill>
              <w14:schemeClr w14:val="tx1"/>
            </w14:solidFill>
          </w14:textFill>
        </w:rPr>
        <w:t>对土地资源产生破坏，一方面由于工程建设占用土地，破坏原有地貌，损坏地表植被，土地耕作层和植被生长层被挖损、剥离或压埋，从而使施工区内裸地面积增加，降低土壤的抗蚀性，增大水土流失量，损坏了土地资源，影响农业耕作。另一方面开挖损坏的农田土层结构，即使复耕，短期内难以恢复地力，影响当地农业生产。在中山区，坡面集流将会冲毁具有水土保持功能的地埂、田坎，增加单位面积细沟和切沟数量，有进一步发育演变为冲沟的可能</w:t>
      </w:r>
      <w:r>
        <w:rPr>
          <w:rFonts w:hint="eastAsia" w:eastAsia="宋体"/>
          <w:bCs/>
          <w:color w:val="000000" w:themeColor="text1"/>
          <w:highlight w:val="none"/>
          <w14:textFill>
            <w14:solidFill>
              <w14:schemeClr w14:val="tx1"/>
            </w14:solidFill>
          </w14:textFill>
        </w:rPr>
        <w:t>，</w:t>
      </w:r>
      <w:r>
        <w:rPr>
          <w:rFonts w:eastAsia="宋体"/>
          <w:bCs/>
          <w:color w:val="000000" w:themeColor="text1"/>
          <w:highlight w:val="none"/>
          <w14:textFill>
            <w14:solidFill>
              <w14:schemeClr w14:val="tx1"/>
            </w14:solidFill>
          </w14:textFill>
        </w:rPr>
        <w:t>又</w:t>
      </w:r>
      <w:r>
        <w:rPr>
          <w:rFonts w:hint="eastAsia" w:eastAsia="宋体"/>
          <w:bCs/>
          <w:color w:val="000000" w:themeColor="text1"/>
          <w:highlight w:val="none"/>
          <w14:textFill>
            <w14:solidFill>
              <w14:schemeClr w14:val="tx1"/>
            </w14:solidFill>
          </w14:textFill>
        </w:rPr>
        <w:t>会</w:t>
      </w:r>
      <w:r>
        <w:rPr>
          <w:rFonts w:eastAsia="宋体"/>
          <w:bCs/>
          <w:color w:val="000000" w:themeColor="text1"/>
          <w:highlight w:val="none"/>
          <w14:textFill>
            <w14:solidFill>
              <w14:schemeClr w14:val="tx1"/>
            </w14:solidFill>
          </w14:textFill>
        </w:rPr>
        <w:t>产生大量水土流失，影响环境生态安全。</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（3）本项目水土流失影响分析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对区域水土流失的影响主要是施工期的短暂影响，试采期各项工程均已建成，对地表的扰动基本不会发生，不会新增水土流失。施工期其引发水土流失的主要因素有：土石方及表土的大量堆放；井场等基建造成的地表裸露；基础施工等对原地形地貌、植被等产生的扰动、破坏或再塑等。</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工程地处土石山区，水土流失形式以水力侵蚀为主，主要表现为面蚀。工程属于建设生产类项目，水土流失主要发生在施工期。根据主体工程提供的设计资料和基建施工工艺，分析本项目施工期可能造成的水土流失危害主要有：</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①</w:t>
      </w:r>
      <w:r>
        <w:rPr>
          <w:rFonts w:cs="Times New Roman"/>
          <w:bCs/>
          <w:color w:val="000000" w:themeColor="text1"/>
          <w:highlight w:val="none"/>
          <w14:textFill>
            <w14:solidFill>
              <w14:schemeClr w14:val="tx1"/>
            </w14:solidFill>
          </w14:textFill>
        </w:rPr>
        <w:t>项目建设损坏了原区域的</w:t>
      </w:r>
      <w:r>
        <w:rPr>
          <w:rFonts w:hint="eastAsia" w:cs="Times New Roman"/>
          <w:bCs/>
          <w:color w:val="000000" w:themeColor="text1"/>
          <w:highlight w:val="none"/>
          <w14:textFill>
            <w14:solidFill>
              <w14:schemeClr w14:val="tx1"/>
            </w14:solidFill>
          </w14:textFill>
        </w:rPr>
        <w:t>植被</w:t>
      </w:r>
      <w:r>
        <w:rPr>
          <w:rFonts w:cs="Times New Roman"/>
          <w:bCs/>
          <w:color w:val="000000" w:themeColor="text1"/>
          <w:highlight w:val="none"/>
          <w14:textFill>
            <w14:solidFill>
              <w14:schemeClr w14:val="tx1"/>
            </w14:solidFill>
          </w14:textFill>
        </w:rPr>
        <w:t>等水土保持设施，使原有区域失去了基本的水土保持功能，使区内水资源失去保护屏障，加大水土流失强度。</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②</w:t>
      </w:r>
      <w:r>
        <w:rPr>
          <w:rFonts w:cs="Times New Roman"/>
          <w:bCs/>
          <w:color w:val="000000" w:themeColor="text1"/>
          <w:highlight w:val="none"/>
          <w14:textFill>
            <w14:solidFill>
              <w14:schemeClr w14:val="tx1"/>
            </w14:solidFill>
          </w14:textFill>
        </w:rPr>
        <w:t>工程在建设期间，有较大面积的土石方开挖，造成地表裸露面积较大。在不能及时实施挡墙、排水等措施情况下，裸露地表造成水土流失，表土、土石方堆体易发生坍塌等灾害。</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③</w:t>
      </w:r>
      <w:r>
        <w:rPr>
          <w:rFonts w:cs="Times New Roman"/>
          <w:bCs/>
          <w:color w:val="000000" w:themeColor="text1"/>
          <w:highlight w:val="none"/>
          <w14:textFill>
            <w14:solidFill>
              <w14:schemeClr w14:val="tx1"/>
            </w14:solidFill>
          </w14:textFill>
        </w:rPr>
        <w:t>较严重的水土流失将直接对项目下游地势较低的耕地、道路等造成直接危害。大量流失的泥沙将会淤积排洪沟，降低其调洪、泄洪能力，对下游植被也会造成一定的影响。</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④</w:t>
      </w:r>
      <w:r>
        <w:rPr>
          <w:rFonts w:cs="Times New Roman"/>
          <w:bCs/>
          <w:color w:val="000000" w:themeColor="text1"/>
          <w:highlight w:val="none"/>
          <w14:textFill>
            <w14:solidFill>
              <w14:schemeClr w14:val="tx1"/>
            </w14:solidFill>
          </w14:textFill>
        </w:rPr>
        <w:t>项目区为西南土石山区的低山丘陵地貌，土层较薄，农作物产量低。工程建设过程中扰动破坏原地貌及植被，使土体松散，抗冲性能和抗蚀性能降低，尤其在雨季，易产生水土流失，严重的水土流失使土层进一步瘠薄，土地生产能力逐渐下降，农作物和植被逐渐失去生存环境，导致区域生态环境逐渐恶化。</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因此本项目应严格按照水保方案要求落实水土保持措施。拟建项目开挖面积小，施工期短，土石方就近占地进行临时堆放，无转运丢弃，实际新增水土流失量小。钻前工程剥离表土若随意堆放将引起水土流失，影响植被生长。项目设计将表土堆场，设挡土墙、截水沟、排水沟，可有效减少水土流失，同时利用土工布或塑料膜遮盖或采用水泥砂浆抹面的方法来减少水土流失。完钻后耕植土作为表层的覆土复植用，对表土堆场地进行复垦。通过该措施，拟建项目大大减小了土石方开挖引起的水土流失量。本次建设过程中，拟在征地范围内沿井场和表土堆场四周修建截、排水沟，将场内雨水排出，防止场内充水及水流往下渗透，以保护井场和表土堆场边坡稳定；在井场道路、放喷池等内侧布置排水沟等排水措施，以减少水土流失。</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本项目在</w:t>
      </w:r>
      <w:r>
        <w:rPr>
          <w:rFonts w:hint="eastAsia" w:cs="Times New Roman"/>
          <w:bCs/>
          <w:color w:val="000000" w:themeColor="text1"/>
          <w:highlight w:val="none"/>
          <w14:textFill>
            <w14:solidFill>
              <w14:schemeClr w14:val="tx1"/>
            </w14:solidFill>
          </w14:textFill>
        </w:rPr>
        <w:t>采取</w:t>
      </w:r>
      <w:r>
        <w:rPr>
          <w:rFonts w:cs="Times New Roman"/>
          <w:bCs/>
          <w:color w:val="000000" w:themeColor="text1"/>
          <w:highlight w:val="none"/>
          <w14:textFill>
            <w14:solidFill>
              <w14:schemeClr w14:val="tx1"/>
            </w14:solidFill>
          </w14:textFill>
        </w:rPr>
        <w:t>水土保持措施后，泥土的拦截率可达80%以上，土的流失量大大减少，最终的水土流失量控制在较低水平，使本项目的水土保持工作得以有效完成。拟建项目由于占地面积小，土石方量小，且施工时间短，工程实际新增的水土流失量小，在环境可接受范围内。该项目应编制水土保持方案并按照方案落实水土保持措施，水保措施应与本项目提出的生态恢复措</w:t>
      </w:r>
      <w:r>
        <w:rPr>
          <w:rFonts w:hint="eastAsia" w:cs="Times New Roman"/>
          <w:bCs/>
          <w:color w:val="000000" w:themeColor="text1"/>
          <w:highlight w:val="none"/>
          <w14:textFill>
            <w14:solidFill>
              <w14:schemeClr w14:val="tx1"/>
            </w14:solidFill>
          </w14:textFill>
        </w:rPr>
        <w:t>施相</w:t>
      </w:r>
      <w:r>
        <w:rPr>
          <w:rFonts w:cs="Times New Roman"/>
          <w:bCs/>
          <w:color w:val="000000" w:themeColor="text1"/>
          <w:highlight w:val="none"/>
          <w14:textFill>
            <w14:solidFill>
              <w14:schemeClr w14:val="tx1"/>
            </w14:solidFill>
          </w14:textFill>
        </w:rPr>
        <w:t>结合。恢复植被选择应考虑水土保持功能和生态修复功能。通过落实相应的水土保持措施，总体水土流失量小，对水土流失重点治理区影响很小。</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环评要求：项目在开工前，应根据国家有关要求编制项目水土保持方案或采取有效水保措施，确保本项目的水土保持工作得以有效完成。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综上，本项目实施后，经严格落实水保措施及本环评报告提出的相关水土保持措施及生态恢复措施后，其区域水土流失现象能得到相应地减缓。</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项目实施可能导致外来物种造成生态危害的风险分析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工程施工和运行期间，导致外来物种入侵的途径只有在植被恢复阶段，如果盲目引进不经过筛选的物种，可能导致外来物种入侵情况的发生。这就要求我们在项目施工和运行期间，加大宣传力度，对外来物种的危害以及传播途径向施工人员进行宣传；对现有的外来种，利用工程施工的机会，对有种子的植物要现场烧毁，以防种子扩散。在选择绿化树种和水土保持植物中坚决杜绝使用外来植物，尽可能使用乡土树种。</w:t>
      </w:r>
    </w:p>
    <w:p>
      <w:pPr>
        <w:pStyle w:val="4"/>
        <w:spacing w:before="0" w:beforeLines="0"/>
        <w:ind w:firstLine="480"/>
        <w:rPr>
          <w:b/>
          <w:color w:val="000000" w:themeColor="text1"/>
          <w:highlight w:val="none"/>
          <w:lang w:eastAsia="zh-CN"/>
          <w14:textFill>
            <w14:solidFill>
              <w14:schemeClr w14:val="tx1"/>
            </w14:solidFill>
          </w14:textFill>
        </w:rPr>
      </w:pPr>
      <w:bookmarkStart w:id="266" w:name="_Toc120173151"/>
      <w:r>
        <w:rPr>
          <w:color w:val="000000" w:themeColor="text1"/>
          <w:highlight w:val="none"/>
          <w:lang w:eastAsia="zh-CN"/>
          <w14:textFill>
            <w14:solidFill>
              <w14:schemeClr w14:val="tx1"/>
            </w14:solidFill>
          </w14:textFill>
        </w:rPr>
        <w:t>施工期钻前工程环境影响分析</w:t>
      </w:r>
      <w:bookmarkEnd w:id="266"/>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大气环境影响分析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（1）废气源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钻前施工人员多为临时聘请的当地民工，租住在附近农户家中，钻前工程不设集中生活营区，无集中生活废气排放。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钻前工程大气污染物主要为施工粉尘、运输和作业车辆排放的汽车尾气，但属短期影响（</w:t>
      </w:r>
      <w:r>
        <w:rPr>
          <w:rFonts w:hint="eastAsia" w:cs="Times New Roman"/>
          <w:color w:val="000000" w:themeColor="text1"/>
          <w:highlight w:val="none"/>
          <w14:textFill>
            <w14:solidFill>
              <w14:schemeClr w14:val="tx1"/>
            </w14:solidFill>
          </w14:textFill>
        </w:rPr>
        <w:t>钻前施工工期约120天</w:t>
      </w:r>
      <w:r>
        <w:rPr>
          <w:rFonts w:cs="Times New Roman"/>
          <w:color w:val="000000" w:themeColor="text1"/>
          <w:highlight w:val="none"/>
          <w14:textFill>
            <w14:solidFill>
              <w14:schemeClr w14:val="tx1"/>
            </w14:solidFill>
          </w14:textFill>
        </w:rPr>
        <w:t>）。粉尘主要源于材料运输、使用过程中的粉尘散落；修筑钻井场地和井场外道路的挖填方转运过程中的二次扬尘。</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（2）大气环境影响分析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钻前施工对环境空气的影响主要是道路扬尘及燃油动力机械废气</w:t>
      </w:r>
      <w:r>
        <w:rPr>
          <w:rFonts w:hint="eastAsia" w:cs="Times New Roman"/>
          <w:color w:val="000000" w:themeColor="text1"/>
          <w:highlight w:val="none"/>
          <w14:textFill>
            <w14:solidFill>
              <w14:schemeClr w14:val="tx1"/>
            </w14:solidFill>
          </w14:textFill>
        </w:rPr>
        <w:t>（含运输车辆尾气）</w:t>
      </w:r>
      <w:r>
        <w:rPr>
          <w:rFonts w:cs="Times New Roman"/>
          <w:color w:val="000000" w:themeColor="text1"/>
          <w:highlight w:val="none"/>
          <w14:textFill>
            <w14:solidFill>
              <w14:schemeClr w14:val="tx1"/>
            </w14:solidFill>
          </w14:textFill>
        </w:rPr>
        <w:t>。扬尘主要来自施工现场运输车辆、筑路机械作业过程中扬起的灰尘。据经验数据，在风速为1.2m/s或2.4m/s下土方和灰土的装卸、运输、施工或现场施工以及石料运输时距离50</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150m处下风方向粉尘浓度为11.7～5.0mg/m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。项目所在区域的年平均风速为1.5m/s，风速较小，产生的扬尘量小。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施工单位采取硬化进出口、冲洗、洒水等措施控制扬尘，设置车辆冲洗设施对驶出工地的车辆进行冲洗。对露天堆放河沙、石粉、水泥、灰浆、灰膏等易扬撒的物料予以覆盖，对开挖施工作业面（点）洒水降尘，临时表土堆场洒水、覆盖降尘，密闭运输渣土、砂石等易撒漏扬散物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四川省《中华人民共和国大气污染防治法》实施办法（2018修订）相关要求，建设单位要加强对建设工地的监督检查，督促施工单位落实降尘、压尘和抑尘措施。钻前工程施工时间很短，完成后影响即可消失，无长期影响，通过采取降措施，对区域环境影响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各类燃油动力机械在现场进行场地挖填、运输、施工等作业时，排放的废气中含CO和NOx等污染物，由于施工的燃油机械为间断施工，加之污染物排放量小，对环境空气的不利影响很小，施工结束后，影响将消失。</w:t>
      </w:r>
    </w:p>
    <w:p>
      <w:pPr>
        <w:ind w:firstLine="482"/>
        <w:rPr>
          <w:rFonts w:cs="Times New Roman"/>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综上所述，由于钻前工程废气产生量较少、施工期短，对当地环境空气影响较小</w:t>
      </w:r>
      <w:r>
        <w:rPr>
          <w:rFonts w:cs="Times New Roman"/>
          <w:b/>
          <w:bCs/>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地表水环境影响分析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前工程水环境的影响主要是生活污水和施工废水。生活污水来自施工人员，施工期间生活污水产生量小，钻前工程人员租住农户家，生活污水由当地农户旱厕收集后农用，对当地水环境的影响小。施工废水来自施工场地等施工过程遇雨产生的地表径流，径流雨水中夹带有悬浮物；井场基础建设产生的废水主要来自砂石骨料加工、混凝土拌和及养护等过程中，经隔油池沉淀处理后回用于洒水降尘。施工单位通过定期检查，减少油类物质对周边土壤的影响。采取上述措施后对区域地表水环境基本无影响。</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地下水和土壤环境影响分析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钻前工程对地下水和土壤环境的影响主要是施工废水及原辅材料</w:t>
      </w:r>
      <w:r>
        <w:rPr>
          <w:rFonts w:hint="eastAsia" w:cs="Times New Roman"/>
          <w:color w:val="000000" w:themeColor="text1"/>
          <w:highlight w:val="none"/>
          <w14:textFill>
            <w14:solidFill>
              <w14:schemeClr w14:val="tx1"/>
            </w14:solidFill>
          </w14:textFill>
        </w:rPr>
        <w:t>泄漏</w:t>
      </w:r>
      <w:r>
        <w:rPr>
          <w:rFonts w:cs="Times New Roman"/>
          <w:color w:val="000000" w:themeColor="text1"/>
          <w:highlight w:val="none"/>
          <w14:textFill>
            <w14:solidFill>
              <w14:schemeClr w14:val="tx1"/>
            </w14:solidFill>
          </w14:textFill>
        </w:rPr>
        <w:t>进入地下水和土壤环境，对其造成污染。钻前施工对沉淀池进行防渗，机具材料堆放于防渗垫上面，因此，采取上述措施后钻前工程对区域地下水和土壤环境基本无影响。</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r>
        <w:rPr>
          <w:rFonts w:hint="eastAsia"/>
          <w:color w:val="000000" w:themeColor="text1"/>
          <w:highlight w:val="none"/>
          <w14:textFill>
            <w14:solidFill>
              <w14:schemeClr w14:val="tx1"/>
            </w14:solidFill>
          </w14:textFill>
        </w:rPr>
        <w:t>环境</w:t>
      </w:r>
      <w:r>
        <w:rPr>
          <w:color w:val="000000" w:themeColor="text1"/>
          <w:highlight w:val="none"/>
          <w14:textFill>
            <w14:solidFill>
              <w14:schemeClr w14:val="tx1"/>
            </w14:solidFill>
          </w14:textFill>
        </w:rPr>
        <w:t>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为新建，钻前工程量小，时间短，工程弃土主要为井场设备基础施工产生的弃土与拆除工程产生的建筑弃渣，这些弃土用于井场平整，无弃渣产生。钻前工程产生其他的建筑废料和生活垃圾产生量较少，建筑垃圾用于井场平整或统一收集清运至政府指定地点，生活垃圾收集后依托当地环卫部门处理，对环境影响小。</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声环境影响分析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前工程施工噪声主要来自施工机械和运输车辆产生的噪声，施工噪声影响虽然是暂时的，但施工过程中采用的施工机械一般都具有噪声高、无规则等特点，如不加以控制，将会对施工区域周边环境产生一定的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（1）施工噪声预测模式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施工噪声可近似视为点声源处理，根据点声源噪声衰减模式，估算出离声源不同距离处的噪声值，预测模式如下：</w:t>
      </w:r>
    </w:p>
    <w:p>
      <w:pPr>
        <w:ind w:firstLine="480"/>
        <w:rPr>
          <w:color w:val="000000" w:themeColor="text1"/>
          <w:highlight w:val="none"/>
          <w14:textFill>
            <w14:solidFill>
              <w14:schemeClr w14:val="tx1"/>
            </w14:solidFill>
          </w14:textFill>
        </w:rPr>
      </w:pPr>
      <m:oMathPara>
        <m:oMath>
          <m:sSub>
            <m:sSubPr>
              <m:ctrlPr>
                <w:rPr>
                  <w:rFonts w:ascii="Cambria Math" w:hAnsi="Cambria Math"/>
                  <w:color w:val="000000" w:themeColor="text1"/>
                  <w:highlight w:val="none"/>
                  <w14:textFill>
                    <w14:solidFill>
                      <w14:schemeClr w14:val="tx1"/>
                    </w14:solidFill>
                  </w14:textFill>
                </w:rPr>
              </m:ctrlPr>
            </m:sSubPr>
            <m:e>
              <m:r>
                <m:rPr/>
                <w:rPr>
                  <w:rFonts w:ascii="Cambria Math" w:hAnsi="Cambria Math"/>
                  <w:color w:val="000000" w:themeColor="text1"/>
                  <w:highlight w:val="none"/>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w:rPr>
                  <w:rFonts w:ascii="Cambria Math" w:hAnsi="Cambria Math"/>
                  <w:color w:val="000000" w:themeColor="text1"/>
                  <w:highlight w:val="none"/>
                  <w14:textFill>
                    <w14:solidFill>
                      <w14:schemeClr w14:val="tx1"/>
                    </w14:solidFill>
                  </w14:textFill>
                </w:rPr>
                <m:t>A</m:t>
              </m:r>
              <m:ctrlPr>
                <w:rPr>
                  <w:rFonts w:ascii="Cambria Math" w:hAnsi="Cambria Math"/>
                  <w:color w:val="000000" w:themeColor="text1"/>
                  <w:highlight w:val="none"/>
                  <w14:textFill>
                    <w14:solidFill>
                      <w14:schemeClr w14:val="tx1"/>
                    </w14:solidFill>
                  </w14:textFill>
                </w:rPr>
              </m:ctrlPr>
            </m:sub>
          </m:sSub>
          <m:r>
            <m:rPr/>
            <w:rPr>
              <w:rFonts w:hint="eastAsia" w:hAnsi="Cambria Math"/>
              <w:color w:val="000000" w:themeColor="text1"/>
              <w:highlight w:val="none"/>
              <w14:textFill>
                <w14:solidFill>
                  <w14:schemeClr w14:val="tx1"/>
                </w14:solidFill>
              </w14:textFill>
            </w:rPr>
            <m:t>(</m:t>
          </m:r>
          <m:r>
            <m:rPr/>
            <w:rPr>
              <w:rFonts w:ascii="Cambria Math" w:hAnsi="Cambria Math"/>
              <w:color w:val="000000" w:themeColor="text1"/>
              <w:highlight w:val="none"/>
              <w14:textFill>
                <w14:solidFill>
                  <w14:schemeClr w14:val="tx1"/>
                </w14:solidFill>
              </w14:textFill>
            </w:rPr>
            <m:t>r</m:t>
          </m:r>
          <m:r>
            <m:rPr/>
            <w:rPr>
              <w:rFonts w:hint="eastAsia" w:hAnsi="Cambria Math"/>
              <w:color w:val="000000" w:themeColor="text1"/>
              <w:highlight w:val="none"/>
              <w14:textFill>
                <w14:solidFill>
                  <w14:schemeClr w14:val="tx1"/>
                </w14:solidFill>
              </w14:textFill>
            </w:rPr>
            <m:t>)</m:t>
          </m:r>
          <m:r>
            <m:rPr>
              <m:sty m:val="p"/>
            </m:rPr>
            <w:rPr>
              <w:rFonts w:ascii="Cambria Math" w:hAnsi="Cambria Math"/>
              <w:color w:val="000000" w:themeColor="text1"/>
              <w:highlight w:val="none"/>
              <w14:textFill>
                <w14:solidFill>
                  <w14:schemeClr w14:val="tx1"/>
                </w14:solidFill>
              </w14:textFill>
            </w:rPr>
            <m:t>=</m:t>
          </m:r>
          <m:sSub>
            <m:sSubPr>
              <m:ctrlPr>
                <w:rPr>
                  <w:rFonts w:ascii="Cambria Math" w:hAnsi="Cambria Math"/>
                  <w:color w:val="000000" w:themeColor="text1"/>
                  <w:highlight w:val="none"/>
                  <w14:textFill>
                    <w14:solidFill>
                      <w14:schemeClr w14:val="tx1"/>
                    </w14:solidFill>
                  </w14:textFill>
                </w:rPr>
              </m:ctrlPr>
            </m:sSubPr>
            <m:e>
              <m:r>
                <m:rPr/>
                <w:rPr>
                  <w:rFonts w:ascii="Cambria Math" w:hAnsi="Cambria Math"/>
                  <w:color w:val="000000" w:themeColor="text1"/>
                  <w:highlight w:val="none"/>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w:rPr>
                  <w:rFonts w:ascii="Cambria Math" w:hAnsi="Cambria Math"/>
                  <w:color w:val="000000" w:themeColor="text1"/>
                  <w:highlight w:val="none"/>
                  <w14:textFill>
                    <w14:solidFill>
                      <w14:schemeClr w14:val="tx1"/>
                    </w14:solidFill>
                  </w14:textFill>
                </w:rPr>
                <m:t>A</m:t>
              </m:r>
              <m:ctrlPr>
                <w:rPr>
                  <w:rFonts w:ascii="Cambria Math" w:hAnsi="Cambria Math"/>
                  <w:color w:val="000000" w:themeColor="text1"/>
                  <w:highlight w:val="none"/>
                  <w14:textFill>
                    <w14:solidFill>
                      <w14:schemeClr w14:val="tx1"/>
                    </w14:solidFill>
                  </w14:textFill>
                </w:rPr>
              </m:ctrlPr>
            </m:sub>
          </m:sSub>
          <m:r>
            <m:rPr/>
            <w:rPr>
              <w:rFonts w:hint="eastAsia" w:hAnsi="Cambria Math"/>
              <w:color w:val="000000" w:themeColor="text1"/>
              <w:highlight w:val="none"/>
              <w14:textFill>
                <w14:solidFill>
                  <w14:schemeClr w14:val="tx1"/>
                </w14:solidFill>
              </w14:textFill>
            </w:rPr>
            <m:t>(</m:t>
          </m:r>
          <m:r>
            <m:rPr/>
            <w:rPr>
              <w:rFonts w:ascii="Cambria Math" w:hAnsi="Cambria Math"/>
              <w:color w:val="000000" w:themeColor="text1"/>
              <w:highlight w:val="none"/>
              <w14:textFill>
                <w14:solidFill>
                  <w14:schemeClr w14:val="tx1"/>
                </w14:solidFill>
              </w14:textFill>
            </w:rPr>
            <m:t>ro</m:t>
          </m:r>
          <m:r>
            <m:rPr/>
            <w:rPr>
              <w:rFonts w:hint="eastAsia" w:hAnsi="Cambria Math"/>
              <w:color w:val="000000" w:themeColor="text1"/>
              <w:highlight w:val="none"/>
              <w14:textFill>
                <w14:solidFill>
                  <w14:schemeClr w14:val="tx1"/>
                </w14:solidFill>
              </w14:textFill>
            </w:rPr>
            <m:t>)</m:t>
          </m:r>
          <m:r>
            <m:rPr>
              <m:sty m:val="p"/>
            </m:rPr>
            <w:rPr>
              <w:rFonts w:ascii="Cambria Math" w:hAnsi="Cambria Math"/>
              <w:color w:val="000000" w:themeColor="text1"/>
              <w:highlight w:val="none"/>
              <w14:textFill>
                <w14:solidFill>
                  <w14:schemeClr w14:val="tx1"/>
                </w14:solidFill>
              </w14:textFill>
            </w:rPr>
            <m:t>−20</m:t>
          </m:r>
          <m:sSub>
            <m:sSubPr>
              <m:ctrlPr>
                <w:rPr>
                  <w:rFonts w:ascii="Cambria Math" w:hAnsi="Cambria Math"/>
                  <w:color w:val="000000" w:themeColor="text1"/>
                  <w:highlight w:val="none"/>
                  <w14:textFill>
                    <w14:solidFill>
                      <w14:schemeClr w14:val="tx1"/>
                    </w14:solidFill>
                  </w14:textFill>
                </w:rPr>
              </m:ctrlPr>
            </m:sSubPr>
            <m:e>
              <m:r>
                <m:rPr/>
                <w:rPr>
                  <w:rFonts w:ascii="Cambria Math" w:hAnsi="Cambria Math"/>
                  <w:color w:val="000000" w:themeColor="text1"/>
                  <w:highlight w:val="none"/>
                  <w14:textFill>
                    <w14:solidFill>
                      <w14:schemeClr w14:val="tx1"/>
                    </w14:solidFill>
                  </w14:textFill>
                </w:rPr>
                <m:t>L</m:t>
              </m:r>
              <m:ctrlPr>
                <w:rPr>
                  <w:rFonts w:ascii="Cambria Math" w:hAnsi="Cambria Math"/>
                  <w:color w:val="000000" w:themeColor="text1"/>
                  <w:highlight w:val="none"/>
                  <w14:textFill>
                    <w14:solidFill>
                      <w14:schemeClr w14:val="tx1"/>
                    </w14:solidFill>
                  </w14:textFill>
                </w:rPr>
              </m:ctrlPr>
            </m:e>
            <m:sub>
              <m:r>
                <m:rPr/>
                <w:rPr>
                  <w:rFonts w:ascii="Cambria Math" w:hAnsi="Cambria Math"/>
                  <w:color w:val="000000" w:themeColor="text1"/>
                  <w:highlight w:val="none"/>
                  <w14:textFill>
                    <w14:solidFill>
                      <w14:schemeClr w14:val="tx1"/>
                    </w14:solidFill>
                  </w14:textFill>
                </w:rPr>
                <m:t>g</m:t>
              </m:r>
              <m:ctrlPr>
                <w:rPr>
                  <w:rFonts w:ascii="Cambria Math" w:hAnsi="Cambria Math"/>
                  <w:color w:val="000000" w:themeColor="text1"/>
                  <w:highlight w:val="none"/>
                  <w14:textFill>
                    <w14:solidFill>
                      <w14:schemeClr w14:val="tx1"/>
                    </w14:solidFill>
                  </w14:textFill>
                </w:rPr>
              </m:ctrlPr>
            </m:sub>
          </m:sSub>
          <m:d>
            <m:dPr>
              <m:ctrlPr>
                <w:rPr>
                  <w:rFonts w:ascii="Cambria Math" w:hAnsi="Cambria Math"/>
                  <w:color w:val="000000" w:themeColor="text1"/>
                  <w:highlight w:val="none"/>
                  <w14:textFill>
                    <w14:solidFill>
                      <w14:schemeClr w14:val="tx1"/>
                    </w14:solidFill>
                  </w14:textFill>
                </w:rPr>
              </m:ctrlPr>
            </m:dPr>
            <m:e>
              <m:f>
                <m:fPr>
                  <m:type m:val="lin"/>
                  <m:ctrlPr>
                    <w:rPr>
                      <w:rFonts w:ascii="Cambria Math" w:hAnsi="Cambria Math"/>
                      <w:color w:val="000000" w:themeColor="text1"/>
                      <w:highlight w:val="none"/>
                      <w14:textFill>
                        <w14:solidFill>
                          <w14:schemeClr w14:val="tx1"/>
                        </w14:solidFill>
                      </w14:textFill>
                    </w:rPr>
                  </m:ctrlPr>
                </m:fPr>
                <m:num>
                  <m:r>
                    <m:rPr/>
                    <w:rPr>
                      <w:rFonts w:ascii="Cambria Math" w:hAnsi="Cambria Math"/>
                      <w:color w:val="000000" w:themeColor="text1"/>
                      <w:highlight w:val="none"/>
                      <w14:textFill>
                        <w14:solidFill>
                          <w14:schemeClr w14:val="tx1"/>
                        </w14:solidFill>
                      </w14:textFill>
                    </w:rPr>
                    <m:t>r</m:t>
                  </m:r>
                  <m:ctrlPr>
                    <w:rPr>
                      <w:rFonts w:ascii="Cambria Math" w:hAnsi="Cambria Math"/>
                      <w:color w:val="000000" w:themeColor="text1"/>
                      <w:highlight w:val="none"/>
                      <w14:textFill>
                        <w14:solidFill>
                          <w14:schemeClr w14:val="tx1"/>
                        </w14:solidFill>
                      </w14:textFill>
                    </w:rPr>
                  </m:ctrlPr>
                </m:num>
                <m:den>
                  <m:sSub>
                    <m:sSubPr>
                      <m:ctrlPr>
                        <w:rPr>
                          <w:rFonts w:ascii="Cambria Math" w:hAnsi="Cambria Math"/>
                          <w:color w:val="000000" w:themeColor="text1"/>
                          <w:highlight w:val="none"/>
                          <w14:textFill>
                            <w14:solidFill>
                              <w14:schemeClr w14:val="tx1"/>
                            </w14:solidFill>
                          </w14:textFill>
                        </w:rPr>
                      </m:ctrlPr>
                    </m:sSubPr>
                    <m:e>
                      <m:r>
                        <m:rPr/>
                        <w:rPr>
                          <w:rFonts w:ascii="Cambria Math" w:hAnsi="Cambria Math"/>
                          <w:color w:val="000000" w:themeColor="text1"/>
                          <w:highlight w:val="none"/>
                          <w14:textFill>
                            <w14:solidFill>
                              <w14:schemeClr w14:val="tx1"/>
                            </w14:solidFill>
                          </w14:textFill>
                        </w:rPr>
                        <m:t>r</m:t>
                      </m:r>
                      <m:ctrlPr>
                        <w:rPr>
                          <w:rFonts w:ascii="Cambria Math" w:hAnsi="Cambria Math"/>
                          <w:color w:val="000000" w:themeColor="text1"/>
                          <w:highlight w:val="none"/>
                          <w14:textFill>
                            <w14:solidFill>
                              <w14:schemeClr w14:val="tx1"/>
                            </w14:solidFill>
                          </w14:textFill>
                        </w:rPr>
                      </m:ctrlPr>
                    </m:e>
                    <m:sub>
                      <m:r>
                        <m:rPr/>
                        <w:rPr>
                          <w:rFonts w:ascii="Cambria Math" w:hAnsi="Cambria Math"/>
                          <w:color w:val="000000" w:themeColor="text1"/>
                          <w:highlight w:val="none"/>
                          <w14:textFill>
                            <w14:solidFill>
                              <w14:schemeClr w14:val="tx1"/>
                            </w14:solidFill>
                          </w14:textFill>
                        </w:rPr>
                        <m:t>o</m:t>
                      </m:r>
                      <m:ctrlPr>
                        <w:rPr>
                          <w:rFonts w:ascii="Cambria Math" w:hAnsi="Cambria Math"/>
                          <w:color w:val="000000" w:themeColor="text1"/>
                          <w:highlight w:val="none"/>
                          <w14:textFill>
                            <w14:solidFill>
                              <w14:schemeClr w14:val="tx1"/>
                            </w14:solidFill>
                          </w14:textFill>
                        </w:rPr>
                      </m:ctrlPr>
                    </m:sub>
                  </m:sSub>
                  <m:ctrlPr>
                    <w:rPr>
                      <w:rFonts w:ascii="Cambria Math" w:hAnsi="Cambria Math"/>
                      <w:color w:val="000000" w:themeColor="text1"/>
                      <w:highlight w:val="none"/>
                      <w14:textFill>
                        <w14:solidFill>
                          <w14:schemeClr w14:val="tx1"/>
                        </w14:solidFill>
                      </w14:textFill>
                    </w:rPr>
                  </m:ctrlPr>
                </m:den>
              </m:f>
              <m:ctrlPr>
                <w:rPr>
                  <w:rFonts w:ascii="Cambria Math" w:hAnsi="Cambria Math"/>
                  <w:color w:val="000000" w:themeColor="text1"/>
                  <w:highlight w:val="none"/>
                  <w14:textFill>
                    <w14:solidFill>
                      <w14:schemeClr w14:val="tx1"/>
                    </w14:solidFill>
                  </w14:textFill>
                </w:rPr>
              </m:ctrlPr>
            </m:e>
          </m:d>
          <m:r>
            <m:rPr>
              <m:sty m:val="p"/>
            </m:rPr>
            <w:rPr>
              <w:rFonts w:ascii="Cambria Math" w:hAnsi="Cambria Math"/>
              <w:color w:val="000000" w:themeColor="text1"/>
              <w:highlight w:val="none"/>
              <w14:textFill>
                <w14:solidFill>
                  <w14:schemeClr w14:val="tx1"/>
                </w14:solidFill>
              </w14:textFill>
            </w:rPr>
            <m:t>−</m:t>
          </m:r>
          <m:r>
            <m:rPr/>
            <w:rPr>
              <w:rFonts w:ascii="Cambria Math" w:hAnsi="Cambria Math"/>
              <w:color w:val="000000" w:themeColor="text1"/>
              <w:highlight w:val="none"/>
              <w14:textFill>
                <w14:solidFill>
                  <w14:schemeClr w14:val="tx1"/>
                </w14:solidFill>
              </w14:textFill>
            </w:rPr>
            <m:t>ΔL</m:t>
          </m:r>
        </m:oMath>
      </m:oMathPara>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式中：L</w:t>
      </w:r>
      <w:r>
        <w:rPr>
          <w:color w:val="000000" w:themeColor="text1"/>
          <w:highlight w:val="none"/>
          <w:vertAlign w:val="subscript"/>
          <w14:textFill>
            <w14:solidFill>
              <w14:schemeClr w14:val="tx1"/>
            </w14:solidFill>
          </w14:textFill>
        </w:rPr>
        <w:t>A</w:t>
      </w:r>
      <w:r>
        <w:rPr>
          <w:color w:val="000000" w:themeColor="text1"/>
          <w:highlight w:val="none"/>
          <w14:textFill>
            <w14:solidFill>
              <w14:schemeClr w14:val="tx1"/>
            </w14:solidFill>
          </w14:textFill>
        </w:rPr>
        <w:t>（r）—距声源r处的施工噪声预测值，dB（A）；</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LA（r0）—距声源r</w:t>
      </w:r>
      <w:r>
        <w:rPr>
          <w:color w:val="000000" w:themeColor="text1"/>
          <w:highlight w:val="none"/>
          <w:vertAlign w:val="subscript"/>
          <w14:textFill>
            <w14:solidFill>
              <w14:schemeClr w14:val="tx1"/>
            </w14:solidFill>
          </w14:textFill>
        </w:rPr>
        <w:t>0</w:t>
      </w:r>
      <w:r>
        <w:rPr>
          <w:color w:val="000000" w:themeColor="text1"/>
          <w:highlight w:val="none"/>
          <w14:textFill>
            <w14:solidFill>
              <w14:schemeClr w14:val="tx1"/>
            </w14:solidFill>
          </w14:textFill>
        </w:rPr>
        <w:t>处的参考声压级，dB（A）；</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r—预测点距声源的距离，m；</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r</w:t>
      </w:r>
      <w:r>
        <w:rPr>
          <w:color w:val="000000" w:themeColor="text1"/>
          <w:highlight w:val="none"/>
          <w:vertAlign w:val="subscript"/>
          <w14:textFill>
            <w14:solidFill>
              <w14:schemeClr w14:val="tx1"/>
            </w14:solidFill>
          </w14:textFill>
        </w:rPr>
        <w:t>0</w:t>
      </w:r>
      <w:r>
        <w:rPr>
          <w:color w:val="000000" w:themeColor="text1"/>
          <w:highlight w:val="none"/>
          <w14:textFill>
            <w14:solidFill>
              <w14:schemeClr w14:val="tx1"/>
            </w14:solidFill>
          </w14:textFill>
        </w:rPr>
        <w:t>—参考点距声源的距离，m。</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object>
          <v:shape id="_x0000_i1029" o:spt="75" type="#_x0000_t75" style="height:10pt;width:16.1pt;" o:ole="t" filled="f" o:preferrelative="t" stroked="f" coordsize="21600,21600">
            <v:path/>
            <v:fill on="f" focussize="0,0"/>
            <v:stroke on="f" joinstyle="miter"/>
            <v:imagedata r:id="rId59" o:title=""/>
            <o:lock v:ext="edit" aspectratio="t"/>
            <w10:wrap type="none"/>
            <w10:anchorlock/>
          </v:shape>
          <o:OLEObject Type="Embed" ProgID="Equation.2" ShapeID="_x0000_i1029" DrawAspect="Content" ObjectID="_1468075729" r:id="rId58">
            <o:LockedField>false</o:LockedField>
          </o:OLEObject>
        </w:object>
      </w:r>
      <w:r>
        <w:rPr>
          <w:color w:val="000000" w:themeColor="text1"/>
          <w:highlight w:val="none"/>
          <w14:textFill>
            <w14:solidFill>
              <w14:schemeClr w14:val="tx1"/>
            </w14:solidFill>
          </w14:textFill>
        </w:rPr>
        <w:t>—各种衰减量（除发散衰减外），dB（A）。室外噪声源</w:t>
      </w:r>
      <w:r>
        <w:rPr>
          <w:color w:val="000000" w:themeColor="text1"/>
          <w:highlight w:val="none"/>
          <w14:textFill>
            <w14:solidFill>
              <w14:schemeClr w14:val="tx1"/>
            </w14:solidFill>
          </w14:textFill>
        </w:rPr>
        <w:object>
          <v:shape id="_x0000_i1030" o:spt="75" type="#_x0000_t75" style="height:10pt;width:16.1pt;" o:ole="t" filled="f" o:preferrelative="t" stroked="f" coordsize="21600,21600">
            <v:path/>
            <v:fill on="f" focussize="0,0"/>
            <v:stroke on="f" joinstyle="miter"/>
            <v:imagedata r:id="rId59" o:title=""/>
            <o:lock v:ext="edit" aspectratio="t"/>
            <w10:wrap type="none"/>
            <w10:anchorlock/>
          </v:shape>
          <o:OLEObject Type="Embed" ProgID="Equation.2" ShapeID="_x0000_i1030" DrawAspect="Content" ObjectID="_1468075730" r:id="rId60">
            <o:LockedField>false</o:LockedField>
          </o:OLEObject>
        </w:object>
      </w:r>
      <w:r>
        <w:rPr>
          <w:color w:val="000000" w:themeColor="text1"/>
          <w:highlight w:val="none"/>
          <w14:textFill>
            <w14:solidFill>
              <w14:schemeClr w14:val="tx1"/>
            </w14:solidFill>
          </w14:textFill>
        </w:rPr>
        <w:t>取为零。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根据工程设计，本项目仅白天施工，夜间不施工。根据噪声衰减模式，各施工机具声源在不同距离处的噪声影响值（未考虑吸声、隔声等效果）参见表5.1-1。</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1</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主要施工机械在不同距离的噪声值</w:t>
      </w:r>
      <w:r>
        <w:rPr>
          <w:color w:val="000000" w:themeColor="text1"/>
          <w:highlight w:val="none"/>
          <w14:textFill>
            <w14:solidFill>
              <w14:schemeClr w14:val="tx1"/>
            </w14:solidFill>
          </w14:textFill>
        </w:rPr>
        <w:t xml:space="preserve">  单位：dB（A）</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721"/>
        <w:gridCol w:w="1062"/>
        <w:gridCol w:w="750"/>
        <w:gridCol w:w="792"/>
        <w:gridCol w:w="792"/>
        <w:gridCol w:w="804"/>
        <w:gridCol w:w="785"/>
        <w:gridCol w:w="785"/>
        <w:gridCol w:w="882"/>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710" w:type="dxa"/>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1047" w:type="dxa"/>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施工机具</w:t>
            </w:r>
          </w:p>
        </w:tc>
        <w:tc>
          <w:tcPr>
            <w:tcW w:w="6347" w:type="dxa"/>
            <w:gridSpan w:val="8"/>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预测距离（m）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710" w:type="dxa"/>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p>
        </w:tc>
        <w:tc>
          <w:tcPr>
            <w:tcW w:w="1047" w:type="dxa"/>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p>
        </w:tc>
        <w:tc>
          <w:tcPr>
            <w:tcW w:w="739"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30</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50</w:t>
            </w:r>
          </w:p>
        </w:tc>
        <w:tc>
          <w:tcPr>
            <w:tcW w:w="793"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100</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150</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200</w:t>
            </w:r>
          </w:p>
        </w:tc>
        <w:tc>
          <w:tcPr>
            <w:tcW w:w="870"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250</w:t>
            </w:r>
          </w:p>
        </w:tc>
        <w:tc>
          <w:tcPr>
            <w:tcW w:w="835" w:type="dxa"/>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1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047"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推土机</w:t>
            </w:r>
          </w:p>
        </w:tc>
        <w:tc>
          <w:tcPr>
            <w:tcW w:w="739"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79</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69</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65</w:t>
            </w:r>
          </w:p>
        </w:tc>
        <w:tc>
          <w:tcPr>
            <w:tcW w:w="79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59</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87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51</w:t>
            </w:r>
          </w:p>
        </w:tc>
        <w:tc>
          <w:tcPr>
            <w:tcW w:w="83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1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047"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挖掘机</w:t>
            </w:r>
          </w:p>
        </w:tc>
        <w:tc>
          <w:tcPr>
            <w:tcW w:w="739"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68</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64</w:t>
            </w:r>
          </w:p>
        </w:tc>
        <w:tc>
          <w:tcPr>
            <w:tcW w:w="79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58</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54</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c>
          <w:tcPr>
            <w:tcW w:w="87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c>
          <w:tcPr>
            <w:tcW w:w="83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1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047"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载重机车</w:t>
            </w:r>
          </w:p>
        </w:tc>
        <w:tc>
          <w:tcPr>
            <w:tcW w:w="739"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66</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62</w:t>
            </w:r>
          </w:p>
        </w:tc>
        <w:tc>
          <w:tcPr>
            <w:tcW w:w="79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52</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51</w:t>
            </w:r>
          </w:p>
        </w:tc>
        <w:tc>
          <w:tcPr>
            <w:tcW w:w="87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48</w:t>
            </w:r>
          </w:p>
        </w:tc>
        <w:tc>
          <w:tcPr>
            <w:tcW w:w="83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71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047"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空压机</w:t>
            </w:r>
          </w:p>
        </w:tc>
        <w:tc>
          <w:tcPr>
            <w:tcW w:w="739"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81</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71</w:t>
            </w:r>
          </w:p>
        </w:tc>
        <w:tc>
          <w:tcPr>
            <w:tcW w:w="78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67</w:t>
            </w:r>
          </w:p>
        </w:tc>
        <w:tc>
          <w:tcPr>
            <w:tcW w:w="793"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61</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57</w:t>
            </w:r>
          </w:p>
        </w:tc>
        <w:tc>
          <w:tcPr>
            <w:tcW w:w="77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c>
          <w:tcPr>
            <w:tcW w:w="870"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c>
          <w:tcPr>
            <w:tcW w:w="83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52</w:t>
            </w:r>
          </w:p>
        </w:tc>
      </w:tr>
    </w:tbl>
    <w:p>
      <w:pPr>
        <w:spacing w:before="120" w:beforeLines="5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根据预测结果，在距离施工机械约36m处噪声级低于70dB（A），即施工区边界外36m处可满足《建筑施工场界环境噪声排放标准》（GB12523-2011）。</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（2）施工期噪声对敏感点的影响分析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按《声环境质量标准》（GB3096-2008）2类标准评价（昼间小于等于60分贝），昼间距离施工区约113m可满足标准要求，夜间不施工。</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项目周边的敏感点均为分散的敏感点，</w:t>
      </w:r>
      <w:r>
        <w:rPr>
          <w:rFonts w:hint="eastAsia"/>
          <w:color w:val="000000" w:themeColor="text1"/>
          <w:highlight w:val="none"/>
          <w:lang w:val="en-US" w:eastAsia="zh-CN"/>
          <w14:textFill>
            <w14:solidFill>
              <w14:schemeClr w14:val="tx1"/>
            </w14:solidFill>
          </w14:textFill>
        </w:rPr>
        <w:t>主要分布在本项目井口500m外，</w:t>
      </w:r>
      <w:r>
        <w:rPr>
          <w:rFonts w:hint="eastAsia"/>
          <w:color w:val="000000" w:themeColor="text1"/>
          <w:highlight w:val="none"/>
          <w14:textFill>
            <w14:solidFill>
              <w14:schemeClr w14:val="tx1"/>
            </w14:solidFill>
          </w14:textFill>
        </w:rPr>
        <w:t>且</w:t>
      </w:r>
      <w:r>
        <w:rPr>
          <w:color w:val="000000" w:themeColor="text1"/>
          <w:highlight w:val="none"/>
          <w14:textFill>
            <w14:solidFill>
              <w14:schemeClr w14:val="tx1"/>
            </w14:solidFill>
          </w14:textFill>
        </w:rPr>
        <w:t>居民数量不多，钻前施工约</w:t>
      </w:r>
      <w:r>
        <w:rPr>
          <w:rFonts w:hint="eastAsia"/>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t>天，噪声对周边环境及居民点的影响</w:t>
      </w:r>
      <w:r>
        <w:rPr>
          <w:rFonts w:hint="eastAsia"/>
          <w:color w:val="000000" w:themeColor="text1"/>
          <w:highlight w:val="none"/>
          <w14:textFill>
            <w14:solidFill>
              <w14:schemeClr w14:val="tx1"/>
            </w14:solidFill>
          </w14:textFill>
        </w:rPr>
        <w:t>较小</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本工程</w:t>
      </w:r>
      <w:r>
        <w:rPr>
          <w:color w:val="000000" w:themeColor="text1"/>
          <w:highlight w:val="none"/>
          <w14:textFill>
            <w14:solidFill>
              <w14:schemeClr w14:val="tx1"/>
            </w14:solidFill>
          </w14:textFill>
        </w:rPr>
        <w:t>在施工时，应选择合理的施工时间，</w:t>
      </w:r>
      <w:r>
        <w:rPr>
          <w:rFonts w:hint="eastAsia"/>
          <w:color w:val="000000" w:themeColor="text1"/>
          <w:highlight w:val="none"/>
          <w:lang w:val="en-US" w:eastAsia="zh-CN"/>
          <w14:textFill>
            <w14:solidFill>
              <w14:schemeClr w14:val="tx1"/>
            </w14:solidFill>
          </w14:textFill>
        </w:rPr>
        <w:t>采取</w:t>
      </w:r>
      <w:r>
        <w:rPr>
          <w:color w:val="000000" w:themeColor="text1"/>
          <w:highlight w:val="none"/>
          <w14:textFill>
            <w14:solidFill>
              <w14:schemeClr w14:val="tx1"/>
            </w14:solidFill>
          </w14:textFill>
        </w:rPr>
        <w:t>优化总平面布置</w:t>
      </w:r>
      <w:r>
        <w:rPr>
          <w:rFonts w:hint="eastAsia"/>
          <w:color w:val="000000" w:themeColor="text1"/>
          <w:highlight w:val="none"/>
          <w:lang w:val="en-US" w:eastAsia="zh-CN"/>
          <w14:textFill>
            <w14:solidFill>
              <w14:schemeClr w14:val="tx1"/>
            </w14:solidFill>
          </w14:textFill>
        </w:rPr>
        <w:t>等方式</w:t>
      </w:r>
      <w:r>
        <w:rPr>
          <w:color w:val="000000" w:themeColor="text1"/>
          <w:highlight w:val="none"/>
          <w14:textFill>
            <w14:solidFill>
              <w14:schemeClr w14:val="tx1"/>
            </w14:solidFill>
          </w14:textFill>
        </w:rPr>
        <w:t>，以此来</w:t>
      </w:r>
      <w:r>
        <w:rPr>
          <w:rFonts w:hint="eastAsia"/>
          <w:color w:val="000000" w:themeColor="text1"/>
          <w:highlight w:val="none"/>
          <w14:textFill>
            <w14:solidFill>
              <w14:schemeClr w14:val="tx1"/>
            </w14:solidFill>
          </w14:textFill>
        </w:rPr>
        <w:t>进一步</w:t>
      </w:r>
      <w:r>
        <w:rPr>
          <w:color w:val="000000" w:themeColor="text1"/>
          <w:highlight w:val="none"/>
          <w14:textFill>
            <w14:solidFill>
              <w14:schemeClr w14:val="tx1"/>
            </w14:solidFill>
          </w14:textFill>
        </w:rPr>
        <w:t>降低噪声对附近居民的影响，同时应加强与周边居民点的沟通，取得居民谅解。</w:t>
      </w:r>
    </w:p>
    <w:p>
      <w:pPr>
        <w:pStyle w:val="4"/>
        <w:spacing w:before="0" w:beforeLines="0"/>
        <w:ind w:firstLine="480"/>
        <w:rPr>
          <w:b/>
          <w:color w:val="000000" w:themeColor="text1"/>
          <w:highlight w:val="none"/>
          <w:lang w:eastAsia="zh-CN"/>
          <w14:textFill>
            <w14:solidFill>
              <w14:schemeClr w14:val="tx1"/>
            </w14:solidFill>
          </w14:textFill>
        </w:rPr>
      </w:pPr>
      <w:bookmarkStart w:id="267" w:name="_Toc120173152"/>
      <w:r>
        <w:rPr>
          <w:color w:val="000000" w:themeColor="text1"/>
          <w:highlight w:val="none"/>
          <w:lang w:eastAsia="zh-CN"/>
          <w14:textFill>
            <w14:solidFill>
              <w14:schemeClr w14:val="tx1"/>
            </w14:solidFill>
          </w14:textFill>
        </w:rPr>
        <w:t>施工期钻井工程环境影响分析</w:t>
      </w:r>
      <w:bookmarkEnd w:id="267"/>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大气环境影响分析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本项目钻井阶段废气主要为备用柴油机/发电机废气、事故放喷废气、无组织挥发性废气。</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（1）备用柴油机/发电机废气</w:t>
      </w:r>
      <w:r>
        <w:rPr>
          <w:rFonts w:cs="Times New Roman"/>
          <w:b/>
          <w:color w:val="000000" w:themeColor="text1"/>
          <w:szCs w:val="24"/>
          <w:highlight w:val="none"/>
          <w14:textFill>
            <w14:solidFill>
              <w14:schemeClr w14:val="tx1"/>
            </w14:solidFill>
          </w14:textFill>
        </w:rPr>
        <w:t>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钻井期间，一般电力由当地电网提供，钻井作业期间停电等紧急情况下柴油发电机组废气主要污染物为NOx、SO</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颗粒物，虽然柴油机自带排气筒距离地面约6m，未达到15m，但由于在设备上升高排气筒技术上难实行，设备自身是环保达标设备，采用设备自带排气筒排气影响范围小，影响时间短，且根据2017.1.12环保部长《关于GB16297-1996 的适用范围的回复》，对</w:t>
      </w:r>
      <w:r>
        <w:rPr>
          <w:rFonts w:hint="eastAsia" w:ascii="宋体" w:hAnsi="宋体" w:cs="宋体"/>
          <w:color w:val="000000" w:themeColor="text1"/>
          <w:highlight w:val="none"/>
          <w14:textFill>
            <w14:solidFill>
              <w14:schemeClr w14:val="tx1"/>
            </w14:solidFill>
          </w14:textFill>
        </w:rPr>
        <w:t>“</w:t>
      </w:r>
      <w:r>
        <w:rPr>
          <w:rFonts w:hint="eastAsia" w:ascii="宋体" w:hAnsi="宋体" w:cs="宋体"/>
          <w:bCs/>
          <w:color w:val="000000" w:themeColor="text1"/>
          <w:highlight w:val="none"/>
          <w14:textFill>
            <w14:solidFill>
              <w14:schemeClr w14:val="tx1"/>
            </w14:solidFill>
          </w14:textFill>
        </w:rPr>
        <w:t>固定式柴油发电机排气筒高度和排放速率暂不作要求</w:t>
      </w:r>
      <w:r>
        <w:rPr>
          <w:rFonts w:hint="eastAsia" w:ascii="宋体" w:hAnsi="宋体" w:cs="宋体"/>
          <w:color w:val="000000" w:themeColor="text1"/>
          <w:highlight w:val="none"/>
          <w14:textFill>
            <w14:solidFill>
              <w14:schemeClr w14:val="tx1"/>
            </w14:solidFill>
          </w14:textFill>
        </w:rPr>
        <w:t>”，因</w:t>
      </w:r>
      <w:r>
        <w:rPr>
          <w:rFonts w:cs="Times New Roman"/>
          <w:color w:val="000000" w:themeColor="text1"/>
          <w:highlight w:val="none"/>
          <w14:textFill>
            <w14:solidFill>
              <w14:schemeClr w14:val="tx1"/>
            </w14:solidFill>
          </w14:textFill>
        </w:rPr>
        <w:t>此可不新增措施。</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本工程钻井期柴油动力机和发电机废气排放量为7760m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/h，NOx排放速率约为1.17kg/h，SO</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排放速率约为0.008kg/h，颗粒物排放速率约为0.33kg/h，属连续排放。</w:t>
      </w:r>
      <w:r>
        <w:rPr>
          <w:rFonts w:hint="eastAsia" w:cs="Times New Roman"/>
          <w:color w:val="000000" w:themeColor="text1"/>
          <w:highlight w:val="none"/>
          <w14:textFill>
            <w14:solidFill>
              <w14:schemeClr w14:val="tx1"/>
            </w14:solidFill>
          </w14:textFill>
        </w:rPr>
        <w:t>燃烧废气</w:t>
      </w:r>
      <w:r>
        <w:rPr>
          <w:rFonts w:cs="Times New Roman"/>
          <w:color w:val="000000" w:themeColor="text1"/>
          <w:highlight w:val="none"/>
          <w14:textFill>
            <w14:solidFill>
              <w14:schemeClr w14:val="tx1"/>
            </w14:solidFill>
          </w14:textFill>
        </w:rPr>
        <w:t>释放到环境空气中后将很快被稀释，且其影响的持续时间较短，影响范围仅局限于钻井架周围较小范围内。钻井作业的柴油机为流动废气污染源，不会同时同地进行，所以本项目钻井期柴油机烟气对大气环境影响是有限的，能为环境所接受。因此，实际上钻井过程中，柴油机废气对环境空气的影响很小，不会改变敏感点环境功能，钻井期间的大气污染物将随钻井工程的结束而消除。</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（2）事故放喷废气</w:t>
      </w:r>
      <w:r>
        <w:rPr>
          <w:rFonts w:cs="Times New Roman"/>
          <w:b/>
          <w:color w:val="000000" w:themeColor="text1"/>
          <w:szCs w:val="24"/>
          <w:highlight w:val="none"/>
          <w14:textFill>
            <w14:solidFill>
              <w14:schemeClr w14:val="tx1"/>
            </w14:solidFill>
          </w14:textFill>
        </w:rPr>
        <w:t>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事故放喷是由于地层高压异常导致的，在石油天然气行业是低概率事件。事故放喷主产物是</w:t>
      </w:r>
      <w:r>
        <w:rPr>
          <w:rFonts w:hint="eastAsia" w:cs="Times New Roman"/>
          <w:color w:val="000000" w:themeColor="text1"/>
          <w:highlight w:val="none"/>
          <w14:textFill>
            <w14:solidFill>
              <w14:schemeClr w14:val="tx1"/>
            </w14:solidFill>
          </w14:textFill>
        </w:rPr>
        <w:t>含硫天然气</w:t>
      </w:r>
      <w:r>
        <w:rPr>
          <w:rFonts w:cs="Times New Roman"/>
          <w:color w:val="000000" w:themeColor="text1"/>
          <w:highlight w:val="none"/>
          <w14:textFill>
            <w14:solidFill>
              <w14:schemeClr w14:val="tx1"/>
            </w14:solidFill>
          </w14:textFill>
        </w:rPr>
        <w:t>燃烧后产生的</w:t>
      </w:r>
      <w:r>
        <w:rPr>
          <w:rFonts w:hint="eastAsia" w:cs="Times New Roman"/>
          <w:color w:val="000000" w:themeColor="text1"/>
          <w:highlight w:val="none"/>
          <w14:textFill>
            <w14:solidFill>
              <w14:schemeClr w14:val="tx1"/>
            </w14:solidFill>
          </w14:textFill>
        </w:rPr>
        <w:t>SO</w:t>
      </w:r>
      <w:r>
        <w:rPr>
          <w:rFonts w:hint="eastAsia" w:cs="Times New Roman"/>
          <w:color w:val="000000" w:themeColor="text1"/>
          <w:highlight w:val="none"/>
          <w:vertAlign w:val="subscript"/>
          <w14:textFill>
            <w14:solidFill>
              <w14:schemeClr w14:val="tx1"/>
            </w14:solidFill>
          </w14:textFill>
        </w:rPr>
        <w:t>2</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CO</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对环境影响也较小。</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w:t>
      </w:r>
      <w:r>
        <w:rPr>
          <w:rFonts w:hint="eastAsia" w:cs="Times New Roman"/>
          <w:b/>
          <w:bCs/>
          <w:color w:val="000000" w:themeColor="text1"/>
          <w:highlight w:val="none"/>
          <w14:textFill>
            <w14:solidFill>
              <w14:schemeClr w14:val="tx1"/>
            </w14:solidFill>
          </w14:textFill>
        </w:rPr>
        <w:t>3</w:t>
      </w:r>
      <w:r>
        <w:rPr>
          <w:rFonts w:cs="Times New Roman"/>
          <w:b/>
          <w:bCs/>
          <w:color w:val="000000" w:themeColor="text1"/>
          <w:highlight w:val="none"/>
          <w14:textFill>
            <w14:solidFill>
              <w14:schemeClr w14:val="tx1"/>
            </w14:solidFill>
          </w14:textFill>
        </w:rPr>
        <w:t>）无组织挥发性废气</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为天然气钻井及试采工程，因此，除燃油机械使用过程中产生的少量无组织挥发性有机物排放外，钻井施工过程中无组织排放源。因此，本项目无组织挥发性有机物排放量小，通过自然扩散可有效降低其影响，对周边环境影响甚微。</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总之，钻井期间废气污染物排放量少，且排放时间短，对井场所在地大气环境影响甚微。</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地表水环境影响分析</w:t>
      </w:r>
    </w:p>
    <w:p>
      <w:pPr>
        <w:ind w:firstLine="482"/>
        <w:rPr>
          <w:rFonts w:cs="Times New Roman"/>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（1）场地渗透、外溢对地表水环境影响分析</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本项目井口设置方井，用于收集钻井过程中散落的泥浆和污水，泥浆泵入泥浆罐回收利用，废水通过污水泵泵入泥浆不落地系统内处理回用。</w:t>
      </w:r>
      <w:r>
        <w:rPr>
          <w:rFonts w:cs="Times New Roman"/>
          <w:bCs/>
          <w:color w:val="000000" w:themeColor="text1"/>
          <w:highlight w:val="none"/>
          <w14:textFill>
            <w14:solidFill>
              <w14:schemeClr w14:val="tx1"/>
            </w14:solidFill>
          </w14:textFill>
        </w:rPr>
        <w:t>钻井期生活污水经生态厕所收集后由密闭罐车定期拉运至周边生活污水处理厂处理；项目产生的钻井废水被贮存于井场泥浆不落地装置污水罐中。根据工程分析中的废水收集回用措施可知，泥浆不落地装置污水罐容积能够满足钻井废水贮存要求；当发生事故排水时，废水直接汇入泥浆不落地装置中，不会造成废水外溢。另外，在工程设计时，泥浆不落地装置污水罐均比地面高且有遮雨篷遮盖，可防止周边雨水汇入；井场周围设置雨水沟，井场周边雨水均不会进入井场内，井场内的雨水则顺着地势而排入四周的雨水沟；泥浆不落地装置上方配备了防雨棚，这样可避免因雨水进入集污池而增加废水量。本项目采用雨污分流，井场四周设置排水沟，并设置集水坑，初期雨水收集后与钻井废水合并处理，后期雨水依靠井站设置的地面坡度和内外环沟的阀门控制，就地散排至排水沟，排出场外。若场内雨水被污染流入外环沟，则需封闭外环沟后由作业队伍从集水坑抽汲至泥浆不落地装置或放喷池。</w:t>
      </w:r>
    </w:p>
    <w:p>
      <w:pPr>
        <w:ind w:firstLine="480"/>
        <w:rPr>
          <w:rFonts w:cs="Times New Roman"/>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在</w:t>
      </w:r>
      <w:r>
        <w:rPr>
          <w:rFonts w:hint="eastAsia" w:cs="Times New Roman"/>
          <w:bCs/>
          <w:color w:val="000000" w:themeColor="text1"/>
          <w:highlight w:val="none"/>
          <w14:textFill>
            <w14:solidFill>
              <w14:schemeClr w14:val="tx1"/>
            </w14:solidFill>
          </w14:textFill>
        </w:rPr>
        <w:t>下雨期间</w:t>
      </w:r>
      <w:r>
        <w:rPr>
          <w:rFonts w:cs="Times New Roman"/>
          <w:bCs/>
          <w:color w:val="000000" w:themeColor="text1"/>
          <w:highlight w:val="none"/>
          <w14:textFill>
            <w14:solidFill>
              <w14:schemeClr w14:val="tx1"/>
            </w14:solidFill>
          </w14:textFill>
        </w:rPr>
        <w:t>应加强内外环沟的开闭工作，保证井场内初期雨水不流出井场。</w:t>
      </w:r>
      <w:r>
        <w:rPr>
          <w:rFonts w:cs="Times New Roman"/>
          <w:color w:val="000000" w:themeColor="text1"/>
          <w:highlight w:val="none"/>
          <w14:textFill>
            <w14:solidFill>
              <w14:schemeClr w14:val="tx1"/>
            </w14:solidFill>
          </w14:textFill>
        </w:rPr>
        <w:t>另外，井场采取防渗措施，泥浆不落地工艺区、井口区域、循环罐区、钻井固废暂存区、柴油罐区、发电机区、放喷池等均采取防渗处理，有效避免废水通过漏失和渗漏进入当地环境中。</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在采取上述措施后，废水以漏失、渗透、外溢等方式进入地表水环境的量极少，类比本项目已实施钻井情况，预计不会对周边河流等水环境造成污染影响，对地表水环境影响很小。</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（2）项目用水对区域水资源影响分析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本项目施工期的生产用水根据施工期附近地表水存储情况就近采用附近地表水（</w:t>
      </w:r>
      <w:r>
        <w:rPr>
          <w:rFonts w:hint="eastAsia" w:cs="Times New Roman"/>
          <w:bCs/>
          <w:color w:val="000000" w:themeColor="text1"/>
          <w:highlight w:val="none"/>
          <w14:textFill>
            <w14:solidFill>
              <w14:schemeClr w14:val="tx1"/>
            </w14:solidFill>
          </w14:textFill>
        </w:rPr>
        <w:t>后河</w:t>
      </w:r>
      <w:r>
        <w:rPr>
          <w:rFonts w:cs="Times New Roman"/>
          <w:bCs/>
          <w:color w:val="000000" w:themeColor="text1"/>
          <w:highlight w:val="none"/>
          <w14:textFill>
            <w14:solidFill>
              <w14:schemeClr w14:val="tx1"/>
            </w14:solidFill>
          </w14:textFill>
        </w:rPr>
        <w:t>），生活用水使用</w:t>
      </w:r>
      <w:r>
        <w:rPr>
          <w:rFonts w:hint="eastAsia" w:cs="Times New Roman"/>
          <w:bCs/>
          <w:color w:val="000000" w:themeColor="text1"/>
          <w:highlight w:val="none"/>
          <w:lang w:eastAsia="zh-CN"/>
          <w14:textFill>
            <w14:solidFill>
              <w14:schemeClr w14:val="tx1"/>
            </w14:solidFill>
          </w14:textFill>
        </w:rPr>
        <w:t>桶装水</w:t>
      </w:r>
      <w:r>
        <w:rPr>
          <w:rFonts w:cs="Times New Roman"/>
          <w:bCs/>
          <w:color w:val="000000" w:themeColor="text1"/>
          <w:highlight w:val="none"/>
          <w14:textFill>
            <w14:solidFill>
              <w14:schemeClr w14:val="tx1"/>
            </w14:solidFill>
          </w14:textFill>
        </w:rPr>
        <w:t>。由于项目距离</w:t>
      </w:r>
      <w:r>
        <w:rPr>
          <w:rFonts w:hint="eastAsia" w:cs="Times New Roman"/>
          <w:bCs/>
          <w:color w:val="000000" w:themeColor="text1"/>
          <w:highlight w:val="none"/>
          <w14:textFill>
            <w14:solidFill>
              <w14:schemeClr w14:val="tx1"/>
            </w14:solidFill>
          </w14:textFill>
        </w:rPr>
        <w:t>后河</w:t>
      </w:r>
      <w:r>
        <w:rPr>
          <w:rFonts w:cs="Times New Roman"/>
          <w:bCs/>
          <w:color w:val="000000" w:themeColor="text1"/>
          <w:highlight w:val="none"/>
          <w14:textFill>
            <w14:solidFill>
              <w14:schemeClr w14:val="tx1"/>
            </w14:solidFill>
          </w14:textFill>
        </w:rPr>
        <w:t>较近，水量充足，项目生产用水量少，合理安排施工季节，尽量不在枯水期取水，用水前做好与当地主管部门沟通协调工作，项目取水不会对周边耕地等用水造成影响；若必须在枯水期取水要首先满足下游生态流量和管理部门的要求。</w:t>
      </w:r>
      <w:r>
        <w:rPr>
          <w:bCs/>
          <w:color w:val="000000" w:themeColor="text1"/>
          <w:highlight w:val="none"/>
          <w14:textFill>
            <w14:solidFill>
              <w14:schemeClr w14:val="tx1"/>
            </w14:solidFill>
          </w14:textFill>
        </w:rPr>
        <w:t>项目位于丘陵区，</w:t>
      </w:r>
      <w:bookmarkStart w:id="268" w:name="_Hlk88835004"/>
      <w:r>
        <w:rPr>
          <w:bCs/>
          <w:color w:val="000000" w:themeColor="text1"/>
          <w:highlight w:val="none"/>
          <w14:textFill>
            <w14:solidFill>
              <w14:schemeClr w14:val="tx1"/>
            </w14:solidFill>
          </w14:textFill>
        </w:rPr>
        <w:t>周边居民</w:t>
      </w:r>
      <w:r>
        <w:rPr>
          <w:rFonts w:hint="eastAsia"/>
          <w:bCs/>
          <w:color w:val="000000" w:themeColor="text1"/>
          <w:highlight w:val="none"/>
          <w14:textFill>
            <w14:solidFill>
              <w14:schemeClr w14:val="tx1"/>
            </w14:solidFill>
          </w14:textFill>
        </w:rPr>
        <w:t>主要</w:t>
      </w:r>
      <w:r>
        <w:rPr>
          <w:bCs/>
          <w:color w:val="000000" w:themeColor="text1"/>
          <w:highlight w:val="none"/>
          <w14:textFill>
            <w14:solidFill>
              <w14:schemeClr w14:val="tx1"/>
            </w14:solidFill>
          </w14:textFill>
        </w:rPr>
        <w:t>使用</w:t>
      </w:r>
      <w:r>
        <w:rPr>
          <w:bCs/>
          <w:color w:val="000000" w:themeColor="text1"/>
          <w:szCs w:val="24"/>
          <w:highlight w:val="none"/>
          <w14:textFill>
            <w14:solidFill>
              <w14:schemeClr w14:val="tx1"/>
            </w14:solidFill>
          </w14:textFill>
        </w:rPr>
        <w:t>分散式水井</w:t>
      </w:r>
      <w:r>
        <w:rPr>
          <w:bCs/>
          <w:color w:val="000000" w:themeColor="text1"/>
          <w:highlight w:val="none"/>
          <w14:textFill>
            <w14:solidFill>
              <w14:schemeClr w14:val="tx1"/>
            </w14:solidFill>
          </w14:textFill>
        </w:rPr>
        <w:t>，</w:t>
      </w:r>
      <w:bookmarkEnd w:id="268"/>
      <w:r>
        <w:rPr>
          <w:bCs/>
          <w:color w:val="000000" w:themeColor="text1"/>
          <w:highlight w:val="none"/>
          <w14:textFill>
            <w14:solidFill>
              <w14:schemeClr w14:val="tx1"/>
            </w14:solidFill>
          </w14:textFill>
        </w:rPr>
        <w:t>项目用水相对较小，故项目建设生产及生活用水不会对区域水资源造成影响。</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（3）对区域地表水</w:t>
      </w:r>
      <w:r>
        <w:rPr>
          <w:rFonts w:cs="Times New Roman"/>
          <w:b/>
          <w:color w:val="000000" w:themeColor="text1"/>
          <w:szCs w:val="24"/>
          <w:highlight w:val="none"/>
          <w14:textFill>
            <w14:solidFill>
              <w14:schemeClr w14:val="tx1"/>
            </w14:solidFill>
          </w14:textFill>
        </w:rPr>
        <w:t>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钻井期生活污水经生态厕所收集后由密闭罐车定期拉运至周边生活污水处理厂处理；项目产生的钻井废水经</w:t>
      </w:r>
      <w:r>
        <w:rPr>
          <w:rFonts w:hint="eastAsia" w:cs="Times New Roman"/>
          <w:bCs/>
          <w:color w:val="000000" w:themeColor="text1"/>
          <w:szCs w:val="24"/>
          <w:highlight w:val="none"/>
          <w14:textFill>
            <w14:solidFill>
              <w14:schemeClr w14:val="tx1"/>
            </w14:solidFill>
          </w14:textFill>
        </w:rPr>
        <w:t>泥浆不落地装置</w:t>
      </w:r>
      <w:r>
        <w:rPr>
          <w:rFonts w:cs="Times New Roman"/>
          <w:bCs/>
          <w:color w:val="000000" w:themeColor="text1"/>
          <w:szCs w:val="24"/>
          <w:highlight w:val="none"/>
          <w14:textFill>
            <w14:solidFill>
              <w14:schemeClr w14:val="tx1"/>
            </w14:solidFill>
          </w14:textFill>
        </w:rPr>
        <w:t>预处理后</w:t>
      </w:r>
      <w:r>
        <w:rPr>
          <w:rFonts w:cs="Times New Roman"/>
          <w:bCs/>
          <w:color w:val="000000" w:themeColor="text1"/>
          <w:highlight w:val="none"/>
          <w14:textFill>
            <w14:solidFill>
              <w14:schemeClr w14:val="tx1"/>
            </w14:solidFill>
          </w14:textFill>
        </w:rPr>
        <w:t>满足要求的全部回用于钻井过程，</w:t>
      </w:r>
      <w:r>
        <w:rPr>
          <w:rFonts w:cs="Times New Roman"/>
          <w:bCs/>
          <w:color w:val="000000" w:themeColor="text1"/>
          <w:szCs w:val="24"/>
          <w:highlight w:val="none"/>
          <w14:textFill>
            <w14:solidFill>
              <w14:schemeClr w14:val="tx1"/>
            </w14:solidFill>
          </w14:textFill>
        </w:rPr>
        <w:t>剩余废水经罐车拉运至</w:t>
      </w:r>
      <w:r>
        <w:rPr>
          <w:rFonts w:hint="eastAsia" w:cs="Times New Roman"/>
          <w:bCs/>
          <w:color w:val="000000" w:themeColor="text1"/>
          <w:szCs w:val="24"/>
          <w:highlight w:val="none"/>
          <w14:textFill>
            <w14:solidFill>
              <w14:schemeClr w14:val="tx1"/>
            </w14:solidFill>
          </w14:textFill>
        </w:rPr>
        <w:t>赵家坝污水处理站</w:t>
      </w:r>
      <w:r>
        <w:rPr>
          <w:rFonts w:cs="Times New Roman"/>
          <w:bCs/>
          <w:color w:val="000000" w:themeColor="text1"/>
          <w:szCs w:val="24"/>
          <w:highlight w:val="none"/>
          <w14:textFill>
            <w14:solidFill>
              <w14:schemeClr w14:val="tx1"/>
            </w14:solidFill>
          </w14:textFill>
        </w:rPr>
        <w:t>达标后管输至</w:t>
      </w:r>
      <w:r>
        <w:rPr>
          <w:rFonts w:hint="eastAsia" w:cs="Times New Roman"/>
          <w:bCs/>
          <w:color w:val="000000" w:themeColor="text1"/>
          <w:szCs w:val="24"/>
          <w:highlight w:val="none"/>
          <w14:textFill>
            <w14:solidFill>
              <w14:schemeClr w14:val="tx1"/>
            </w14:solidFill>
          </w14:textFill>
        </w:rPr>
        <w:t>普光3井回注站</w:t>
      </w:r>
      <w:r>
        <w:rPr>
          <w:rFonts w:cs="Times New Roman"/>
          <w:bCs/>
          <w:color w:val="000000" w:themeColor="text1"/>
          <w:szCs w:val="24"/>
          <w:highlight w:val="none"/>
          <w14:textFill>
            <w14:solidFill>
              <w14:schemeClr w14:val="tx1"/>
            </w14:solidFill>
          </w14:textFill>
        </w:rPr>
        <w:t>回注，不外排</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初期雨水收集后同钻井废水一并经不落地装置处理后大部分回用于配制钻井液，剩余不能回用部分暂存于清洁生产操作平台的废水罐内，定期装车拉运至赵家坝污水处理站处理达标后经普光3井回注站回注，不外排。</w:t>
      </w:r>
      <w:r>
        <w:rPr>
          <w:rFonts w:cs="Times New Roman"/>
          <w:bCs/>
          <w:color w:val="000000" w:themeColor="text1"/>
          <w:highlight w:val="none"/>
          <w14:textFill>
            <w14:solidFill>
              <w14:schemeClr w14:val="tx1"/>
            </w14:solidFill>
          </w14:textFill>
        </w:rPr>
        <w:t>项目废水产生量少，经处理达标后污染物排放量也少，对当地地表水环境的影响在可接受范围内。</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（4）对项目周边耕地</w:t>
      </w:r>
      <w:r>
        <w:rPr>
          <w:rFonts w:cs="Times New Roman"/>
          <w:b/>
          <w:color w:val="000000" w:themeColor="text1"/>
          <w:szCs w:val="24"/>
          <w:highlight w:val="none"/>
          <w14:textFill>
            <w14:solidFill>
              <w14:schemeClr w14:val="tx1"/>
            </w14:solidFill>
          </w14:textFill>
        </w:rPr>
        <w:t>影响分析</w:t>
      </w:r>
    </w:p>
    <w:p>
      <w:pPr>
        <w:ind w:firstLine="480"/>
        <w:rPr>
          <w:rFonts w:cs="Times New Roman"/>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井场钻井所有设备均设置了混凝土基础，并在设备周边均设置了排污沟；在所有井场没有设置混凝土基础区域不会进行设备安装、检修等工作，因此不会有废油产生于该区域。在雨季时，雨水冲刷混凝土基础及设备的雨水会进入设备周边的混凝土排污沟，经过集污坑隔油沉淀后废水进入废水罐，废油回用或委托有资质单位处理；井场内其他非混凝土基础部分没有废油产生，雨水则直接进入场界周边的排水沟排入周围环境，对周边耕地影响甚微。</w:t>
      </w:r>
    </w:p>
    <w:p>
      <w:pPr>
        <w:pStyle w:val="5"/>
        <w:ind w:firstLine="480"/>
        <w:rPr>
          <w:color w:val="000000" w:themeColor="text1"/>
          <w:highlight w:val="none"/>
          <w14:textFill>
            <w14:solidFill>
              <w14:schemeClr w14:val="tx1"/>
            </w14:solidFill>
          </w14:textFill>
        </w:rPr>
      </w:pPr>
      <w:bookmarkStart w:id="269" w:name="5.1.1施工期大气环境影响分析"/>
      <w:bookmarkEnd w:id="269"/>
      <w:bookmarkStart w:id="270" w:name="5.1.3施工期噪声环境影响分析"/>
      <w:bookmarkEnd w:id="270"/>
      <w:r>
        <w:rPr>
          <w:color w:val="000000" w:themeColor="text1"/>
          <w:highlight w:val="none"/>
          <w14:textFill>
            <w14:solidFill>
              <w14:schemeClr w14:val="tx1"/>
            </w14:solidFill>
          </w14:textFill>
        </w:rPr>
        <w:t>声环境影响分析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该项目钻井期间噪声影响主要来源于柴油发电机（备用）、钻机、泥浆泵、振动筛、离心机等设备产生的连续机械噪声；此外，</w:t>
      </w:r>
      <w:r>
        <w:rPr>
          <w:rFonts w:hint="eastAsia" w:cs="Times New Roman"/>
          <w:color w:val="000000" w:themeColor="text1"/>
          <w:highlight w:val="none"/>
          <w14:textFill>
            <w14:solidFill>
              <w14:schemeClr w14:val="tx1"/>
            </w14:solidFill>
          </w14:textFill>
        </w:rPr>
        <w:t>此外，事故放喷时还将产生高压气流噪声</w:t>
      </w:r>
      <w:r>
        <w:rPr>
          <w:color w:val="000000" w:themeColor="text1"/>
          <w:highlight w:val="none"/>
          <w14:textFill>
            <w14:solidFill>
              <w14:schemeClr w14:val="tx1"/>
            </w14:solidFill>
          </w14:textFill>
        </w:rPr>
        <w:t>。</w:t>
      </w:r>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1、钻井工程噪声环境影响预测及分析</w:t>
      </w:r>
    </w:p>
    <w:p>
      <w:pPr>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（1）预测步骤</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1）建立坐标系，确定各声源坐标和预测点坐标，并根据声源性质以及预测点与声源之间的距离等情况。</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2）根据已获得的声源源强的数据和各声源到预测点的声波传播条件资料，计算出噪声从各声源传播到预测点的声衰减量，由此计算出各声源单独作用在预测点时产生的A声级。</w:t>
      </w:r>
    </w:p>
    <w:p>
      <w:pPr>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2</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源强</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钻井工程优先采用</w:t>
      </w:r>
      <w:r>
        <w:rPr>
          <w:rFonts w:hint="eastAsia"/>
          <w:color w:val="000000" w:themeColor="text1"/>
          <w:highlight w:val="none"/>
          <w:lang w:val="en-US" w:eastAsia="zh-CN"/>
          <w14:textFill>
            <w14:solidFill>
              <w14:schemeClr w14:val="tx1"/>
            </w14:solidFill>
          </w14:textFill>
        </w:rPr>
        <w:t>周边电网</w:t>
      </w:r>
      <w:r>
        <w:rPr>
          <w:color w:val="000000" w:themeColor="text1"/>
          <w:highlight w:val="none"/>
          <w14:textFill>
            <w14:solidFill>
              <w14:schemeClr w14:val="tx1"/>
            </w14:solidFill>
          </w14:textFill>
        </w:rPr>
        <w:t>供电，</w:t>
      </w:r>
      <w:r>
        <w:rPr>
          <w:rFonts w:hint="eastAsia"/>
          <w:color w:val="000000" w:themeColor="text1"/>
          <w:highlight w:val="none"/>
          <w14:textFill>
            <w14:solidFill>
              <w14:schemeClr w14:val="tx1"/>
            </w14:solidFill>
          </w14:textFill>
        </w:rPr>
        <w:t>停电等非正常工况时</w:t>
      </w:r>
      <w:r>
        <w:rPr>
          <w:color w:val="000000" w:themeColor="text1"/>
          <w:highlight w:val="none"/>
          <w14:textFill>
            <w14:solidFill>
              <w14:schemeClr w14:val="tx1"/>
            </w14:solidFill>
          </w14:textFill>
        </w:rPr>
        <w:t>使用柴油发电机供电，可能会对周围居民产生影响。本项目井场设柴油动力机3台（2用1备），</w:t>
      </w:r>
      <w:r>
        <w:rPr>
          <w:rFonts w:hint="eastAsia"/>
          <w:color w:val="000000" w:themeColor="text1"/>
          <w:highlight w:val="none"/>
          <w14:textFill>
            <w14:solidFill>
              <w14:schemeClr w14:val="tx1"/>
            </w14:solidFill>
          </w14:textFill>
        </w:rPr>
        <w:t>本项目预测</w:t>
      </w:r>
      <w:r>
        <w:rPr>
          <w:color w:val="000000" w:themeColor="text1"/>
          <w:highlight w:val="none"/>
          <w14:textFill>
            <w14:solidFill>
              <w14:schemeClr w14:val="tx1"/>
            </w14:solidFill>
          </w14:textFill>
        </w:rPr>
        <w:t>考虑最不利情况下使用柴油动力机、发电机钻井作业对周围人居环境产生的影响。则井场钻井阶段钻井噪声主要来源于3台（2用1备）柴油机、2台发电机</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用</w:t>
      </w: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备）</w:t>
      </w:r>
      <w:r>
        <w:rPr>
          <w:color w:val="000000" w:themeColor="text1"/>
          <w:highlight w:val="none"/>
          <w14:textFill>
            <w14:solidFill>
              <w14:schemeClr w14:val="tx1"/>
            </w14:solidFill>
          </w14:textFill>
        </w:rPr>
        <w:t>、1套钻井设备</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2台泥浆泵、</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台振动筛</w:t>
      </w:r>
      <w:r>
        <w:rPr>
          <w:rFonts w:hint="eastAsia"/>
          <w:color w:val="000000" w:themeColor="text1"/>
          <w:highlight w:val="none"/>
          <w14:textFill>
            <w14:solidFill>
              <w14:schemeClr w14:val="tx1"/>
            </w14:solidFill>
          </w14:textFill>
        </w:rPr>
        <w:t>（2用1备）</w:t>
      </w:r>
      <w:r>
        <w:rPr>
          <w:color w:val="000000" w:themeColor="text1"/>
          <w:highlight w:val="none"/>
          <w14:textFill>
            <w14:solidFill>
              <w14:schemeClr w14:val="tx1"/>
            </w14:solidFill>
          </w14:textFill>
        </w:rPr>
        <w:t>等设备产生的机械噪声；此外，在测试放喷和事故工况下将产生气流噪声。</w:t>
      </w:r>
      <w:r>
        <w:rPr>
          <w:rFonts w:hint="eastAsia"/>
          <w:color w:val="000000" w:themeColor="text1"/>
          <w:highlight w:val="none"/>
          <w14:textFill>
            <w14:solidFill>
              <w14:schemeClr w14:val="tx1"/>
            </w14:solidFill>
          </w14:textFill>
        </w:rPr>
        <w:t>井场噪声源见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REF _Ref141209662 \h</w:instrText>
      </w:r>
      <w:r>
        <w:rPr>
          <w:color w:val="000000" w:themeColor="text1"/>
          <w:highlight w:val="none"/>
          <w14:textFill>
            <w14:solidFill>
              <w14:schemeClr w14:val="tx1"/>
            </w14:solidFill>
          </w14:textFill>
        </w:rPr>
        <w:instrText xml:space="preserve">  \* MERGEFORMAT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表5.1</w:t>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2</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71" w:name="_Ref141209662"/>
      <w:bookmarkStart w:id="272" w:name="_Hlk140760288"/>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271"/>
      <w:r>
        <w:rPr>
          <w:rFonts w:hint="eastAsia"/>
          <w:color w:val="000000" w:themeColor="text1"/>
          <w:highlight w:val="none"/>
          <w:lang w:val="en-US" w:eastAsia="zh-CN"/>
          <w14:textFill>
            <w14:solidFill>
              <w14:schemeClr w14:val="tx1"/>
            </w14:solidFill>
          </w14:textFill>
        </w:rPr>
        <w:t xml:space="preserve">2  </w:t>
      </w:r>
      <w:r>
        <w:rPr>
          <w:color w:val="000000" w:themeColor="text1"/>
          <w:highlight w:val="none"/>
          <w14:textFill>
            <w14:solidFill>
              <w14:schemeClr w14:val="tx1"/>
            </w14:solidFill>
          </w14:textFill>
        </w:rPr>
        <w:t>钻井工程主要噪声源强调查清单</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488"/>
        <w:gridCol w:w="1350"/>
        <w:gridCol w:w="567"/>
        <w:gridCol w:w="567"/>
        <w:gridCol w:w="567"/>
        <w:gridCol w:w="709"/>
        <w:gridCol w:w="1276"/>
        <w:gridCol w:w="850"/>
        <w:gridCol w:w="1298"/>
        <w:gridCol w:w="5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488"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1350"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声源名称</w:t>
            </w:r>
          </w:p>
        </w:tc>
        <w:tc>
          <w:tcPr>
            <w:tcW w:w="567"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型号</w:t>
            </w:r>
          </w:p>
        </w:tc>
        <w:tc>
          <w:tcPr>
            <w:tcW w:w="1843" w:type="dxa"/>
            <w:gridSpan w:val="3"/>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空间相对位置/m</w:t>
            </w:r>
          </w:p>
        </w:tc>
        <w:tc>
          <w:tcPr>
            <w:tcW w:w="2126" w:type="dxa"/>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声源源强（任选一种）</w:t>
            </w:r>
          </w:p>
        </w:tc>
        <w:tc>
          <w:tcPr>
            <w:tcW w:w="1298"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声源控制措施</w:t>
            </w:r>
          </w:p>
        </w:tc>
        <w:tc>
          <w:tcPr>
            <w:tcW w:w="548"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488"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1350"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67"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X</w:t>
            </w:r>
          </w:p>
        </w:tc>
        <w:tc>
          <w:tcPr>
            <w:tcW w:w="567"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Y</w:t>
            </w:r>
          </w:p>
        </w:tc>
        <w:tc>
          <w:tcPr>
            <w:tcW w:w="709"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Z</w:t>
            </w:r>
          </w:p>
        </w:tc>
        <w:tc>
          <w:tcPr>
            <w:tcW w:w="1276" w:type="dxa"/>
            <w:shd w:val="clear" w:color="auto" w:fill="FFFFFF"/>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（声压级/距声源距离）/（dB(A)/m）</w:t>
            </w:r>
          </w:p>
        </w:tc>
        <w:tc>
          <w:tcPr>
            <w:tcW w:w="850" w:type="dxa"/>
            <w:shd w:val="clear" w:color="auto" w:fill="FFFFFF"/>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等效</w:t>
            </w:r>
            <w:r>
              <w:rPr>
                <w:b/>
                <w:bCs/>
                <w:color w:val="000000" w:themeColor="text1"/>
                <w:highlight w:val="none"/>
                <w14:textFill>
                  <w14:solidFill>
                    <w14:schemeClr w14:val="tx1"/>
                  </w14:solidFill>
                </w14:textFill>
              </w:rPr>
              <w:t>声级/dB(A)</w:t>
            </w:r>
          </w:p>
        </w:tc>
        <w:tc>
          <w:tcPr>
            <w:tcW w:w="1298"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48" w:type="dxa"/>
            <w:vMerge w:val="continue"/>
            <w:shd w:val="clear" w:color="auto" w:fill="FFFFFF"/>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钻机</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ZJ70</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61</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.5</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98</w:t>
            </w:r>
          </w:p>
        </w:tc>
        <w:tc>
          <w:tcPr>
            <w:tcW w:w="1298" w:type="dxa"/>
            <w:vMerge w:val="restart"/>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置于钻井井场内，基础安装减振垫层</w:t>
            </w:r>
            <w:r>
              <w:rPr>
                <w:rFonts w:hint="eastAsia"/>
                <w:color w:val="000000" w:themeColor="text1"/>
                <w:highlight w:val="none"/>
                <w14:textFill>
                  <w14:solidFill>
                    <w14:schemeClr w14:val="tx1"/>
                  </w14:solidFill>
                </w14:textFill>
              </w:rPr>
              <w:t>，泥浆泵安装消声器</w:t>
            </w:r>
          </w:p>
        </w:tc>
        <w:tc>
          <w:tcPr>
            <w:tcW w:w="548"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泥浆泵</w:t>
            </w:r>
            <w:r>
              <w:rPr>
                <w:rFonts w:hint="eastAsia"/>
                <w:color w:val="000000" w:themeColor="text1"/>
                <w:highlight w:val="none"/>
                <w14:textFill>
                  <w14:solidFill>
                    <w14:schemeClr w14:val="tx1"/>
                  </w14:solidFill>
                </w14:textFill>
              </w:rPr>
              <w:t>1</w:t>
            </w:r>
          </w:p>
        </w:tc>
        <w:tc>
          <w:tcPr>
            <w:tcW w:w="567" w:type="dxa"/>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77</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3.0</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85</w:t>
            </w:r>
          </w:p>
        </w:tc>
        <w:tc>
          <w:tcPr>
            <w:tcW w:w="1298"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48" w:type="dxa"/>
            <w:vMerge w:val="restart"/>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泥浆泵</w:t>
            </w:r>
            <w:r>
              <w:rPr>
                <w:rFonts w:hint="eastAsia"/>
                <w:color w:val="000000" w:themeColor="text1"/>
                <w:highlight w:val="none"/>
                <w14:textFill>
                  <w14:solidFill>
                    <w14:schemeClr w14:val="tx1"/>
                  </w14:solidFill>
                </w14:textFill>
              </w:rPr>
              <w:t>2</w:t>
            </w:r>
          </w:p>
        </w:tc>
        <w:tc>
          <w:tcPr>
            <w:tcW w:w="567" w:type="dxa"/>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-62</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3.0</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5</w:t>
            </w:r>
          </w:p>
        </w:tc>
        <w:tc>
          <w:tcPr>
            <w:tcW w:w="1298"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48" w:type="dxa"/>
            <w:vMerge w:val="continue"/>
            <w:shd w:val="clear" w:color="auto" w:fill="FFFFFF"/>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振动筛1</w:t>
            </w:r>
          </w:p>
        </w:tc>
        <w:tc>
          <w:tcPr>
            <w:tcW w:w="567" w:type="dxa"/>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96</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2.5</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85</w:t>
            </w:r>
          </w:p>
        </w:tc>
        <w:tc>
          <w:tcPr>
            <w:tcW w:w="1298"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48" w:type="dxa"/>
            <w:vMerge w:val="restart"/>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振动筛2</w:t>
            </w:r>
          </w:p>
        </w:tc>
        <w:tc>
          <w:tcPr>
            <w:tcW w:w="567" w:type="dxa"/>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86</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101</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2.5</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85</w:t>
            </w:r>
          </w:p>
        </w:tc>
        <w:tc>
          <w:tcPr>
            <w:tcW w:w="1298"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48" w:type="dxa"/>
            <w:vMerge w:val="continue"/>
            <w:shd w:val="clear" w:color="auto" w:fill="FFFFFF"/>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离心机</w:t>
            </w:r>
          </w:p>
        </w:tc>
        <w:tc>
          <w:tcPr>
            <w:tcW w:w="567" w:type="dxa"/>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83</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94</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w:t>
            </w:r>
          </w:p>
        </w:tc>
        <w:tc>
          <w:tcPr>
            <w:tcW w:w="1298"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48"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泥浆不落地装置</w:t>
            </w:r>
          </w:p>
        </w:tc>
        <w:tc>
          <w:tcPr>
            <w:tcW w:w="567" w:type="dxa"/>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79</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101</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85</w:t>
            </w:r>
          </w:p>
        </w:tc>
        <w:tc>
          <w:tcPr>
            <w:tcW w:w="1298"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48" w:type="dxa"/>
            <w:shd w:val="clear" w:color="auto" w:fill="FFFFFF"/>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昼夜连续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柴油动力机</w:t>
            </w:r>
            <w:r>
              <w:rPr>
                <w:rFonts w:hint="eastAsia"/>
                <w:color w:val="000000" w:themeColor="text1"/>
                <w:highlight w:val="none"/>
                <w14:textFill>
                  <w14:solidFill>
                    <w14:schemeClr w14:val="tx1"/>
                  </w14:solidFill>
                </w14:textFill>
              </w:rPr>
              <w:t>1</w:t>
            </w:r>
          </w:p>
        </w:tc>
        <w:tc>
          <w:tcPr>
            <w:tcW w:w="567" w:type="dxa"/>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95</w:t>
            </w:r>
          </w:p>
        </w:tc>
        <w:tc>
          <w:tcPr>
            <w:tcW w:w="1298" w:type="dxa"/>
            <w:vMerge w:val="restart"/>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活动板房隔声，自带高质量消声器的柴油机</w:t>
            </w:r>
          </w:p>
        </w:tc>
        <w:tc>
          <w:tcPr>
            <w:tcW w:w="548" w:type="dxa"/>
            <w:vMerge w:val="restart"/>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偶尔、连续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柴油动力机2</w:t>
            </w:r>
          </w:p>
        </w:tc>
        <w:tc>
          <w:tcPr>
            <w:tcW w:w="567" w:type="dxa"/>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85</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5</w:t>
            </w:r>
          </w:p>
        </w:tc>
        <w:tc>
          <w:tcPr>
            <w:tcW w:w="1298" w:type="dxa"/>
            <w:vMerge w:val="continue"/>
            <w:shd w:val="clear" w:color="auto" w:fill="FFFFFF"/>
            <w:vAlign w:val="center"/>
          </w:tcPr>
          <w:p>
            <w:pPr>
              <w:pStyle w:val="297"/>
              <w:rPr>
                <w:color w:val="000000" w:themeColor="text1"/>
                <w:highlight w:val="none"/>
                <w14:textFill>
                  <w14:solidFill>
                    <w14:schemeClr w14:val="tx1"/>
                  </w14:solidFill>
                </w14:textFill>
              </w:rPr>
            </w:pPr>
          </w:p>
        </w:tc>
        <w:tc>
          <w:tcPr>
            <w:tcW w:w="548" w:type="dxa"/>
            <w:vMerge w:val="continue"/>
            <w:shd w:val="clear" w:color="auto" w:fill="FFFFFF"/>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23" w:type="dxa"/>
            <w:bottom w:w="0" w:type="dxa"/>
            <w:right w:w="23" w:type="dxa"/>
          </w:tblCellMar>
        </w:tblPrEx>
        <w:trPr>
          <w:jc w:val="center"/>
        </w:trPr>
        <w:tc>
          <w:tcPr>
            <w:tcW w:w="488" w:type="dxa"/>
            <w:shd w:val="clear" w:color="auto" w:fill="FFFFFF"/>
            <w:vAlign w:val="center"/>
          </w:tcPr>
          <w:p>
            <w:pPr>
              <w:pStyle w:val="297"/>
              <w:numPr>
                <w:ilvl w:val="0"/>
                <w:numId w:val="14"/>
              </w:numPr>
              <w:rPr>
                <w:color w:val="000000" w:themeColor="text1"/>
                <w:highlight w:val="none"/>
                <w14:textFill>
                  <w14:solidFill>
                    <w14:schemeClr w14:val="tx1"/>
                  </w14:solidFill>
                </w14:textFill>
              </w:rPr>
            </w:pPr>
          </w:p>
        </w:tc>
        <w:tc>
          <w:tcPr>
            <w:tcW w:w="13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柴油发电机</w:t>
            </w:r>
          </w:p>
        </w:tc>
        <w:tc>
          <w:tcPr>
            <w:tcW w:w="567" w:type="dxa"/>
            <w:shd w:val="clear" w:color="auto" w:fill="FFFFFF"/>
            <w:vAlign w:val="center"/>
          </w:tcPr>
          <w:p>
            <w:pPr>
              <w:pStyle w:val="297"/>
              <w:rPr>
                <w:color w:val="000000" w:themeColor="text1"/>
                <w:highlight w:val="none"/>
                <w14:textFill>
                  <w14:solidFill>
                    <w14:schemeClr w14:val="tx1"/>
                  </w14:solidFill>
                </w14:textFill>
              </w:rPr>
            </w:pPr>
          </w:p>
        </w:tc>
        <w:tc>
          <w:tcPr>
            <w:tcW w:w="567"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07</w:t>
            </w:r>
          </w:p>
        </w:tc>
        <w:tc>
          <w:tcPr>
            <w:tcW w:w="567"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t>3</w:t>
            </w:r>
          </w:p>
        </w:tc>
        <w:tc>
          <w:tcPr>
            <w:tcW w:w="709"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1276"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850"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c>
          <w:tcPr>
            <w:tcW w:w="1298"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自带高质量消声器的柴油机</w:t>
            </w:r>
          </w:p>
        </w:tc>
        <w:tc>
          <w:tcPr>
            <w:tcW w:w="548" w:type="dxa"/>
            <w:shd w:val="clear" w:color="auto" w:fill="FFFFFF"/>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偶尔、连续</w:t>
            </w:r>
          </w:p>
        </w:tc>
      </w:tr>
    </w:tbl>
    <w:p>
      <w:pPr>
        <w:pStyle w:val="27"/>
        <w:spacing w:line="240" w:lineRule="auto"/>
        <w:ind w:firstLine="440"/>
        <w:rPr>
          <w:rFonts w:ascii="Times New Roman" w:hAnsi="Times New Roman"/>
          <w:bCs/>
          <w:color w:val="000000" w:themeColor="text1"/>
          <w:sz w:val="22"/>
          <w:szCs w:val="22"/>
          <w:highlight w:val="none"/>
          <w14:textFill>
            <w14:solidFill>
              <w14:schemeClr w14:val="tx1"/>
            </w14:solidFill>
          </w14:textFill>
        </w:rPr>
      </w:pPr>
      <w:r>
        <w:rPr>
          <w:rFonts w:ascii="Times New Roman" w:hAnsi="Times New Roman"/>
          <w:bCs/>
          <w:color w:val="000000" w:themeColor="text1"/>
          <w:sz w:val="22"/>
          <w:szCs w:val="22"/>
          <w:highlight w:val="none"/>
          <w14:textFill>
            <w14:solidFill>
              <w14:schemeClr w14:val="tx1"/>
            </w14:solidFill>
          </w14:textFill>
        </w:rPr>
        <w:t>注：表中坐标以</w:t>
      </w:r>
      <w:r>
        <w:rPr>
          <w:rFonts w:hint="eastAsia" w:ascii="Times New Roman" w:hAnsi="Times New Roman"/>
          <w:bCs/>
          <w:color w:val="000000" w:themeColor="text1"/>
          <w:sz w:val="22"/>
          <w:szCs w:val="22"/>
          <w:highlight w:val="none"/>
          <w14:textFill>
            <w14:solidFill>
              <w14:schemeClr w14:val="tx1"/>
            </w14:solidFill>
          </w14:textFill>
        </w:rPr>
        <w:t>大湾408-3井场边界右下角</w:t>
      </w:r>
      <w:r>
        <w:rPr>
          <w:rFonts w:ascii="Times New Roman" w:hAnsi="Times New Roman"/>
          <w:bCs/>
          <w:color w:val="000000" w:themeColor="text1"/>
          <w:sz w:val="22"/>
          <w:szCs w:val="22"/>
          <w:highlight w:val="none"/>
          <w14:textFill>
            <w14:solidFill>
              <w14:schemeClr w14:val="tx1"/>
            </w14:solidFill>
          </w14:textFill>
        </w:rPr>
        <w:t>为坐标原点，沿东</w:t>
      </w:r>
      <w:r>
        <w:rPr>
          <w:rFonts w:hint="eastAsia" w:ascii="Times New Roman" w:hAnsi="Times New Roman"/>
          <w:bCs/>
          <w:color w:val="000000" w:themeColor="text1"/>
          <w:sz w:val="22"/>
          <w:szCs w:val="22"/>
          <w:highlight w:val="none"/>
          <w14:textFill>
            <w14:solidFill>
              <w14:schemeClr w14:val="tx1"/>
            </w14:solidFill>
          </w14:textFill>
        </w:rPr>
        <w:t>侧</w:t>
      </w:r>
      <w:r>
        <w:rPr>
          <w:rFonts w:ascii="Times New Roman" w:hAnsi="Times New Roman"/>
          <w:bCs/>
          <w:color w:val="000000" w:themeColor="text1"/>
          <w:sz w:val="22"/>
          <w:szCs w:val="22"/>
          <w:highlight w:val="none"/>
          <w14:textFill>
            <w14:solidFill>
              <w14:schemeClr w14:val="tx1"/>
            </w14:solidFill>
          </w14:textFill>
        </w:rPr>
        <w:t>为X轴正方向，沿北</w:t>
      </w:r>
      <w:r>
        <w:rPr>
          <w:rFonts w:hint="eastAsia" w:ascii="Times New Roman" w:hAnsi="Times New Roman"/>
          <w:bCs/>
          <w:color w:val="000000" w:themeColor="text1"/>
          <w:sz w:val="22"/>
          <w:szCs w:val="22"/>
          <w:highlight w:val="none"/>
          <w14:textFill>
            <w14:solidFill>
              <w14:schemeClr w14:val="tx1"/>
            </w14:solidFill>
          </w14:textFill>
        </w:rPr>
        <w:t>侧</w:t>
      </w:r>
      <w:r>
        <w:rPr>
          <w:rFonts w:ascii="Times New Roman" w:hAnsi="Times New Roman"/>
          <w:bCs/>
          <w:color w:val="000000" w:themeColor="text1"/>
          <w:sz w:val="22"/>
          <w:szCs w:val="22"/>
          <w:highlight w:val="none"/>
          <w14:textFill>
            <w14:solidFill>
              <w14:schemeClr w14:val="tx1"/>
            </w14:solidFill>
          </w14:textFill>
        </w:rPr>
        <w:t>为Y轴正方向</w:t>
      </w:r>
    </w:p>
    <w:bookmarkEnd w:id="272"/>
    <w:p>
      <w:pPr>
        <w:spacing w:before="120" w:beforeLines="50"/>
        <w:ind w:firstLine="482"/>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3</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钻井阶段场界噪声影响预测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根据井场的平面布置，高噪声设备主要分布在井口和井场后场发电机位置，</w:t>
      </w:r>
      <w:r>
        <w:rPr>
          <w:rFonts w:hint="eastAsia"/>
          <w:color w:val="000000" w:themeColor="text1"/>
          <w:highlight w:val="none"/>
          <w14:textFill>
            <w14:solidFill>
              <w14:schemeClr w14:val="tx1"/>
            </w14:solidFill>
          </w14:textFill>
        </w:rPr>
        <w:t>钻井设备为室外设备，备用发电机为成套设备，未设置在专用房间内，按照室外设备评价</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1）室外声源在预测点产生的声级计算模型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预测模式采用《环境影响评价技术导则声环境》（HJ2.4-20</w:t>
      </w:r>
      <w:r>
        <w:rPr>
          <w:rFonts w:hint="eastAsia"/>
          <w:color w:val="000000" w:themeColor="text1"/>
          <w:highlight w:val="none"/>
          <w14:textFill>
            <w14:solidFill>
              <w14:schemeClr w14:val="tx1"/>
            </w14:solidFill>
          </w14:textFill>
        </w:rPr>
        <w:t>21</w:t>
      </w:r>
      <w:r>
        <w:rPr>
          <w:color w:val="000000" w:themeColor="text1"/>
          <w:highlight w:val="none"/>
          <w14:textFill>
            <w14:solidFill>
              <w14:schemeClr w14:val="tx1"/>
            </w14:solidFill>
          </w14:textFill>
        </w:rPr>
        <w:t>）中推荐的模式。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户外声传播衰减包括几何发散（Adiv）、大气吸收（Aatm）、地面效应（Agr）、屏障屏蔽（Abar）、其他多方面效应（Amisc）引起的衰减。</w:t>
      </w:r>
      <w:r>
        <w:rPr>
          <w:rFonts w:hint="eastAsia"/>
          <w:color w:val="000000" w:themeColor="text1"/>
          <w:highlight w:val="none"/>
          <w14:textFill>
            <w14:solidFill>
              <w14:schemeClr w14:val="tx1"/>
            </w14:solidFill>
          </w14:textFill>
        </w:rPr>
        <w:t>室外点声源声传播衰减计算公式为：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Lp</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r）＝Lp</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r</w:t>
      </w:r>
      <w:r>
        <w:rPr>
          <w:color w:val="000000" w:themeColor="text1"/>
          <w:highlight w:val="none"/>
          <w:vertAlign w:val="subscript"/>
          <w14:textFill>
            <w14:solidFill>
              <w14:schemeClr w14:val="tx1"/>
            </w14:solidFill>
          </w14:textFill>
        </w:rPr>
        <w:t>0</w:t>
      </w:r>
      <w:r>
        <w:rPr>
          <w:rFonts w:hint="eastAsia"/>
          <w:color w:val="000000" w:themeColor="text1"/>
          <w:highlight w:val="none"/>
          <w:vertAlign w:val="subscript"/>
          <w14:textFill>
            <w14:solidFill>
              <w14:schemeClr w14:val="tx1"/>
            </w14:solidFill>
          </w14:textFill>
        </w:rPr>
        <w:t>)</w:t>
      </w:r>
      <w:r>
        <w:rPr>
          <w:color w:val="000000" w:themeColor="text1"/>
          <w:highlight w:val="none"/>
          <w14:textFill>
            <w14:solidFill>
              <w14:schemeClr w14:val="tx1"/>
            </w14:solidFill>
          </w14:textFill>
        </w:rPr>
        <w:t>+DC－（Adiv＋Aatm＋Agr＋Abar＋Amisc</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式中：</w:t>
      </w:r>
      <w:r>
        <w:rPr>
          <w:color w:val="000000" w:themeColor="text1"/>
          <w:highlight w:val="none"/>
          <w14:textFill>
            <w14:solidFill>
              <w14:schemeClr w14:val="tx1"/>
            </w14:solidFill>
          </w14:textFill>
        </w:rPr>
        <w:t>Lp（r）——</w:t>
      </w:r>
      <w:r>
        <w:rPr>
          <w:rFonts w:hint="eastAsia"/>
          <w:color w:val="000000" w:themeColor="text1"/>
          <w:highlight w:val="none"/>
          <w14:textFill>
            <w14:solidFill>
              <w14:schemeClr w14:val="tx1"/>
            </w14:solidFill>
          </w14:textFill>
        </w:rPr>
        <w:t>预测点处声压级，</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left="708" w:leftChars="295" w:firstLine="566" w:firstLineChars="23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Lp（r0）——</w:t>
      </w:r>
      <w:r>
        <w:rPr>
          <w:rFonts w:hint="eastAsia"/>
          <w:color w:val="000000" w:themeColor="text1"/>
          <w:highlight w:val="none"/>
          <w14:textFill>
            <w14:solidFill>
              <w14:schemeClr w14:val="tx1"/>
            </w14:solidFill>
          </w14:textFill>
        </w:rPr>
        <w:t>参考位置</w:t>
      </w:r>
      <w:r>
        <w:rPr>
          <w:color w:val="000000" w:themeColor="text1"/>
          <w:highlight w:val="none"/>
          <w14:textFill>
            <w14:solidFill>
              <w14:schemeClr w14:val="tx1"/>
            </w14:solidFill>
          </w14:textFill>
        </w:rPr>
        <w:t>r</w:t>
      </w:r>
      <w:r>
        <w:rPr>
          <w:color w:val="000000" w:themeColor="text1"/>
          <w:highlight w:val="none"/>
          <w:vertAlign w:val="subscript"/>
          <w14:textFill>
            <w14:solidFill>
              <w14:schemeClr w14:val="tx1"/>
            </w14:solidFill>
          </w14:textFill>
        </w:rPr>
        <w:t>0</w:t>
      </w:r>
      <w:r>
        <w:rPr>
          <w:rFonts w:hint="eastAsia"/>
          <w:color w:val="000000" w:themeColor="text1"/>
          <w:highlight w:val="none"/>
          <w14:textFill>
            <w14:solidFill>
              <w14:schemeClr w14:val="tx1"/>
            </w14:solidFill>
          </w14:textFill>
        </w:rPr>
        <w:t>处的声压级，</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left="708" w:leftChars="295" w:firstLine="566" w:firstLineChars="23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DC——</w:t>
      </w:r>
      <w:r>
        <w:rPr>
          <w:rFonts w:hint="eastAsia"/>
          <w:color w:val="000000" w:themeColor="text1"/>
          <w:highlight w:val="none"/>
          <w14:textFill>
            <w14:solidFill>
              <w14:schemeClr w14:val="tx1"/>
            </w14:solidFill>
          </w14:textFill>
        </w:rPr>
        <w:t>指向性校正，它描述点声源的等效连续声压级与产生声功率级</w:t>
      </w:r>
      <w:r>
        <w:rPr>
          <w:color w:val="000000" w:themeColor="text1"/>
          <w:highlight w:val="none"/>
          <w14:textFill>
            <w14:solidFill>
              <w14:schemeClr w14:val="tx1"/>
            </w14:solidFill>
          </w14:textFill>
        </w:rPr>
        <w:t>Lw</w:t>
      </w:r>
      <w:r>
        <w:rPr>
          <w:rFonts w:hint="eastAsia"/>
          <w:color w:val="000000" w:themeColor="text1"/>
          <w:highlight w:val="none"/>
          <w14:textFill>
            <w14:solidFill>
              <w14:schemeClr w14:val="tx1"/>
            </w14:solidFill>
          </w14:textFill>
        </w:rPr>
        <w:t>的全向点声源在规定方向的声级的偏差程度，</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left="708" w:leftChars="295" w:firstLine="566" w:firstLineChars="23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Adiv——</w:t>
      </w:r>
      <w:r>
        <w:rPr>
          <w:rFonts w:hint="eastAsia"/>
          <w:color w:val="000000" w:themeColor="text1"/>
          <w:highlight w:val="none"/>
          <w14:textFill>
            <w14:solidFill>
              <w14:schemeClr w14:val="tx1"/>
            </w14:solidFill>
          </w14:textFill>
        </w:rPr>
        <w:t>几何发散引起的衰减，</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left="708" w:leftChars="295" w:firstLine="566" w:firstLineChars="23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Aatm——</w:t>
      </w:r>
      <w:r>
        <w:rPr>
          <w:rFonts w:hint="eastAsia"/>
          <w:color w:val="000000" w:themeColor="text1"/>
          <w:highlight w:val="none"/>
          <w14:textFill>
            <w14:solidFill>
              <w14:schemeClr w14:val="tx1"/>
            </w14:solidFill>
          </w14:textFill>
        </w:rPr>
        <w:t>大气吸收引起的衰减，</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left="708" w:leftChars="295" w:firstLine="566" w:firstLineChars="23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Agr——</w:t>
      </w:r>
      <w:r>
        <w:rPr>
          <w:rFonts w:hint="eastAsia"/>
          <w:color w:val="000000" w:themeColor="text1"/>
          <w:highlight w:val="none"/>
          <w14:textFill>
            <w14:solidFill>
              <w14:schemeClr w14:val="tx1"/>
            </w14:solidFill>
          </w14:textFill>
        </w:rPr>
        <w:t>地面效应引起的衰减，</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left="708" w:leftChars="295" w:firstLine="566" w:firstLineChars="23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Abar——</w:t>
      </w:r>
      <w:r>
        <w:rPr>
          <w:rFonts w:hint="eastAsia"/>
          <w:color w:val="000000" w:themeColor="text1"/>
          <w:highlight w:val="none"/>
          <w14:textFill>
            <w14:solidFill>
              <w14:schemeClr w14:val="tx1"/>
            </w14:solidFill>
          </w14:textFill>
        </w:rPr>
        <w:t>障碍物屏蔽引起的衰减，</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left="708" w:leftChars="295" w:firstLine="566" w:firstLineChars="236"/>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Amisc——</w:t>
      </w:r>
      <w:r>
        <w:rPr>
          <w:rFonts w:hint="eastAsia"/>
          <w:color w:val="000000" w:themeColor="text1"/>
          <w:highlight w:val="none"/>
          <w14:textFill>
            <w14:solidFill>
              <w14:schemeClr w14:val="tx1"/>
            </w14:solidFill>
          </w14:textFill>
        </w:rPr>
        <w:t>其他多方面效应引起的衰减，</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预测点的A声级LA（r）可按下式计算，即将8个倍频带声压级合成，计算出预测点的A声级〔LA（r）〕。</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1978025" cy="517525"/>
            <wp:effectExtent l="0" t="0" r="3175" b="0"/>
            <wp:docPr id="28648127" name="图片 28648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8127" name="图片 28648127"/>
                    <pic:cNvPicPr>
                      <a:picLocks noChangeAspect="1"/>
                    </pic:cNvPicPr>
                  </pic:nvPicPr>
                  <pic:blipFill>
                    <a:blip r:embed="rId61"/>
                    <a:stretch>
                      <a:fillRect/>
                    </a:stretch>
                  </pic:blipFill>
                  <pic:spPr>
                    <a:xfrm>
                      <a:off x="0" y="0"/>
                      <a:ext cx="1989700" cy="520512"/>
                    </a:xfrm>
                    <a:prstGeom prst="rect">
                      <a:avLst/>
                    </a:prstGeom>
                  </pic:spPr>
                </pic:pic>
              </a:graphicData>
            </a:graphic>
          </wp:inline>
        </w:drawing>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式中：Lpi（r）——预测点（r）处，第i倍频带声压级，dB；</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ΔLi——第i倍频带的A计权网络修正值，dB。</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本次评价</w:t>
      </w:r>
      <w:r>
        <w:rPr>
          <w:color w:val="000000" w:themeColor="text1"/>
          <w:highlight w:val="none"/>
          <w14:textFill>
            <w14:solidFill>
              <w14:schemeClr w14:val="tx1"/>
            </w14:solidFill>
          </w14:textFill>
        </w:rPr>
        <w:t>计算时不考虑地面效应引起的附加隔声量和空气吸收造成的衰减</w:t>
      </w:r>
      <w:r>
        <w:rPr>
          <w:rFonts w:hint="eastAsia"/>
          <w:color w:val="000000" w:themeColor="text1"/>
          <w:highlight w:val="none"/>
          <w14:textFill>
            <w14:solidFill>
              <w14:schemeClr w14:val="tx1"/>
            </w14:solidFill>
          </w14:textFill>
        </w:rPr>
        <w:t>，只考虑几何发散</w:t>
      </w:r>
      <w:r>
        <w:rPr>
          <w:color w:val="000000" w:themeColor="text1"/>
          <w:highlight w:val="none"/>
          <w14:textFill>
            <w14:solidFill>
              <w14:schemeClr w14:val="tx1"/>
            </w14:solidFill>
          </w14:textFill>
        </w:rPr>
        <w:t>衰减按下式计算：</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LA</w:t>
      </w:r>
      <w:r>
        <w:rPr>
          <w:rFonts w:hint="eastAsia"/>
          <w:color w:val="000000" w:themeColor="text1"/>
          <w:highlight w:val="none"/>
          <w14:textFill>
            <w14:solidFill>
              <w14:schemeClr w14:val="tx1"/>
            </w14:solidFill>
          </w14:textFill>
        </w:rPr>
        <w:t>(r)</w:t>
      </w: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A(r</w:t>
      </w:r>
      <w:r>
        <w:rPr>
          <w:rFonts w:hint="eastAsia"/>
          <w:color w:val="000000" w:themeColor="text1"/>
          <w:highlight w:val="none"/>
          <w:vertAlign w:val="subscript"/>
          <w14:textFill>
            <w14:solidFill>
              <w14:schemeClr w14:val="tx1"/>
            </w14:solidFill>
          </w14:textFill>
        </w:rPr>
        <w:t>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Adiv</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Adiv=</w:t>
      </w:r>
      <w:r>
        <w:rPr>
          <w:color w:val="000000" w:themeColor="text1"/>
          <w:highlight w:val="none"/>
          <w14:textFill>
            <w14:solidFill>
              <w14:schemeClr w14:val="tx1"/>
            </w14:solidFill>
          </w14:textFill>
        </w:rPr>
        <w:t>20lg</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r/r</w:t>
      </w:r>
      <w:r>
        <w:rPr>
          <w:color w:val="000000" w:themeColor="text1"/>
          <w:highlight w:val="none"/>
          <w:vertAlign w:val="subscript"/>
          <w14:textFill>
            <w14:solidFill>
              <w14:schemeClr w14:val="tx1"/>
            </w14:solidFill>
          </w14:textFill>
        </w:rPr>
        <w:t>0</w:t>
      </w:r>
      <w:r>
        <w:rPr>
          <w:rFonts w:hint="eastAsia"/>
          <w:color w:val="000000" w:themeColor="text1"/>
          <w:highlight w:val="none"/>
          <w:vertAlign w:val="subscript"/>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式中：LA</w:t>
      </w:r>
      <w:r>
        <w:rPr>
          <w:rFonts w:hint="eastAsia"/>
          <w:color w:val="000000" w:themeColor="text1"/>
          <w:highlight w:val="none"/>
          <w14:textFill>
            <w14:solidFill>
              <w14:schemeClr w14:val="tx1"/>
            </w14:solidFill>
          </w14:textFill>
        </w:rPr>
        <w:t>（r）</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距声源r处的A</w:t>
      </w:r>
      <w:r>
        <w:rPr>
          <w:color w:val="000000" w:themeColor="text1"/>
          <w:highlight w:val="none"/>
          <w14:textFill>
            <w14:solidFill>
              <w14:schemeClr w14:val="tx1"/>
            </w14:solidFill>
          </w14:textFill>
        </w:rPr>
        <w:t>压级，dB（A）；</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rFonts w:hint="eastAsia"/>
          <w:color w:val="000000" w:themeColor="text1"/>
          <w:highlight w:val="none"/>
          <w14:textFill>
            <w14:solidFill>
              <w14:schemeClr w14:val="tx1"/>
            </w14:solidFill>
          </w14:textFill>
        </w:rPr>
        <w:t>A（r</w:t>
      </w:r>
      <w:r>
        <w:rPr>
          <w:rFonts w:hint="eastAsia"/>
          <w:color w:val="000000" w:themeColor="text1"/>
          <w:highlight w:val="none"/>
          <w:vertAlign w:val="subscript"/>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参考位置r</w:t>
      </w:r>
      <w:r>
        <w:rPr>
          <w:rFonts w:hint="eastAsia"/>
          <w:color w:val="000000" w:themeColor="text1"/>
          <w:highlight w:val="none"/>
          <w:vertAlign w:val="subscript"/>
          <w14:textFill>
            <w14:solidFill>
              <w14:schemeClr w14:val="tx1"/>
            </w14:solidFill>
          </w14:textFill>
        </w:rPr>
        <w:t>0</w:t>
      </w:r>
      <w:r>
        <w:rPr>
          <w:rFonts w:hint="eastAsia"/>
          <w:color w:val="000000" w:themeColor="text1"/>
          <w:highlight w:val="none"/>
          <w14:textFill>
            <w14:solidFill>
              <w14:schemeClr w14:val="tx1"/>
            </w14:solidFill>
          </w14:textFill>
        </w:rPr>
        <w:t>处的A压级</w:t>
      </w:r>
      <w:r>
        <w:rPr>
          <w:color w:val="000000" w:themeColor="text1"/>
          <w:highlight w:val="none"/>
          <w14:textFill>
            <w14:solidFill>
              <w14:schemeClr w14:val="tx1"/>
            </w14:solidFill>
          </w14:textFill>
        </w:rPr>
        <w:t>，dB（A）；</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Adiv——几何发散引起的衰减，dB；</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r</w:t>
      </w:r>
      <w:r>
        <w:rPr>
          <w:color w:val="000000" w:themeColor="text1"/>
          <w:highlight w:val="none"/>
          <w:vertAlign w:val="subscript"/>
          <w14:textFill>
            <w14:solidFill>
              <w14:schemeClr w14:val="tx1"/>
            </w14:solidFill>
          </w14:textFill>
        </w:rPr>
        <w:t>0</w:t>
      </w:r>
      <w:r>
        <w:rPr>
          <w:color w:val="000000" w:themeColor="text1"/>
          <w:highlight w:val="none"/>
          <w14:textFill>
            <w14:solidFill>
              <w14:schemeClr w14:val="tx1"/>
            </w14:solidFill>
          </w14:textFill>
        </w:rPr>
        <w:t>──参考</w:t>
      </w:r>
      <w:r>
        <w:rPr>
          <w:rFonts w:hint="eastAsia"/>
          <w:color w:val="000000" w:themeColor="text1"/>
          <w:highlight w:val="none"/>
          <w14:textFill>
            <w14:solidFill>
              <w14:schemeClr w14:val="tx1"/>
            </w14:solidFill>
          </w14:textFill>
        </w:rPr>
        <w:t>位置距声源的</w:t>
      </w:r>
      <w:r>
        <w:rPr>
          <w:color w:val="000000" w:themeColor="text1"/>
          <w:highlight w:val="none"/>
          <w14:textFill>
            <w14:solidFill>
              <w14:schemeClr w14:val="tx1"/>
            </w14:solidFill>
          </w14:textFill>
        </w:rPr>
        <w:t>距离，m；</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r──</w:t>
      </w:r>
      <w:r>
        <w:rPr>
          <w:rFonts w:hint="eastAsia"/>
          <w:color w:val="000000" w:themeColor="text1"/>
          <w:highlight w:val="none"/>
          <w14:textFill>
            <w14:solidFill>
              <w14:schemeClr w14:val="tx1"/>
            </w14:solidFill>
          </w14:textFill>
        </w:rPr>
        <w:t>预测点距声源的距离</w:t>
      </w:r>
      <w:r>
        <w:rPr>
          <w:color w:val="000000" w:themeColor="text1"/>
          <w:highlight w:val="none"/>
          <w14:textFill>
            <w14:solidFill>
              <w14:schemeClr w14:val="tx1"/>
            </w14:solidFill>
          </w14:textFill>
        </w:rPr>
        <w:t>，m。</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2）贡献值计算</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各声源的噪声传播在同一点的</w:t>
      </w:r>
      <w:r>
        <w:rPr>
          <w:rFonts w:hint="eastAsia"/>
          <w:color w:val="000000" w:themeColor="text1"/>
          <w:highlight w:val="none"/>
          <w14:textFill>
            <w14:solidFill>
              <w14:schemeClr w14:val="tx1"/>
            </w14:solidFill>
          </w14:textFill>
        </w:rPr>
        <w:t>贡献</w:t>
      </w:r>
      <w:r>
        <w:rPr>
          <w:color w:val="000000" w:themeColor="text1"/>
          <w:highlight w:val="none"/>
          <w14:textFill>
            <w14:solidFill>
              <w14:schemeClr w14:val="tx1"/>
            </w14:solidFill>
          </w14:textFill>
        </w:rPr>
        <w:t>值按下式计算：</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1676400" cy="490220"/>
            <wp:effectExtent l="0" t="0" r="0" b="5080"/>
            <wp:docPr id="302135380" name="图片 30213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35380" name="图片 302135380"/>
                    <pic:cNvPicPr>
                      <a:picLocks noChangeAspect="1"/>
                    </pic:cNvPicPr>
                  </pic:nvPicPr>
                  <pic:blipFill>
                    <a:blip r:embed="rId62"/>
                    <a:stretch>
                      <a:fillRect/>
                    </a:stretch>
                  </pic:blipFill>
                  <pic:spPr>
                    <a:xfrm>
                      <a:off x="0" y="0"/>
                      <a:ext cx="1676191" cy="490207"/>
                    </a:xfrm>
                    <a:prstGeom prst="rect">
                      <a:avLst/>
                    </a:prstGeom>
                  </pic:spPr>
                </pic:pic>
              </a:graphicData>
            </a:graphic>
          </wp:inline>
        </w:drawing>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式中：Leqg——噪声贡献值，dB；</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T——预测计算的时间段，s；</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ti——i声源在T时段内的运行时间，s；</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w:t>
      </w:r>
      <w:r>
        <w:rPr>
          <w:color w:val="000000" w:themeColor="text1"/>
          <w:highlight w:val="none"/>
          <w:vertAlign w:val="subscript"/>
          <w14:textFill>
            <w14:solidFill>
              <w14:schemeClr w14:val="tx1"/>
            </w14:solidFill>
          </w14:textFill>
        </w:rPr>
        <w:t>Ai</w:t>
      </w:r>
      <w:r>
        <w:rPr>
          <w:rFonts w:hint="eastAsia"/>
          <w:color w:val="000000" w:themeColor="text1"/>
          <w:highlight w:val="none"/>
          <w14:textFill>
            <w14:solidFill>
              <w14:schemeClr w14:val="tx1"/>
            </w14:solidFill>
          </w14:textFill>
        </w:rPr>
        <w:t>——i声源在预测点产生的等效连续A声级，dB。</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2）噪声预测环境数据</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①气象数据</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本地区多年平均气温</w:t>
      </w:r>
      <w:r>
        <w:rPr>
          <w:color w:val="000000" w:themeColor="text1"/>
          <w:highlight w:val="none"/>
          <w14:textFill>
            <w14:solidFill>
              <w14:schemeClr w14:val="tx1"/>
            </w14:solidFill>
          </w14:textFill>
        </w:rPr>
        <w:t>16.8</w:t>
      </w:r>
      <w:r>
        <w:rPr>
          <w:rFonts w:hint="eastAsia"/>
          <w:color w:val="000000" w:themeColor="text1"/>
          <w:highlight w:val="none"/>
          <w14:textFill>
            <w14:solidFill>
              <w14:schemeClr w14:val="tx1"/>
            </w14:solidFill>
          </w14:textFill>
        </w:rPr>
        <w:t>℃，年平均相对湿度为</w:t>
      </w:r>
      <w:r>
        <w:rPr>
          <w:color w:val="000000" w:themeColor="text1"/>
          <w:highlight w:val="none"/>
          <w14:textFill>
            <w14:solidFill>
              <w14:schemeClr w14:val="tx1"/>
            </w14:solidFill>
          </w14:textFill>
        </w:rPr>
        <w:t>77</w:t>
      </w:r>
      <w:r>
        <w:rPr>
          <w:rFonts w:hint="eastAsia"/>
          <w:color w:val="000000" w:themeColor="text1"/>
          <w:highlight w:val="none"/>
          <w14:textFill>
            <w14:solidFill>
              <w14:schemeClr w14:val="tx1"/>
            </w14:solidFill>
          </w14:textFill>
        </w:rPr>
        <w:t>%，全年降水量为</w:t>
      </w:r>
      <w:r>
        <w:rPr>
          <w:color w:val="000000" w:themeColor="text1"/>
          <w:highlight w:val="none"/>
          <w14:textFill>
            <w14:solidFill>
              <w14:schemeClr w14:val="tx1"/>
            </w14:solidFill>
          </w14:textFill>
        </w:rPr>
        <w:t>1132.69</w:t>
      </w:r>
      <w:r>
        <w:rPr>
          <w:rFonts w:hint="eastAsia"/>
          <w:color w:val="000000" w:themeColor="text1"/>
          <w:highlight w:val="none"/>
          <w14:textFill>
            <w14:solidFill>
              <w14:schemeClr w14:val="tx1"/>
            </w14:solidFill>
          </w14:textFill>
        </w:rPr>
        <w:t>mm，年平均风速为</w:t>
      </w:r>
      <w:r>
        <w:rPr>
          <w:color w:val="000000" w:themeColor="text1"/>
          <w:highlight w:val="none"/>
          <w14:textFill>
            <w14:solidFill>
              <w14:schemeClr w14:val="tx1"/>
            </w14:solidFill>
          </w14:textFill>
        </w:rPr>
        <w:t>1.5</w:t>
      </w:r>
      <w:r>
        <w:rPr>
          <w:rFonts w:hint="eastAsia"/>
          <w:color w:val="000000" w:themeColor="text1"/>
          <w:highlight w:val="none"/>
          <w14:textFill>
            <w14:solidFill>
              <w14:schemeClr w14:val="tx1"/>
            </w14:solidFill>
          </w14:textFill>
        </w:rPr>
        <w:t>m/s，主导风向为东北风。</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②地形数据</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项目不考虑地形高差。</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③障碍物</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项目各噪声设备位于露天环境中，井场未设置实心围墙，不考虑障碍物引起的衰减。</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④地面覆盖情况</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项目井场均位于农村地区，地表主要为人工栽培植被和自然林地，地表主要为农作物或林地。</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根据上述预测模式，</w:t>
      </w:r>
      <w:r>
        <w:rPr>
          <w:color w:val="000000" w:themeColor="text1"/>
          <w:highlight w:val="none"/>
          <w14:textFill>
            <w14:solidFill>
              <w14:schemeClr w14:val="tx1"/>
            </w14:solidFill>
          </w14:textFill>
        </w:rPr>
        <w:t>井场钻井噪声在各施工边界的噪声贡献值详见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_Ref144067328 \h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noBreakHyphen/>
      </w:r>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和下图</w:t>
      </w:r>
      <w:r>
        <w:rPr>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273" w:name="_Ref144067328"/>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bookmarkEnd w:id="273"/>
      <w:r>
        <w:rPr>
          <w:rFonts w:hint="eastAsia"/>
          <w:color w:val="000000" w:themeColor="text1"/>
          <w:highlight w:val="none"/>
          <w:lang w:val="en-US" w:eastAsia="zh-CN"/>
          <w14:textFill>
            <w14:solidFill>
              <w14:schemeClr w14:val="tx1"/>
            </w14:solidFill>
          </w14:textFill>
        </w:rPr>
        <w:t>3</w:t>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本项目钻井噪声影响表</w:t>
      </w:r>
      <w:r>
        <w:rPr>
          <w:color w:val="000000" w:themeColor="text1"/>
          <w:highlight w:val="none"/>
          <w14:textFill>
            <w14:solidFill>
              <w14:schemeClr w14:val="tx1"/>
            </w14:solidFill>
          </w14:textFill>
        </w:rPr>
        <w:t xml:space="preserve">   单位：dB（A）</w:t>
      </w:r>
    </w:p>
    <w:tbl>
      <w:tblPr>
        <w:tblStyle w:val="54"/>
        <w:tblW w:w="50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91"/>
        <w:gridCol w:w="2525"/>
        <w:gridCol w:w="1205"/>
        <w:gridCol w:w="1211"/>
        <w:gridCol w:w="1210"/>
        <w:gridCol w:w="1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94" w:type="pct"/>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预测工况</w:t>
            </w:r>
          </w:p>
        </w:tc>
        <w:tc>
          <w:tcPr>
            <w:tcW w:w="1513" w:type="pct"/>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场界</w:t>
            </w:r>
          </w:p>
        </w:tc>
        <w:tc>
          <w:tcPr>
            <w:tcW w:w="1448" w:type="pct"/>
            <w:gridSpan w:val="2"/>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噪声贡献值</w:t>
            </w:r>
          </w:p>
        </w:tc>
        <w:tc>
          <w:tcPr>
            <w:tcW w:w="1443" w:type="pct"/>
            <w:gridSpan w:val="2"/>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超标值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94" w:type="pct"/>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p>
        </w:tc>
        <w:tc>
          <w:tcPr>
            <w:tcW w:w="1513" w:type="pct"/>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p>
        </w:tc>
        <w:tc>
          <w:tcPr>
            <w:tcW w:w="722"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昼间</w:t>
            </w:r>
          </w:p>
        </w:tc>
        <w:tc>
          <w:tcPr>
            <w:tcW w:w="726"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夜间</w:t>
            </w:r>
          </w:p>
        </w:tc>
        <w:tc>
          <w:tcPr>
            <w:tcW w:w="725"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昼间</w:t>
            </w:r>
          </w:p>
        </w:tc>
        <w:tc>
          <w:tcPr>
            <w:tcW w:w="718"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94" w:type="pct"/>
            <w:vMerge w:val="restart"/>
            <w:tcBorders>
              <w:top w:val="single" w:color="auto" w:sz="4" w:space="0"/>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柴油发</w:t>
            </w:r>
          </w:p>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电机供电</w:t>
            </w:r>
          </w:p>
        </w:tc>
        <w:tc>
          <w:tcPr>
            <w:tcW w:w="1513"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东北</w:t>
            </w:r>
            <w:r>
              <w:rPr>
                <w:color w:val="000000" w:themeColor="text1"/>
                <w:szCs w:val="21"/>
                <w:highlight w:val="none"/>
                <w14:textFill>
                  <w14:solidFill>
                    <w14:schemeClr w14:val="tx1"/>
                  </w14:solidFill>
                </w14:textFill>
              </w:rPr>
              <w:t>场界</w:t>
            </w:r>
          </w:p>
        </w:tc>
        <w:tc>
          <w:tcPr>
            <w:tcW w:w="7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65</w:t>
            </w:r>
          </w:p>
        </w:tc>
        <w:tc>
          <w:tcPr>
            <w:tcW w:w="121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65</w:t>
            </w:r>
          </w:p>
        </w:tc>
        <w:tc>
          <w:tcPr>
            <w:tcW w:w="725"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71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94" w:type="pct"/>
            <w:vMerge w:val="continue"/>
            <w:tcBorders>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1513"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东南</w:t>
            </w:r>
            <w:r>
              <w:rPr>
                <w:color w:val="000000" w:themeColor="text1"/>
                <w:szCs w:val="21"/>
                <w:highlight w:val="none"/>
                <w14:textFill>
                  <w14:solidFill>
                    <w14:schemeClr w14:val="tx1"/>
                  </w14:solidFill>
                </w14:textFill>
              </w:rPr>
              <w:t>场界</w:t>
            </w:r>
          </w:p>
        </w:tc>
        <w:tc>
          <w:tcPr>
            <w:tcW w:w="7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57</w:t>
            </w:r>
          </w:p>
        </w:tc>
        <w:tc>
          <w:tcPr>
            <w:tcW w:w="121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57</w:t>
            </w:r>
          </w:p>
        </w:tc>
        <w:tc>
          <w:tcPr>
            <w:tcW w:w="725"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71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94" w:type="pct"/>
            <w:vMerge w:val="continue"/>
            <w:tcBorders>
              <w:left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1513"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西南</w:t>
            </w:r>
            <w:r>
              <w:rPr>
                <w:color w:val="000000" w:themeColor="text1"/>
                <w:szCs w:val="21"/>
                <w:highlight w:val="none"/>
                <w14:textFill>
                  <w14:solidFill>
                    <w14:schemeClr w14:val="tx1"/>
                  </w14:solidFill>
                </w14:textFill>
              </w:rPr>
              <w:t>场界</w:t>
            </w:r>
          </w:p>
        </w:tc>
        <w:tc>
          <w:tcPr>
            <w:tcW w:w="7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65</w:t>
            </w:r>
          </w:p>
        </w:tc>
        <w:tc>
          <w:tcPr>
            <w:tcW w:w="121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65</w:t>
            </w:r>
          </w:p>
        </w:tc>
        <w:tc>
          <w:tcPr>
            <w:tcW w:w="725"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71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94" w:type="pct"/>
            <w:vMerge w:val="continue"/>
            <w:tcBorders>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1513"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西北</w:t>
            </w:r>
            <w:r>
              <w:rPr>
                <w:color w:val="000000" w:themeColor="text1"/>
                <w:szCs w:val="21"/>
                <w:highlight w:val="none"/>
                <w14:textFill>
                  <w14:solidFill>
                    <w14:schemeClr w14:val="tx1"/>
                  </w14:solidFill>
                </w14:textFill>
              </w:rPr>
              <w:t>场界</w:t>
            </w:r>
          </w:p>
        </w:tc>
        <w:tc>
          <w:tcPr>
            <w:tcW w:w="7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60</w:t>
            </w:r>
          </w:p>
        </w:tc>
        <w:tc>
          <w:tcPr>
            <w:tcW w:w="121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60</w:t>
            </w:r>
          </w:p>
        </w:tc>
        <w:tc>
          <w:tcPr>
            <w:tcW w:w="725"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71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94" w:type="pct"/>
            <w:vMerge w:val="restar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网电供电</w:t>
            </w:r>
          </w:p>
        </w:tc>
        <w:tc>
          <w:tcPr>
            <w:tcW w:w="252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东北</w:t>
            </w:r>
            <w:r>
              <w:rPr>
                <w:color w:val="000000" w:themeColor="text1"/>
                <w:szCs w:val="21"/>
                <w:highlight w:val="none"/>
                <w14:textFill>
                  <w14:solidFill>
                    <w14:schemeClr w14:val="tx1"/>
                  </w14:solidFill>
                </w14:textFill>
              </w:rPr>
              <w:t>场界</w:t>
            </w:r>
          </w:p>
        </w:tc>
        <w:tc>
          <w:tcPr>
            <w:tcW w:w="7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63</w:t>
            </w:r>
          </w:p>
        </w:tc>
        <w:tc>
          <w:tcPr>
            <w:tcW w:w="121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63</w:t>
            </w:r>
          </w:p>
        </w:tc>
        <w:tc>
          <w:tcPr>
            <w:tcW w:w="725"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71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5" w:hRule="atLeast"/>
          <w:jc w:val="center"/>
        </w:trPr>
        <w:tc>
          <w:tcPr>
            <w:tcW w:w="594" w:type="pct"/>
            <w:vMerge w:val="continue"/>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252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东南</w:t>
            </w:r>
            <w:r>
              <w:rPr>
                <w:color w:val="000000" w:themeColor="text1"/>
                <w:szCs w:val="21"/>
                <w:highlight w:val="none"/>
                <w14:textFill>
                  <w14:solidFill>
                    <w14:schemeClr w14:val="tx1"/>
                  </w14:solidFill>
                </w14:textFill>
              </w:rPr>
              <w:t>场界</w:t>
            </w:r>
          </w:p>
        </w:tc>
        <w:tc>
          <w:tcPr>
            <w:tcW w:w="7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56</w:t>
            </w:r>
          </w:p>
        </w:tc>
        <w:tc>
          <w:tcPr>
            <w:tcW w:w="121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56</w:t>
            </w:r>
          </w:p>
        </w:tc>
        <w:tc>
          <w:tcPr>
            <w:tcW w:w="725"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71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94" w:type="pct"/>
            <w:vMerge w:val="continue"/>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252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西南</w:t>
            </w:r>
            <w:r>
              <w:rPr>
                <w:color w:val="000000" w:themeColor="text1"/>
                <w:szCs w:val="21"/>
                <w:highlight w:val="none"/>
                <w14:textFill>
                  <w14:solidFill>
                    <w14:schemeClr w14:val="tx1"/>
                  </w14:solidFill>
                </w14:textFill>
              </w:rPr>
              <w:t>场界</w:t>
            </w:r>
          </w:p>
        </w:tc>
        <w:tc>
          <w:tcPr>
            <w:tcW w:w="7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63</w:t>
            </w:r>
          </w:p>
        </w:tc>
        <w:tc>
          <w:tcPr>
            <w:tcW w:w="121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63</w:t>
            </w:r>
          </w:p>
        </w:tc>
        <w:tc>
          <w:tcPr>
            <w:tcW w:w="725"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71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94" w:type="pct"/>
            <w:vMerge w:val="continue"/>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2525"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西北</w:t>
            </w:r>
            <w:r>
              <w:rPr>
                <w:color w:val="000000" w:themeColor="text1"/>
                <w:szCs w:val="21"/>
                <w:highlight w:val="none"/>
                <w14:textFill>
                  <w14:solidFill>
                    <w14:schemeClr w14:val="tx1"/>
                  </w14:solidFill>
                </w14:textFill>
              </w:rPr>
              <w:t>场界</w:t>
            </w:r>
          </w:p>
        </w:tc>
        <w:tc>
          <w:tcPr>
            <w:tcW w:w="72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57</w:t>
            </w:r>
          </w:p>
        </w:tc>
        <w:tc>
          <w:tcPr>
            <w:tcW w:w="121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57</w:t>
            </w:r>
          </w:p>
        </w:tc>
        <w:tc>
          <w:tcPr>
            <w:tcW w:w="725"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c>
          <w:tcPr>
            <w:tcW w:w="718"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r>
    </w:tbl>
    <w:p>
      <w:pPr>
        <w:pStyle w:val="95"/>
        <w:rPr>
          <w:rFonts w:eastAsia="黑体"/>
          <w:color w:val="000000" w:themeColor="text1"/>
          <w:highlight w:val="none"/>
          <w:lang w:eastAsia="zh-CN"/>
          <w14:textFill>
            <w14:solidFill>
              <w14:schemeClr w14:val="tx1"/>
            </w14:solidFill>
          </w14:textFill>
        </w:rPr>
      </w:pPr>
      <w:r>
        <w:rPr>
          <w:rFonts w:eastAsia="黑体"/>
          <w:color w:val="000000" w:themeColor="text1"/>
          <w:highlight w:val="none"/>
          <w:lang w:eastAsia="zh-CN"/>
          <w14:textFill>
            <w14:solidFill>
              <w14:schemeClr w14:val="tx1"/>
            </w14:solidFill>
          </w14:textFill>
        </w:rPr>
        <w:drawing>
          <wp:inline distT="0" distB="0" distL="114300" distR="114300">
            <wp:extent cx="5267960" cy="3274060"/>
            <wp:effectExtent l="0" t="0" r="8890" b="2540"/>
            <wp:docPr id="51" name="图片 51" descr="173657211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736572114185"/>
                    <pic:cNvPicPr>
                      <a:picLocks noChangeAspect="1"/>
                    </pic:cNvPicPr>
                  </pic:nvPicPr>
                  <pic:blipFill>
                    <a:blip r:embed="rId63"/>
                    <a:stretch>
                      <a:fillRect/>
                    </a:stretch>
                  </pic:blipFill>
                  <pic:spPr>
                    <a:xfrm>
                      <a:off x="0" y="0"/>
                      <a:ext cx="5267960" cy="3274060"/>
                    </a:xfrm>
                    <a:prstGeom prst="rect">
                      <a:avLst/>
                    </a:prstGeom>
                  </pic:spPr>
                </pic:pic>
              </a:graphicData>
            </a:graphic>
          </wp:inline>
        </w:drawing>
      </w:r>
    </w:p>
    <w:p>
      <w:pPr>
        <w:pStyle w:val="165"/>
        <w:rPr>
          <w:color w:val="000000" w:themeColor="text1"/>
          <w:highlight w:val="none"/>
          <w14:textFill>
            <w14:solidFill>
              <w14:schemeClr w14:val="tx1"/>
            </w14:solidFill>
          </w14:textFill>
        </w:rPr>
      </w:pPr>
      <w:bookmarkStart w:id="274" w:name="_Ref144067339"/>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274"/>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钻井期网电工况噪声贡献值等声级线图</w:t>
      </w:r>
    </w:p>
    <w:p>
      <w:pPr>
        <w:ind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drawing>
          <wp:inline distT="0" distB="0" distL="114300" distR="114300">
            <wp:extent cx="5266690" cy="3305175"/>
            <wp:effectExtent l="0" t="0" r="635" b="0"/>
            <wp:docPr id="59" name="图片 59" descr="173657219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1736572198053"/>
                    <pic:cNvPicPr>
                      <a:picLocks noChangeAspect="1"/>
                    </pic:cNvPicPr>
                  </pic:nvPicPr>
                  <pic:blipFill>
                    <a:blip r:embed="rId64"/>
                    <a:stretch>
                      <a:fillRect/>
                    </a:stretch>
                  </pic:blipFill>
                  <pic:spPr>
                    <a:xfrm>
                      <a:off x="0" y="0"/>
                      <a:ext cx="5266690" cy="3305175"/>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钻井期柴油机工况噪声贡献值等声级线图</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钻井期电网供电工况4</w:t>
      </w:r>
      <w:r>
        <w:rPr>
          <w:color w:val="000000" w:themeColor="text1"/>
          <w:highlight w:val="none"/>
          <w14:textFill>
            <w14:solidFill>
              <w14:schemeClr w14:val="tx1"/>
            </w14:solidFill>
          </w14:textFill>
        </w:rPr>
        <w:t>四个场界昼间噪声满足《建筑施工场界环境噪声排放标准》（GB12523-2011）标准，夜间</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个场界噪声均超标，超标</w:t>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dB（A）；采用柴油发电机供电钻井施工期间，井场</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个场界昼间噪声满足《建筑施工场界环境噪声排放标准》（GB12523-2011）标准，夜间</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个场界噪声均超标，超标</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dB（A）。</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由以上分析可知，网电供电时场界噪声明显小于柴油发电机供电，拟建项目钻探期间采用网电供电，钻井期噪声仅限于钻机施工，随钻井结束而结束，对周边声环境影响可以接受。</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由上述预测结果可知，</w:t>
      </w:r>
      <w:r>
        <w:rPr>
          <w:color w:val="000000" w:themeColor="text1"/>
          <w:highlight w:val="none"/>
          <w14:textFill>
            <w14:solidFill>
              <w14:schemeClr w14:val="tx1"/>
            </w14:solidFill>
          </w14:textFill>
        </w:rPr>
        <w:t>钻井过程为连续24小时作业，昼、夜噪声值变化不大，噪声影响较大，钻井工程夜间各厂界噪声均超过《建筑施工场界环境噪声排放标准》（GB12523-2011）要求</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钻井阶段敏感目标处噪声预测</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根据《环境影响评价技术导则 声环境》（HJ2.4-2021）</w:t>
      </w:r>
      <w:r>
        <w:rPr>
          <w:rFonts w:hint="eastAsia"/>
          <w:color w:val="000000" w:themeColor="text1"/>
          <w:highlight w:val="none"/>
          <w14:textFill>
            <w14:solidFill>
              <w14:schemeClr w14:val="tx1"/>
            </w14:solidFill>
          </w14:textFill>
        </w:rPr>
        <w:t>，预测点的贡献值和背景值按能量叠加方法计算得到的声级为预测值，计算公式为：</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1781175" cy="387985"/>
            <wp:effectExtent l="0" t="0" r="0" b="0"/>
            <wp:docPr id="1284131446" name="图片 128413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31446" name="图片 1284131446"/>
                    <pic:cNvPicPr>
                      <a:picLocks noChangeAspect="1"/>
                    </pic:cNvPicPr>
                  </pic:nvPicPr>
                  <pic:blipFill>
                    <a:blip r:embed="rId65"/>
                    <a:stretch>
                      <a:fillRect/>
                    </a:stretch>
                  </pic:blipFill>
                  <pic:spPr>
                    <a:xfrm>
                      <a:off x="0" y="0"/>
                      <a:ext cx="1780952" cy="388328"/>
                    </a:xfrm>
                    <a:prstGeom prst="rect">
                      <a:avLst/>
                    </a:prstGeom>
                  </pic:spPr>
                </pic:pic>
              </a:graphicData>
            </a:graphic>
          </wp:inline>
        </w:drawing>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式中：</w:t>
      </w:r>
      <w:r>
        <w:rPr>
          <w:color w:val="000000" w:themeColor="text1"/>
          <w:highlight w:val="none"/>
          <w14:textFill>
            <w14:solidFill>
              <w14:schemeClr w14:val="tx1"/>
            </w14:solidFill>
          </w14:textFill>
        </w:rPr>
        <w:t>Leq——</w:t>
      </w:r>
      <w:r>
        <w:rPr>
          <w:rFonts w:hint="eastAsia"/>
          <w:color w:val="000000" w:themeColor="text1"/>
          <w:highlight w:val="none"/>
          <w14:textFill>
            <w14:solidFill>
              <w14:schemeClr w14:val="tx1"/>
            </w14:solidFill>
          </w14:textFill>
        </w:rPr>
        <w:t>预测点的噪声预测值，</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Leqg——</w:t>
      </w:r>
      <w:r>
        <w:rPr>
          <w:rFonts w:hint="eastAsia"/>
          <w:color w:val="000000" w:themeColor="text1"/>
          <w:highlight w:val="none"/>
          <w14:textFill>
            <w14:solidFill>
              <w14:schemeClr w14:val="tx1"/>
            </w14:solidFill>
          </w14:textFill>
        </w:rPr>
        <w:t>建设项目声源在预测点产生的噪声贡献值，</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Leqb——</w:t>
      </w:r>
      <w:r>
        <w:rPr>
          <w:rFonts w:hint="eastAsia"/>
          <w:color w:val="000000" w:themeColor="text1"/>
          <w:highlight w:val="none"/>
          <w14:textFill>
            <w14:solidFill>
              <w14:schemeClr w14:val="tx1"/>
            </w14:solidFill>
          </w14:textFill>
        </w:rPr>
        <w:t>预测点的背景噪声值，</w:t>
      </w:r>
      <w:r>
        <w:rPr>
          <w:color w:val="000000" w:themeColor="text1"/>
          <w:highlight w:val="none"/>
          <w14:textFill>
            <w14:solidFill>
              <w14:schemeClr w14:val="tx1"/>
            </w14:solidFill>
          </w14:textFill>
        </w:rPr>
        <w:t>dB</w:t>
      </w:r>
      <w:r>
        <w:rPr>
          <w:rFonts w:hint="eastAsia"/>
          <w:color w:val="000000" w:themeColor="text1"/>
          <w:highlight w:val="none"/>
          <w14:textFill>
            <w14:solidFill>
              <w14:schemeClr w14:val="tx1"/>
            </w14:solidFill>
          </w14:textFill>
        </w:rPr>
        <w:t>。</w:t>
      </w:r>
    </w:p>
    <w:p>
      <w:pPr>
        <w:spacing w:before="120" w:beforeLines="50"/>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由以上预测结果知，</w:t>
      </w:r>
      <w:r>
        <w:rPr>
          <w:color w:val="000000" w:themeColor="text1"/>
          <w:highlight w:val="none"/>
          <w14:textFill>
            <w14:solidFill>
              <w14:schemeClr w14:val="tx1"/>
            </w14:solidFill>
          </w14:textFill>
        </w:rPr>
        <w:t>钻井期间</w:t>
      </w:r>
      <w:r>
        <w:rPr>
          <w:rFonts w:hint="eastAsia"/>
          <w:color w:val="000000" w:themeColor="text1"/>
          <w:highlight w:val="none"/>
          <w14:textFill>
            <w14:solidFill>
              <w14:schemeClr w14:val="tx1"/>
            </w14:solidFill>
          </w14:textFill>
        </w:rPr>
        <w:t>柴油机</w:t>
      </w:r>
      <w:r>
        <w:rPr>
          <w:color w:val="000000" w:themeColor="text1"/>
          <w:highlight w:val="none"/>
          <w14:textFill>
            <w14:solidFill>
              <w14:schemeClr w14:val="tx1"/>
            </w14:solidFill>
          </w14:textFill>
        </w:rPr>
        <w:t>工况下的噪声达标距离昼间在距井口</w:t>
      </w:r>
      <w:r>
        <w:rPr>
          <w:rFonts w:hint="eastAsia"/>
          <w:color w:val="000000" w:themeColor="text1"/>
          <w:highlight w:val="none"/>
          <w14:textFill>
            <w14:solidFill>
              <w14:schemeClr w14:val="tx1"/>
            </w14:solidFill>
          </w14:textFill>
        </w:rPr>
        <w:t>95</w:t>
      </w:r>
      <w:r>
        <w:rPr>
          <w:color w:val="000000" w:themeColor="text1"/>
          <w:highlight w:val="none"/>
          <w14:textFill>
            <w14:solidFill>
              <w14:schemeClr w14:val="tx1"/>
            </w14:solidFill>
          </w14:textFill>
        </w:rPr>
        <w:t>m处，该区域内无居民分布；夜间噪声达标距离在无树林等遮挡的空旷处距井口</w:t>
      </w:r>
      <w:r>
        <w:rPr>
          <w:rFonts w:hint="eastAsia"/>
          <w:color w:val="000000" w:themeColor="text1"/>
          <w:highlight w:val="none"/>
          <w14:textFill>
            <w14:solidFill>
              <w14:schemeClr w14:val="tx1"/>
            </w14:solidFill>
          </w14:textFill>
        </w:rPr>
        <w:t>249</w:t>
      </w:r>
      <w:r>
        <w:rPr>
          <w:color w:val="000000" w:themeColor="text1"/>
          <w:highlight w:val="none"/>
          <w14:textFill>
            <w14:solidFill>
              <w14:schemeClr w14:val="tx1"/>
            </w14:solidFill>
          </w14:textFill>
        </w:rPr>
        <w:t>m处</w:t>
      </w:r>
      <w:r>
        <w:rPr>
          <w:rFonts w:hint="eastAsia"/>
          <w:color w:val="000000" w:themeColor="text1"/>
          <w:highlight w:val="none"/>
          <w14:textFill>
            <w14:solidFill>
              <w14:schemeClr w14:val="tx1"/>
            </w14:solidFill>
          </w14:textFill>
        </w:rPr>
        <w:t>。结合外环境关系调查可知，井口周边300m范围内无</w:t>
      </w:r>
      <w:r>
        <w:rPr>
          <w:color w:val="000000" w:themeColor="text1"/>
          <w:highlight w:val="none"/>
          <w14:textFill>
            <w14:solidFill>
              <w14:schemeClr w14:val="tx1"/>
            </w14:solidFill>
          </w14:textFill>
        </w:rPr>
        <w:t>居民分布。总的来看，项目的建设对周围居民影响</w:t>
      </w:r>
      <w:r>
        <w:rPr>
          <w:rFonts w:hint="eastAsia"/>
          <w:color w:val="000000" w:themeColor="text1"/>
          <w:highlight w:val="none"/>
          <w14:textFill>
            <w14:solidFill>
              <w14:schemeClr w14:val="tx1"/>
            </w14:solidFill>
          </w14:textFill>
        </w:rPr>
        <w:t>较小</w:t>
      </w:r>
      <w:r>
        <w:rPr>
          <w:color w:val="000000" w:themeColor="text1"/>
          <w:highlight w:val="none"/>
          <w14:textFill>
            <w14:solidFill>
              <w14:schemeClr w14:val="tx1"/>
            </w14:solidFill>
          </w14:textFill>
        </w:rPr>
        <w:t>。</w:t>
      </w:r>
    </w:p>
    <w:p>
      <w:pPr>
        <w:pStyle w:val="27"/>
        <w:ind w:firstLine="480"/>
        <w:rPr>
          <w:rFonts w:ascii="Times New Roman" w:hAnsi="Times New Roman"/>
          <w:color w:val="000000" w:themeColor="text1"/>
          <w:szCs w:val="24"/>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综上所述</w:t>
      </w:r>
      <w:r>
        <w:rPr>
          <w:rFonts w:ascii="Times New Roman" w:hAnsi="Times New Roman"/>
          <w:color w:val="000000" w:themeColor="text1"/>
          <w:highlight w:val="none"/>
          <w14:textFill>
            <w14:solidFill>
              <w14:schemeClr w14:val="tx1"/>
            </w14:solidFill>
          </w14:textFill>
        </w:rPr>
        <w:t>，本项目优先采用网电供电，仅在停电时采用柴油发电机供电，正常施工时噪声影响较小。同时</w:t>
      </w:r>
      <w:r>
        <w:rPr>
          <w:rFonts w:hint="eastAsia" w:ascii="Times New Roman" w:hAnsi="Times New Roman"/>
          <w:color w:val="000000" w:themeColor="text1"/>
          <w:highlight w:val="none"/>
          <w14:textFill>
            <w14:solidFill>
              <w14:schemeClr w14:val="tx1"/>
            </w14:solidFill>
          </w14:textFill>
        </w:rPr>
        <w:t>建设单位应</w:t>
      </w:r>
      <w:r>
        <w:rPr>
          <w:rFonts w:ascii="Times New Roman" w:hAnsi="Times New Roman"/>
          <w:color w:val="000000" w:themeColor="text1"/>
          <w:highlight w:val="none"/>
          <w14:textFill>
            <w14:solidFill>
              <w14:schemeClr w14:val="tx1"/>
            </w14:solidFill>
          </w14:textFill>
        </w:rPr>
        <w:t>通过宣传讲解</w:t>
      </w:r>
      <w:r>
        <w:rPr>
          <w:rFonts w:hint="eastAsia" w:ascii="Times New Roman" w:hAnsi="Times New Roman"/>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加强与周边居民的沟通协调</w:t>
      </w:r>
      <w:r>
        <w:rPr>
          <w:rFonts w:ascii="Times New Roman" w:hAnsi="Times New Roman"/>
          <w:color w:val="000000" w:themeColor="text1"/>
          <w:highlight w:val="none"/>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取得村民理解和谅解</w:t>
      </w:r>
      <w:r>
        <w:rPr>
          <w:rFonts w:ascii="Times New Roman" w:hAnsi="Times New Roman"/>
          <w:color w:val="000000" w:themeColor="text1"/>
          <w:highlight w:val="none"/>
          <w14:textFill>
            <w14:solidFill>
              <w14:schemeClr w14:val="tx1"/>
            </w14:solidFill>
          </w14:textFill>
        </w:rPr>
        <w:t>的方式，将噪声对周边环境的影响降至最低</w:t>
      </w:r>
      <w:r>
        <w:rPr>
          <w:rFonts w:hint="eastAsia" w:ascii="Times New Roman" w:hAnsi="Times New Roman"/>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做到超标不扰民</w:t>
      </w:r>
      <w:r>
        <w:rPr>
          <w:rFonts w:ascii="Times New Roman" w:hAnsi="Times New Roman"/>
          <w:color w:val="000000" w:themeColor="text1"/>
          <w:highlight w:val="none"/>
          <w14:textFill>
            <w14:solidFill>
              <w14:schemeClr w14:val="tx1"/>
            </w14:solidFill>
          </w14:textFill>
        </w:rPr>
        <w:t>。钻井噪声影响是暂时性的，钻井结束后影响即消失</w:t>
      </w:r>
      <w:r>
        <w:rPr>
          <w:rFonts w:ascii="Times New Roman" w:hAnsi="Times New Roman"/>
          <w:color w:val="000000" w:themeColor="text1"/>
          <w:szCs w:val="24"/>
          <w:highlight w:val="none"/>
          <w14:textFill>
            <w14:solidFill>
              <w14:schemeClr w14:val="tx1"/>
            </w14:solidFill>
          </w14:textFill>
        </w:rPr>
        <w:t>。</w:t>
      </w:r>
    </w:p>
    <w:p>
      <w:pPr>
        <w:pStyle w:val="226"/>
        <w:rPr>
          <w:rFonts w:ascii="Times New Roman" w:hAnsi="Times New Roman" w:eastAsia="黑体" w:cs="Times New Roman"/>
          <w:bCs/>
          <w:color w:val="000000" w:themeColor="text1"/>
          <w:highlight w:val="none"/>
          <w:lang w:eastAsia="zh-CN"/>
          <w14:textFill>
            <w14:solidFill>
              <w14:schemeClr w14:val="tx1"/>
            </w14:solidFill>
          </w14:textFill>
        </w:rPr>
      </w:pPr>
      <w:r>
        <w:rPr>
          <w:rFonts w:ascii="Times New Roman" w:hAnsi="Times New Roman" w:eastAsia="黑体" w:cs="Times New Roman"/>
          <w:bCs/>
          <w:color w:val="000000" w:themeColor="text1"/>
          <w:highlight w:val="none"/>
          <w:lang w:eastAsia="zh-CN"/>
          <w14:textFill>
            <w14:solidFill>
              <w14:schemeClr w14:val="tx1"/>
            </w14:solidFill>
          </w14:textFill>
        </w:rPr>
        <w:t>2、事故放喷噪声环境影响预测及分析</w:t>
      </w:r>
    </w:p>
    <w:p>
      <w:pPr>
        <w:ind w:firstLine="480"/>
        <w:rPr>
          <w:rFonts w:cs="Times New Roman"/>
          <w:color w:val="000000" w:themeColor="text1"/>
          <w:highlight w:val="none"/>
          <w:u w:val="single"/>
          <w14:textFill>
            <w14:solidFill>
              <w14:schemeClr w14:val="tx1"/>
            </w14:solidFill>
          </w14:textFill>
        </w:rPr>
      </w:pPr>
      <w:r>
        <w:rPr>
          <w:rFonts w:cs="Times New Roman"/>
          <w:color w:val="000000" w:themeColor="text1"/>
          <w:highlight w:val="none"/>
          <w14:textFill>
            <w14:solidFill>
              <w14:schemeClr w14:val="tx1"/>
            </w14:solidFill>
          </w14:textFill>
        </w:rPr>
        <w:t>事故放喷是由于地层高压异常导致的，在石油天然气行业是低概率事件</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事故放喷时间持续较短，且通过专用的放喷管线将天然气引至放喷池进行点火放喷，事故放喷时间短</w:t>
      </w:r>
      <w:r>
        <w:rPr>
          <w:rFonts w:hint="eastAsia" w:cs="Times New Roman"/>
          <w:color w:val="000000" w:themeColor="text1"/>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噪声源强度约为95~105dB（A）。项目通过在放喷池设置三面建较高的密实的防火墙，可以降低一定的噪声；随着</w:t>
      </w:r>
      <w:r>
        <w:rPr>
          <w:rFonts w:hint="eastAsia" w:cs="Times New Roman"/>
          <w:color w:val="000000" w:themeColor="text1"/>
          <w:szCs w:val="24"/>
          <w:highlight w:val="none"/>
          <w14:textFill>
            <w14:solidFill>
              <w14:schemeClr w14:val="tx1"/>
            </w14:solidFill>
          </w14:textFill>
        </w:rPr>
        <w:t>事故放喷</w:t>
      </w:r>
      <w:r>
        <w:rPr>
          <w:rFonts w:cs="Times New Roman"/>
          <w:color w:val="000000" w:themeColor="text1"/>
          <w:szCs w:val="24"/>
          <w:highlight w:val="none"/>
          <w14:textFill>
            <w14:solidFill>
              <w14:schemeClr w14:val="tx1"/>
            </w14:solidFill>
          </w14:textFill>
        </w:rPr>
        <w:t>的结束，噪声影响也消失。因此，</w:t>
      </w:r>
      <w:r>
        <w:rPr>
          <w:rFonts w:hint="eastAsia" w:cs="Times New Roman"/>
          <w:color w:val="000000" w:themeColor="text1"/>
          <w:szCs w:val="24"/>
          <w:highlight w:val="none"/>
          <w14:textFill>
            <w14:solidFill>
              <w14:schemeClr w14:val="tx1"/>
            </w14:solidFill>
          </w14:textFill>
        </w:rPr>
        <w:t>事故</w:t>
      </w:r>
      <w:r>
        <w:rPr>
          <w:rFonts w:cs="Times New Roman"/>
          <w:color w:val="000000" w:themeColor="text1"/>
          <w:szCs w:val="24"/>
          <w:highlight w:val="none"/>
          <w14:textFill>
            <w14:solidFill>
              <w14:schemeClr w14:val="tx1"/>
            </w14:solidFill>
          </w14:textFill>
        </w:rPr>
        <w:t>放喷噪声影响短暂的，对周围居民影响是可接受的。</w:t>
      </w:r>
    </w:p>
    <w:p>
      <w:pPr>
        <w:pStyle w:val="5"/>
        <w:ind w:firstLine="480"/>
        <w:rPr>
          <w:color w:val="000000" w:themeColor="text1"/>
          <w:highlight w:val="none"/>
          <w14:textFill>
            <w14:solidFill>
              <w14:schemeClr w14:val="tx1"/>
            </w14:solidFill>
          </w14:textFill>
        </w:rPr>
      </w:pPr>
      <w:bookmarkStart w:id="275" w:name="5.1.4施工期固体废物环境影响分析"/>
      <w:bookmarkEnd w:id="275"/>
      <w:r>
        <w:rPr>
          <w:color w:val="000000" w:themeColor="text1"/>
          <w:highlight w:val="none"/>
          <w14:textFill>
            <w14:solidFill>
              <w14:schemeClr w14:val="tx1"/>
            </w14:solidFill>
          </w14:textFill>
        </w:rPr>
        <w:t>土壤环境影响分析</w:t>
      </w:r>
    </w:p>
    <w:p>
      <w:pPr>
        <w:pStyle w:val="27"/>
        <w:ind w:firstLine="482"/>
        <w:rPr>
          <w:rFonts w:ascii="Times New Roman" w:hAnsi="Times New Roman"/>
          <w:b/>
          <w:color w:val="000000" w:themeColor="text1"/>
          <w:szCs w:val="24"/>
          <w:highlight w:val="none"/>
          <w14:textFill>
            <w14:solidFill>
              <w14:schemeClr w14:val="tx1"/>
            </w14:solidFill>
          </w14:textFill>
        </w:rPr>
      </w:pPr>
      <w:r>
        <w:rPr>
          <w:rFonts w:ascii="Times New Roman" w:hAnsi="Times New Roman"/>
          <w:b/>
          <w:color w:val="000000" w:themeColor="text1"/>
          <w:szCs w:val="24"/>
          <w:highlight w:val="none"/>
          <w14:textFill>
            <w14:solidFill>
              <w14:schemeClr w14:val="tx1"/>
            </w14:solidFill>
          </w14:textFill>
        </w:rPr>
        <w:t>（1）土壤环境影响分析</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1）大气污染途径</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天然气开发过程中主要的大气污染物有甲烷、</w:t>
      </w:r>
      <w:r>
        <w:rPr>
          <w:rFonts w:hint="eastAsia" w:ascii="Times New Roman" w:hAnsi="Times New Roman"/>
          <w:bCs/>
          <w:color w:val="000000" w:themeColor="text1"/>
          <w:szCs w:val="24"/>
          <w:highlight w:val="none"/>
          <w:lang w:val="en-US" w:eastAsia="zh-CN"/>
          <w14:textFill>
            <w14:solidFill>
              <w14:schemeClr w14:val="tx1"/>
            </w14:solidFill>
          </w14:textFill>
        </w:rPr>
        <w:t>H</w:t>
      </w:r>
      <w:r>
        <w:rPr>
          <w:rFonts w:hint="eastAsia" w:ascii="Times New Roman" w:hAnsi="Times New Roman"/>
          <w:bCs/>
          <w:color w:val="000000" w:themeColor="text1"/>
          <w:szCs w:val="24"/>
          <w:highlight w:val="none"/>
          <w:vertAlign w:val="subscript"/>
          <w:lang w:val="en-US" w:eastAsia="zh-CN"/>
          <w14:textFill>
            <w14:solidFill>
              <w14:schemeClr w14:val="tx1"/>
            </w14:solidFill>
          </w14:textFill>
        </w:rPr>
        <w:t>2</w:t>
      </w:r>
      <w:r>
        <w:rPr>
          <w:rFonts w:hint="eastAsia" w:ascii="Times New Roman" w:hAnsi="Times New Roman"/>
          <w:bCs/>
          <w:color w:val="000000" w:themeColor="text1"/>
          <w:szCs w:val="24"/>
          <w:highlight w:val="none"/>
          <w:lang w:val="en-US" w:eastAsia="zh-CN"/>
          <w14:textFill>
            <w14:solidFill>
              <w14:schemeClr w14:val="tx1"/>
            </w14:solidFill>
          </w14:textFill>
        </w:rPr>
        <w:t>S、</w:t>
      </w:r>
      <w:r>
        <w:rPr>
          <w:rFonts w:ascii="Times New Roman" w:hAnsi="Times New Roman"/>
          <w:bCs/>
          <w:color w:val="000000" w:themeColor="text1"/>
          <w:szCs w:val="24"/>
          <w:highlight w:val="none"/>
          <w14:textFill>
            <w14:solidFill>
              <w14:schemeClr w14:val="tx1"/>
            </w14:solidFill>
          </w14:textFill>
        </w:rPr>
        <w:t>SO</w:t>
      </w:r>
      <w:r>
        <w:rPr>
          <w:rFonts w:ascii="Times New Roman" w:hAnsi="Times New Roman"/>
          <w:bCs/>
          <w:color w:val="000000" w:themeColor="text1"/>
          <w:szCs w:val="24"/>
          <w:highlight w:val="none"/>
          <w:vertAlign w:val="subscript"/>
          <w14:textFill>
            <w14:solidFill>
              <w14:schemeClr w14:val="tx1"/>
            </w14:solidFill>
          </w14:textFill>
        </w:rPr>
        <w:t>2</w:t>
      </w:r>
      <w:r>
        <w:rPr>
          <w:rFonts w:ascii="Times New Roman" w:hAnsi="Times New Roman"/>
          <w:bCs/>
          <w:color w:val="000000" w:themeColor="text1"/>
          <w:szCs w:val="24"/>
          <w:highlight w:val="none"/>
          <w14:textFill>
            <w14:solidFill>
              <w14:schemeClr w14:val="tx1"/>
            </w14:solidFill>
          </w14:textFill>
        </w:rPr>
        <w:t>、NOx、CO、颗粒物及挥发性有机物等，主要来源于场地施工机械、柴油发电机等。大气污染物通过降雨或沉降进入土壤，从而引起土壤污染。</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根据对</w:t>
      </w:r>
      <w:r>
        <w:rPr>
          <w:rFonts w:hint="eastAsia" w:ascii="Times New Roman" w:hAnsi="Times New Roman"/>
          <w:bCs/>
          <w:color w:val="000000" w:themeColor="text1"/>
          <w:szCs w:val="24"/>
          <w:highlight w:val="none"/>
          <w14:textFill>
            <w14:solidFill>
              <w14:schemeClr w14:val="tx1"/>
            </w14:solidFill>
          </w14:textFill>
        </w:rPr>
        <w:t>周边</w:t>
      </w:r>
      <w:r>
        <w:rPr>
          <w:rFonts w:ascii="Times New Roman" w:hAnsi="Times New Roman"/>
          <w:bCs/>
          <w:color w:val="000000" w:themeColor="text1"/>
          <w:szCs w:val="24"/>
          <w:highlight w:val="none"/>
          <w14:textFill>
            <w14:solidFill>
              <w14:schemeClr w14:val="tx1"/>
            </w14:solidFill>
          </w14:textFill>
        </w:rPr>
        <w:t>已建天然气项目的调查，通过施工单位严格施工管理，天然气开发过程中周边大气中一般不会出现重金属、挥发性有机物以及SO</w:t>
      </w:r>
      <w:r>
        <w:rPr>
          <w:rFonts w:ascii="Times New Roman" w:hAnsi="Times New Roman"/>
          <w:bCs/>
          <w:color w:val="000000" w:themeColor="text1"/>
          <w:szCs w:val="24"/>
          <w:highlight w:val="none"/>
          <w:vertAlign w:val="subscript"/>
          <w14:textFill>
            <w14:solidFill>
              <w14:schemeClr w14:val="tx1"/>
            </w14:solidFill>
          </w14:textFill>
        </w:rPr>
        <w:t>2</w:t>
      </w:r>
      <w:r>
        <w:rPr>
          <w:rFonts w:ascii="Times New Roman" w:hAnsi="Times New Roman"/>
          <w:bCs/>
          <w:color w:val="000000" w:themeColor="text1"/>
          <w:szCs w:val="24"/>
          <w:highlight w:val="none"/>
          <w14:textFill>
            <w14:solidFill>
              <w14:schemeClr w14:val="tx1"/>
            </w14:solidFill>
          </w14:textFill>
        </w:rPr>
        <w:t>等酸性氧化物超标的情况，通过大气污染土壤的可能性较小。</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2）水污染途径</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本项目井场建设期污染物主要通过地面漫流、垂直入渗途径污染土壤。</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hint="eastAsia" w:hAnsi="宋体" w:cs="宋体"/>
          <w:bCs/>
          <w:color w:val="000000" w:themeColor="text1"/>
          <w:szCs w:val="24"/>
          <w:highlight w:val="none"/>
          <w14:textFill>
            <w14:solidFill>
              <w14:schemeClr w14:val="tx1"/>
            </w14:solidFill>
          </w14:textFill>
        </w:rPr>
        <w:t>①</w:t>
      </w:r>
      <w:r>
        <w:rPr>
          <w:rFonts w:ascii="Times New Roman" w:hAnsi="Times New Roman"/>
          <w:bCs/>
          <w:color w:val="000000" w:themeColor="text1"/>
          <w:szCs w:val="24"/>
          <w:highlight w:val="none"/>
          <w14:textFill>
            <w14:solidFill>
              <w14:schemeClr w14:val="tx1"/>
            </w14:solidFill>
          </w14:textFill>
        </w:rPr>
        <w:t>地面漫流</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对于泥浆不落地装置区及泥浆循环系统、泥浆料台区、储备罐区、油罐区、柴油机组区、放喷池等区域，在事故情况和降雨情况下产生的废水</w:t>
      </w:r>
      <w:r>
        <w:rPr>
          <w:rFonts w:hint="eastAsia" w:ascii="Times New Roman" w:hAnsi="Times New Roman"/>
          <w:bCs/>
          <w:color w:val="000000" w:themeColor="text1"/>
          <w:szCs w:val="24"/>
          <w:highlight w:val="none"/>
          <w14:textFill>
            <w14:solidFill>
              <w14:schemeClr w14:val="tx1"/>
            </w14:solidFill>
          </w14:textFill>
        </w:rPr>
        <w:t>及油类物质</w:t>
      </w:r>
      <w:r>
        <w:rPr>
          <w:rFonts w:ascii="Times New Roman" w:hAnsi="Times New Roman"/>
          <w:bCs/>
          <w:color w:val="000000" w:themeColor="text1"/>
          <w:szCs w:val="24"/>
          <w:highlight w:val="none"/>
          <w14:textFill>
            <w14:solidFill>
              <w14:schemeClr w14:val="tx1"/>
            </w14:solidFill>
          </w14:textFill>
        </w:rPr>
        <w:t>会发生地面漫流，进一步污染土壤。</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建设单位对泥浆不落地装置区及泥浆循环系统、泥浆料台区、储备罐区、油罐区、柴油机组区均设置了防雨棚，废油暂存区、发电机均设在活动房内，方井周边、放喷池在雨天加盖篷布，避免暴雨引起废水、废油外溢形成地面漫流。并在废水收集罐周围设置0.</w:t>
      </w:r>
      <w:r>
        <w:rPr>
          <w:rFonts w:hint="eastAsia" w:ascii="Times New Roman" w:hAnsi="Times New Roman"/>
          <w:bCs/>
          <w:color w:val="000000" w:themeColor="text1"/>
          <w:szCs w:val="24"/>
          <w:highlight w:val="none"/>
          <w14:textFill>
            <w14:solidFill>
              <w14:schemeClr w14:val="tx1"/>
            </w14:solidFill>
          </w14:textFill>
        </w:rPr>
        <w:t>3</w:t>
      </w:r>
      <w:r>
        <w:rPr>
          <w:rFonts w:ascii="Times New Roman" w:hAnsi="Times New Roman"/>
          <w:bCs/>
          <w:color w:val="000000" w:themeColor="text1"/>
          <w:szCs w:val="24"/>
          <w:highlight w:val="none"/>
          <w14:textFill>
            <w14:solidFill>
              <w14:schemeClr w14:val="tx1"/>
            </w14:solidFill>
          </w14:textFill>
        </w:rPr>
        <w:t>m高围堰，防止废水外溢；油罐区周围设置0.</w:t>
      </w:r>
      <w:r>
        <w:rPr>
          <w:rFonts w:hint="eastAsia" w:ascii="Times New Roman" w:hAnsi="Times New Roman"/>
          <w:bCs/>
          <w:color w:val="000000" w:themeColor="text1"/>
          <w:szCs w:val="24"/>
          <w:highlight w:val="none"/>
          <w14:textFill>
            <w14:solidFill>
              <w14:schemeClr w14:val="tx1"/>
            </w14:solidFill>
          </w14:textFill>
        </w:rPr>
        <w:t>3</w:t>
      </w:r>
      <w:r>
        <w:rPr>
          <w:rFonts w:ascii="Times New Roman" w:hAnsi="Times New Roman"/>
          <w:bCs/>
          <w:color w:val="000000" w:themeColor="text1"/>
          <w:szCs w:val="24"/>
          <w:highlight w:val="none"/>
          <w14:textFill>
            <w14:solidFill>
              <w14:schemeClr w14:val="tx1"/>
            </w14:solidFill>
          </w14:textFill>
        </w:rPr>
        <w:t>m高围堰及集油池，防止</w:t>
      </w:r>
      <w:r>
        <w:rPr>
          <w:rFonts w:hint="eastAsia" w:ascii="Times New Roman" w:hAnsi="Times New Roman"/>
          <w:bCs/>
          <w:color w:val="000000" w:themeColor="text1"/>
          <w:szCs w:val="24"/>
          <w:highlight w:val="none"/>
          <w14:textFill>
            <w14:solidFill>
              <w14:schemeClr w14:val="tx1"/>
            </w14:solidFill>
          </w14:textFill>
        </w:rPr>
        <w:t>泄漏</w:t>
      </w:r>
      <w:r>
        <w:rPr>
          <w:rFonts w:ascii="Times New Roman" w:hAnsi="Times New Roman"/>
          <w:bCs/>
          <w:color w:val="000000" w:themeColor="text1"/>
          <w:szCs w:val="24"/>
          <w:highlight w:val="none"/>
          <w14:textFill>
            <w14:solidFill>
              <w14:schemeClr w14:val="tx1"/>
            </w14:solidFill>
          </w14:textFill>
        </w:rPr>
        <w:t>油料外溢；放喷池最低面墙设置不低于0.5m，避免雨水进入；井口作业区周边设置导流沟，将可能泄露的废水导流至集污坑；井场四周设置双环沟，外环沟与自然沟渠连接，便于导排场地外雨水等，内环沟用于收集井场内的雨水和可能产生的污水，汇入集污坑。通过以上措施全面防控事故废水和可能受污染的雨水发生地面漫流，进入土壤。</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在全面落实污染防控措施的情况下，污染物的地面漫流对土壤影响较小。</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hint="eastAsia" w:hAnsi="宋体" w:cs="宋体"/>
          <w:bCs/>
          <w:color w:val="000000" w:themeColor="text1"/>
          <w:szCs w:val="24"/>
          <w:highlight w:val="none"/>
          <w14:textFill>
            <w14:solidFill>
              <w14:schemeClr w14:val="tx1"/>
            </w14:solidFill>
          </w14:textFill>
        </w:rPr>
        <w:t>②</w:t>
      </w:r>
      <w:r>
        <w:rPr>
          <w:rFonts w:ascii="Times New Roman" w:hAnsi="Times New Roman"/>
          <w:bCs/>
          <w:color w:val="000000" w:themeColor="text1"/>
          <w:szCs w:val="24"/>
          <w:highlight w:val="none"/>
          <w14:textFill>
            <w14:solidFill>
              <w14:schemeClr w14:val="tx1"/>
            </w14:solidFill>
          </w14:textFill>
        </w:rPr>
        <w:t>垂直入渗</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对于泥浆不落地装置区及泥浆循环系统、泥浆料台区、储备罐区、油罐区、放喷池、方井周边、</w:t>
      </w:r>
      <w:r>
        <w:rPr>
          <w:rFonts w:ascii="Times New Roman" w:hAnsi="Times New Roman"/>
          <w:color w:val="000000" w:themeColor="text1"/>
          <w:szCs w:val="24"/>
          <w:highlight w:val="none"/>
          <w14:textFill>
            <w14:solidFill>
              <w14:schemeClr w14:val="tx1"/>
            </w14:solidFill>
          </w14:textFill>
        </w:rPr>
        <w:t>钻井固废暂存区</w:t>
      </w:r>
      <w:r>
        <w:rPr>
          <w:rFonts w:ascii="Times New Roman" w:hAnsi="Times New Roman"/>
          <w:bCs/>
          <w:color w:val="000000" w:themeColor="text1"/>
          <w:szCs w:val="24"/>
          <w:highlight w:val="none"/>
          <w14:textFill>
            <w14:solidFill>
              <w14:schemeClr w14:val="tx1"/>
            </w14:solidFill>
          </w14:textFill>
        </w:rPr>
        <w:t>、发电机房、柴油机组区等区域，在事故情况下会造成污染物的泄露，通过垂直入渗途径污染土壤。</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本项目井场采取分区防渗措施，</w:t>
      </w:r>
      <w:r>
        <w:rPr>
          <w:rFonts w:hint="eastAsia" w:ascii="Times New Roman" w:hAnsi="Times New Roman"/>
          <w:bCs/>
          <w:color w:val="000000" w:themeColor="text1"/>
          <w:szCs w:val="24"/>
          <w:highlight w:val="none"/>
          <w14:textFill>
            <w14:solidFill>
              <w14:schemeClr w14:val="tx1"/>
            </w14:solidFill>
          </w14:textFill>
        </w:rPr>
        <w:t>场地内</w:t>
      </w:r>
      <w:r>
        <w:rPr>
          <w:rFonts w:ascii="Times New Roman" w:hAnsi="Times New Roman"/>
          <w:color w:val="000000" w:themeColor="text1"/>
          <w:szCs w:val="24"/>
          <w:highlight w:val="none"/>
          <w14:textFill>
            <w14:solidFill>
              <w14:schemeClr w14:val="tx1"/>
            </w14:solidFill>
          </w14:textFill>
        </w:rPr>
        <w:t>方井、泥浆循环系统区域、泥浆不落地系统区域（含油桶堆放区）、泥浆储备罐区、循环罐区、柴油罐区、放喷池、危险废物暂存场所等采取重点防渗措施；井架基础、发电机房、钻井固废暂存区、气源房、材料棚、雨、污分流区域以及厕所等区域采取一般防渗措施；其他区域等采取简单防渗措施</w:t>
      </w:r>
      <w:r>
        <w:rPr>
          <w:rFonts w:ascii="Times New Roman" w:hAnsi="Times New Roman"/>
          <w:bCs/>
          <w:color w:val="000000" w:themeColor="text1"/>
          <w:szCs w:val="24"/>
          <w:highlight w:val="none"/>
          <w14:textFill>
            <w14:solidFill>
              <w14:schemeClr w14:val="tx1"/>
            </w14:solidFill>
          </w14:textFill>
        </w:rPr>
        <w:t>。在全面落实分区防渗措施的情况下，污染物的垂直入渗对土壤影响较小。</w:t>
      </w:r>
    </w:p>
    <w:p>
      <w:pPr>
        <w:pStyle w:val="27"/>
        <w:ind w:firstLine="480"/>
        <w:rPr>
          <w:rFonts w:ascii="Times New Roman" w:hAnsi="Times New Roman"/>
          <w:color w:val="000000" w:themeColor="text1"/>
          <w:szCs w:val="24"/>
          <w:highlight w:val="none"/>
          <w14:textFill>
            <w14:solidFill>
              <w14:schemeClr w14:val="tx1"/>
            </w14:solidFill>
          </w14:textFill>
        </w:rPr>
      </w:pPr>
      <w:r>
        <w:rPr>
          <w:rFonts w:hint="eastAsia" w:hAnsi="宋体" w:cs="宋体"/>
          <w:color w:val="000000" w:themeColor="text1"/>
          <w:szCs w:val="24"/>
          <w:highlight w:val="none"/>
          <w14:textFill>
            <w14:solidFill>
              <w14:schemeClr w14:val="tx1"/>
            </w14:solidFill>
          </w14:textFill>
        </w:rPr>
        <w:t>③</w:t>
      </w:r>
      <w:r>
        <w:rPr>
          <w:rFonts w:ascii="Times New Roman" w:hAnsi="Times New Roman"/>
          <w:color w:val="000000" w:themeColor="text1"/>
          <w:szCs w:val="24"/>
          <w:highlight w:val="none"/>
          <w14:textFill>
            <w14:solidFill>
              <w14:schemeClr w14:val="tx1"/>
            </w14:solidFill>
          </w14:textFill>
        </w:rPr>
        <w:t>钻井液漏失进入土壤</w:t>
      </w:r>
    </w:p>
    <w:p>
      <w:pPr>
        <w:pStyle w:val="27"/>
        <w:ind w:firstLine="480"/>
        <w:rPr>
          <w:rFonts w:ascii="Times New Roman" w:hAnsi="Times New Roman"/>
          <w:b/>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钻井选用全井段套管保护+水泥固井工艺，本项目仅采用套管和水泥固井防止地下水污染，并在设计中做好及时堵漏准备，防止泥浆流失进入地下水或土壤环境。因此在采取措施后，钻井液漏失进入土壤环境可能性很小。</w:t>
      </w:r>
    </w:p>
    <w:p>
      <w:pPr>
        <w:pStyle w:val="27"/>
        <w:ind w:firstLine="482"/>
        <w:rPr>
          <w:rFonts w:ascii="Times New Roman" w:hAnsi="Times New Roman"/>
          <w:b/>
          <w:color w:val="000000" w:themeColor="text1"/>
          <w:szCs w:val="24"/>
          <w:highlight w:val="none"/>
          <w14:textFill>
            <w14:solidFill>
              <w14:schemeClr w14:val="tx1"/>
            </w14:solidFill>
          </w14:textFill>
        </w:rPr>
      </w:pPr>
      <w:r>
        <w:rPr>
          <w:rFonts w:ascii="Times New Roman" w:hAnsi="Times New Roman"/>
          <w:b/>
          <w:color w:val="000000" w:themeColor="text1"/>
          <w:szCs w:val="24"/>
          <w:highlight w:val="none"/>
          <w14:textFill>
            <w14:solidFill>
              <w14:schemeClr w14:val="tx1"/>
            </w14:solidFill>
          </w14:textFill>
        </w:rPr>
        <w:t>（2）土壤环境影响预测与评价</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本项目新增占地进行建设，项目施工期时间短、工程量小，施工占地范围小，对土壤环境的扰动范围很小。本次土壤环境影响评价采用</w:t>
      </w:r>
      <w:r>
        <w:rPr>
          <w:rFonts w:hint="eastAsia" w:ascii="Times New Roman" w:hAnsi="Times New Roman"/>
          <w:color w:val="000000" w:themeColor="text1"/>
          <w:szCs w:val="24"/>
          <w:highlight w:val="none"/>
          <w:lang w:val="en-US" w:eastAsia="zh-CN"/>
          <w14:textFill>
            <w14:solidFill>
              <w14:schemeClr w14:val="tx1"/>
            </w14:solidFill>
          </w14:textFill>
        </w:rPr>
        <w:t>本项目井场旁已建设</w:t>
      </w:r>
      <w:r>
        <w:rPr>
          <w:rFonts w:hint="eastAsia" w:ascii="Times New Roman" w:hAnsi="Times New Roman"/>
          <w:color w:val="000000" w:themeColor="text1"/>
          <w:szCs w:val="24"/>
          <w:highlight w:val="none"/>
          <w14:textFill>
            <w14:solidFill>
              <w14:schemeClr w14:val="tx1"/>
            </w14:solidFill>
          </w14:textFill>
        </w:rPr>
        <w:t>的</w:t>
      </w:r>
      <w:r>
        <w:rPr>
          <w:rFonts w:hint="eastAsia" w:ascii="Times New Roman" w:hAnsi="Times New Roman"/>
          <w:color w:val="000000" w:themeColor="text1"/>
          <w:szCs w:val="24"/>
          <w:highlight w:val="none"/>
          <w:lang w:val="en-US" w:eastAsia="zh-CN"/>
          <w14:textFill>
            <w14:solidFill>
              <w14:schemeClr w14:val="tx1"/>
            </w14:solidFill>
          </w14:textFill>
        </w:rPr>
        <w:t>大湾408试采站的竣工环保验收</w:t>
      </w:r>
      <w:r>
        <w:rPr>
          <w:rFonts w:ascii="Times New Roman" w:hAnsi="Times New Roman"/>
          <w:color w:val="000000" w:themeColor="text1"/>
          <w:szCs w:val="24"/>
          <w:highlight w:val="none"/>
          <w14:textFill>
            <w14:solidFill>
              <w14:schemeClr w14:val="tx1"/>
            </w14:solidFill>
          </w14:textFill>
        </w:rPr>
        <w:t>监测数据进行分析（</w:t>
      </w:r>
      <w:r>
        <w:rPr>
          <w:rFonts w:hint="eastAsia" w:ascii="Times New Roman" w:hAnsi="Times New Roman"/>
          <w:color w:val="000000" w:themeColor="text1"/>
          <w:szCs w:val="24"/>
          <w:highlight w:val="none"/>
          <w:lang w:val="en-US" w:eastAsia="zh-CN"/>
          <w14:textFill>
            <w14:solidFill>
              <w14:schemeClr w14:val="tx1"/>
            </w14:solidFill>
          </w14:textFill>
        </w:rPr>
        <w:t>大湾408试采站</w:t>
      </w:r>
      <w:r>
        <w:rPr>
          <w:rFonts w:ascii="Times New Roman" w:hAnsi="Times New Roman"/>
          <w:color w:val="000000" w:themeColor="text1"/>
          <w:szCs w:val="24"/>
          <w:highlight w:val="none"/>
          <w14:textFill>
            <w14:solidFill>
              <w14:schemeClr w14:val="tx1"/>
            </w14:solidFill>
          </w14:textFill>
        </w:rPr>
        <w:t>涉及施工钻井期与运营采气期，因此具有可比性）。</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根据</w:t>
      </w:r>
      <w:r>
        <w:rPr>
          <w:rFonts w:hint="eastAsia" w:ascii="Times New Roman" w:hAnsi="Times New Roman"/>
          <w:color w:val="000000" w:themeColor="text1"/>
          <w:szCs w:val="24"/>
          <w:highlight w:val="none"/>
          <w14:textFill>
            <w14:solidFill>
              <w14:schemeClr w14:val="tx1"/>
            </w14:solidFill>
          </w14:textFill>
        </w:rPr>
        <w:t>《</w:t>
      </w:r>
      <w:r>
        <w:rPr>
          <w:rFonts w:hint="eastAsia" w:ascii="Times New Roman" w:hAnsi="Times New Roman"/>
          <w:color w:val="000000" w:themeColor="text1"/>
          <w:szCs w:val="24"/>
          <w:highlight w:val="none"/>
          <w:lang w:val="en-US" w:eastAsia="zh-CN"/>
          <w14:textFill>
            <w14:solidFill>
              <w14:schemeClr w14:val="tx1"/>
            </w14:solidFill>
          </w14:textFill>
        </w:rPr>
        <w:t>大湾408</w:t>
      </w:r>
      <w:r>
        <w:rPr>
          <w:rFonts w:hint="eastAsia" w:ascii="Times New Roman" w:hAnsi="Times New Roman"/>
          <w:color w:val="000000" w:themeColor="text1"/>
          <w:szCs w:val="24"/>
          <w:highlight w:val="none"/>
          <w14:textFill>
            <w14:solidFill>
              <w14:schemeClr w14:val="tx1"/>
            </w14:solidFill>
          </w14:textFill>
        </w:rPr>
        <w:t>井台钻井及试采工程环评报告书》中对</w:t>
      </w:r>
      <w:r>
        <w:rPr>
          <w:rFonts w:hint="eastAsia" w:ascii="Times New Roman" w:hAnsi="Times New Roman"/>
          <w:color w:val="000000" w:themeColor="text1"/>
          <w:szCs w:val="24"/>
          <w:highlight w:val="none"/>
          <w:lang w:eastAsia="zh-CN"/>
          <w14:textFill>
            <w14:solidFill>
              <w14:schemeClr w14:val="tx1"/>
            </w14:solidFill>
          </w14:textFill>
        </w:rPr>
        <w:t>大湾408试采站</w:t>
      </w:r>
      <w:r>
        <w:rPr>
          <w:rFonts w:hint="eastAsia" w:ascii="Times New Roman" w:hAnsi="Times New Roman"/>
          <w:color w:val="000000" w:themeColor="text1"/>
          <w:szCs w:val="24"/>
          <w:highlight w:val="none"/>
          <w14:textFill>
            <w14:solidFill>
              <w14:schemeClr w14:val="tx1"/>
            </w14:solidFill>
          </w14:textFill>
        </w:rPr>
        <w:t>的</w:t>
      </w:r>
      <w:r>
        <w:rPr>
          <w:rFonts w:ascii="Times New Roman" w:hAnsi="Times New Roman"/>
          <w:color w:val="000000" w:themeColor="text1"/>
          <w:szCs w:val="24"/>
          <w:highlight w:val="none"/>
          <w14:textFill>
            <w14:solidFill>
              <w14:schemeClr w14:val="tx1"/>
            </w14:solidFill>
          </w14:textFill>
        </w:rPr>
        <w:t>土壤环境现状监测数据，</w:t>
      </w:r>
      <w:r>
        <w:rPr>
          <w:rFonts w:hint="eastAsia" w:ascii="Times New Roman" w:hAnsi="Times New Roman"/>
          <w:color w:val="000000" w:themeColor="text1"/>
          <w:szCs w:val="24"/>
          <w:highlight w:val="none"/>
          <w14:textFill>
            <w14:solidFill>
              <w14:schemeClr w14:val="tx1"/>
            </w14:solidFill>
          </w14:textFill>
        </w:rPr>
        <w:t>2</w:t>
      </w:r>
      <w:r>
        <w:rPr>
          <w:rFonts w:ascii="Times New Roman" w:hAnsi="Times New Roman"/>
          <w:color w:val="000000" w:themeColor="text1"/>
          <w:szCs w:val="24"/>
          <w:highlight w:val="none"/>
          <w14:textFill>
            <w14:solidFill>
              <w14:schemeClr w14:val="tx1"/>
            </w14:solidFill>
          </w14:textFill>
        </w:rPr>
        <w:t>02</w:t>
      </w:r>
      <w:r>
        <w:rPr>
          <w:rFonts w:hint="eastAsia" w:ascii="Times New Roman" w:hAnsi="Times New Roman"/>
          <w:color w:val="000000" w:themeColor="text1"/>
          <w:szCs w:val="24"/>
          <w:highlight w:val="none"/>
          <w:lang w:val="en-US" w:eastAsia="zh-CN"/>
          <w14:textFill>
            <w14:solidFill>
              <w14:schemeClr w14:val="tx1"/>
            </w14:solidFill>
          </w14:textFill>
        </w:rPr>
        <w:t>4</w:t>
      </w:r>
      <w:r>
        <w:rPr>
          <w:rFonts w:hint="eastAsia" w:ascii="Times New Roman" w:hAnsi="Times New Roman"/>
          <w:color w:val="000000" w:themeColor="text1"/>
          <w:szCs w:val="24"/>
          <w:highlight w:val="none"/>
          <w14:textFill>
            <w14:solidFill>
              <w14:schemeClr w14:val="tx1"/>
            </w14:solidFill>
          </w14:textFill>
        </w:rPr>
        <w:t>年</w:t>
      </w:r>
      <w:r>
        <w:rPr>
          <w:rFonts w:ascii="Times New Roman" w:hAnsi="Times New Roman"/>
          <w:color w:val="000000" w:themeColor="text1"/>
          <w:szCs w:val="24"/>
          <w:highlight w:val="none"/>
          <w14:textFill>
            <w14:solidFill>
              <w14:schemeClr w14:val="tx1"/>
            </w14:solidFill>
          </w14:textFill>
        </w:rPr>
        <w:t>在已钻井施工完成的</w:t>
      </w:r>
      <w:r>
        <w:rPr>
          <w:rFonts w:hint="eastAsia" w:ascii="Times New Roman" w:hAnsi="Times New Roman"/>
          <w:color w:val="000000" w:themeColor="text1"/>
          <w:szCs w:val="24"/>
          <w:highlight w:val="none"/>
          <w:lang w:eastAsia="zh-CN"/>
          <w14:textFill>
            <w14:solidFill>
              <w14:schemeClr w14:val="tx1"/>
            </w14:solidFill>
          </w14:textFill>
        </w:rPr>
        <w:t>大湾408试采站</w:t>
      </w:r>
      <w:r>
        <w:rPr>
          <w:rFonts w:ascii="Times New Roman" w:hAnsi="Times New Roman"/>
          <w:color w:val="000000" w:themeColor="text1"/>
          <w:szCs w:val="24"/>
          <w:highlight w:val="none"/>
          <w14:textFill>
            <w14:solidFill>
              <w14:schemeClr w14:val="tx1"/>
            </w14:solidFill>
          </w14:textFill>
        </w:rPr>
        <w:t>旁</w:t>
      </w:r>
      <w:r>
        <w:rPr>
          <w:rFonts w:hint="eastAsia" w:ascii="Times New Roman" w:hAnsi="Times New Roman"/>
          <w:color w:val="000000" w:themeColor="text1"/>
          <w:szCs w:val="24"/>
          <w:highlight w:val="none"/>
          <w:lang w:val="en-US" w:eastAsia="zh-CN"/>
          <w14:textFill>
            <w14:solidFill>
              <w14:schemeClr w14:val="tx1"/>
            </w14:solidFill>
          </w14:textFill>
        </w:rPr>
        <w:t>下游</w:t>
      </w:r>
      <w:r>
        <w:rPr>
          <w:rFonts w:ascii="Times New Roman" w:hAnsi="Times New Roman"/>
          <w:color w:val="000000" w:themeColor="text1"/>
          <w:szCs w:val="24"/>
          <w:highlight w:val="none"/>
          <w14:textFill>
            <w14:solidFill>
              <w14:schemeClr w14:val="tx1"/>
            </w14:solidFill>
          </w14:textFill>
        </w:rPr>
        <w:t>布设了</w:t>
      </w:r>
      <w:r>
        <w:rPr>
          <w:rFonts w:hint="eastAsia" w:ascii="Times New Roman" w:hAnsi="Times New Roman"/>
          <w:color w:val="000000" w:themeColor="text1"/>
          <w:szCs w:val="24"/>
          <w:highlight w:val="none"/>
          <w:lang w:val="en-US" w:eastAsia="zh-CN"/>
          <w14:textFill>
            <w14:solidFill>
              <w14:schemeClr w14:val="tx1"/>
            </w14:solidFill>
          </w14:textFill>
        </w:rPr>
        <w:t>2</w:t>
      </w:r>
      <w:r>
        <w:rPr>
          <w:rFonts w:ascii="Times New Roman" w:hAnsi="Times New Roman"/>
          <w:color w:val="000000" w:themeColor="text1"/>
          <w:szCs w:val="24"/>
          <w:highlight w:val="none"/>
          <w14:textFill>
            <w14:solidFill>
              <w14:schemeClr w14:val="tx1"/>
            </w14:solidFill>
          </w14:textFill>
        </w:rPr>
        <w:t>个土壤监测点，各监测指标均满足</w:t>
      </w:r>
      <w:r>
        <w:rPr>
          <w:rFonts w:ascii="Times New Roman" w:hAnsi="Times New Roman"/>
          <w:bCs/>
          <w:color w:val="000000" w:themeColor="text1"/>
          <w:szCs w:val="24"/>
          <w:highlight w:val="none"/>
          <w14:textFill>
            <w14:solidFill>
              <w14:schemeClr w14:val="tx1"/>
            </w14:solidFill>
          </w14:textFill>
        </w:rPr>
        <w:t>《土壤环境质量 建设用地土壤污染风险管控标准（试行）（GB36600—2018）》第二类用地筛选值和《土壤环境质量 农用地土壤污染风险管控标准（试行）（GB15618—2018）》中“其他”用地类型筛选值，特征因子石油烃满足参考的《土壤环境质量 建设用地土壤污染风险管控标准（试行）（GB36600—2018）》筛选值。由此可见，</w:t>
      </w:r>
      <w:r>
        <w:rPr>
          <w:rFonts w:hint="eastAsia" w:ascii="Times New Roman" w:hAnsi="Times New Roman"/>
          <w:color w:val="000000" w:themeColor="text1"/>
          <w:szCs w:val="24"/>
          <w:highlight w:val="none"/>
          <w:lang w:eastAsia="zh-CN"/>
          <w14:textFill>
            <w14:solidFill>
              <w14:schemeClr w14:val="tx1"/>
            </w14:solidFill>
          </w14:textFill>
        </w:rPr>
        <w:t>大湾408试采站</w:t>
      </w:r>
      <w:r>
        <w:rPr>
          <w:rFonts w:ascii="Times New Roman" w:hAnsi="Times New Roman"/>
          <w:color w:val="000000" w:themeColor="text1"/>
          <w:szCs w:val="24"/>
          <w:highlight w:val="none"/>
          <w14:textFill>
            <w14:solidFill>
              <w14:schemeClr w14:val="tx1"/>
            </w14:solidFill>
          </w14:textFill>
        </w:rPr>
        <w:t>（含钻井与采气期）的建设并未对土壤环境造成污染。</w:t>
      </w:r>
    </w:p>
    <w:p>
      <w:pPr>
        <w:pStyle w:val="203"/>
        <w:spacing w:before="120"/>
        <w:rPr>
          <w:color w:val="000000" w:themeColor="text1"/>
          <w:highlight w:val="none"/>
          <w14:textFill>
            <w14:solidFill>
              <w14:schemeClr w14:val="tx1"/>
            </w14:solidFill>
          </w14:textFill>
        </w:rPr>
      </w:pPr>
      <w:bookmarkStart w:id="276" w:name="_Ref2644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bookmarkEnd w:id="27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钻井工程对土壤影响类比分析一览表</w:t>
      </w:r>
    </w:p>
    <w:tbl>
      <w:tblPr>
        <w:tblStyle w:val="59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3"/>
        <w:gridCol w:w="2919"/>
        <w:gridCol w:w="3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7"/>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类比项目</w:t>
            </w:r>
          </w:p>
        </w:tc>
        <w:tc>
          <w:tcPr>
            <w:tcW w:w="1712" w:type="pct"/>
            <w:vAlign w:val="center"/>
          </w:tcPr>
          <w:p>
            <w:pPr>
              <w:pStyle w:val="297"/>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eastAsia="Times New Roman"/>
                <w:b/>
                <w:bCs/>
                <w:snapToGrid w:val="0"/>
                <w:color w:val="000000" w:themeColor="text1"/>
                <w:highlight w:val="none"/>
                <w14:textFill>
                  <w14:solidFill>
                    <w14:schemeClr w14:val="tx1"/>
                  </w14:solidFill>
                </w14:textFill>
                <w14:ligatures w14:val="standardContextual"/>
              </w:rPr>
              <w:t>本项目</w:t>
            </w:r>
          </w:p>
        </w:tc>
        <w:tc>
          <w:tcPr>
            <w:tcW w:w="2184" w:type="pct"/>
            <w:vAlign w:val="center"/>
          </w:tcPr>
          <w:p>
            <w:pPr>
              <w:pStyle w:val="297"/>
              <w:spacing w:line="240" w:lineRule="auto"/>
              <w:ind w:firstLine="0"/>
              <w:rPr>
                <w:rFonts w:eastAsia="Times New Roman"/>
                <w:b/>
                <w:bCs/>
                <w:snapToGrid w:val="0"/>
                <w:color w:val="000000" w:themeColor="text1"/>
                <w:highlight w:val="none"/>
                <w14:textFill>
                  <w14:solidFill>
                    <w14:schemeClr w14:val="tx1"/>
                  </w14:solidFill>
                </w14:textFill>
                <w14:ligatures w14:val="standardContextual"/>
              </w:rPr>
            </w:pPr>
            <w:r>
              <w:rPr>
                <w:rFonts w:hint="eastAsia"/>
                <w:b/>
                <w:bCs/>
                <w:color w:val="000000" w:themeColor="text1"/>
                <w:szCs w:val="24"/>
                <w:highlight w:val="none"/>
                <w:lang w:eastAsia="zh-CN"/>
                <w14:textFill>
                  <w14:solidFill>
                    <w14:schemeClr w14:val="tx1"/>
                  </w14:solidFill>
                </w14:textFill>
                <w14:ligatures w14:val="standardContextual"/>
              </w:rPr>
              <w:t>大湾408试采站</w:t>
            </w:r>
            <w:r>
              <w:rPr>
                <w:rFonts w:hint="eastAsia" w:ascii="宋体" w:hAnsi="宋体" w:eastAsia="Times New Roman" w:cs="宋体"/>
                <w:b/>
                <w:bCs/>
                <w:color w:val="000000" w:themeColor="text1"/>
                <w:szCs w:val="24"/>
                <w:highlight w:val="none"/>
                <w14:textFill>
                  <w14:solidFill>
                    <w14:schemeClr w14:val="tx1"/>
                  </w14:solidFill>
                </w14:textFill>
                <w14:ligatures w14:val="standardContextual"/>
              </w:rPr>
              <w:t>（含钻井与采气期</w:t>
            </w:r>
            <w:r>
              <w:rPr>
                <w:rFonts w:eastAsia="Times New Roman"/>
                <w:b/>
                <w:bCs/>
                <w:color w:val="000000" w:themeColor="text1"/>
                <w:szCs w:val="24"/>
                <w:highlight w:val="none"/>
                <w14:textFill>
                  <w14:solidFill>
                    <w14:schemeClr w14:val="tx1"/>
                  </w14:solidFill>
                </w14:textFill>
                <w14:ligatures w14:val="standardContextua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地理位置</w:t>
            </w:r>
          </w:p>
        </w:tc>
        <w:tc>
          <w:tcPr>
            <w:tcW w:w="171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宣汉县</w:t>
            </w:r>
          </w:p>
        </w:tc>
        <w:tc>
          <w:tcPr>
            <w:tcW w:w="218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宣汉县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项目建设内容</w:t>
            </w:r>
          </w:p>
        </w:tc>
        <w:tc>
          <w:tcPr>
            <w:tcW w:w="171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ascii="宋体" w:eastAsia="Times New Roman"/>
                <w:snapToGrid w:val="0"/>
                <w:color w:val="000000" w:themeColor="text1"/>
                <w:highlight w:val="none"/>
                <w14:textFill>
                  <w14:solidFill>
                    <w14:schemeClr w14:val="tx1"/>
                  </w14:solidFill>
                </w14:textFill>
                <w14:ligatures w14:val="standardContextual"/>
              </w:rPr>
              <w:t>钻采工艺采用常规钻井工艺，污染防治措施为川东北地区普遍措施</w:t>
            </w:r>
          </w:p>
        </w:tc>
        <w:tc>
          <w:tcPr>
            <w:tcW w:w="218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钻采工艺采用常规钻井工艺，污染防治措施为川</w:t>
            </w:r>
            <w:r>
              <w:rPr>
                <w:rFonts w:hint="eastAsia" w:ascii="宋体" w:eastAsia="Times New Roman"/>
                <w:snapToGrid w:val="0"/>
                <w:color w:val="000000" w:themeColor="text1"/>
                <w:highlight w:val="none"/>
                <w14:textFill>
                  <w14:solidFill>
                    <w14:schemeClr w14:val="tx1"/>
                  </w14:solidFill>
                </w14:textFill>
                <w14:ligatures w14:val="standardContextual"/>
              </w:rPr>
              <w:t>东北</w:t>
            </w:r>
            <w:r>
              <w:rPr>
                <w:rFonts w:hint="eastAsia" w:eastAsia="Times New Roman"/>
                <w:snapToGrid w:val="0"/>
                <w:color w:val="000000" w:themeColor="text1"/>
                <w:highlight w:val="none"/>
                <w14:textFill>
                  <w14:solidFill>
                    <w14:schemeClr w14:val="tx1"/>
                  </w14:solidFill>
                </w14:textFill>
                <w14:ligatures w14:val="standardContextual"/>
              </w:rPr>
              <w:t>地区普遍措施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所在地环境特征</w:t>
            </w:r>
          </w:p>
        </w:tc>
        <w:tc>
          <w:tcPr>
            <w:tcW w:w="171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eastAsia="Times New Roman"/>
                <w:snapToGrid w:val="0"/>
                <w:color w:val="000000" w:themeColor="text1"/>
                <w:highlight w:val="none"/>
                <w14:textFill>
                  <w14:solidFill>
                    <w14:schemeClr w14:val="tx1"/>
                  </w14:solidFill>
                </w14:textFill>
                <w14:ligatures w14:val="standardContextual"/>
              </w:rPr>
              <w:t>外环境为耕地和散居农户为主</w:t>
            </w:r>
          </w:p>
        </w:tc>
        <w:tc>
          <w:tcPr>
            <w:tcW w:w="218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外环境为耕地和散居农户为主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土壤环境影响</w:t>
            </w:r>
          </w:p>
        </w:tc>
        <w:tc>
          <w:tcPr>
            <w:tcW w:w="1712"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项目施工期对土壤环境的影响是很小的</w:t>
            </w:r>
          </w:p>
        </w:tc>
        <w:tc>
          <w:tcPr>
            <w:tcW w:w="2184" w:type="pct"/>
            <w:vAlign w:val="center"/>
          </w:tcPr>
          <w:p>
            <w:pPr>
              <w:pStyle w:val="297"/>
              <w:spacing w:line="240" w:lineRule="auto"/>
              <w:ind w:firstLine="0"/>
              <w:rPr>
                <w:rFonts w:eastAsia="Times New Roman"/>
                <w:snapToGrid w:val="0"/>
                <w:color w:val="000000" w:themeColor="text1"/>
                <w:highlight w:val="none"/>
                <w14:textFill>
                  <w14:solidFill>
                    <w14:schemeClr w14:val="tx1"/>
                  </w14:solidFill>
                </w14:textFill>
                <w14:ligatures w14:val="standardContextual"/>
              </w:rPr>
            </w:pPr>
            <w:r>
              <w:rPr>
                <w:rFonts w:hint="eastAsia" w:eastAsia="Times New Roman"/>
                <w:snapToGrid w:val="0"/>
                <w:color w:val="000000" w:themeColor="text1"/>
                <w:highlight w:val="none"/>
                <w14:textFill>
                  <w14:solidFill>
                    <w14:schemeClr w14:val="tx1"/>
                  </w14:solidFill>
                </w14:textFill>
                <w14:ligatures w14:val="standardContextual"/>
              </w:rPr>
              <w:t>本项目环境质量监测报告，该井场建设期未发生过土壤环境污染事故和土壤投诉，无超标、酸化或碱化现象</w:t>
            </w:r>
          </w:p>
        </w:tc>
      </w:tr>
    </w:tbl>
    <w:p>
      <w:pPr>
        <w:pStyle w:val="27"/>
        <w:spacing w:before="120" w:beforeLines="50"/>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highlight w:val="none"/>
          <w14:textFill>
            <w14:solidFill>
              <w14:schemeClr w14:val="tx1"/>
            </w14:solidFill>
          </w14:textFill>
        </w:rPr>
        <w:t>因此，根据项目对土壤环境影响途径分析和类比同类项目同类地区的建设经验，项目建设对土壤环境的影响很小，可接受。本</w:t>
      </w:r>
      <w:r>
        <w:rPr>
          <w:rFonts w:ascii="Times New Roman" w:hAnsi="Times New Roman"/>
          <w:color w:val="000000" w:themeColor="text1"/>
          <w:szCs w:val="24"/>
          <w:highlight w:val="none"/>
          <w14:textFill>
            <w14:solidFill>
              <w14:schemeClr w14:val="tx1"/>
            </w14:solidFill>
          </w14:textFill>
        </w:rPr>
        <w:t>项目除采取上述土壤污染防治措施外，还应将</w:t>
      </w:r>
      <w:r>
        <w:rPr>
          <w:rFonts w:ascii="Times New Roman" w:hAnsi="Times New Roman"/>
          <w:bCs/>
          <w:color w:val="000000" w:themeColor="text1"/>
          <w:szCs w:val="24"/>
          <w:highlight w:val="none"/>
          <w14:textFill>
            <w14:solidFill>
              <w14:schemeClr w14:val="tx1"/>
            </w14:solidFill>
          </w14:textFill>
        </w:rPr>
        <w:t>土壤污染防治措施和地下水污染防治、生态环境治理措施相结合，综合做好土壤环境、地下水环境和生态环境的保护；完钻后对钻井期临时占地进行污染治理后恢复，并进行生态修复，临时占地还耕前进行土壤监测，确保无污染后再用作农用地复耕。</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固体废物环境影响分析</w:t>
      </w:r>
    </w:p>
    <w:p>
      <w:pPr>
        <w:pStyle w:val="27"/>
        <w:ind w:firstLine="482"/>
        <w:rPr>
          <w:rFonts w:ascii="Times New Roman" w:hAnsi="Times New Roman"/>
          <w:b/>
          <w:bCs/>
          <w:color w:val="000000" w:themeColor="text1"/>
          <w:szCs w:val="24"/>
          <w:highlight w:val="none"/>
          <w14:textFill>
            <w14:solidFill>
              <w14:schemeClr w14:val="tx1"/>
            </w14:solidFill>
          </w14:textFill>
        </w:rPr>
      </w:pPr>
      <w:r>
        <w:rPr>
          <w:rFonts w:ascii="Times New Roman" w:hAnsi="Times New Roman"/>
          <w:b/>
          <w:bCs/>
          <w:color w:val="000000" w:themeColor="text1"/>
          <w:szCs w:val="24"/>
          <w:highlight w:val="none"/>
          <w14:textFill>
            <w14:solidFill>
              <w14:schemeClr w14:val="tx1"/>
            </w14:solidFill>
          </w14:textFill>
        </w:rPr>
        <w:t>（1）钻井固废</w:t>
      </w:r>
      <w:r>
        <w:rPr>
          <w:rFonts w:hint="eastAsia" w:ascii="Times New Roman" w:hAnsi="Times New Roman"/>
          <w:b/>
          <w:bCs/>
          <w:color w:val="000000" w:themeColor="text1"/>
          <w:szCs w:val="24"/>
          <w:highlight w:val="none"/>
          <w14:textFill>
            <w14:solidFill>
              <w14:schemeClr w14:val="tx1"/>
            </w14:solidFill>
          </w14:textFill>
        </w:rPr>
        <w:t>环境</w:t>
      </w:r>
      <w:r>
        <w:rPr>
          <w:rFonts w:ascii="Times New Roman" w:hAnsi="Times New Roman"/>
          <w:b/>
          <w:color w:val="000000" w:themeColor="text1"/>
          <w:szCs w:val="24"/>
          <w:highlight w:val="none"/>
          <w14:textFill>
            <w14:solidFill>
              <w14:schemeClr w14:val="tx1"/>
            </w14:solidFill>
          </w14:textFill>
        </w:rPr>
        <w:t>影响分析</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项目导管段使用清水</w:t>
      </w:r>
      <w:r>
        <w:rPr>
          <w:rFonts w:hint="eastAsia" w:ascii="Times New Roman" w:hAnsi="Times New Roman"/>
          <w:color w:val="000000" w:themeColor="text1"/>
          <w:szCs w:val="24"/>
          <w:highlight w:val="none"/>
          <w14:textFill>
            <w14:solidFill>
              <w14:schemeClr w14:val="tx1"/>
            </w14:solidFill>
          </w14:textFill>
        </w:rPr>
        <w:t>钻井液</w:t>
      </w:r>
      <w:r>
        <w:rPr>
          <w:rFonts w:ascii="Times New Roman" w:hAnsi="Times New Roman"/>
          <w:color w:val="000000" w:themeColor="text1"/>
          <w:szCs w:val="24"/>
          <w:highlight w:val="none"/>
          <w14:textFill>
            <w14:solidFill>
              <w14:schemeClr w14:val="tx1"/>
            </w14:solidFill>
          </w14:textFill>
        </w:rPr>
        <w:t>钻</w:t>
      </w:r>
      <w:r>
        <w:rPr>
          <w:rFonts w:hint="eastAsia" w:ascii="Times New Roman" w:hAnsi="Times New Roman"/>
          <w:color w:val="000000" w:themeColor="text1"/>
          <w:szCs w:val="24"/>
          <w:highlight w:val="none"/>
          <w14:textFill>
            <w14:solidFill>
              <w14:schemeClr w14:val="tx1"/>
            </w14:solidFill>
          </w14:textFill>
        </w:rPr>
        <w:t>井</w:t>
      </w:r>
      <w:r>
        <w:rPr>
          <w:rFonts w:ascii="Times New Roman" w:hAnsi="Times New Roman"/>
          <w:color w:val="000000" w:themeColor="text1"/>
          <w:szCs w:val="24"/>
          <w:highlight w:val="none"/>
          <w14:textFill>
            <w14:solidFill>
              <w14:schemeClr w14:val="tx1"/>
            </w14:solidFill>
          </w14:textFill>
        </w:rPr>
        <w:t>，</w:t>
      </w:r>
      <w:r>
        <w:rPr>
          <w:rFonts w:hint="eastAsia" w:ascii="Times New Roman" w:hAnsi="Times New Roman"/>
          <w:color w:val="000000" w:themeColor="text1"/>
          <w:szCs w:val="24"/>
          <w:highlight w:val="none"/>
          <w14:textFill>
            <w14:solidFill>
              <w14:schemeClr w14:val="tx1"/>
            </w14:solidFill>
          </w14:textFill>
        </w:rPr>
        <w:t>无废弃钻井泥浆产生，清水钻阶段主要产生</w:t>
      </w:r>
      <w:r>
        <w:rPr>
          <w:rFonts w:ascii="Times New Roman" w:hAnsi="Times New Roman"/>
          <w:color w:val="000000" w:themeColor="text1"/>
          <w:szCs w:val="24"/>
          <w:highlight w:val="none"/>
          <w14:textFill>
            <w14:solidFill>
              <w14:schemeClr w14:val="tx1"/>
            </w14:solidFill>
          </w14:textFill>
        </w:rPr>
        <w:t>清水钻岩屑产生量约</w:t>
      </w:r>
      <w:r>
        <w:rPr>
          <w:rFonts w:hint="eastAsia" w:ascii="Times New Roman" w:hAnsi="Times New Roman"/>
          <w:color w:val="000000" w:themeColor="text1"/>
          <w:szCs w:val="24"/>
          <w:highlight w:val="none"/>
          <w14:textFill>
            <w14:solidFill>
              <w14:schemeClr w14:val="tx1"/>
            </w14:solidFill>
          </w14:textFill>
        </w:rPr>
        <w:t>85.59m</w:t>
      </w:r>
      <w:r>
        <w:rPr>
          <w:rFonts w:ascii="Times New Roman" w:hAnsi="Times New Roman"/>
          <w:color w:val="000000" w:themeColor="text1"/>
          <w:szCs w:val="24"/>
          <w:highlight w:val="none"/>
          <w:vertAlign w:val="superscript"/>
          <w14:textFill>
            <w14:solidFill>
              <w14:schemeClr w14:val="tx1"/>
            </w14:solidFill>
          </w14:textFill>
        </w:rPr>
        <w:t>3</w:t>
      </w:r>
      <w:r>
        <w:rPr>
          <w:rFonts w:ascii="Times New Roman" w:hAnsi="Times New Roman"/>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及时就近交给依法取得生态环境部门关于利用和处置相关工业固体废物项目环评批复、具有处理处置相应固体废物能力并配套建设有废气、废水、固废等污染物治理设施的单位进行资源化利用</w:t>
      </w:r>
      <w:r>
        <w:rPr>
          <w:rFonts w:ascii="Times New Roman" w:hAnsi="Times New Roman"/>
          <w:color w:val="000000" w:themeColor="text1"/>
          <w:szCs w:val="24"/>
          <w:highlight w:val="none"/>
          <w14:textFill>
            <w14:solidFill>
              <w14:schemeClr w14:val="tx1"/>
            </w14:solidFill>
          </w14:textFill>
        </w:rPr>
        <w:t>。</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水基泥浆体系中不添加有毒有害重金属等物质，主要成分为水、无机盐、普通有机聚合物等无毒物质。水基钻井固废</w:t>
      </w:r>
      <w:r>
        <w:rPr>
          <w:rFonts w:hint="eastAsia" w:ascii="Times New Roman" w:hAnsi="Times New Roman"/>
          <w:color w:val="000000" w:themeColor="text1"/>
          <w:szCs w:val="24"/>
          <w:highlight w:val="none"/>
          <w14:textFill>
            <w14:solidFill>
              <w14:schemeClr w14:val="tx1"/>
            </w14:solidFill>
          </w14:textFill>
        </w:rPr>
        <w:t>（即废水基钻井泥浆、水基钻井岩屑）</w:t>
      </w:r>
      <w:r>
        <w:rPr>
          <w:rFonts w:ascii="Times New Roman" w:hAnsi="Times New Roman"/>
          <w:color w:val="000000" w:themeColor="text1"/>
          <w:szCs w:val="24"/>
          <w:highlight w:val="none"/>
          <w14:textFill>
            <w14:solidFill>
              <w14:schemeClr w14:val="tx1"/>
            </w14:solidFill>
          </w14:textFill>
        </w:rPr>
        <w:t>为经泥浆不落地工艺对钻井泥浆及岩屑等进行固液分离后产生的固相废渣，属于第Ⅱ类一般工业固体废物，按照</w:t>
      </w:r>
      <w:r>
        <w:rPr>
          <w:rFonts w:ascii="Times New Roman" w:hAnsi="Times New Roman"/>
          <w:bCs/>
          <w:color w:val="000000" w:themeColor="text1"/>
          <w:szCs w:val="24"/>
          <w:highlight w:val="none"/>
          <w14:textFill>
            <w14:solidFill>
              <w14:schemeClr w14:val="tx1"/>
            </w14:solidFill>
          </w14:textFill>
        </w:rPr>
        <w:t>《一般工业固体废物贮存和填埋污染控制标准》（GB18599-2020）</w:t>
      </w:r>
      <w:r>
        <w:rPr>
          <w:rFonts w:ascii="Times New Roman" w:hAnsi="Times New Roman"/>
          <w:color w:val="000000" w:themeColor="text1"/>
          <w:szCs w:val="24"/>
          <w:highlight w:val="none"/>
          <w14:textFill>
            <w14:solidFill>
              <w14:schemeClr w14:val="tx1"/>
            </w14:solidFill>
          </w14:textFill>
        </w:rPr>
        <w:t>中对第Ⅱ类一般工业固体废物的处置要求，本项目现场在泥浆不落地装置附近设置的钻井固废暂存区暂存钻井固废，防渗层渗透系数≤1.0×10</w:t>
      </w:r>
      <w:r>
        <w:rPr>
          <w:rFonts w:ascii="Times New Roman" w:hAnsi="Times New Roman"/>
          <w:color w:val="000000" w:themeColor="text1"/>
          <w:szCs w:val="24"/>
          <w:highlight w:val="none"/>
          <w:vertAlign w:val="superscript"/>
          <w14:textFill>
            <w14:solidFill>
              <w14:schemeClr w14:val="tx1"/>
            </w14:solidFill>
          </w14:textFill>
        </w:rPr>
        <w:t>-7</w:t>
      </w:r>
      <w:r>
        <w:rPr>
          <w:rFonts w:ascii="Times New Roman" w:hAnsi="Times New Roman"/>
          <w:color w:val="000000" w:themeColor="text1"/>
          <w:szCs w:val="24"/>
          <w:highlight w:val="none"/>
          <w14:textFill>
            <w14:solidFill>
              <w14:schemeClr w14:val="tx1"/>
            </w14:solidFill>
          </w14:textFill>
        </w:rPr>
        <w:t>cm/s，满足第Ⅱ类一般工业固体废物处置场防渗要求。本项目水基钻井固废总计产生量约</w:t>
      </w:r>
      <w:r>
        <w:rPr>
          <w:rFonts w:hint="eastAsia" w:ascii="Times New Roman" w:hAnsi="Times New Roman"/>
          <w:color w:val="000000" w:themeColor="text1"/>
          <w:szCs w:val="24"/>
          <w:highlight w:val="none"/>
          <w14:textFill>
            <w14:solidFill>
              <w14:schemeClr w14:val="tx1"/>
            </w14:solidFill>
          </w14:textFill>
        </w:rPr>
        <w:t>3816.95t</w:t>
      </w:r>
      <w:r>
        <w:rPr>
          <w:rFonts w:ascii="Times New Roman" w:hAnsi="Times New Roman"/>
          <w:color w:val="000000" w:themeColor="text1"/>
          <w:szCs w:val="24"/>
          <w:highlight w:val="none"/>
          <w14:textFill>
            <w14:solidFill>
              <w14:schemeClr w14:val="tx1"/>
            </w14:solidFill>
          </w14:textFill>
        </w:rPr>
        <w:t>，水基钻井固废在泥浆不落地装置附近设置钻井固废暂存区由废渣收集罐收集后临时暂存，定期用密闭罐车及时就近交给依法取得生态环境部门关于利用和处置相关工业固体废物项目环评批复、具有处理处置相应固体废物能力并配套建设有废气、废水、固废等污染物治理设施的单位进行资源化利用，不会对区域环境造成影响。</w:t>
      </w:r>
      <w:r>
        <w:rPr>
          <w:rFonts w:hint="eastAsia" w:ascii="Times New Roman" w:hAnsi="Times New Roman"/>
          <w:color w:val="000000" w:themeColor="text1"/>
          <w:szCs w:val="24"/>
          <w:highlight w:val="none"/>
          <w14:textFill>
            <w14:solidFill>
              <w14:schemeClr w14:val="tx1"/>
            </w14:solidFill>
          </w14:textFill>
        </w:rPr>
        <w:t>三开采用</w:t>
      </w:r>
      <w:r>
        <w:rPr>
          <w:rFonts w:hint="eastAsia" w:ascii="Times New Roman" w:hAnsi="Times New Roman"/>
          <w:color w:val="000000" w:themeColor="text1"/>
          <w:szCs w:val="24"/>
          <w:highlight w:val="none"/>
          <w:lang w:eastAsia="zh-CN"/>
          <w14:textFill>
            <w14:solidFill>
              <w14:schemeClr w14:val="tx1"/>
            </w14:solidFill>
          </w14:textFill>
        </w:rPr>
        <w:t>***</w:t>
      </w:r>
      <w:r>
        <w:rPr>
          <w:rFonts w:hint="eastAsia" w:ascii="Times New Roman" w:hAnsi="Times New Roman"/>
          <w:color w:val="000000" w:themeColor="text1"/>
          <w:szCs w:val="24"/>
          <w:highlight w:val="none"/>
          <w14:textFill>
            <w14:solidFill>
              <w14:schemeClr w14:val="tx1"/>
            </w14:solidFill>
          </w14:textFill>
        </w:rPr>
        <w:t>钻井液（若三开钻遇特地层，则采用油基钻井液）</w:t>
      </w:r>
      <w:r>
        <w:rPr>
          <w:rFonts w:ascii="Times New Roman" w:hAnsi="Times New Roman"/>
          <w:color w:val="000000" w:themeColor="text1"/>
          <w:szCs w:val="24"/>
          <w:highlight w:val="none"/>
          <w14:textFill>
            <w14:solidFill>
              <w14:schemeClr w14:val="tx1"/>
            </w14:solidFill>
          </w14:textFill>
        </w:rPr>
        <w:t>废泥浆、岩屑暂存于新建的60m</w:t>
      </w:r>
      <w:r>
        <w:rPr>
          <w:rFonts w:ascii="Times New Roman" w:hAnsi="Times New Roman"/>
          <w:color w:val="000000" w:themeColor="text1"/>
          <w:szCs w:val="24"/>
          <w:highlight w:val="none"/>
          <w:vertAlign w:val="superscript"/>
          <w14:textFill>
            <w14:solidFill>
              <w14:schemeClr w14:val="tx1"/>
            </w14:solidFill>
          </w14:textFill>
        </w:rPr>
        <w:t>2</w:t>
      </w:r>
      <w:r>
        <w:rPr>
          <w:rFonts w:ascii="Times New Roman" w:hAnsi="Times New Roman"/>
          <w:color w:val="000000" w:themeColor="text1"/>
          <w:szCs w:val="24"/>
          <w:highlight w:val="none"/>
          <w14:textFill>
            <w14:solidFill>
              <w14:schemeClr w14:val="tx1"/>
            </w14:solidFill>
          </w14:textFill>
        </w:rPr>
        <w:t>危险废物暂存场所（采取必要的防风、防晒、防雨、防漏、防渗、防腐以及其他环境污染防治措施，不得露天堆放危险废物），泥浆和油基钻井岩屑及时后交由有资质的单位处置，不会对区域环境造成影响。</w:t>
      </w:r>
    </w:p>
    <w:p>
      <w:pPr>
        <w:pStyle w:val="27"/>
        <w:ind w:firstLine="482"/>
        <w:rPr>
          <w:rFonts w:ascii="Times New Roman" w:hAnsi="Times New Roman"/>
          <w:b/>
          <w:bCs/>
          <w:color w:val="000000" w:themeColor="text1"/>
          <w:szCs w:val="24"/>
          <w:highlight w:val="none"/>
          <w14:textFill>
            <w14:solidFill>
              <w14:schemeClr w14:val="tx1"/>
            </w14:solidFill>
          </w14:textFill>
        </w:rPr>
      </w:pPr>
      <w:r>
        <w:rPr>
          <w:rFonts w:ascii="Times New Roman" w:hAnsi="Times New Roman"/>
          <w:b/>
          <w:bCs/>
          <w:color w:val="000000" w:themeColor="text1"/>
          <w:szCs w:val="24"/>
          <w:highlight w:val="none"/>
          <w14:textFill>
            <w14:solidFill>
              <w14:schemeClr w14:val="tx1"/>
            </w14:solidFill>
          </w14:textFill>
        </w:rPr>
        <w:t>（2）废油</w:t>
      </w:r>
      <w:r>
        <w:rPr>
          <w:rFonts w:hint="eastAsia" w:ascii="Times New Roman" w:hAnsi="Times New Roman"/>
          <w:b/>
          <w:bCs/>
          <w:color w:val="000000" w:themeColor="text1"/>
          <w:szCs w:val="24"/>
          <w:highlight w:val="none"/>
          <w14:textFill>
            <w14:solidFill>
              <w14:schemeClr w14:val="tx1"/>
            </w14:solidFill>
          </w14:textFill>
        </w:rPr>
        <w:t>、废含油抹布和手套</w:t>
      </w:r>
      <w:r>
        <w:rPr>
          <w:rFonts w:ascii="Times New Roman" w:hAnsi="Times New Roman"/>
          <w:b/>
          <w:color w:val="000000" w:themeColor="text1"/>
          <w:szCs w:val="24"/>
          <w:highlight w:val="none"/>
          <w14:textFill>
            <w14:solidFill>
              <w14:schemeClr w14:val="tx1"/>
            </w14:solidFill>
          </w14:textFill>
        </w:rPr>
        <w:t>影响分析</w:t>
      </w:r>
    </w:p>
    <w:p>
      <w:pPr>
        <w:pStyle w:val="27"/>
        <w:ind w:firstLine="480"/>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井场内设备保养润滑用油及跑冒滴漏产生的少量含油属于危险废物</w:t>
      </w:r>
      <w:r>
        <w:rPr>
          <w:rFonts w:hint="eastAsia" w:ascii="Times New Roman" w:hAnsi="Times New Roman"/>
          <w:color w:val="000000" w:themeColor="text1"/>
          <w:szCs w:val="24"/>
          <w:highlight w:val="none"/>
          <w14:textFill>
            <w14:solidFill>
              <w14:schemeClr w14:val="tx1"/>
            </w14:solidFill>
          </w14:textFill>
        </w:rPr>
        <w:t>（产</w:t>
      </w:r>
      <w:r>
        <w:rPr>
          <w:rFonts w:ascii="Times New Roman" w:hAnsi="Times New Roman"/>
          <w:color w:val="000000" w:themeColor="text1"/>
          <w:szCs w:val="24"/>
          <w:highlight w:val="none"/>
          <w14:textFill>
            <w14:solidFill>
              <w14:schemeClr w14:val="tx1"/>
            </w14:solidFill>
          </w14:textFill>
        </w:rPr>
        <w:t>物类别为HW08，废物代码900-214-08），按照</w:t>
      </w:r>
      <w:bookmarkStart w:id="277" w:name="_Hlk92724121"/>
      <w:r>
        <w:rPr>
          <w:rFonts w:ascii="Times New Roman" w:hAnsi="Times New Roman"/>
          <w:color w:val="000000" w:themeColor="text1"/>
          <w:szCs w:val="24"/>
          <w:highlight w:val="none"/>
          <w14:textFill>
            <w14:solidFill>
              <w14:schemeClr w14:val="tx1"/>
            </w14:solidFill>
          </w14:textFill>
        </w:rPr>
        <w:t>《危险废物贮存污染控制标准》（GB18597-2023）</w:t>
      </w:r>
      <w:bookmarkEnd w:id="277"/>
      <w:r>
        <w:rPr>
          <w:rFonts w:ascii="Times New Roman" w:hAnsi="Times New Roman"/>
          <w:color w:val="000000" w:themeColor="text1"/>
          <w:szCs w:val="24"/>
          <w:highlight w:val="none"/>
          <w14:textFill>
            <w14:solidFill>
              <w14:schemeClr w14:val="tx1"/>
            </w14:solidFill>
          </w14:textFill>
        </w:rPr>
        <w:t>和《废矿物油回收利用污染控制技术规范》（HJ607-2011）的相关规定要求，对产生的油类用废油桶集中收集，钻井队综合利用或交由有资质的单位处理，</w:t>
      </w:r>
      <w:r>
        <w:rPr>
          <w:rFonts w:ascii="Times New Roman" w:hAnsi="Times New Roman"/>
          <w:color w:val="000000" w:themeColor="text1"/>
          <w:highlight w:val="none"/>
          <w14:textFill>
            <w14:solidFill>
              <w14:schemeClr w14:val="tx1"/>
            </w14:solidFill>
          </w14:textFill>
        </w:rPr>
        <w:t>设置废油桶集中收集暂存于泥浆不落地装置区临时堆放区内，并做好</w:t>
      </w:r>
      <w:r>
        <w:rPr>
          <w:color w:val="000000" w:themeColor="text1"/>
          <w:highlight w:val="none"/>
          <w14:textFill>
            <w14:solidFill>
              <w14:schemeClr w14:val="tx1"/>
            </w14:solidFill>
          </w14:textFill>
        </w:rPr>
        <w:t>防风、防晒、防雨、防漏、防渗、防腐以及其他环境污染防治措施</w:t>
      </w:r>
      <w:r>
        <w:rPr>
          <w:rFonts w:ascii="Times New Roman" w:hAnsi="Times New Roman"/>
          <w:color w:val="000000" w:themeColor="text1"/>
          <w:highlight w:val="none"/>
          <w14:textFill>
            <w14:solidFill>
              <w14:schemeClr w14:val="tx1"/>
            </w14:solidFill>
          </w14:textFill>
        </w:rPr>
        <w:t>，暂存期间做好废油管理记录，通过</w:t>
      </w:r>
      <w:r>
        <w:rPr>
          <w:rFonts w:ascii="Times New Roman" w:hAnsi="Times New Roman"/>
          <w:color w:val="000000" w:themeColor="text1"/>
          <w:szCs w:val="24"/>
          <w:highlight w:val="none"/>
          <w14:textFill>
            <w14:solidFill>
              <w14:schemeClr w14:val="tx1"/>
            </w14:solidFill>
          </w14:textFill>
        </w:rPr>
        <w:t>后期</w:t>
      </w:r>
      <w:r>
        <w:rPr>
          <w:rFonts w:ascii="Times New Roman" w:hAnsi="Times New Roman"/>
          <w:color w:val="000000" w:themeColor="text1"/>
          <w:highlight w:val="none"/>
          <w14:textFill>
            <w14:solidFill>
              <w14:schemeClr w14:val="tx1"/>
            </w14:solidFill>
          </w14:textFill>
        </w:rPr>
        <w:t>擦拭站场设备、原料添加、放喷点火等方式回收综合利用，根据类比调查井站产生废油能在井站内全部综合利用。</w:t>
      </w:r>
      <w:r>
        <w:rPr>
          <w:rFonts w:hint="eastAsia" w:ascii="Times New Roman" w:hAnsi="Times New Roman"/>
          <w:color w:val="000000" w:themeColor="text1"/>
          <w:highlight w:val="none"/>
          <w14:textFill>
            <w14:solidFill>
              <w14:schemeClr w14:val="tx1"/>
            </w14:solidFill>
          </w14:textFill>
        </w:rPr>
        <w:t>废含油抹布和手套采用油桶收集后，</w:t>
      </w:r>
      <w:r>
        <w:rPr>
          <w:rFonts w:ascii="Times New Roman" w:hAnsi="Times New Roman"/>
          <w:color w:val="000000" w:themeColor="text1"/>
          <w:highlight w:val="none"/>
          <w14:textFill>
            <w14:solidFill>
              <w14:schemeClr w14:val="tx1"/>
            </w14:solidFill>
          </w14:textFill>
        </w:rPr>
        <w:t>暂存于泥浆不落地装置区临时堆放区内</w:t>
      </w:r>
      <w:r>
        <w:rPr>
          <w:rFonts w:hint="eastAsia" w:ascii="Times New Roman" w:hAnsi="Times New Roman"/>
          <w:color w:val="000000" w:themeColor="text1"/>
          <w:highlight w:val="none"/>
          <w14:textFill>
            <w14:solidFill>
              <w14:schemeClr w14:val="tx1"/>
            </w14:solidFill>
          </w14:textFill>
        </w:rPr>
        <w:t>，</w:t>
      </w:r>
      <w:r>
        <w:rPr>
          <w:rFonts w:ascii="Times New Roman" w:hAnsi="Times New Roman"/>
          <w:color w:val="000000" w:themeColor="text1"/>
          <w:highlight w:val="none"/>
          <w14:textFill>
            <w14:solidFill>
              <w14:schemeClr w14:val="tx1"/>
            </w14:solidFill>
          </w14:textFill>
        </w:rPr>
        <w:t>若因为个别特殊情况存在不能综合利用的废油，则和擦拭站场设备产生的</w:t>
      </w:r>
      <w:r>
        <w:rPr>
          <w:rFonts w:hint="eastAsia" w:ascii="Times New Roman" w:hAnsi="Times New Roman"/>
          <w:color w:val="000000" w:themeColor="text1"/>
          <w:highlight w:val="none"/>
          <w14:textFill>
            <w14:solidFill>
              <w14:schemeClr w14:val="tx1"/>
            </w14:solidFill>
          </w14:textFill>
        </w:rPr>
        <w:t>废含油抹布和手套</w:t>
      </w:r>
      <w:r>
        <w:rPr>
          <w:rFonts w:ascii="Times New Roman" w:hAnsi="Times New Roman"/>
          <w:color w:val="000000" w:themeColor="text1"/>
          <w:highlight w:val="none"/>
          <w14:textFill>
            <w14:solidFill>
              <w14:schemeClr w14:val="tx1"/>
            </w14:solidFill>
          </w14:textFill>
        </w:rPr>
        <w:t>其他含油固废交由有资质的单位处理</w:t>
      </w:r>
      <w:r>
        <w:rPr>
          <w:rFonts w:ascii="Times New Roman" w:hAnsi="Times New Roman"/>
          <w:color w:val="000000" w:themeColor="text1"/>
          <w:szCs w:val="24"/>
          <w:highlight w:val="none"/>
          <w14:textFill>
            <w14:solidFill>
              <w14:schemeClr w14:val="tx1"/>
            </w14:solidFill>
          </w14:textFill>
        </w:rPr>
        <w:t>，对周围环境的影响较小。</w:t>
      </w:r>
    </w:p>
    <w:p>
      <w:pPr>
        <w:pStyle w:val="27"/>
        <w:ind w:firstLine="482"/>
        <w:rPr>
          <w:rFonts w:ascii="Times New Roman" w:hAnsi="Times New Roman"/>
          <w:b/>
          <w:bCs/>
          <w:color w:val="000000" w:themeColor="text1"/>
          <w:szCs w:val="24"/>
          <w:highlight w:val="none"/>
          <w14:textFill>
            <w14:solidFill>
              <w14:schemeClr w14:val="tx1"/>
            </w14:solidFill>
          </w14:textFill>
        </w:rPr>
      </w:pPr>
      <w:r>
        <w:rPr>
          <w:rFonts w:ascii="Times New Roman" w:hAnsi="Times New Roman"/>
          <w:b/>
          <w:bCs/>
          <w:color w:val="000000" w:themeColor="text1"/>
          <w:szCs w:val="24"/>
          <w:highlight w:val="none"/>
          <w14:textFill>
            <w14:solidFill>
              <w14:schemeClr w14:val="tx1"/>
            </w14:solidFill>
          </w14:textFill>
        </w:rPr>
        <w:t>（3）生活垃圾</w:t>
      </w:r>
      <w:r>
        <w:rPr>
          <w:rFonts w:ascii="Times New Roman" w:hAnsi="Times New Roman"/>
          <w:b/>
          <w:color w:val="000000" w:themeColor="text1"/>
          <w:szCs w:val="24"/>
          <w:highlight w:val="none"/>
          <w14:textFill>
            <w14:solidFill>
              <w14:schemeClr w14:val="tx1"/>
            </w14:solidFill>
          </w14:textFill>
        </w:rPr>
        <w:t>影响分析</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生活垃圾可分为两类，如可降解的果皮、菜根、废纸、烟盒、剩饭菜等，不可降解的塑料制品、废金属、废电池等，这些垃圾分类堆放，定期交由环卫部门妥善处置。</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一般情况下，生活垃圾对环境影响不大，但在管理不严特别是大风天气时，轻质垃圾如废纸、塑料等随风移动，散乱在地或悬挂灌木，影响环境卫生；再者，遇到大雨时，如果垃圾没有堆放好，可能会被水冲走，影响周围土壤环境；若垃圾不能及时清运，则容易经风吹雨淋而腐烂变质，不但会影响周围环境的卫生和美观，而且产生的恶臭、淋液可能影响局部地下水。生活垃圾重在管理，施工作业场地设垃圾收集桶，生活垃圾依托当地环卫部门对生活垃圾进行定期清运在统一外运至当地垃圾处理场所进行处置后，对环境影响较小。</w:t>
      </w:r>
    </w:p>
    <w:p>
      <w:pPr>
        <w:pStyle w:val="27"/>
        <w:ind w:firstLine="482"/>
        <w:rPr>
          <w:rFonts w:ascii="Times New Roman" w:hAnsi="Times New Roman"/>
          <w:b/>
          <w:bCs/>
          <w:color w:val="000000" w:themeColor="text1"/>
          <w:szCs w:val="24"/>
          <w:highlight w:val="none"/>
          <w14:textFill>
            <w14:solidFill>
              <w14:schemeClr w14:val="tx1"/>
            </w14:solidFill>
          </w14:textFill>
        </w:rPr>
      </w:pPr>
      <w:r>
        <w:rPr>
          <w:rFonts w:ascii="Times New Roman" w:hAnsi="Times New Roman"/>
          <w:b/>
          <w:bCs/>
          <w:color w:val="000000" w:themeColor="text1"/>
          <w:szCs w:val="24"/>
          <w:highlight w:val="none"/>
          <w14:textFill>
            <w14:solidFill>
              <w14:schemeClr w14:val="tx1"/>
            </w14:solidFill>
          </w14:textFill>
        </w:rPr>
        <w:t>（4）</w:t>
      </w:r>
      <w:r>
        <w:rPr>
          <w:rFonts w:ascii="Times New Roman" w:hAnsi="Times New Roman"/>
          <w:b/>
          <w:bCs/>
          <w:color w:val="000000" w:themeColor="text1"/>
          <w:highlight w:val="none"/>
          <w14:textFill>
            <w14:solidFill>
              <w14:schemeClr w14:val="tx1"/>
            </w14:solidFill>
          </w14:textFill>
        </w:rPr>
        <w:t>废包装材料</w:t>
      </w:r>
      <w:r>
        <w:rPr>
          <w:rFonts w:ascii="Times New Roman" w:hAnsi="Times New Roman"/>
          <w:b/>
          <w:color w:val="000000" w:themeColor="text1"/>
          <w:szCs w:val="24"/>
          <w:highlight w:val="none"/>
          <w14:textFill>
            <w14:solidFill>
              <w14:schemeClr w14:val="tx1"/>
            </w14:solidFill>
          </w14:textFill>
        </w:rPr>
        <w:t>影响分析</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废弃包装材料集中收集后施工队自己回用部分，剩余部分送当地废品回收站处理，对周围环境的影响也较小。</w:t>
      </w:r>
    </w:p>
    <w:p>
      <w:pPr>
        <w:pStyle w:val="27"/>
        <w:ind w:firstLine="482"/>
        <w:rPr>
          <w:rFonts w:ascii="Times New Roman" w:hAnsi="Times New Roman"/>
          <w:b/>
          <w:bCs/>
          <w:color w:val="000000" w:themeColor="text1"/>
          <w:szCs w:val="24"/>
          <w:highlight w:val="none"/>
          <w14:textFill>
            <w14:solidFill>
              <w14:schemeClr w14:val="tx1"/>
            </w14:solidFill>
          </w14:textFill>
        </w:rPr>
      </w:pPr>
      <w:r>
        <w:rPr>
          <w:rFonts w:ascii="Times New Roman" w:hAnsi="Times New Roman"/>
          <w:b/>
          <w:bCs/>
          <w:color w:val="000000" w:themeColor="text1"/>
          <w:szCs w:val="24"/>
          <w:highlight w:val="none"/>
          <w14:textFill>
            <w14:solidFill>
              <w14:schemeClr w14:val="tx1"/>
            </w14:solidFill>
          </w14:textFill>
        </w:rPr>
        <w:t>（5）其他</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散失的钻井泥浆材料（重晶石、膨润土粉、堵漏剂）、水泥废浆、废弃包装材料、防冻保温废料及废棉纱等一般固废，产生量少，全部收集并资源化回收利用；完井搬迁时可能产生少量建筑垃圾，主要如包装袋，废弃建筑材料等，其量小，由施工队伍统一收集清运至政府指定地方，对环境影响轻微。</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综上分析，项目固体废物均可得到综合利用和妥善处置，项目产生的固体废物对环境的影响较小。</w:t>
      </w:r>
    </w:p>
    <w:p>
      <w:pPr>
        <w:pStyle w:val="4"/>
        <w:spacing w:before="120"/>
        <w:ind w:firstLine="480"/>
        <w:rPr>
          <w:b/>
          <w:color w:val="000000" w:themeColor="text1"/>
          <w:highlight w:val="none"/>
          <w:lang w:eastAsia="zh-CN"/>
          <w14:textFill>
            <w14:solidFill>
              <w14:schemeClr w14:val="tx1"/>
            </w14:solidFill>
          </w14:textFill>
        </w:rPr>
      </w:pPr>
      <w:bookmarkStart w:id="278" w:name="_Toc120173153"/>
      <w:r>
        <w:rPr>
          <w:color w:val="000000" w:themeColor="text1"/>
          <w:highlight w:val="none"/>
          <w:lang w:eastAsia="zh-CN"/>
          <w14:textFill>
            <w14:solidFill>
              <w14:schemeClr w14:val="tx1"/>
            </w14:solidFill>
          </w14:textFill>
        </w:rPr>
        <w:t>施工期</w:t>
      </w:r>
      <w:r>
        <w:rPr>
          <w:rFonts w:hint="eastAsia"/>
          <w:color w:val="000000" w:themeColor="text1"/>
          <w:highlight w:val="none"/>
          <w:lang w:eastAsia="zh-CN"/>
          <w14:textFill>
            <w14:solidFill>
              <w14:schemeClr w14:val="tx1"/>
            </w14:solidFill>
          </w14:textFill>
        </w:rPr>
        <w:t>储层改造</w:t>
      </w:r>
      <w:r>
        <w:rPr>
          <w:color w:val="000000" w:themeColor="text1"/>
          <w:highlight w:val="none"/>
          <w:lang w:eastAsia="zh-CN"/>
          <w14:textFill>
            <w14:solidFill>
              <w14:schemeClr w14:val="tx1"/>
            </w14:solidFill>
          </w14:textFill>
        </w:rPr>
        <w:t>工程环境影响分析</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大气环境影响分析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w:t>
      </w:r>
      <w:r>
        <w:rPr>
          <w:rFonts w:hint="eastAsia" w:cs="Times New Roman"/>
          <w:color w:val="000000" w:themeColor="text1"/>
          <w:highlight w:val="none"/>
          <w14:textFill>
            <w14:solidFill>
              <w14:schemeClr w14:val="tx1"/>
            </w14:solidFill>
          </w14:textFill>
        </w:rPr>
        <w:t>储层改造</w:t>
      </w:r>
      <w:r>
        <w:rPr>
          <w:rFonts w:cs="Times New Roman"/>
          <w:color w:val="000000" w:themeColor="text1"/>
          <w:highlight w:val="none"/>
          <w14:textFill>
            <w14:solidFill>
              <w14:schemeClr w14:val="tx1"/>
            </w14:solidFill>
          </w14:textFill>
        </w:rPr>
        <w:t>阶段废气主要为压裂作业废气</w:t>
      </w:r>
      <w:r>
        <w:rPr>
          <w:rFonts w:hint="eastAsia" w:cs="Times New Roman"/>
          <w:color w:val="000000" w:themeColor="text1"/>
          <w:highlight w:val="none"/>
          <w14:textFill>
            <w14:solidFill>
              <w14:schemeClr w14:val="tx1"/>
            </w14:solidFill>
          </w14:textFill>
        </w:rPr>
        <w:t>及</w:t>
      </w:r>
      <w:r>
        <w:rPr>
          <w:rFonts w:cs="Times New Roman"/>
          <w:color w:val="000000" w:themeColor="text1"/>
          <w:highlight w:val="none"/>
          <w14:textFill>
            <w14:solidFill>
              <w14:schemeClr w14:val="tx1"/>
            </w14:solidFill>
          </w14:textFill>
        </w:rPr>
        <w:t>完井测试放喷废气。</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w:t>
      </w:r>
      <w:r>
        <w:rPr>
          <w:rFonts w:hint="eastAsia" w:cs="Times New Roman"/>
          <w:b/>
          <w:bCs/>
          <w:color w:val="000000" w:themeColor="text1"/>
          <w:highlight w:val="none"/>
          <w14:textFill>
            <w14:solidFill>
              <w14:schemeClr w14:val="tx1"/>
            </w14:solidFill>
          </w14:textFill>
        </w:rPr>
        <w:t>1</w:t>
      </w:r>
      <w:r>
        <w:rPr>
          <w:rFonts w:cs="Times New Roman"/>
          <w:b/>
          <w:bCs/>
          <w:color w:val="000000" w:themeColor="text1"/>
          <w:highlight w:val="none"/>
          <w14:textFill>
            <w14:solidFill>
              <w14:schemeClr w14:val="tx1"/>
            </w14:solidFill>
          </w14:textFill>
        </w:rPr>
        <w:t>）压裂作业废气</w:t>
      </w:r>
      <w:r>
        <w:rPr>
          <w:rFonts w:cs="Times New Roman"/>
          <w:b/>
          <w:color w:val="000000" w:themeColor="text1"/>
          <w:szCs w:val="24"/>
          <w:highlight w:val="none"/>
          <w14:textFill>
            <w14:solidFill>
              <w14:schemeClr w14:val="tx1"/>
            </w14:solidFill>
          </w14:textFill>
        </w:rPr>
        <w:t>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压裂作业废气主要为压裂车施工机械尾气，主要污染物为NO</w:t>
      </w:r>
      <w:r>
        <w:rPr>
          <w:rFonts w:cs="Times New Roman"/>
          <w:color w:val="000000" w:themeColor="text1"/>
          <w:highlight w:val="none"/>
          <w:vertAlign w:val="subscript"/>
          <w14:textFill>
            <w14:solidFill>
              <w14:schemeClr w14:val="tx1"/>
            </w14:solidFill>
          </w14:textFill>
        </w:rPr>
        <w:t>X</w:t>
      </w:r>
      <w:r>
        <w:rPr>
          <w:rFonts w:cs="Times New Roman"/>
          <w:color w:val="000000" w:themeColor="text1"/>
          <w:highlight w:val="none"/>
          <w14:textFill>
            <w14:solidFill>
              <w14:schemeClr w14:val="tx1"/>
            </w14:solidFill>
          </w14:textFill>
        </w:rPr>
        <w:t>、烟尘及少量CO，采用合格燃油、加强设备保养减少尾气排放量。压裂作业持续时间较短、污染物产生量小，对当地大气环境影响较小，影响可接受。</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w:t>
      </w:r>
      <w:r>
        <w:rPr>
          <w:rFonts w:hint="eastAsia" w:cs="Times New Roman"/>
          <w:b/>
          <w:bCs/>
          <w:color w:val="000000" w:themeColor="text1"/>
          <w:highlight w:val="none"/>
          <w14:textFill>
            <w14:solidFill>
              <w14:schemeClr w14:val="tx1"/>
            </w14:solidFill>
          </w14:textFill>
        </w:rPr>
        <w:t>2</w:t>
      </w:r>
      <w:r>
        <w:rPr>
          <w:rFonts w:cs="Times New Roman"/>
          <w:b/>
          <w:bCs/>
          <w:color w:val="000000" w:themeColor="text1"/>
          <w:highlight w:val="none"/>
          <w14:textFill>
            <w14:solidFill>
              <w14:schemeClr w14:val="tx1"/>
            </w14:solidFill>
          </w14:textFill>
        </w:rPr>
        <w:t>）测试放喷废气</w:t>
      </w:r>
      <w:r>
        <w:rPr>
          <w:rFonts w:cs="Times New Roman"/>
          <w:b/>
          <w:color w:val="000000" w:themeColor="text1"/>
          <w:szCs w:val="24"/>
          <w:highlight w:val="none"/>
          <w14:textFill>
            <w14:solidFill>
              <w14:schemeClr w14:val="tx1"/>
            </w14:solidFill>
          </w14:textFill>
        </w:rPr>
        <w:t>影响分析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测试放喷废气采用地面灼烧处理，放喷池地势空旷，该技术在钻井工程中广泛应用，技术成熟可靠，措施可行，</w:t>
      </w:r>
      <w:r>
        <w:rPr>
          <w:rFonts w:cs="Times New Roman"/>
          <w:color w:val="000000" w:themeColor="text1"/>
          <w:szCs w:val="24"/>
          <w:highlight w:val="none"/>
          <w14:textFill>
            <w14:solidFill>
              <w14:schemeClr w14:val="tx1"/>
            </w14:solidFill>
          </w14:textFill>
        </w:rPr>
        <w:t>其主要污染物为</w:t>
      </w:r>
      <w:r>
        <w:rPr>
          <w:rFonts w:hint="eastAsia" w:cs="Times New Roman"/>
          <w:color w:val="000000" w:themeColor="text1"/>
          <w:szCs w:val="24"/>
          <w:highlight w:val="none"/>
          <w:lang w:val="en-US" w:eastAsia="zh-CN"/>
          <w14:textFill>
            <w14:solidFill>
              <w14:schemeClr w14:val="tx1"/>
            </w14:solidFill>
          </w14:textFill>
        </w:rPr>
        <w:t>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CO</w:t>
      </w:r>
      <w:r>
        <w:rPr>
          <w:rFonts w:cs="Times New Roman"/>
          <w:color w:val="000000" w:themeColor="text1"/>
          <w:szCs w:val="24"/>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等，放喷时间短，属临时排放，类比区域已完钻井测试情况，测试放喷废气对大气环境的影响是可接受的。</w:t>
      </w:r>
      <w:r>
        <w:rPr>
          <w:rFonts w:cs="Times New Roman"/>
          <w:color w:val="000000" w:themeColor="text1"/>
          <w:szCs w:val="24"/>
          <w:highlight w:val="none"/>
          <w14:textFill>
            <w14:solidFill>
              <w14:schemeClr w14:val="tx1"/>
            </w14:solidFill>
          </w14:textFill>
        </w:rPr>
        <w:t>并将随测试放喷的结束而消除，对周边大气环境影响较小。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总之，</w:t>
      </w:r>
      <w:r>
        <w:rPr>
          <w:rFonts w:hint="eastAsia" w:cs="Times New Roman"/>
          <w:color w:val="000000" w:themeColor="text1"/>
          <w:highlight w:val="none"/>
          <w14:textFill>
            <w14:solidFill>
              <w14:schemeClr w14:val="tx1"/>
            </w14:solidFill>
          </w14:textFill>
        </w:rPr>
        <w:t>储层</w:t>
      </w:r>
      <w:r>
        <w:rPr>
          <w:rFonts w:cs="Times New Roman"/>
          <w:color w:val="000000" w:themeColor="text1"/>
          <w:highlight w:val="none"/>
          <w14:textFill>
            <w14:solidFill>
              <w14:schemeClr w14:val="tx1"/>
            </w14:solidFill>
          </w14:textFill>
        </w:rPr>
        <w:t>期间废气污染物排放量少，且排放时间短，对井场所在地大气环境影响甚微。</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地表水环境影响分析</w:t>
      </w:r>
    </w:p>
    <w:p>
      <w:pPr>
        <w:ind w:firstLine="482"/>
        <w:rPr>
          <w:rFonts w:cs="Times New Roman"/>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（1）场地渗透、外溢对地表水环境影响分析</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w:t>
      </w:r>
      <w:r>
        <w:rPr>
          <w:rFonts w:cs="Times New Roman"/>
          <w:bCs/>
          <w:color w:val="000000" w:themeColor="text1"/>
          <w:highlight w:val="none"/>
          <w14:textFill>
            <w14:solidFill>
              <w14:schemeClr w14:val="tx1"/>
            </w14:solidFill>
          </w14:textFill>
        </w:rPr>
        <w:t>项目产生的洗井废水和压裂返排液被</w:t>
      </w:r>
      <w:r>
        <w:rPr>
          <w:rFonts w:hint="eastAsia" w:cs="Times New Roman"/>
          <w:bCs/>
          <w:color w:val="000000" w:themeColor="text1"/>
          <w:highlight w:val="none"/>
          <w14:textFill>
            <w14:solidFill>
              <w14:schemeClr w14:val="tx1"/>
            </w14:solidFill>
          </w14:textFill>
        </w:rPr>
        <w:t>暂时贮存于放喷池或压裂液储罐中</w:t>
      </w:r>
      <w:r>
        <w:rPr>
          <w:rFonts w:cs="Times New Roman"/>
          <w:bCs/>
          <w:color w:val="000000" w:themeColor="text1"/>
          <w:highlight w:val="none"/>
          <w14:textFill>
            <w14:solidFill>
              <w14:schemeClr w14:val="tx1"/>
            </w14:solidFill>
          </w14:textFill>
        </w:rPr>
        <w:t>。根据工程分析中的废水收集回用措施可知，</w:t>
      </w:r>
      <w:r>
        <w:rPr>
          <w:rFonts w:hint="eastAsia" w:cs="Times New Roman"/>
          <w:bCs/>
          <w:color w:val="000000" w:themeColor="text1"/>
          <w:highlight w:val="none"/>
          <w14:textFill>
            <w14:solidFill>
              <w14:schemeClr w14:val="tx1"/>
            </w14:solidFill>
          </w14:textFill>
        </w:rPr>
        <w:t>压裂液储罐</w:t>
      </w:r>
      <w:r>
        <w:rPr>
          <w:rFonts w:cs="Times New Roman"/>
          <w:bCs/>
          <w:color w:val="000000" w:themeColor="text1"/>
          <w:highlight w:val="none"/>
          <w14:textFill>
            <w14:solidFill>
              <w14:schemeClr w14:val="tx1"/>
            </w14:solidFill>
          </w14:textFill>
        </w:rPr>
        <w:t>、放喷池容积能够满足</w:t>
      </w:r>
      <w:r>
        <w:rPr>
          <w:rFonts w:hint="eastAsia" w:cs="Times New Roman"/>
          <w:bCs/>
          <w:color w:val="000000" w:themeColor="text1"/>
          <w:highlight w:val="none"/>
          <w14:textFill>
            <w14:solidFill>
              <w14:schemeClr w14:val="tx1"/>
            </w14:solidFill>
          </w14:textFill>
        </w:rPr>
        <w:t>储层改造期间</w:t>
      </w:r>
      <w:r>
        <w:rPr>
          <w:rFonts w:cs="Times New Roman"/>
          <w:bCs/>
          <w:color w:val="000000" w:themeColor="text1"/>
          <w:highlight w:val="none"/>
          <w14:textFill>
            <w14:solidFill>
              <w14:schemeClr w14:val="tx1"/>
            </w14:solidFill>
          </w14:textFill>
        </w:rPr>
        <w:t>洗井废水、压裂返排液贮存要求；当发生事故排水时，废水</w:t>
      </w:r>
      <w:r>
        <w:rPr>
          <w:rFonts w:hint="eastAsia" w:cs="Times New Roman"/>
          <w:bCs/>
          <w:color w:val="000000" w:themeColor="text1"/>
          <w:highlight w:val="none"/>
          <w14:textFill>
            <w14:solidFill>
              <w14:schemeClr w14:val="tx1"/>
            </w14:solidFill>
          </w14:textFill>
        </w:rPr>
        <w:t>可</w:t>
      </w:r>
      <w:r>
        <w:rPr>
          <w:rFonts w:cs="Times New Roman"/>
          <w:bCs/>
          <w:color w:val="000000" w:themeColor="text1"/>
          <w:highlight w:val="none"/>
          <w14:textFill>
            <w14:solidFill>
              <w14:schemeClr w14:val="tx1"/>
            </w14:solidFill>
          </w14:textFill>
        </w:rPr>
        <w:t>直接汇入放喷池中，不会造成废水外溢。另外，在工程设计时，</w:t>
      </w:r>
      <w:r>
        <w:rPr>
          <w:rFonts w:hint="eastAsia" w:cs="Times New Roman"/>
          <w:bCs/>
          <w:color w:val="000000" w:themeColor="text1"/>
          <w:highlight w:val="none"/>
          <w14:textFill>
            <w14:solidFill>
              <w14:schemeClr w14:val="tx1"/>
            </w14:solidFill>
          </w14:textFill>
        </w:rPr>
        <w:t>井场压裂液储罐</w:t>
      </w:r>
      <w:r>
        <w:rPr>
          <w:rFonts w:cs="Times New Roman"/>
          <w:bCs/>
          <w:color w:val="000000" w:themeColor="text1"/>
          <w:highlight w:val="none"/>
          <w14:textFill>
            <w14:solidFill>
              <w14:schemeClr w14:val="tx1"/>
            </w14:solidFill>
          </w14:textFill>
        </w:rPr>
        <w:t>、放喷池均比地面高且有遮雨篷遮盖，可防止周边雨水汇入；井场周围设置雨水沟，井场周边雨水均不会进入井场内，井场内的雨水则顺着地势而排入四周的雨水沟</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可避免因雨水进入而增加废水量。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在采取上述措施后，</w:t>
      </w:r>
      <w:r>
        <w:rPr>
          <w:rFonts w:hint="eastAsia" w:cs="Times New Roman"/>
          <w:color w:val="000000" w:themeColor="text1"/>
          <w:highlight w:val="none"/>
          <w14:textFill>
            <w14:solidFill>
              <w14:schemeClr w14:val="tx1"/>
            </w14:solidFill>
          </w14:textFill>
        </w:rPr>
        <w:t>储层改造期间洗井废水、压裂返排液以</w:t>
      </w:r>
      <w:r>
        <w:rPr>
          <w:rFonts w:cs="Times New Roman"/>
          <w:color w:val="000000" w:themeColor="text1"/>
          <w:highlight w:val="none"/>
          <w14:textFill>
            <w14:solidFill>
              <w14:schemeClr w14:val="tx1"/>
            </w14:solidFill>
          </w14:textFill>
        </w:rPr>
        <w:t>渗透、外溢等方式进入地表水环境的量极少，类比本项目已实施钻井情况，预计不会对周边河流等水环境造成污染影响，对地表水环境影响很小。</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（2）项目用水对区域水资源影响分析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w:t>
      </w:r>
      <w:r>
        <w:rPr>
          <w:rFonts w:hint="eastAsia" w:cs="Times New Roman"/>
          <w:bCs/>
          <w:color w:val="000000" w:themeColor="text1"/>
          <w:highlight w:val="none"/>
          <w14:textFill>
            <w14:solidFill>
              <w14:schemeClr w14:val="tx1"/>
            </w14:solidFill>
          </w14:textFill>
        </w:rPr>
        <w:t>储层改造期间新增</w:t>
      </w:r>
      <w:r>
        <w:rPr>
          <w:rFonts w:cs="Times New Roman"/>
          <w:bCs/>
          <w:color w:val="000000" w:themeColor="text1"/>
          <w:highlight w:val="none"/>
          <w14:textFill>
            <w14:solidFill>
              <w14:schemeClr w14:val="tx1"/>
            </w14:solidFill>
          </w14:textFill>
        </w:rPr>
        <w:t>的生产用水</w:t>
      </w:r>
      <w:r>
        <w:rPr>
          <w:rFonts w:hint="eastAsia" w:cs="Times New Roman"/>
          <w:bCs/>
          <w:color w:val="000000" w:themeColor="text1"/>
          <w:highlight w:val="none"/>
          <w14:textFill>
            <w14:solidFill>
              <w14:schemeClr w14:val="tx1"/>
            </w14:solidFill>
          </w14:textFill>
        </w:rPr>
        <w:t>主要</w:t>
      </w:r>
      <w:r>
        <w:rPr>
          <w:rFonts w:cs="Times New Roman"/>
          <w:bCs/>
          <w:color w:val="000000" w:themeColor="text1"/>
          <w:highlight w:val="none"/>
          <w14:textFill>
            <w14:solidFill>
              <w14:schemeClr w14:val="tx1"/>
            </w14:solidFill>
          </w14:textFill>
        </w:rPr>
        <w:t>就近采用附近地表水（</w:t>
      </w:r>
      <w:r>
        <w:rPr>
          <w:rFonts w:hint="eastAsia" w:cs="Times New Roman"/>
          <w:bCs/>
          <w:color w:val="000000" w:themeColor="text1"/>
          <w:highlight w:val="none"/>
          <w14:textFill>
            <w14:solidFill>
              <w14:schemeClr w14:val="tx1"/>
            </w14:solidFill>
          </w14:textFill>
        </w:rPr>
        <w:t>后河</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，采取罐车拉运方式</w:t>
      </w:r>
      <w:r>
        <w:rPr>
          <w:rFonts w:cs="Times New Roman"/>
          <w:bCs/>
          <w:color w:val="000000" w:themeColor="text1"/>
          <w:highlight w:val="none"/>
          <w14:textFill>
            <w14:solidFill>
              <w14:schemeClr w14:val="tx1"/>
            </w14:solidFill>
          </w14:textFill>
        </w:rPr>
        <w:t>。由于项目距离</w:t>
      </w:r>
      <w:r>
        <w:rPr>
          <w:rFonts w:hint="eastAsia" w:cs="Times New Roman"/>
          <w:bCs/>
          <w:color w:val="000000" w:themeColor="text1"/>
          <w:highlight w:val="none"/>
          <w14:textFill>
            <w14:solidFill>
              <w14:schemeClr w14:val="tx1"/>
            </w14:solidFill>
          </w14:textFill>
        </w:rPr>
        <w:t>后河</w:t>
      </w:r>
      <w:r>
        <w:rPr>
          <w:rFonts w:cs="Times New Roman"/>
          <w:bCs/>
          <w:color w:val="000000" w:themeColor="text1"/>
          <w:highlight w:val="none"/>
          <w14:textFill>
            <w14:solidFill>
              <w14:schemeClr w14:val="tx1"/>
            </w14:solidFill>
          </w14:textFill>
        </w:rPr>
        <w:t>较近，</w:t>
      </w:r>
      <w:r>
        <w:rPr>
          <w:rFonts w:hint="eastAsia" w:cs="Times New Roman"/>
          <w:bCs/>
          <w:color w:val="000000" w:themeColor="text1"/>
          <w:highlight w:val="none"/>
          <w14:textFill>
            <w14:solidFill>
              <w14:schemeClr w14:val="tx1"/>
            </w14:solidFill>
          </w14:textFill>
        </w:rPr>
        <w:t>井场与后河之间有道路连接，后河</w:t>
      </w:r>
      <w:r>
        <w:rPr>
          <w:rFonts w:cs="Times New Roman"/>
          <w:bCs/>
          <w:color w:val="000000" w:themeColor="text1"/>
          <w:highlight w:val="none"/>
          <w14:textFill>
            <w14:solidFill>
              <w14:schemeClr w14:val="tx1"/>
            </w14:solidFill>
          </w14:textFill>
        </w:rPr>
        <w:t>水量充足，项目</w:t>
      </w:r>
      <w:r>
        <w:rPr>
          <w:rFonts w:hint="eastAsia" w:cs="Times New Roman"/>
          <w:bCs/>
          <w:color w:val="000000" w:themeColor="text1"/>
          <w:highlight w:val="none"/>
          <w14:textFill>
            <w14:solidFill>
              <w14:schemeClr w14:val="tx1"/>
            </w14:solidFill>
          </w14:textFill>
        </w:rPr>
        <w:t>通过</w:t>
      </w:r>
      <w:r>
        <w:rPr>
          <w:rFonts w:cs="Times New Roman"/>
          <w:bCs/>
          <w:color w:val="000000" w:themeColor="text1"/>
          <w:highlight w:val="none"/>
          <w14:textFill>
            <w14:solidFill>
              <w14:schemeClr w14:val="tx1"/>
            </w14:solidFill>
          </w14:textFill>
        </w:rPr>
        <w:t>合理安</w:t>
      </w:r>
      <w:r>
        <w:rPr>
          <w:rFonts w:hint="eastAsia" w:cs="Times New Roman"/>
          <w:bCs/>
          <w:color w:val="000000" w:themeColor="text1"/>
          <w:highlight w:val="none"/>
          <w14:textFill>
            <w14:solidFill>
              <w14:schemeClr w14:val="tx1"/>
            </w14:solidFill>
          </w14:textFill>
        </w:rPr>
        <w:t>排用水时间，尽量不在枯水期取水，用水前做好与当地主管部门沟通协调工作，取水需严格按照相关主管部门要求办理取水许可，且取水口需避开后河特有鱼类国家级水产种质资源保护区，</w:t>
      </w:r>
      <w:r>
        <w:rPr>
          <w:rFonts w:cs="Times New Roman"/>
          <w:bCs/>
          <w:color w:val="000000" w:themeColor="text1"/>
          <w:highlight w:val="none"/>
          <w14:textFill>
            <w14:solidFill>
              <w14:schemeClr w14:val="tx1"/>
            </w14:solidFill>
          </w14:textFill>
        </w:rPr>
        <w:t>项目</w:t>
      </w:r>
      <w:r>
        <w:rPr>
          <w:rFonts w:hint="eastAsia" w:cs="Times New Roman"/>
          <w:bCs/>
          <w:color w:val="000000" w:themeColor="text1"/>
          <w:highlight w:val="none"/>
          <w14:textFill>
            <w14:solidFill>
              <w14:schemeClr w14:val="tx1"/>
            </w14:solidFill>
          </w14:textFill>
        </w:rPr>
        <w:t>储层改造施工</w:t>
      </w:r>
      <w:r>
        <w:rPr>
          <w:rFonts w:cs="Times New Roman"/>
          <w:bCs/>
          <w:color w:val="000000" w:themeColor="text1"/>
          <w:highlight w:val="none"/>
          <w14:textFill>
            <w14:solidFill>
              <w14:schemeClr w14:val="tx1"/>
            </w14:solidFill>
          </w14:textFill>
        </w:rPr>
        <w:t>取水不会对周边耕地等用水造成影响；若必须在枯水期取水要首先满足下游生态流量和管理部门的要求。</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（3）对区域地表水</w:t>
      </w:r>
      <w:r>
        <w:rPr>
          <w:rFonts w:cs="Times New Roman"/>
          <w:b/>
          <w:color w:val="000000" w:themeColor="text1"/>
          <w:szCs w:val="24"/>
          <w:highlight w:val="none"/>
          <w14:textFill>
            <w14:solidFill>
              <w14:schemeClr w14:val="tx1"/>
            </w14:solidFill>
          </w14:textFill>
        </w:rPr>
        <w:t>影响分析</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储层改造期间产生的</w:t>
      </w:r>
      <w:r>
        <w:rPr>
          <w:rFonts w:cs="Times New Roman"/>
          <w:color w:val="000000" w:themeColor="text1"/>
          <w:highlight w:val="none"/>
          <w14:textFill>
            <w14:solidFill>
              <w14:schemeClr w14:val="tx1"/>
            </w14:solidFill>
          </w14:textFill>
        </w:rPr>
        <w:t>压裂返排液及洗井废水</w:t>
      </w:r>
      <w:r>
        <w:rPr>
          <w:rFonts w:hint="eastAsia" w:cs="Times New Roman"/>
          <w:color w:val="000000" w:themeColor="text1"/>
          <w:highlight w:val="none"/>
          <w14:textFill>
            <w14:solidFill>
              <w14:schemeClr w14:val="tx1"/>
            </w14:solidFill>
          </w14:textFill>
        </w:rPr>
        <w:t>临时暂存于放喷池或者压裂液储罐中</w:t>
      </w:r>
      <w:r>
        <w:rPr>
          <w:rFonts w:cs="Times New Roman"/>
          <w:color w:val="000000" w:themeColor="text1"/>
          <w:highlight w:val="none"/>
          <w14:textFill>
            <w14:solidFill>
              <w14:schemeClr w14:val="tx1"/>
            </w14:solidFill>
          </w14:textFill>
        </w:rPr>
        <w:t>，优先回用于钻井工段及周边平台钻井工段，不能回用的用罐车拉运至</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处理达标后经</w:t>
      </w:r>
      <w:r>
        <w:rPr>
          <w:rFonts w:hint="eastAsia" w:cs="Times New Roman"/>
          <w:color w:val="000000" w:themeColor="text1"/>
          <w:highlight w:val="none"/>
          <w14:textFill>
            <w14:solidFill>
              <w14:schemeClr w14:val="tx1"/>
            </w14:solidFill>
          </w14:textFill>
        </w:rPr>
        <w:t>普光3井回注站</w:t>
      </w:r>
      <w:r>
        <w:rPr>
          <w:rFonts w:cs="Times New Roman"/>
          <w:color w:val="000000" w:themeColor="text1"/>
          <w:highlight w:val="none"/>
          <w14:textFill>
            <w14:solidFill>
              <w14:schemeClr w14:val="tx1"/>
            </w14:solidFill>
          </w14:textFill>
        </w:rPr>
        <w:t>回注</w:t>
      </w:r>
      <w:r>
        <w:rPr>
          <w:rFonts w:cs="Times New Roman"/>
          <w:bCs/>
          <w:color w:val="000000" w:themeColor="text1"/>
          <w:highlight w:val="none"/>
          <w14:textFill>
            <w14:solidFill>
              <w14:schemeClr w14:val="tx1"/>
            </w14:solidFill>
          </w14:textFill>
        </w:rPr>
        <w:t>，不外排。项目废水产生量少，经处理达标后污染物排放量也少，对当地地表水环境的影响在可接受范围内。</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（4）对项目周边耕地</w:t>
      </w:r>
      <w:r>
        <w:rPr>
          <w:rFonts w:cs="Times New Roman"/>
          <w:b/>
          <w:color w:val="000000" w:themeColor="text1"/>
          <w:szCs w:val="24"/>
          <w:highlight w:val="none"/>
          <w14:textFill>
            <w14:solidFill>
              <w14:schemeClr w14:val="tx1"/>
            </w14:solidFill>
          </w14:textFill>
        </w:rPr>
        <w:t>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本项目井场周围设置雨水沟</w:t>
      </w:r>
      <w:r>
        <w:rPr>
          <w:rFonts w:hint="eastAsia" w:cs="Times New Roman"/>
          <w:bCs/>
          <w:color w:val="000000" w:themeColor="text1"/>
          <w:highlight w:val="none"/>
          <w14:textFill>
            <w14:solidFill>
              <w14:schemeClr w14:val="tx1"/>
            </w14:solidFill>
          </w14:textFill>
        </w:rPr>
        <w:t>，场地内不会有污水不会溢出进入周边环境，同时储层改造期间产生的</w:t>
      </w:r>
      <w:r>
        <w:rPr>
          <w:rFonts w:cs="Times New Roman"/>
          <w:color w:val="000000" w:themeColor="text1"/>
          <w:highlight w:val="none"/>
          <w14:textFill>
            <w14:solidFill>
              <w14:schemeClr w14:val="tx1"/>
            </w14:solidFill>
          </w14:textFill>
        </w:rPr>
        <w:t>压裂返排液及洗井废水</w:t>
      </w:r>
      <w:r>
        <w:rPr>
          <w:rFonts w:hint="eastAsia" w:cs="Times New Roman"/>
          <w:color w:val="000000" w:themeColor="text1"/>
          <w:highlight w:val="none"/>
          <w14:textFill>
            <w14:solidFill>
              <w14:schemeClr w14:val="tx1"/>
            </w14:solidFill>
          </w14:textFill>
        </w:rPr>
        <w:t>临时暂存于放喷池或者压裂液储罐中</w:t>
      </w:r>
      <w:r>
        <w:rPr>
          <w:rFonts w:cs="Times New Roman"/>
          <w:color w:val="000000" w:themeColor="text1"/>
          <w:highlight w:val="none"/>
          <w14:textFill>
            <w14:solidFill>
              <w14:schemeClr w14:val="tx1"/>
            </w14:solidFill>
          </w14:textFill>
        </w:rPr>
        <w:t>，优先回用于钻井工段及周边平台钻井工段，不能回用的用罐车拉运至</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处理达标后经</w:t>
      </w:r>
      <w:r>
        <w:rPr>
          <w:rFonts w:hint="eastAsia" w:cs="Times New Roman"/>
          <w:color w:val="000000" w:themeColor="text1"/>
          <w:highlight w:val="none"/>
          <w14:textFill>
            <w14:solidFill>
              <w14:schemeClr w14:val="tx1"/>
            </w14:solidFill>
          </w14:textFill>
        </w:rPr>
        <w:t>普光3井回注站</w:t>
      </w:r>
      <w:r>
        <w:rPr>
          <w:rFonts w:cs="Times New Roman"/>
          <w:color w:val="000000" w:themeColor="text1"/>
          <w:highlight w:val="none"/>
          <w14:textFill>
            <w14:solidFill>
              <w14:schemeClr w14:val="tx1"/>
            </w14:solidFill>
          </w14:textFill>
        </w:rPr>
        <w:t>回注</w:t>
      </w:r>
      <w:r>
        <w:rPr>
          <w:rFonts w:cs="Times New Roman"/>
          <w:bCs/>
          <w:color w:val="000000" w:themeColor="text1"/>
          <w:highlight w:val="none"/>
          <w14:textFill>
            <w14:solidFill>
              <w14:schemeClr w14:val="tx1"/>
            </w14:solidFill>
          </w14:textFill>
        </w:rPr>
        <w:t>，不外排</w:t>
      </w:r>
      <w:r>
        <w:rPr>
          <w:rFonts w:hint="eastAsia" w:cs="Times New Roman"/>
          <w:bCs/>
          <w:color w:val="000000" w:themeColor="text1"/>
          <w:highlight w:val="none"/>
          <w14:textFill>
            <w14:solidFill>
              <w14:schemeClr w14:val="tx1"/>
            </w14:solidFill>
          </w14:textFill>
        </w:rPr>
        <w:t>。因此，储层改造期间不会有污水进入</w:t>
      </w:r>
      <w:r>
        <w:rPr>
          <w:rFonts w:cs="Times New Roman"/>
          <w:bCs/>
          <w:color w:val="000000" w:themeColor="text1"/>
          <w:highlight w:val="none"/>
          <w14:textFill>
            <w14:solidFill>
              <w14:schemeClr w14:val="tx1"/>
            </w14:solidFill>
          </w14:textFill>
        </w:rPr>
        <w:t>周围环境，对周边耕地影响甚微</w:t>
      </w:r>
      <w:r>
        <w:rPr>
          <w:rFonts w:hint="eastAsia" w:cs="Times New Roman"/>
          <w:bCs/>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声环境影响分析</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该项目</w:t>
      </w:r>
      <w:r>
        <w:rPr>
          <w:rFonts w:hint="eastAsia" w:cs="Times New Roman"/>
          <w:color w:val="000000" w:themeColor="text1"/>
          <w:highlight w:val="none"/>
          <w14:textFill>
            <w14:solidFill>
              <w14:schemeClr w14:val="tx1"/>
            </w14:solidFill>
          </w14:textFill>
        </w:rPr>
        <w:t>储层改造</w:t>
      </w:r>
      <w:r>
        <w:rPr>
          <w:rFonts w:cs="Times New Roman"/>
          <w:color w:val="000000" w:themeColor="text1"/>
          <w:highlight w:val="none"/>
          <w14:textFill>
            <w14:solidFill>
              <w14:schemeClr w14:val="tx1"/>
            </w14:solidFill>
          </w14:textFill>
        </w:rPr>
        <w:t>期间噪声影响主要来源于在完井压裂和油气测试过程将产生压裂设备噪声和测试放喷噪声。</w:t>
      </w:r>
    </w:p>
    <w:p>
      <w:pPr>
        <w:pStyle w:val="27"/>
        <w:ind w:firstLine="482"/>
        <w:rPr>
          <w:rFonts w:ascii="Times New Roman" w:hAnsi="Times New Roman"/>
          <w:b/>
          <w:bCs/>
          <w:color w:val="000000" w:themeColor="text1"/>
          <w:szCs w:val="24"/>
          <w:highlight w:val="none"/>
          <w14:textFill>
            <w14:solidFill>
              <w14:schemeClr w14:val="tx1"/>
            </w14:solidFill>
          </w14:textFill>
        </w:rPr>
      </w:pPr>
      <w:r>
        <w:rPr>
          <w:rFonts w:hint="eastAsia" w:ascii="Times New Roman" w:hAnsi="Times New Roman"/>
          <w:b/>
          <w:bCs/>
          <w:color w:val="000000" w:themeColor="text1"/>
          <w:szCs w:val="24"/>
          <w:highlight w:val="none"/>
          <w14:textFill>
            <w14:solidFill>
              <w14:schemeClr w14:val="tx1"/>
            </w14:solidFill>
          </w14:textFill>
        </w:rPr>
        <w:t>1</w:t>
      </w:r>
      <w:r>
        <w:rPr>
          <w:rFonts w:ascii="Times New Roman" w:hAnsi="Times New Roman"/>
          <w:b/>
          <w:bCs/>
          <w:color w:val="000000" w:themeColor="text1"/>
          <w:szCs w:val="24"/>
          <w:highlight w:val="none"/>
          <w14:textFill>
            <w14:solidFill>
              <w14:schemeClr w14:val="tx1"/>
            </w14:solidFill>
          </w14:textFill>
        </w:rPr>
        <w:t>、压裂噪声环境影响预测及分析</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本项目压裂作业时间短，仅在白天施工。压裂过程中噪声源主要来自于压裂泵车，单台噪声源强情况90~100dB（A），由于压裂机组设备分布较为集中，距离敏感点较远，敏感点与项目之间有诸多树林间隔。根据《环境影响评价技术导则 声环境》（HJ2.4-2021）：实际的室外声源组，可以用处于该组中部的等效点声源来描述，本项目最多同时6台压裂设备同时作业。</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根据平面布置，主要噪声设备位于井口及后场，厂界距离井口</w:t>
      </w:r>
      <w:r>
        <w:rPr>
          <w:rFonts w:hint="eastAsia" w:ascii="Times New Roman" w:hAnsi="Times New Roman"/>
          <w:color w:val="000000" w:themeColor="text1"/>
          <w:szCs w:val="24"/>
          <w:highlight w:val="none"/>
          <w14:textFill>
            <w14:solidFill>
              <w14:schemeClr w14:val="tx1"/>
            </w14:solidFill>
          </w14:textFill>
        </w:rPr>
        <w:t>25</w:t>
      </w:r>
      <w:r>
        <w:rPr>
          <w:rFonts w:ascii="Times New Roman" w:hAnsi="Times New Roman"/>
          <w:color w:val="000000" w:themeColor="text1"/>
          <w:szCs w:val="24"/>
          <w:highlight w:val="none"/>
          <w14:textFill>
            <w14:solidFill>
              <w14:schemeClr w14:val="tx1"/>
            </w14:solidFill>
          </w14:textFill>
        </w:rPr>
        <w:t>m～</w:t>
      </w:r>
      <w:r>
        <w:rPr>
          <w:rFonts w:hint="eastAsia" w:ascii="Times New Roman" w:hAnsi="Times New Roman"/>
          <w:color w:val="000000" w:themeColor="text1"/>
          <w:szCs w:val="24"/>
          <w:highlight w:val="none"/>
          <w14:textFill>
            <w14:solidFill>
              <w14:schemeClr w14:val="tx1"/>
            </w14:solidFill>
          </w14:textFill>
        </w:rPr>
        <w:t>6</w:t>
      </w:r>
      <w:r>
        <w:rPr>
          <w:rFonts w:ascii="Times New Roman" w:hAnsi="Times New Roman"/>
          <w:color w:val="000000" w:themeColor="text1"/>
          <w:szCs w:val="24"/>
          <w:highlight w:val="none"/>
          <w14:textFill>
            <w14:solidFill>
              <w14:schemeClr w14:val="tx1"/>
            </w14:solidFill>
          </w14:textFill>
        </w:rPr>
        <w:t>0m，忽略地面效应和山体树林隔挡，考虑地面及设备用房的衰减量为2dB（A），预测结果如下。</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本项目压裂作业噪声影响</w:t>
      </w:r>
      <w:r>
        <w:rPr>
          <w:color w:val="000000" w:themeColor="text1"/>
          <w:highlight w:val="none"/>
          <w14:textFill>
            <w14:solidFill>
              <w14:schemeClr w14:val="tx1"/>
            </w14:solidFill>
          </w14:textFill>
        </w:rPr>
        <w:t xml:space="preserve">  单位：dB（A）</w:t>
      </w:r>
    </w:p>
    <w:tbl>
      <w:tblPr>
        <w:tblStyle w:val="54"/>
        <w:tblW w:w="0" w:type="auto"/>
        <w:jc w:val="center"/>
        <w:tblBorders>
          <w:top w:val="single" w:color="156082" w:sz="4" w:space="0"/>
          <w:left w:val="single" w:color="156082" w:sz="4" w:space="0"/>
          <w:bottom w:val="single" w:color="156082" w:sz="4" w:space="0"/>
          <w:right w:val="single" w:color="156082" w:sz="4" w:space="0"/>
          <w:insideH w:val="single" w:color="auto" w:sz="4" w:space="0"/>
          <w:insideV w:val="single" w:color="auto" w:sz="4" w:space="0"/>
        </w:tblBorders>
        <w:tblLayout w:type="fixed"/>
        <w:tblCellMar>
          <w:top w:w="0" w:type="dxa"/>
          <w:left w:w="108" w:type="dxa"/>
          <w:bottom w:w="0" w:type="dxa"/>
          <w:right w:w="108" w:type="dxa"/>
        </w:tblCellMar>
      </w:tblPr>
      <w:tblGrid>
        <w:gridCol w:w="1821"/>
        <w:gridCol w:w="1644"/>
        <w:gridCol w:w="1889"/>
        <w:gridCol w:w="1383"/>
        <w:gridCol w:w="1404"/>
      </w:tblGrid>
      <w:tr>
        <w:tblPrEx>
          <w:tblBorders>
            <w:top w:val="single" w:color="156082" w:sz="4" w:space="0"/>
            <w:left w:val="single" w:color="156082" w:sz="4" w:space="0"/>
            <w:bottom w:val="single" w:color="156082" w:sz="4" w:space="0"/>
            <w:right w:val="single" w:color="156082" w:sz="4" w:space="0"/>
            <w:insideH w:val="single" w:color="auto" w:sz="4" w:space="0"/>
            <w:insideV w:val="single" w:color="auto" w:sz="4" w:space="0"/>
          </w:tblBorders>
          <w:tblCellMar>
            <w:top w:w="0" w:type="dxa"/>
            <w:left w:w="108" w:type="dxa"/>
            <w:bottom w:w="0" w:type="dxa"/>
            <w:right w:w="108" w:type="dxa"/>
          </w:tblCellMar>
        </w:tblPrEx>
        <w:trPr>
          <w:trHeight w:val="344" w:hRule="exact"/>
          <w:jc w:val="center"/>
        </w:trPr>
        <w:tc>
          <w:tcPr>
            <w:tcW w:w="1821" w:type="dxa"/>
            <w:vMerge w:val="restart"/>
            <w:vAlign w:val="center"/>
          </w:tcPr>
          <w:p>
            <w:pPr>
              <w:pStyle w:val="297"/>
              <w:rPr>
                <w:b/>
                <w:bCs/>
                <w:color w:val="000000" w:themeColor="text1"/>
                <w:szCs w:val="21"/>
                <w:highlight w:val="none"/>
                <w:shd w:val="clear" w:color="auto" w:fill="FFFFFF"/>
                <w14:textFill>
                  <w14:solidFill>
                    <w14:schemeClr w14:val="tx1"/>
                  </w14:solidFill>
                </w14:textFill>
              </w:rPr>
            </w:pPr>
            <w:r>
              <w:rPr>
                <w:rFonts w:hint="eastAsia"/>
                <w:b/>
                <w:bCs/>
                <w:color w:val="000000" w:themeColor="text1"/>
                <w:szCs w:val="21"/>
                <w:highlight w:val="none"/>
                <w:shd w:val="clear" w:color="auto" w:fill="FFFFFF"/>
                <w14:textFill>
                  <w14:solidFill>
                    <w14:schemeClr w14:val="tx1"/>
                  </w14:solidFill>
                </w14:textFill>
              </w:rPr>
              <w:t>预测方位</w:t>
            </w:r>
          </w:p>
        </w:tc>
        <w:tc>
          <w:tcPr>
            <w:tcW w:w="1644" w:type="dxa"/>
            <w:vMerge w:val="restart"/>
            <w:vAlign w:val="center"/>
          </w:tcPr>
          <w:p>
            <w:pPr>
              <w:pStyle w:val="297"/>
              <w:rPr>
                <w:b/>
                <w:bCs/>
                <w:color w:val="000000" w:themeColor="text1"/>
                <w:szCs w:val="21"/>
                <w:highlight w:val="none"/>
                <w:shd w:val="clear" w:color="auto" w:fill="FFFFFF"/>
                <w14:textFill>
                  <w14:solidFill>
                    <w14:schemeClr w14:val="tx1"/>
                  </w14:solidFill>
                </w14:textFill>
              </w:rPr>
            </w:pPr>
            <w:r>
              <w:rPr>
                <w:rFonts w:hint="eastAsia"/>
                <w:b/>
                <w:bCs/>
                <w:color w:val="000000" w:themeColor="text1"/>
                <w:szCs w:val="21"/>
                <w:highlight w:val="none"/>
                <w:shd w:val="clear" w:color="auto" w:fill="FFFFFF"/>
                <w14:textFill>
                  <w14:solidFill>
                    <w14:schemeClr w14:val="tx1"/>
                  </w14:solidFill>
                </w14:textFill>
              </w:rPr>
              <w:t>时段</w:t>
            </w:r>
          </w:p>
        </w:tc>
        <w:tc>
          <w:tcPr>
            <w:tcW w:w="1889" w:type="dxa"/>
            <w:vMerge w:val="restart"/>
            <w:vAlign w:val="center"/>
          </w:tcPr>
          <w:p>
            <w:pPr>
              <w:pStyle w:val="297"/>
              <w:rPr>
                <w:b/>
                <w:bCs/>
                <w:color w:val="000000" w:themeColor="text1"/>
                <w:szCs w:val="21"/>
                <w:highlight w:val="none"/>
                <w:shd w:val="clear" w:color="auto" w:fill="FFFFFF"/>
                <w14:textFill>
                  <w14:solidFill>
                    <w14:schemeClr w14:val="tx1"/>
                  </w14:solidFill>
                </w14:textFill>
              </w:rPr>
            </w:pPr>
            <w:r>
              <w:rPr>
                <w:rFonts w:hint="eastAsia"/>
                <w:b/>
                <w:bCs/>
                <w:color w:val="000000" w:themeColor="text1"/>
                <w:szCs w:val="21"/>
                <w:highlight w:val="none"/>
                <w:shd w:val="clear" w:color="auto" w:fill="FFFFFF"/>
                <w14:textFill>
                  <w14:solidFill>
                    <w14:schemeClr w14:val="tx1"/>
                  </w14:solidFill>
                </w14:textFill>
              </w:rPr>
              <w:t>预测值（dB(A)）</w:t>
            </w:r>
          </w:p>
        </w:tc>
        <w:tc>
          <w:tcPr>
            <w:tcW w:w="1383" w:type="dxa"/>
            <w:vMerge w:val="restart"/>
            <w:vAlign w:val="center"/>
          </w:tcPr>
          <w:p>
            <w:pPr>
              <w:pStyle w:val="297"/>
              <w:rPr>
                <w:b/>
                <w:bCs/>
                <w:color w:val="000000" w:themeColor="text1"/>
                <w:szCs w:val="21"/>
                <w:highlight w:val="none"/>
                <w:shd w:val="clear" w:color="auto" w:fill="FFFFFF"/>
                <w14:textFill>
                  <w14:solidFill>
                    <w14:schemeClr w14:val="tx1"/>
                  </w14:solidFill>
                </w14:textFill>
              </w:rPr>
            </w:pPr>
            <w:r>
              <w:rPr>
                <w:rFonts w:hint="eastAsia"/>
                <w:b/>
                <w:bCs/>
                <w:color w:val="000000" w:themeColor="text1"/>
                <w:szCs w:val="21"/>
                <w:highlight w:val="none"/>
                <w:shd w:val="clear" w:color="auto" w:fill="FFFFFF"/>
                <w14:textFill>
                  <w14:solidFill>
                    <w14:schemeClr w14:val="tx1"/>
                  </w14:solidFill>
                </w14:textFill>
              </w:rPr>
              <w:t>标准限值（dB(A)）</w:t>
            </w:r>
          </w:p>
        </w:tc>
        <w:tc>
          <w:tcPr>
            <w:tcW w:w="1404" w:type="dxa"/>
            <w:vMerge w:val="restart"/>
            <w:vAlign w:val="center"/>
          </w:tcPr>
          <w:p>
            <w:pPr>
              <w:pStyle w:val="297"/>
              <w:rPr>
                <w:b/>
                <w:bCs/>
                <w:color w:val="000000" w:themeColor="text1"/>
                <w:szCs w:val="21"/>
                <w:highlight w:val="none"/>
                <w:shd w:val="clear" w:color="auto" w:fill="FFFFFF"/>
                <w14:textFill>
                  <w14:solidFill>
                    <w14:schemeClr w14:val="tx1"/>
                  </w14:solidFill>
                </w14:textFill>
              </w:rPr>
            </w:pPr>
            <w:r>
              <w:rPr>
                <w:rFonts w:hint="eastAsia"/>
                <w:b/>
                <w:bCs/>
                <w:color w:val="000000" w:themeColor="text1"/>
                <w:szCs w:val="21"/>
                <w:highlight w:val="none"/>
                <w:shd w:val="clear" w:color="auto" w:fill="FFFFFF"/>
                <w14:textFill>
                  <w14:solidFill>
                    <w14:schemeClr w14:val="tx1"/>
                  </w14:solidFill>
                </w14:textFill>
              </w:rPr>
              <w:t>达标情况</w:t>
            </w:r>
          </w:p>
        </w:tc>
      </w:tr>
      <w:tr>
        <w:tblPrEx>
          <w:tblBorders>
            <w:top w:val="single" w:color="156082" w:sz="4" w:space="0"/>
            <w:left w:val="single" w:color="156082" w:sz="4" w:space="0"/>
            <w:bottom w:val="single" w:color="156082" w:sz="4" w:space="0"/>
            <w:right w:val="single" w:color="156082"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821" w:type="dxa"/>
            <w:vMerge w:val="continue"/>
            <w:shd w:val="clear" w:color="auto" w:fill="FFFFFF"/>
            <w:vAlign w:val="center"/>
          </w:tcPr>
          <w:p>
            <w:pPr>
              <w:ind w:firstLine="420"/>
              <w:jc w:val="center"/>
              <w:rPr>
                <w:bCs/>
                <w:color w:val="000000" w:themeColor="text1"/>
                <w:sz w:val="21"/>
                <w:szCs w:val="21"/>
                <w:highlight w:val="none"/>
                <w14:textFill>
                  <w14:solidFill>
                    <w14:schemeClr w14:val="tx1"/>
                  </w14:solidFill>
                </w14:textFill>
              </w:rPr>
            </w:pPr>
          </w:p>
        </w:tc>
        <w:tc>
          <w:tcPr>
            <w:tcW w:w="1644" w:type="dxa"/>
            <w:vMerge w:val="continue"/>
            <w:shd w:val="clear" w:color="auto" w:fill="FFFFFF"/>
            <w:vAlign w:val="center"/>
          </w:tcPr>
          <w:p>
            <w:pPr>
              <w:ind w:firstLine="420"/>
              <w:jc w:val="center"/>
              <w:rPr>
                <w:bCs/>
                <w:color w:val="000000" w:themeColor="text1"/>
                <w:sz w:val="21"/>
                <w:szCs w:val="21"/>
                <w:highlight w:val="none"/>
                <w14:textFill>
                  <w14:solidFill>
                    <w14:schemeClr w14:val="tx1"/>
                  </w14:solidFill>
                </w14:textFill>
              </w:rPr>
            </w:pPr>
          </w:p>
        </w:tc>
        <w:tc>
          <w:tcPr>
            <w:tcW w:w="1889" w:type="dxa"/>
            <w:vMerge w:val="continue"/>
            <w:shd w:val="clear" w:color="auto" w:fill="FFFFFF"/>
            <w:vAlign w:val="center"/>
          </w:tcPr>
          <w:p>
            <w:pPr>
              <w:ind w:firstLine="420"/>
              <w:jc w:val="center"/>
              <w:rPr>
                <w:bCs/>
                <w:color w:val="000000" w:themeColor="text1"/>
                <w:sz w:val="21"/>
                <w:szCs w:val="21"/>
                <w:highlight w:val="none"/>
                <w14:textFill>
                  <w14:solidFill>
                    <w14:schemeClr w14:val="tx1"/>
                  </w14:solidFill>
                </w14:textFill>
              </w:rPr>
            </w:pPr>
          </w:p>
        </w:tc>
        <w:tc>
          <w:tcPr>
            <w:tcW w:w="1383" w:type="dxa"/>
            <w:vMerge w:val="continue"/>
            <w:shd w:val="clear" w:color="auto" w:fill="FFFFFF"/>
            <w:vAlign w:val="center"/>
          </w:tcPr>
          <w:p>
            <w:pPr>
              <w:ind w:firstLine="420"/>
              <w:jc w:val="center"/>
              <w:rPr>
                <w:bCs/>
                <w:color w:val="000000" w:themeColor="text1"/>
                <w:sz w:val="21"/>
                <w:szCs w:val="21"/>
                <w:highlight w:val="none"/>
                <w14:textFill>
                  <w14:solidFill>
                    <w14:schemeClr w14:val="tx1"/>
                  </w14:solidFill>
                </w14:textFill>
              </w:rPr>
            </w:pPr>
          </w:p>
        </w:tc>
        <w:tc>
          <w:tcPr>
            <w:tcW w:w="1404" w:type="dxa"/>
            <w:vMerge w:val="continue"/>
            <w:shd w:val="clear" w:color="auto" w:fill="FFFFFF"/>
            <w:vAlign w:val="center"/>
          </w:tcPr>
          <w:p>
            <w:pPr>
              <w:ind w:firstLine="420"/>
              <w:jc w:val="center"/>
              <w:rPr>
                <w:bCs/>
                <w:color w:val="000000" w:themeColor="text1"/>
                <w:sz w:val="21"/>
                <w:szCs w:val="21"/>
                <w:highlight w:val="none"/>
                <w14:textFill>
                  <w14:solidFill>
                    <w14:schemeClr w14:val="tx1"/>
                  </w14:solidFill>
                </w14:textFill>
              </w:rPr>
            </w:pPr>
          </w:p>
        </w:tc>
      </w:tr>
      <w:tr>
        <w:tblPrEx>
          <w:tblBorders>
            <w:top w:val="single" w:color="156082" w:sz="4" w:space="0"/>
            <w:left w:val="single" w:color="156082" w:sz="4" w:space="0"/>
            <w:bottom w:val="single" w:color="156082" w:sz="4" w:space="0"/>
            <w:right w:val="single" w:color="156082"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8" w:hRule="exact"/>
          <w:jc w:val="center"/>
        </w:trPr>
        <w:tc>
          <w:tcPr>
            <w:tcW w:w="1821" w:type="dxa"/>
            <w:shd w:val="clear" w:color="auto" w:fill="FFFFFF"/>
            <w:vAlign w:val="center"/>
          </w:tcPr>
          <w:p>
            <w:pPr>
              <w:spacing w:line="240" w:lineRule="auto"/>
              <w:ind w:firstLine="0" w:firstLineChars="0"/>
              <w:jc w:val="center"/>
              <w:rPr>
                <w:bCs/>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东北侧厂界</w:t>
            </w:r>
          </w:p>
        </w:tc>
        <w:tc>
          <w:tcPr>
            <w:tcW w:w="1644"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昼间</w:t>
            </w:r>
          </w:p>
        </w:tc>
        <w:tc>
          <w:tcPr>
            <w:tcW w:w="1889"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74</w:t>
            </w:r>
          </w:p>
        </w:tc>
        <w:tc>
          <w:tcPr>
            <w:tcW w:w="1383"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70</w:t>
            </w:r>
          </w:p>
        </w:tc>
        <w:tc>
          <w:tcPr>
            <w:tcW w:w="1404"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b/>
                <w:bCs/>
                <w:color w:val="000000" w:themeColor="text1"/>
                <w:kern w:val="0"/>
                <w:sz w:val="21"/>
                <w:szCs w:val="21"/>
                <w:highlight w:val="none"/>
                <w:lang w:bidi="ar"/>
                <w14:textFill>
                  <w14:solidFill>
                    <w14:schemeClr w14:val="tx1"/>
                  </w14:solidFill>
                </w14:textFill>
              </w:rPr>
              <w:t>超标4dB(A)</w:t>
            </w:r>
          </w:p>
        </w:tc>
      </w:tr>
      <w:tr>
        <w:tblPrEx>
          <w:tblBorders>
            <w:top w:val="single" w:color="156082" w:sz="4" w:space="0"/>
            <w:left w:val="single" w:color="156082" w:sz="4" w:space="0"/>
            <w:bottom w:val="single" w:color="156082" w:sz="4" w:space="0"/>
            <w:right w:val="single" w:color="156082"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8" w:hRule="exact"/>
          <w:jc w:val="center"/>
        </w:trPr>
        <w:tc>
          <w:tcPr>
            <w:tcW w:w="1821"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东南侧厂界</w:t>
            </w:r>
          </w:p>
        </w:tc>
        <w:tc>
          <w:tcPr>
            <w:tcW w:w="1644"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昼间</w:t>
            </w:r>
          </w:p>
        </w:tc>
        <w:tc>
          <w:tcPr>
            <w:tcW w:w="1889"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66</w:t>
            </w:r>
          </w:p>
        </w:tc>
        <w:tc>
          <w:tcPr>
            <w:tcW w:w="1383"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70</w:t>
            </w:r>
          </w:p>
        </w:tc>
        <w:tc>
          <w:tcPr>
            <w:tcW w:w="1404"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b/>
                <w:bCs/>
                <w:color w:val="000000" w:themeColor="text1"/>
                <w:kern w:val="0"/>
                <w:sz w:val="21"/>
                <w:szCs w:val="21"/>
                <w:highlight w:val="none"/>
                <w:lang w:bidi="ar"/>
                <w14:textFill>
                  <w14:solidFill>
                    <w14:schemeClr w14:val="tx1"/>
                  </w14:solidFill>
                </w14:textFill>
              </w:rPr>
              <w:t>达标</w:t>
            </w:r>
          </w:p>
        </w:tc>
      </w:tr>
      <w:tr>
        <w:tblPrEx>
          <w:tblBorders>
            <w:top w:val="single" w:color="156082" w:sz="4" w:space="0"/>
            <w:left w:val="single" w:color="156082" w:sz="4" w:space="0"/>
            <w:bottom w:val="single" w:color="156082" w:sz="4" w:space="0"/>
            <w:right w:val="single" w:color="156082"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38" w:hRule="exact"/>
          <w:jc w:val="center"/>
        </w:trPr>
        <w:tc>
          <w:tcPr>
            <w:tcW w:w="1821"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西南侧厂界</w:t>
            </w:r>
          </w:p>
        </w:tc>
        <w:tc>
          <w:tcPr>
            <w:tcW w:w="1644"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昼间</w:t>
            </w:r>
          </w:p>
        </w:tc>
        <w:tc>
          <w:tcPr>
            <w:tcW w:w="1889"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74</w:t>
            </w:r>
          </w:p>
        </w:tc>
        <w:tc>
          <w:tcPr>
            <w:tcW w:w="1383"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70</w:t>
            </w:r>
          </w:p>
        </w:tc>
        <w:tc>
          <w:tcPr>
            <w:tcW w:w="1404" w:type="dxa"/>
            <w:shd w:val="clear" w:color="auto" w:fill="FFFFFF"/>
            <w:vAlign w:val="center"/>
          </w:tcPr>
          <w:p>
            <w:pPr>
              <w:spacing w:line="240" w:lineRule="auto"/>
              <w:ind w:firstLine="0" w:firstLineChars="0"/>
              <w:rPr>
                <w:rFonts w:cs="Times New Roman"/>
                <w:color w:val="000000" w:themeColor="text1"/>
                <w:kern w:val="0"/>
                <w:sz w:val="21"/>
                <w:szCs w:val="21"/>
                <w:highlight w:val="none"/>
                <w:lang w:bidi="ar"/>
                <w14:textFill>
                  <w14:solidFill>
                    <w14:schemeClr w14:val="tx1"/>
                  </w14:solidFill>
                </w14:textFill>
              </w:rPr>
            </w:pPr>
            <w:r>
              <w:rPr>
                <w:rFonts w:hint="eastAsia" w:cs="Times New Roman"/>
                <w:b/>
                <w:bCs/>
                <w:color w:val="000000" w:themeColor="text1"/>
                <w:kern w:val="0"/>
                <w:sz w:val="21"/>
                <w:szCs w:val="21"/>
                <w:highlight w:val="none"/>
                <w:lang w:bidi="ar"/>
                <w14:textFill>
                  <w14:solidFill>
                    <w14:schemeClr w14:val="tx1"/>
                  </w14:solidFill>
                </w14:textFill>
              </w:rPr>
              <w:t>超标4dB(A)</w:t>
            </w:r>
          </w:p>
        </w:tc>
      </w:tr>
      <w:tr>
        <w:tblPrEx>
          <w:tblBorders>
            <w:top w:val="single" w:color="156082" w:sz="4" w:space="0"/>
            <w:left w:val="single" w:color="156082" w:sz="4" w:space="0"/>
            <w:bottom w:val="single" w:color="156082" w:sz="4" w:space="0"/>
            <w:right w:val="single" w:color="156082"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47" w:hRule="exact"/>
          <w:jc w:val="center"/>
        </w:trPr>
        <w:tc>
          <w:tcPr>
            <w:tcW w:w="1821"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西北侧厂界</w:t>
            </w:r>
          </w:p>
        </w:tc>
        <w:tc>
          <w:tcPr>
            <w:tcW w:w="1644"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昼间</w:t>
            </w:r>
          </w:p>
        </w:tc>
        <w:tc>
          <w:tcPr>
            <w:tcW w:w="1889"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68</w:t>
            </w:r>
          </w:p>
        </w:tc>
        <w:tc>
          <w:tcPr>
            <w:tcW w:w="1383"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color w:val="000000" w:themeColor="text1"/>
                <w:kern w:val="0"/>
                <w:sz w:val="21"/>
                <w:szCs w:val="21"/>
                <w:highlight w:val="none"/>
                <w:lang w:bidi="ar"/>
                <w14:textFill>
                  <w14:solidFill>
                    <w14:schemeClr w14:val="tx1"/>
                  </w14:solidFill>
                </w14:textFill>
              </w:rPr>
              <w:t>70</w:t>
            </w:r>
          </w:p>
        </w:tc>
        <w:tc>
          <w:tcPr>
            <w:tcW w:w="1404" w:type="dxa"/>
            <w:shd w:val="clear" w:color="auto" w:fill="FFFFFF"/>
            <w:vAlign w:val="center"/>
          </w:tcPr>
          <w:p>
            <w:pPr>
              <w:spacing w:line="240" w:lineRule="auto"/>
              <w:ind w:firstLine="0" w:firstLineChars="0"/>
              <w:jc w:val="center"/>
              <w:rPr>
                <w:rFonts w:cs="Times New Roman"/>
                <w:color w:val="000000" w:themeColor="text1"/>
                <w:kern w:val="0"/>
                <w:sz w:val="21"/>
                <w:szCs w:val="21"/>
                <w:highlight w:val="none"/>
                <w:lang w:bidi="ar"/>
                <w14:textFill>
                  <w14:solidFill>
                    <w14:schemeClr w14:val="tx1"/>
                  </w14:solidFill>
                </w14:textFill>
              </w:rPr>
            </w:pPr>
            <w:r>
              <w:rPr>
                <w:rFonts w:hint="eastAsia" w:cs="Times New Roman"/>
                <w:b/>
                <w:bCs/>
                <w:color w:val="000000" w:themeColor="text1"/>
                <w:kern w:val="0"/>
                <w:sz w:val="21"/>
                <w:szCs w:val="21"/>
                <w:highlight w:val="none"/>
                <w:lang w:bidi="ar"/>
                <w14:textFill>
                  <w14:solidFill>
                    <w14:schemeClr w14:val="tx1"/>
                  </w14:solidFill>
                </w14:textFill>
              </w:rPr>
              <w:t>达标</w:t>
            </w:r>
          </w:p>
        </w:tc>
      </w:tr>
    </w:tbl>
    <w:p>
      <w:pPr>
        <w:pStyle w:val="27"/>
        <w:spacing w:before="120" w:beforeLines="50"/>
        <w:ind w:firstLine="0" w:firstLineChars="0"/>
        <w:rPr>
          <w:rFonts w:ascii="Times New Roman" w:hAnsi="Times New Roman"/>
          <w:color w:val="000000" w:themeColor="text1"/>
          <w:szCs w:val="24"/>
          <w:highlight w:val="none"/>
          <w14:textFill>
            <w14:solidFill>
              <w14:schemeClr w14:val="tx1"/>
            </w14:solidFill>
          </w14:textFill>
        </w:rPr>
      </w:pPr>
      <w:r>
        <w:rPr>
          <w:rFonts w:hint="eastAsia" w:ascii="Times New Roman" w:hAnsi="Times New Roman"/>
          <w:color w:val="000000" w:themeColor="text1"/>
          <w:szCs w:val="24"/>
          <w:highlight w:val="none"/>
          <w14:textFill>
            <w14:solidFill>
              <w14:schemeClr w14:val="tx1"/>
            </w14:solidFill>
          </w14:textFill>
        </w:rPr>
        <w:drawing>
          <wp:inline distT="0" distB="0" distL="114300" distR="114300">
            <wp:extent cx="5265420" cy="3305810"/>
            <wp:effectExtent l="0" t="0" r="1905" b="8890"/>
            <wp:docPr id="63" name="图片 63" descr="173657300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736573008277"/>
                    <pic:cNvPicPr>
                      <a:picLocks noChangeAspect="1"/>
                    </pic:cNvPicPr>
                  </pic:nvPicPr>
                  <pic:blipFill>
                    <a:blip r:embed="rId66"/>
                    <a:stretch>
                      <a:fillRect/>
                    </a:stretch>
                  </pic:blipFill>
                  <pic:spPr>
                    <a:xfrm>
                      <a:off x="0" y="0"/>
                      <a:ext cx="5265420" cy="3305810"/>
                    </a:xfrm>
                    <a:prstGeom prst="rect">
                      <a:avLst/>
                    </a:prstGeom>
                  </pic:spPr>
                </pic:pic>
              </a:graphicData>
            </a:graphic>
          </wp:inline>
        </w:drawing>
      </w:r>
    </w:p>
    <w:p>
      <w:pPr>
        <w:pStyle w:val="27"/>
        <w:spacing w:before="120" w:beforeLines="50"/>
        <w:ind w:firstLine="420"/>
        <w:jc w:val="center"/>
        <w:rPr>
          <w:rFonts w:ascii="Times New Roman" w:hAnsi="Times New Roman" w:eastAsia="黑体"/>
          <w:color w:val="000000" w:themeColor="text1"/>
          <w:sz w:val="21"/>
          <w:szCs w:val="21"/>
          <w:highlight w:val="none"/>
          <w14:textFill>
            <w14:solidFill>
              <w14:schemeClr w14:val="tx1"/>
            </w14:solidFill>
          </w14:textFill>
        </w:rPr>
      </w:pPr>
      <w:r>
        <w:rPr>
          <w:rFonts w:hint="eastAsia" w:ascii="Times New Roman" w:hAnsi="Times New Roman" w:eastAsia="黑体"/>
          <w:color w:val="000000" w:themeColor="text1"/>
          <w:sz w:val="21"/>
          <w:szCs w:val="21"/>
          <w:highlight w:val="none"/>
          <w14:textFill>
            <w14:solidFill>
              <w14:schemeClr w14:val="tx1"/>
            </w14:solidFill>
          </w14:textFill>
        </w:rPr>
        <w:t>图</w:t>
      </w:r>
      <w:r>
        <w:rPr>
          <w:rFonts w:hint="eastAsia" w:ascii="Times New Roman" w:hAnsi="Times New Roman" w:eastAsia="黑体"/>
          <w:color w:val="000000" w:themeColor="text1"/>
          <w:sz w:val="21"/>
          <w:szCs w:val="21"/>
          <w:highlight w:val="none"/>
          <w14:textFill>
            <w14:solidFill>
              <w14:schemeClr w14:val="tx1"/>
            </w14:solidFill>
          </w14:textFill>
        </w:rPr>
        <w:fldChar w:fldCharType="begin"/>
      </w:r>
      <w:r>
        <w:rPr>
          <w:rFonts w:hint="eastAsia" w:ascii="Times New Roman" w:hAnsi="Times New Roman" w:eastAsia="黑体"/>
          <w:color w:val="000000" w:themeColor="text1"/>
          <w:sz w:val="21"/>
          <w:szCs w:val="21"/>
          <w:highlight w:val="none"/>
          <w14:textFill>
            <w14:solidFill>
              <w14:schemeClr w14:val="tx1"/>
            </w14:solidFill>
          </w14:textFill>
        </w:rPr>
        <w:instrText xml:space="preserve"> STYLEREF 2 \s </w:instrText>
      </w:r>
      <w:r>
        <w:rPr>
          <w:rFonts w:hint="eastAsia" w:ascii="Times New Roman" w:hAnsi="Times New Roman" w:eastAsia="黑体"/>
          <w:color w:val="000000" w:themeColor="text1"/>
          <w:sz w:val="21"/>
          <w:szCs w:val="21"/>
          <w:highlight w:val="none"/>
          <w14:textFill>
            <w14:solidFill>
              <w14:schemeClr w14:val="tx1"/>
            </w14:solidFill>
          </w14:textFill>
        </w:rPr>
        <w:fldChar w:fldCharType="separate"/>
      </w:r>
      <w:r>
        <w:rPr>
          <w:rFonts w:hint="eastAsia" w:ascii="Times New Roman" w:hAnsi="Times New Roman" w:eastAsia="黑体"/>
          <w:color w:val="000000" w:themeColor="text1"/>
          <w:sz w:val="21"/>
          <w:szCs w:val="21"/>
          <w:highlight w:val="none"/>
          <w14:textFill>
            <w14:solidFill>
              <w14:schemeClr w14:val="tx1"/>
            </w14:solidFill>
          </w14:textFill>
        </w:rPr>
        <w:t>5.1</w:t>
      </w:r>
      <w:r>
        <w:rPr>
          <w:rFonts w:hint="eastAsia" w:ascii="Times New Roman" w:hAnsi="Times New Roman" w:eastAsia="黑体"/>
          <w:color w:val="000000" w:themeColor="text1"/>
          <w:sz w:val="21"/>
          <w:szCs w:val="21"/>
          <w:highlight w:val="none"/>
          <w14:textFill>
            <w14:solidFill>
              <w14:schemeClr w14:val="tx1"/>
            </w14:solidFill>
          </w14:textFill>
        </w:rPr>
        <w:fldChar w:fldCharType="end"/>
      </w:r>
      <w:r>
        <w:rPr>
          <w:rFonts w:hint="eastAsia" w:ascii="Times New Roman" w:hAnsi="Times New Roman" w:eastAsia="黑体"/>
          <w:color w:val="000000" w:themeColor="text1"/>
          <w:sz w:val="21"/>
          <w:szCs w:val="21"/>
          <w:highlight w:val="none"/>
          <w14:textFill>
            <w14:solidFill>
              <w14:schemeClr w14:val="tx1"/>
            </w14:solidFill>
          </w14:textFill>
        </w:rPr>
        <w:noBreakHyphen/>
      </w:r>
      <w:r>
        <w:rPr>
          <w:rFonts w:hint="eastAsia" w:ascii="Times New Roman" w:hAnsi="Times New Roman" w:eastAsia="黑体"/>
          <w:color w:val="000000" w:themeColor="text1"/>
          <w:sz w:val="21"/>
          <w:szCs w:val="21"/>
          <w:highlight w:val="none"/>
          <w14:textFill>
            <w14:solidFill>
              <w14:schemeClr w14:val="tx1"/>
            </w14:solidFill>
          </w14:textFill>
        </w:rPr>
        <w:t>4 储层改造期噪声贡献值等声级线图</w:t>
      </w:r>
    </w:p>
    <w:p>
      <w:pPr>
        <w:pStyle w:val="27"/>
        <w:spacing w:before="120" w:beforeLines="50"/>
        <w:ind w:firstLine="480"/>
        <w:rPr>
          <w:rFonts w:ascii="Times New Roman" w:hAnsi="Times New Roman"/>
          <w:color w:val="000000" w:themeColor="text1"/>
          <w:szCs w:val="24"/>
          <w:highlight w:val="none"/>
          <w14:textFill>
            <w14:solidFill>
              <w14:schemeClr w14:val="tx1"/>
            </w14:solidFill>
          </w14:textFill>
        </w:rPr>
      </w:pPr>
      <w:r>
        <w:rPr>
          <w:rFonts w:hint="eastAsia" w:ascii="Times New Roman" w:hAnsi="Times New Roman"/>
          <w:color w:val="000000" w:themeColor="text1"/>
          <w:szCs w:val="24"/>
          <w:highlight w:val="none"/>
          <w14:textFill>
            <w14:solidFill>
              <w14:schemeClr w14:val="tx1"/>
            </w14:solidFill>
          </w14:textFill>
        </w:rPr>
        <w:t>由</w:t>
      </w:r>
      <w:r>
        <w:rPr>
          <w:rFonts w:ascii="Times New Roman" w:hAnsi="Times New Roman"/>
          <w:color w:val="000000" w:themeColor="text1"/>
          <w:szCs w:val="24"/>
          <w:highlight w:val="none"/>
          <w14:textFill>
            <w14:solidFill>
              <w14:schemeClr w14:val="tx1"/>
            </w14:solidFill>
          </w14:textFill>
        </w:rPr>
        <w:t>上表可知，压裂作业期间场界噪声不能满足《建筑施工场界环境噪声排放标准》（GB12523-2011）标准，压裂作业仅在昼间进行，不在夜间施工，进一步预测得知，压裂作业期间昼间噪声达标距离为井口约1</w:t>
      </w:r>
      <w:r>
        <w:rPr>
          <w:rFonts w:hint="eastAsia" w:ascii="Times New Roman" w:hAnsi="Times New Roman"/>
          <w:color w:val="000000" w:themeColor="text1"/>
          <w:szCs w:val="24"/>
          <w:highlight w:val="none"/>
          <w14:textFill>
            <w14:solidFill>
              <w14:schemeClr w14:val="tx1"/>
            </w14:solidFill>
          </w14:textFill>
        </w:rPr>
        <w:t>87</w:t>
      </w:r>
      <w:r>
        <w:rPr>
          <w:rFonts w:ascii="Times New Roman" w:hAnsi="Times New Roman"/>
          <w:color w:val="000000" w:themeColor="text1"/>
          <w:szCs w:val="24"/>
          <w:highlight w:val="none"/>
          <w14:textFill>
            <w14:solidFill>
              <w14:schemeClr w14:val="tx1"/>
            </w14:solidFill>
          </w14:textFill>
        </w:rPr>
        <w:t>m范围内，此范围内均无居民分布。压裂施工时间短，夜间不作业，单井约2</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5天完成压裂作业，压裂施工不是连续施工，噪声产生也不是连续的，随着压裂作业的结束，噪声影响也消失。因此，压裂作业噪声影响是短暂的，对周围居民影响是可接受的。</w:t>
      </w:r>
    </w:p>
    <w:p>
      <w:pPr>
        <w:pStyle w:val="226"/>
        <w:ind w:firstLine="482"/>
        <w:rPr>
          <w:rFonts w:ascii="Times New Roman" w:hAnsi="Times New Roman" w:cs="Times New Roman"/>
          <w:b/>
          <w:color w:val="000000" w:themeColor="text1"/>
          <w:highlight w:val="none"/>
          <w:lang w:eastAsia="zh-CN"/>
          <w14:textFill>
            <w14:solidFill>
              <w14:schemeClr w14:val="tx1"/>
            </w14:solidFill>
          </w14:textFill>
        </w:rPr>
      </w:pPr>
      <w:r>
        <w:rPr>
          <w:rFonts w:hint="eastAsia" w:ascii="Times New Roman" w:hAnsi="Times New Roman" w:cs="Times New Roman"/>
          <w:b/>
          <w:color w:val="000000" w:themeColor="text1"/>
          <w:highlight w:val="none"/>
          <w:lang w:eastAsia="zh-CN"/>
          <w14:textFill>
            <w14:solidFill>
              <w14:schemeClr w14:val="tx1"/>
            </w14:solidFill>
          </w14:textFill>
        </w:rPr>
        <w:t>2</w:t>
      </w:r>
      <w:r>
        <w:rPr>
          <w:rFonts w:ascii="Times New Roman" w:hAnsi="Times New Roman" w:cs="Times New Roman"/>
          <w:b/>
          <w:color w:val="000000" w:themeColor="text1"/>
          <w:highlight w:val="none"/>
          <w:lang w:eastAsia="zh-CN"/>
          <w14:textFill>
            <w14:solidFill>
              <w14:schemeClr w14:val="tx1"/>
            </w14:solidFill>
          </w14:textFill>
        </w:rPr>
        <w:t>、测试放喷噪声环境影响预测及分析</w:t>
      </w:r>
    </w:p>
    <w:p>
      <w:pPr>
        <w:ind w:firstLine="480"/>
        <w:rPr>
          <w:rFonts w:cs="Times New Roman"/>
          <w:color w:val="000000" w:themeColor="text1"/>
          <w:highlight w:val="none"/>
          <w:u w:val="single"/>
          <w14:textFill>
            <w14:solidFill>
              <w14:schemeClr w14:val="tx1"/>
            </w14:solidFill>
          </w14:textFill>
        </w:rPr>
      </w:pPr>
      <w:r>
        <w:rPr>
          <w:rFonts w:cs="Times New Roman"/>
          <w:color w:val="000000" w:themeColor="text1"/>
          <w:szCs w:val="24"/>
          <w:highlight w:val="none"/>
          <w14:textFill>
            <w14:solidFill>
              <w14:schemeClr w14:val="tx1"/>
            </w14:solidFill>
          </w14:textFill>
        </w:rPr>
        <w:t>天然气测试放喷过程的噪声为连续噪声，仅在完井时测试中进行放喷，时间约为3小时，噪声源强度约为95~105dB（A）。项目通过在放喷池设置三面建较高的密实的防火墙，可以降低一定的噪声；同时由于测试放喷时间较短，并选择在昼间进行测试，随着测试的结束，噪声影响也消失。同时，根据本项目的测试外围应急疏散方案，放喷测试前组织临时疏散周边居民，因此，测试放喷噪声影响短暂的，对周围居民影响是可接受的。</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土壤环境影响分析</w:t>
      </w:r>
    </w:p>
    <w:p>
      <w:pPr>
        <w:pStyle w:val="27"/>
        <w:ind w:firstLine="482"/>
        <w:rPr>
          <w:rFonts w:ascii="Times New Roman" w:hAnsi="Times New Roman"/>
          <w:b/>
          <w:color w:val="000000" w:themeColor="text1"/>
          <w:szCs w:val="24"/>
          <w:highlight w:val="none"/>
          <w14:textFill>
            <w14:solidFill>
              <w14:schemeClr w14:val="tx1"/>
            </w14:solidFill>
          </w14:textFill>
        </w:rPr>
      </w:pPr>
      <w:r>
        <w:rPr>
          <w:rFonts w:ascii="Times New Roman" w:hAnsi="Times New Roman"/>
          <w:b/>
          <w:color w:val="000000" w:themeColor="text1"/>
          <w:szCs w:val="24"/>
          <w:highlight w:val="none"/>
          <w14:textFill>
            <w14:solidFill>
              <w14:schemeClr w14:val="tx1"/>
            </w14:solidFill>
          </w14:textFill>
        </w:rPr>
        <w:t>（1）土壤环境影响分析</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1）大气污染途径</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hint="eastAsia" w:ascii="Times New Roman" w:hAnsi="Times New Roman"/>
          <w:bCs/>
          <w:color w:val="000000" w:themeColor="text1"/>
          <w:szCs w:val="24"/>
          <w:highlight w:val="none"/>
          <w14:textFill>
            <w14:solidFill>
              <w14:schemeClr w14:val="tx1"/>
            </w14:solidFill>
          </w14:textFill>
        </w:rPr>
        <w:t>储层改造施工时的</w:t>
      </w:r>
      <w:r>
        <w:rPr>
          <w:rFonts w:ascii="Times New Roman" w:hAnsi="Times New Roman"/>
          <w:bCs/>
          <w:color w:val="000000" w:themeColor="text1"/>
          <w:szCs w:val="24"/>
          <w:highlight w:val="none"/>
          <w14:textFill>
            <w14:solidFill>
              <w14:schemeClr w14:val="tx1"/>
            </w14:solidFill>
          </w14:textFill>
        </w:rPr>
        <w:t>压裂车</w:t>
      </w:r>
      <w:r>
        <w:rPr>
          <w:rFonts w:hint="eastAsia" w:ascii="Times New Roman" w:hAnsi="Times New Roman"/>
          <w:bCs/>
          <w:color w:val="000000" w:themeColor="text1"/>
          <w:szCs w:val="24"/>
          <w:highlight w:val="none"/>
          <w14:textFill>
            <w14:solidFill>
              <w14:schemeClr w14:val="tx1"/>
            </w14:solidFill>
          </w14:textFill>
        </w:rPr>
        <w:t>燃料燃烧废气中</w:t>
      </w:r>
      <w:r>
        <w:rPr>
          <w:rFonts w:ascii="Times New Roman" w:hAnsi="Times New Roman"/>
          <w:bCs/>
          <w:color w:val="000000" w:themeColor="text1"/>
          <w:szCs w:val="24"/>
          <w:highlight w:val="none"/>
          <w14:textFill>
            <w14:solidFill>
              <w14:schemeClr w14:val="tx1"/>
            </w14:solidFill>
          </w14:textFill>
        </w:rPr>
        <w:t>有SO</w:t>
      </w:r>
      <w:r>
        <w:rPr>
          <w:rFonts w:ascii="Times New Roman" w:hAnsi="Times New Roman"/>
          <w:bCs/>
          <w:color w:val="000000" w:themeColor="text1"/>
          <w:szCs w:val="24"/>
          <w:highlight w:val="none"/>
          <w:vertAlign w:val="subscript"/>
          <w14:textFill>
            <w14:solidFill>
              <w14:schemeClr w14:val="tx1"/>
            </w14:solidFill>
          </w14:textFill>
        </w:rPr>
        <w:t>2</w:t>
      </w:r>
      <w:r>
        <w:rPr>
          <w:rFonts w:hint="eastAsia" w:ascii="Times New Roman" w:hAnsi="Times New Roman"/>
          <w:bCs/>
          <w:color w:val="000000" w:themeColor="text1"/>
          <w:szCs w:val="24"/>
          <w:highlight w:val="none"/>
          <w14:textFill>
            <w14:solidFill>
              <w14:schemeClr w14:val="tx1"/>
            </w14:solidFill>
          </w14:textFill>
        </w:rPr>
        <w:t>、NOx，</w:t>
      </w:r>
      <w:r>
        <w:rPr>
          <w:rFonts w:ascii="Times New Roman" w:hAnsi="Times New Roman"/>
          <w:bCs/>
          <w:color w:val="000000" w:themeColor="text1"/>
          <w:szCs w:val="24"/>
          <w:highlight w:val="none"/>
          <w14:textFill>
            <w14:solidFill>
              <w14:schemeClr w14:val="tx1"/>
            </w14:solidFill>
          </w14:textFill>
        </w:rPr>
        <w:t>放喷燃烧</w:t>
      </w:r>
      <w:r>
        <w:rPr>
          <w:rFonts w:hint="eastAsia" w:ascii="Times New Roman" w:hAnsi="Times New Roman"/>
          <w:bCs/>
          <w:color w:val="000000" w:themeColor="text1"/>
          <w:szCs w:val="24"/>
          <w:highlight w:val="none"/>
          <w14:textFill>
            <w14:solidFill>
              <w14:schemeClr w14:val="tx1"/>
            </w14:solidFill>
          </w14:textFill>
        </w:rPr>
        <w:t>时的燃烧废气中</w:t>
      </w:r>
      <w:r>
        <w:rPr>
          <w:rFonts w:ascii="Times New Roman" w:hAnsi="Times New Roman"/>
          <w:bCs/>
          <w:color w:val="000000" w:themeColor="text1"/>
          <w:szCs w:val="24"/>
          <w:highlight w:val="none"/>
          <w14:textFill>
            <w14:solidFill>
              <w14:schemeClr w14:val="tx1"/>
            </w14:solidFill>
          </w14:textFill>
        </w:rPr>
        <w:t>有</w:t>
      </w:r>
      <w:r>
        <w:rPr>
          <w:rFonts w:hint="eastAsia" w:ascii="Times New Roman" w:hAnsi="Times New Roman"/>
          <w:bCs/>
          <w:color w:val="000000" w:themeColor="text1"/>
          <w:szCs w:val="24"/>
          <w:highlight w:val="none"/>
          <w:lang w:val="en-US" w:eastAsia="zh-CN"/>
          <w14:textFill>
            <w14:solidFill>
              <w14:schemeClr w14:val="tx1"/>
            </w14:solidFill>
          </w14:textFill>
        </w:rPr>
        <w:t>SO</w:t>
      </w:r>
      <w:r>
        <w:rPr>
          <w:rFonts w:hint="eastAsia" w:ascii="Times New Roman" w:hAnsi="Times New Roman"/>
          <w:bCs/>
          <w:color w:val="000000" w:themeColor="text1"/>
          <w:szCs w:val="24"/>
          <w:highlight w:val="none"/>
          <w:vertAlign w:val="subscript"/>
          <w:lang w:val="en-US" w:eastAsia="zh-CN"/>
          <w14:textFill>
            <w14:solidFill>
              <w14:schemeClr w14:val="tx1"/>
            </w14:solidFill>
          </w14:textFill>
        </w:rPr>
        <w:t>2</w:t>
      </w:r>
      <w:r>
        <w:rPr>
          <w:rFonts w:hint="eastAsia" w:ascii="Times New Roman" w:hAnsi="Times New Roman"/>
          <w:bCs/>
          <w:color w:val="000000" w:themeColor="text1"/>
          <w:szCs w:val="24"/>
          <w:highlight w:val="none"/>
          <w:lang w:val="en-US" w:eastAsia="zh-CN"/>
          <w14:textFill>
            <w14:solidFill>
              <w14:schemeClr w14:val="tx1"/>
            </w14:solidFill>
          </w14:textFill>
        </w:rPr>
        <w:t>、</w:t>
      </w:r>
      <w:r>
        <w:rPr>
          <w:rFonts w:hint="eastAsia" w:ascii="Times New Roman" w:hAnsi="Times New Roman"/>
          <w:bCs/>
          <w:color w:val="000000" w:themeColor="text1"/>
          <w:szCs w:val="24"/>
          <w:highlight w:val="none"/>
          <w14:textFill>
            <w14:solidFill>
              <w14:schemeClr w14:val="tx1"/>
            </w14:solidFill>
          </w14:textFill>
        </w:rPr>
        <w:t>C</w:t>
      </w:r>
      <w:r>
        <w:rPr>
          <w:rFonts w:ascii="Times New Roman" w:hAnsi="Times New Roman"/>
          <w:bCs/>
          <w:color w:val="000000" w:themeColor="text1"/>
          <w:szCs w:val="24"/>
          <w:highlight w:val="none"/>
          <w14:textFill>
            <w14:solidFill>
              <w14:schemeClr w14:val="tx1"/>
            </w14:solidFill>
          </w14:textFill>
        </w:rPr>
        <w:t>O</w:t>
      </w:r>
      <w:r>
        <w:rPr>
          <w:rFonts w:ascii="Times New Roman" w:hAnsi="Times New Roman"/>
          <w:bCs/>
          <w:color w:val="000000" w:themeColor="text1"/>
          <w:szCs w:val="24"/>
          <w:highlight w:val="none"/>
          <w:vertAlign w:val="subscript"/>
          <w14:textFill>
            <w14:solidFill>
              <w14:schemeClr w14:val="tx1"/>
            </w14:solidFill>
          </w14:textFill>
        </w:rPr>
        <w:t>2</w:t>
      </w:r>
      <w:r>
        <w:rPr>
          <w:rFonts w:ascii="Times New Roman" w:hAnsi="Times New Roman"/>
          <w:bCs/>
          <w:color w:val="000000" w:themeColor="text1"/>
          <w:szCs w:val="24"/>
          <w:highlight w:val="none"/>
          <w14:textFill>
            <w14:solidFill>
              <w14:schemeClr w14:val="tx1"/>
            </w14:solidFill>
          </w14:textFill>
        </w:rPr>
        <w:t>。</w:t>
      </w:r>
      <w:r>
        <w:rPr>
          <w:rFonts w:hint="eastAsia" w:ascii="Times New Roman" w:hAnsi="Times New Roman"/>
          <w:bCs/>
          <w:color w:val="000000" w:themeColor="text1"/>
          <w:szCs w:val="24"/>
          <w:highlight w:val="none"/>
          <w14:textFill>
            <w14:solidFill>
              <w14:schemeClr w14:val="tx1"/>
            </w14:solidFill>
          </w14:textFill>
        </w:rPr>
        <w:t>上述</w:t>
      </w:r>
      <w:r>
        <w:rPr>
          <w:rFonts w:ascii="Times New Roman" w:hAnsi="Times New Roman"/>
          <w:bCs/>
          <w:color w:val="000000" w:themeColor="text1"/>
          <w:szCs w:val="24"/>
          <w:highlight w:val="none"/>
          <w14:textFill>
            <w14:solidFill>
              <w14:schemeClr w14:val="tx1"/>
            </w14:solidFill>
          </w14:textFill>
        </w:rPr>
        <w:t>大气污染物通过降雨或沉降进入土壤，从而引起土壤污染。</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根据对周边已建天然气项目的调查，通过施工单位严格施工管理，天然气开发过程中周边大气中一般不会出现</w:t>
      </w:r>
      <w:r>
        <w:rPr>
          <w:rFonts w:hint="eastAsia" w:ascii="Times New Roman" w:hAnsi="Times New Roman"/>
          <w:bCs/>
          <w:color w:val="000000" w:themeColor="text1"/>
          <w:szCs w:val="24"/>
          <w:highlight w:val="none"/>
          <w14:textFill>
            <w14:solidFill>
              <w14:schemeClr w14:val="tx1"/>
            </w14:solidFill>
          </w14:textFill>
        </w:rPr>
        <w:t>C</w:t>
      </w:r>
      <w:r>
        <w:rPr>
          <w:rFonts w:ascii="Times New Roman" w:hAnsi="Times New Roman"/>
          <w:bCs/>
          <w:color w:val="000000" w:themeColor="text1"/>
          <w:szCs w:val="24"/>
          <w:highlight w:val="none"/>
          <w14:textFill>
            <w14:solidFill>
              <w14:schemeClr w14:val="tx1"/>
            </w14:solidFill>
          </w14:textFill>
        </w:rPr>
        <w:t>O</w:t>
      </w:r>
      <w:r>
        <w:rPr>
          <w:rFonts w:ascii="Times New Roman" w:hAnsi="Times New Roman"/>
          <w:bCs/>
          <w:color w:val="000000" w:themeColor="text1"/>
          <w:szCs w:val="24"/>
          <w:highlight w:val="none"/>
          <w:vertAlign w:val="subscript"/>
          <w14:textFill>
            <w14:solidFill>
              <w14:schemeClr w14:val="tx1"/>
            </w14:solidFill>
          </w14:textFill>
        </w:rPr>
        <w:t>2</w:t>
      </w:r>
      <w:r>
        <w:rPr>
          <w:rFonts w:hint="eastAsia" w:ascii="Times New Roman" w:hAnsi="Times New Roman"/>
          <w:bCs/>
          <w:color w:val="000000" w:themeColor="text1"/>
          <w:szCs w:val="24"/>
          <w:highlight w:val="none"/>
          <w14:textFill>
            <w14:solidFill>
              <w14:schemeClr w14:val="tx1"/>
            </w14:solidFill>
          </w14:textFill>
        </w:rPr>
        <w:t>、</w:t>
      </w:r>
      <w:r>
        <w:rPr>
          <w:rFonts w:ascii="Times New Roman" w:hAnsi="Times New Roman"/>
          <w:bCs/>
          <w:color w:val="000000" w:themeColor="text1"/>
          <w:szCs w:val="24"/>
          <w:highlight w:val="none"/>
          <w14:textFill>
            <w14:solidFill>
              <w14:schemeClr w14:val="tx1"/>
            </w14:solidFill>
          </w14:textFill>
        </w:rPr>
        <w:t>SO</w:t>
      </w:r>
      <w:r>
        <w:rPr>
          <w:rFonts w:ascii="Times New Roman" w:hAnsi="Times New Roman"/>
          <w:bCs/>
          <w:color w:val="000000" w:themeColor="text1"/>
          <w:szCs w:val="24"/>
          <w:highlight w:val="none"/>
          <w:vertAlign w:val="subscript"/>
          <w14:textFill>
            <w14:solidFill>
              <w14:schemeClr w14:val="tx1"/>
            </w14:solidFill>
          </w14:textFill>
        </w:rPr>
        <w:t>2</w:t>
      </w:r>
      <w:r>
        <w:rPr>
          <w:rFonts w:ascii="Times New Roman" w:hAnsi="Times New Roman"/>
          <w:bCs/>
          <w:color w:val="000000" w:themeColor="text1"/>
          <w:szCs w:val="24"/>
          <w:highlight w:val="none"/>
          <w14:textFill>
            <w14:solidFill>
              <w14:schemeClr w14:val="tx1"/>
            </w14:solidFill>
          </w14:textFill>
        </w:rPr>
        <w:t>等酸性氧化物超标的情况，通过大气污染土壤的可能性较小。</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2）水污染途径</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本项目井场建设期污染物主要通过地面漫流、垂直入渗途径污染土壤。</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①地面漫流</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对于</w:t>
      </w:r>
      <w:r>
        <w:rPr>
          <w:rFonts w:hint="eastAsia" w:ascii="Times New Roman" w:hAnsi="Times New Roman"/>
          <w:bCs/>
          <w:color w:val="000000" w:themeColor="text1"/>
          <w:szCs w:val="24"/>
          <w:highlight w:val="none"/>
          <w14:textFill>
            <w14:solidFill>
              <w14:schemeClr w14:val="tx1"/>
            </w14:solidFill>
          </w14:textFill>
        </w:rPr>
        <w:t>储层改造阶段废水储层设施（压裂液储罐、放喷池）等</w:t>
      </w:r>
      <w:r>
        <w:rPr>
          <w:rFonts w:ascii="Times New Roman" w:hAnsi="Times New Roman"/>
          <w:bCs/>
          <w:color w:val="000000" w:themeColor="text1"/>
          <w:szCs w:val="24"/>
          <w:highlight w:val="none"/>
          <w14:textFill>
            <w14:solidFill>
              <w14:schemeClr w14:val="tx1"/>
            </w14:solidFill>
          </w14:textFill>
        </w:rPr>
        <w:t>区域，在事故情况和降雨情况下产生的废水会发生地面漫流，进一步污染土壤。</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建设单位对</w:t>
      </w:r>
      <w:r>
        <w:rPr>
          <w:rFonts w:hint="eastAsia" w:ascii="Times New Roman" w:hAnsi="Times New Roman"/>
          <w:bCs/>
          <w:color w:val="000000" w:themeColor="text1"/>
          <w:szCs w:val="24"/>
          <w:highlight w:val="none"/>
          <w14:textFill>
            <w14:solidFill>
              <w14:schemeClr w14:val="tx1"/>
            </w14:solidFill>
          </w14:textFill>
        </w:rPr>
        <w:t>压裂液储罐、</w:t>
      </w:r>
      <w:r>
        <w:rPr>
          <w:rFonts w:ascii="Times New Roman" w:hAnsi="Times New Roman"/>
          <w:bCs/>
          <w:color w:val="000000" w:themeColor="text1"/>
          <w:szCs w:val="24"/>
          <w:highlight w:val="none"/>
          <w14:textFill>
            <w14:solidFill>
              <w14:schemeClr w14:val="tx1"/>
            </w14:solidFill>
          </w14:textFill>
        </w:rPr>
        <w:t>放喷池在雨天加盖篷布，避免暴雨引起废水、废油外溢形成地面漫流。并在</w:t>
      </w:r>
      <w:r>
        <w:rPr>
          <w:rFonts w:hint="eastAsia" w:ascii="Times New Roman" w:hAnsi="Times New Roman"/>
          <w:bCs/>
          <w:color w:val="000000" w:themeColor="text1"/>
          <w:szCs w:val="24"/>
          <w:highlight w:val="none"/>
          <w14:textFill>
            <w14:solidFill>
              <w14:schemeClr w14:val="tx1"/>
            </w14:solidFill>
          </w14:textFill>
        </w:rPr>
        <w:t>储罐</w:t>
      </w:r>
      <w:r>
        <w:rPr>
          <w:rFonts w:ascii="Times New Roman" w:hAnsi="Times New Roman"/>
          <w:bCs/>
          <w:color w:val="000000" w:themeColor="text1"/>
          <w:szCs w:val="24"/>
          <w:highlight w:val="none"/>
          <w14:textFill>
            <w14:solidFill>
              <w14:schemeClr w14:val="tx1"/>
            </w14:solidFill>
          </w14:textFill>
        </w:rPr>
        <w:t>周围设置0.</w:t>
      </w:r>
      <w:r>
        <w:rPr>
          <w:rFonts w:hint="eastAsia" w:ascii="Times New Roman" w:hAnsi="Times New Roman"/>
          <w:bCs/>
          <w:color w:val="000000" w:themeColor="text1"/>
          <w:szCs w:val="24"/>
          <w:highlight w:val="none"/>
          <w14:textFill>
            <w14:solidFill>
              <w14:schemeClr w14:val="tx1"/>
            </w14:solidFill>
          </w14:textFill>
        </w:rPr>
        <w:t>3</w:t>
      </w:r>
      <w:r>
        <w:rPr>
          <w:rFonts w:ascii="Times New Roman" w:hAnsi="Times New Roman"/>
          <w:bCs/>
          <w:color w:val="000000" w:themeColor="text1"/>
          <w:szCs w:val="24"/>
          <w:highlight w:val="none"/>
          <w14:textFill>
            <w14:solidFill>
              <w14:schemeClr w14:val="tx1"/>
            </w14:solidFill>
          </w14:textFill>
        </w:rPr>
        <w:t>m高围堰，防止废水外溢；放喷池最低面墙设置不低于0.5m，避免雨水进入；井口作业区周边设置导流沟，将可能泄露的废水导流至集污坑；井场四周设置双环沟，外环沟与自然沟渠连接，便于导排场地外雨水等，内环沟用于收集井场内的雨水和可能产生的污水，汇入集污坑。通过以上措施全面防控事故废水和可能受污染的雨水发生地面漫流，进入土壤。</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在全面落实污染防控措施的情况下，污染物的地面漫流对土壤影响较小。</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②垂直入渗</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对于</w:t>
      </w:r>
      <w:r>
        <w:rPr>
          <w:rFonts w:hint="eastAsia" w:ascii="Times New Roman" w:hAnsi="Times New Roman"/>
          <w:bCs/>
          <w:color w:val="000000" w:themeColor="text1"/>
          <w:szCs w:val="24"/>
          <w:highlight w:val="none"/>
          <w14:textFill>
            <w14:solidFill>
              <w14:schemeClr w14:val="tx1"/>
            </w14:solidFill>
          </w14:textFill>
        </w:rPr>
        <w:t>储层改造阶段废水储层设施（压裂液储罐、放喷池）等</w:t>
      </w:r>
      <w:r>
        <w:rPr>
          <w:rFonts w:ascii="Times New Roman" w:hAnsi="Times New Roman"/>
          <w:bCs/>
          <w:color w:val="000000" w:themeColor="text1"/>
          <w:szCs w:val="24"/>
          <w:highlight w:val="none"/>
          <w14:textFill>
            <w14:solidFill>
              <w14:schemeClr w14:val="tx1"/>
            </w14:solidFill>
          </w14:textFill>
        </w:rPr>
        <w:t>区域，在事故情况下会造成污染物的</w:t>
      </w:r>
      <w:r>
        <w:rPr>
          <w:rFonts w:hint="eastAsia" w:ascii="Times New Roman" w:hAnsi="Times New Roman"/>
          <w:bCs/>
          <w:color w:val="000000" w:themeColor="text1"/>
          <w:szCs w:val="24"/>
          <w:highlight w:val="none"/>
          <w14:textFill>
            <w14:solidFill>
              <w14:schemeClr w14:val="tx1"/>
            </w14:solidFill>
          </w14:textFill>
        </w:rPr>
        <w:t>泄漏</w:t>
      </w:r>
      <w:r>
        <w:rPr>
          <w:rFonts w:ascii="Times New Roman" w:hAnsi="Times New Roman"/>
          <w:bCs/>
          <w:color w:val="000000" w:themeColor="text1"/>
          <w:szCs w:val="24"/>
          <w:highlight w:val="none"/>
          <w14:textFill>
            <w14:solidFill>
              <w14:schemeClr w14:val="tx1"/>
            </w14:solidFill>
          </w14:textFill>
        </w:rPr>
        <w:t>，通过垂直入渗途径污染土壤。</w:t>
      </w:r>
    </w:p>
    <w:p>
      <w:pPr>
        <w:pStyle w:val="27"/>
        <w:ind w:firstLine="480"/>
        <w:rPr>
          <w:rFonts w:ascii="Times New Roman" w:hAnsi="Times New Roman"/>
          <w:bCs/>
          <w:color w:val="000000" w:themeColor="text1"/>
          <w:szCs w:val="24"/>
          <w:highlight w:val="none"/>
          <w14:textFill>
            <w14:solidFill>
              <w14:schemeClr w14:val="tx1"/>
            </w14:solidFill>
          </w14:textFill>
        </w:rPr>
      </w:pPr>
      <w:r>
        <w:rPr>
          <w:rFonts w:ascii="Times New Roman" w:hAnsi="Times New Roman"/>
          <w:bCs/>
          <w:color w:val="000000" w:themeColor="text1"/>
          <w:szCs w:val="24"/>
          <w:highlight w:val="none"/>
          <w14:textFill>
            <w14:solidFill>
              <w14:schemeClr w14:val="tx1"/>
            </w14:solidFill>
          </w14:textFill>
        </w:rPr>
        <w:t>本项目采取分区防渗措施，</w:t>
      </w:r>
      <w:r>
        <w:rPr>
          <w:rFonts w:ascii="Times New Roman" w:hAnsi="Times New Roman"/>
          <w:color w:val="000000" w:themeColor="text1"/>
          <w:szCs w:val="24"/>
          <w:highlight w:val="none"/>
          <w14:textFill>
            <w14:solidFill>
              <w14:schemeClr w14:val="tx1"/>
            </w14:solidFill>
          </w14:textFill>
        </w:rPr>
        <w:t>场地内方井、放喷池、</w:t>
      </w:r>
      <w:r>
        <w:rPr>
          <w:rFonts w:hint="eastAsia" w:ascii="Times New Roman" w:hAnsi="Times New Roman"/>
          <w:bCs/>
          <w:color w:val="000000" w:themeColor="text1"/>
          <w:szCs w:val="24"/>
          <w:highlight w:val="none"/>
          <w14:textFill>
            <w14:solidFill>
              <w14:schemeClr w14:val="tx1"/>
            </w14:solidFill>
          </w14:textFill>
        </w:rPr>
        <w:t>压裂液储罐</w:t>
      </w:r>
      <w:r>
        <w:rPr>
          <w:rFonts w:ascii="Times New Roman" w:hAnsi="Times New Roman"/>
          <w:color w:val="000000" w:themeColor="text1"/>
          <w:szCs w:val="24"/>
          <w:highlight w:val="none"/>
          <w14:textFill>
            <w14:solidFill>
              <w14:schemeClr w14:val="tx1"/>
            </w14:solidFill>
          </w14:textFill>
        </w:rPr>
        <w:t>等采取重点防渗措施</w:t>
      </w:r>
      <w:r>
        <w:rPr>
          <w:rFonts w:ascii="Times New Roman" w:hAnsi="Times New Roman"/>
          <w:bCs/>
          <w:color w:val="000000" w:themeColor="text1"/>
          <w:szCs w:val="24"/>
          <w:highlight w:val="none"/>
          <w14:textFill>
            <w14:solidFill>
              <w14:schemeClr w14:val="tx1"/>
            </w14:solidFill>
          </w14:textFill>
        </w:rPr>
        <w:t>。在全面落实分区防渗措施的情况下，污染物的垂直入渗对土壤影响较小。</w:t>
      </w:r>
    </w:p>
    <w:p>
      <w:pPr>
        <w:pStyle w:val="27"/>
        <w:ind w:firstLine="482"/>
        <w:rPr>
          <w:rFonts w:ascii="Times New Roman" w:hAnsi="Times New Roman"/>
          <w:b/>
          <w:color w:val="000000" w:themeColor="text1"/>
          <w:szCs w:val="24"/>
          <w:highlight w:val="none"/>
          <w14:textFill>
            <w14:solidFill>
              <w14:schemeClr w14:val="tx1"/>
            </w14:solidFill>
          </w14:textFill>
        </w:rPr>
      </w:pPr>
      <w:r>
        <w:rPr>
          <w:rFonts w:ascii="Times New Roman" w:hAnsi="Times New Roman"/>
          <w:b/>
          <w:color w:val="000000" w:themeColor="text1"/>
          <w:szCs w:val="24"/>
          <w:highlight w:val="none"/>
          <w14:textFill>
            <w14:solidFill>
              <w14:schemeClr w14:val="tx1"/>
            </w14:solidFill>
          </w14:textFill>
        </w:rPr>
        <w:t>（2）土壤环境影响预测与评价</w:t>
      </w:r>
    </w:p>
    <w:p>
      <w:pPr>
        <w:pStyle w:val="27"/>
        <w:ind w:firstLine="480"/>
        <w:rPr>
          <w:rFonts w:ascii="Times New Roman" w:hAnsi="Times New Roman"/>
          <w:color w:val="000000" w:themeColor="text1"/>
          <w:szCs w:val="24"/>
          <w:highlight w:val="none"/>
          <w14:textFill>
            <w14:solidFill>
              <w14:schemeClr w14:val="tx1"/>
            </w14:solidFill>
          </w14:textFill>
        </w:rPr>
      </w:pPr>
      <w:r>
        <w:rPr>
          <w:rFonts w:hint="eastAsia" w:ascii="Times New Roman" w:hAnsi="Times New Roman"/>
          <w:color w:val="000000" w:themeColor="text1"/>
          <w:szCs w:val="24"/>
          <w:highlight w:val="none"/>
          <w14:textFill>
            <w14:solidFill>
              <w14:schemeClr w14:val="tx1"/>
            </w14:solidFill>
          </w14:textFill>
        </w:rPr>
        <w:t>本次评价储层改造阶段同样类比</w:t>
      </w:r>
      <w:r>
        <w:rPr>
          <w:rFonts w:ascii="Times New Roman" w:hAnsi="Times New Roman"/>
          <w:color w:val="000000" w:themeColor="text1"/>
          <w:szCs w:val="24"/>
          <w:highlight w:val="none"/>
          <w14:textFill>
            <w14:solidFill>
              <w14:schemeClr w14:val="tx1"/>
            </w14:solidFill>
          </w14:textFill>
        </w:rPr>
        <w:t>同区域的</w:t>
      </w:r>
      <w:r>
        <w:rPr>
          <w:rFonts w:hint="eastAsia" w:ascii="Times New Roman" w:hAnsi="Times New Roman"/>
          <w:color w:val="000000" w:themeColor="text1"/>
          <w:szCs w:val="24"/>
          <w:highlight w:val="none"/>
          <w:lang w:eastAsia="zh-CN"/>
          <w14:textFill>
            <w14:solidFill>
              <w14:schemeClr w14:val="tx1"/>
            </w14:solidFill>
          </w14:textFill>
        </w:rPr>
        <w:t>大湾408试采站</w:t>
      </w:r>
      <w:r>
        <w:rPr>
          <w:rFonts w:ascii="Times New Roman" w:hAnsi="Times New Roman"/>
          <w:color w:val="000000" w:themeColor="text1"/>
          <w:szCs w:val="24"/>
          <w:highlight w:val="none"/>
          <w14:textFill>
            <w14:solidFill>
              <w14:schemeClr w14:val="tx1"/>
            </w14:solidFill>
          </w14:textFill>
        </w:rPr>
        <w:t>内监测数据进行分析（</w:t>
      </w:r>
      <w:r>
        <w:rPr>
          <w:rFonts w:hint="eastAsia" w:ascii="Times New Roman" w:hAnsi="Times New Roman"/>
          <w:color w:val="000000" w:themeColor="text1"/>
          <w:szCs w:val="24"/>
          <w:highlight w:val="none"/>
          <w:lang w:eastAsia="zh-CN"/>
          <w14:textFill>
            <w14:solidFill>
              <w14:schemeClr w14:val="tx1"/>
            </w14:solidFill>
          </w14:textFill>
        </w:rPr>
        <w:t>大湾408试采站</w:t>
      </w:r>
      <w:r>
        <w:rPr>
          <w:rFonts w:ascii="Times New Roman" w:hAnsi="Times New Roman"/>
          <w:color w:val="000000" w:themeColor="text1"/>
          <w:szCs w:val="24"/>
          <w:highlight w:val="none"/>
          <w14:textFill>
            <w14:solidFill>
              <w14:schemeClr w14:val="tx1"/>
            </w14:solidFill>
          </w14:textFill>
        </w:rPr>
        <w:t>涉及施工</w:t>
      </w:r>
      <w:r>
        <w:rPr>
          <w:rFonts w:hint="eastAsia" w:ascii="Times New Roman" w:hAnsi="Times New Roman"/>
          <w:color w:val="000000" w:themeColor="text1"/>
          <w:szCs w:val="24"/>
          <w:highlight w:val="none"/>
          <w14:textFill>
            <w14:solidFill>
              <w14:schemeClr w14:val="tx1"/>
            </w14:solidFill>
          </w14:textFill>
        </w:rPr>
        <w:t>储层改造</w:t>
      </w:r>
      <w:r>
        <w:rPr>
          <w:rFonts w:ascii="Times New Roman" w:hAnsi="Times New Roman"/>
          <w:color w:val="000000" w:themeColor="text1"/>
          <w:szCs w:val="24"/>
          <w:highlight w:val="none"/>
          <w14:textFill>
            <w14:solidFill>
              <w14:schemeClr w14:val="tx1"/>
            </w14:solidFill>
          </w14:textFill>
        </w:rPr>
        <w:t>期，因此具有可比性）</w:t>
      </w:r>
      <w:r>
        <w:rPr>
          <w:rFonts w:hint="eastAsia" w:ascii="Times New Roman" w:hAnsi="Times New Roman"/>
          <w:color w:val="000000" w:themeColor="text1"/>
          <w:szCs w:val="24"/>
          <w:highlight w:val="none"/>
          <w14:textFill>
            <w14:solidFill>
              <w14:schemeClr w14:val="tx1"/>
            </w14:solidFill>
          </w14:textFill>
        </w:rPr>
        <w:t>，类比结果见前文</w:t>
      </w:r>
      <w:r>
        <w:rPr>
          <w:rFonts w:hint="eastAsia" w:ascii="Times New Roman" w:hAnsi="Times New Roman"/>
          <w:color w:val="000000" w:themeColor="text1"/>
          <w:szCs w:val="24"/>
          <w:highlight w:val="none"/>
          <w14:textFill>
            <w14:solidFill>
              <w14:schemeClr w14:val="tx1"/>
            </w14:solidFill>
          </w14:textFill>
        </w:rPr>
        <w:fldChar w:fldCharType="begin"/>
      </w:r>
      <w:r>
        <w:rPr>
          <w:rFonts w:hint="eastAsia" w:ascii="Times New Roman" w:hAnsi="Times New Roman"/>
          <w:color w:val="000000" w:themeColor="text1"/>
          <w:szCs w:val="24"/>
          <w:highlight w:val="none"/>
          <w14:textFill>
            <w14:solidFill>
              <w14:schemeClr w14:val="tx1"/>
            </w14:solidFill>
          </w14:textFill>
        </w:rPr>
        <w:instrText xml:space="preserve"> REF _Ref26447 \h </w:instrText>
      </w:r>
      <w:r>
        <w:rPr>
          <w:rFonts w:hint="eastAsia" w:ascii="Times New Roman" w:hAnsi="Times New Roman"/>
          <w:color w:val="000000" w:themeColor="text1"/>
          <w:szCs w:val="24"/>
          <w:highlight w:val="none"/>
          <w14:textFill>
            <w14:solidFill>
              <w14:schemeClr w14:val="tx1"/>
            </w14:solidFill>
          </w14:textFill>
        </w:rPr>
        <w:fldChar w:fldCharType="separate"/>
      </w:r>
      <w:r>
        <w:rPr>
          <w:rFonts w:hint="eastAsia" w:ascii="Times New Roman" w:hAnsi="Times New Roman"/>
          <w:color w:val="000000" w:themeColor="text1"/>
          <w:szCs w:val="24"/>
          <w:highlight w:val="none"/>
          <w14:textFill>
            <w14:solidFill>
              <w14:schemeClr w14:val="tx1"/>
            </w14:solidFill>
          </w14:textFill>
        </w:rPr>
        <w:t>表</w:t>
      </w:r>
      <w:r>
        <w:rPr>
          <w:rFonts w:ascii="Times New Roman" w:hAnsi="Times New Roman"/>
          <w:color w:val="000000" w:themeColor="text1"/>
          <w:szCs w:val="24"/>
          <w:highlight w:val="none"/>
          <w14:textFill>
            <w14:solidFill>
              <w14:schemeClr w14:val="tx1"/>
            </w14:solidFill>
          </w14:textFill>
        </w:rPr>
        <w:fldChar w:fldCharType="begin"/>
      </w:r>
      <w:r>
        <w:rPr>
          <w:rFonts w:ascii="Times New Roman" w:hAnsi="Times New Roman"/>
          <w:color w:val="000000" w:themeColor="text1"/>
          <w:szCs w:val="24"/>
          <w:highlight w:val="none"/>
          <w14:textFill>
            <w14:solidFill>
              <w14:schemeClr w14:val="tx1"/>
            </w14:solidFill>
          </w14:textFill>
        </w:rPr>
        <w:instrText xml:space="preserve"> </w:instrText>
      </w:r>
      <w:r>
        <w:rPr>
          <w:rFonts w:hint="eastAsia" w:ascii="Times New Roman" w:hAnsi="Times New Roman"/>
          <w:color w:val="000000" w:themeColor="text1"/>
          <w:szCs w:val="24"/>
          <w:highlight w:val="none"/>
          <w14:textFill>
            <w14:solidFill>
              <w14:schemeClr w14:val="tx1"/>
            </w14:solidFill>
          </w14:textFill>
        </w:rPr>
        <w:instrText xml:space="preserve">STYLEREF 2 \s</w:instrText>
      </w:r>
      <w:r>
        <w:rPr>
          <w:rFonts w:ascii="Times New Roman" w:hAnsi="Times New Roman"/>
          <w:color w:val="000000" w:themeColor="text1"/>
          <w:szCs w:val="24"/>
          <w:highlight w:val="none"/>
          <w14:textFill>
            <w14:solidFill>
              <w14:schemeClr w14:val="tx1"/>
            </w14:solidFill>
          </w14:textFill>
        </w:rPr>
        <w:instrText xml:space="preserve"> </w:instrText>
      </w:r>
      <w:r>
        <w:rPr>
          <w:rFonts w:ascii="Times New Roman" w:hAnsi="Times New Roman"/>
          <w:color w:val="000000" w:themeColor="text1"/>
          <w:szCs w:val="24"/>
          <w:highlight w:val="none"/>
          <w14:textFill>
            <w14:solidFill>
              <w14:schemeClr w14:val="tx1"/>
            </w14:solidFill>
          </w14:textFill>
        </w:rPr>
        <w:fldChar w:fldCharType="separate"/>
      </w:r>
      <w:r>
        <w:rPr>
          <w:rFonts w:hint="eastAsia" w:ascii="Times New Roman" w:hAnsi="Times New Roman"/>
          <w:color w:val="000000" w:themeColor="text1"/>
          <w:szCs w:val="24"/>
          <w:highlight w:val="none"/>
          <w14:textFill>
            <w14:solidFill>
              <w14:schemeClr w14:val="tx1"/>
            </w14:solidFill>
          </w14:textFill>
        </w:rPr>
        <w:t>5.1</w:t>
      </w:r>
      <w:r>
        <w:rPr>
          <w:rFonts w:ascii="Times New Roman" w:hAnsi="Times New Roman"/>
          <w:color w:val="000000" w:themeColor="text1"/>
          <w:szCs w:val="24"/>
          <w:highlight w:val="none"/>
          <w14:textFill>
            <w14:solidFill>
              <w14:schemeClr w14:val="tx1"/>
            </w14:solidFill>
          </w14:textFill>
        </w:rPr>
        <w:fldChar w:fldCharType="end"/>
      </w:r>
      <w:r>
        <w:rPr>
          <w:rFonts w:ascii="Times New Roman" w:hAnsi="Times New Roman"/>
          <w:color w:val="000000" w:themeColor="text1"/>
          <w:szCs w:val="24"/>
          <w:highlight w:val="none"/>
          <w14:textFill>
            <w14:solidFill>
              <w14:schemeClr w14:val="tx1"/>
            </w14:solidFill>
          </w14:textFill>
        </w:rPr>
        <w:noBreakHyphen/>
      </w:r>
      <w:r>
        <w:rPr>
          <w:rFonts w:hint="eastAsia" w:ascii="Times New Roman" w:hAnsi="Times New Roman"/>
          <w:color w:val="000000" w:themeColor="text1"/>
          <w:szCs w:val="24"/>
          <w:highlight w:val="none"/>
          <w14:textFill>
            <w14:solidFill>
              <w14:schemeClr w14:val="tx1"/>
            </w14:solidFill>
          </w14:textFill>
        </w:rPr>
        <w:t>8</w:t>
      </w:r>
      <w:r>
        <w:rPr>
          <w:rFonts w:hint="eastAsia" w:ascii="Times New Roman" w:hAnsi="Times New Roman"/>
          <w:color w:val="000000" w:themeColor="text1"/>
          <w:szCs w:val="24"/>
          <w:highlight w:val="none"/>
          <w14:textFill>
            <w14:solidFill>
              <w14:schemeClr w14:val="tx1"/>
            </w14:solidFill>
          </w14:textFill>
        </w:rPr>
        <w:fldChar w:fldCharType="end"/>
      </w:r>
      <w:r>
        <w:rPr>
          <w:rFonts w:hint="eastAsia" w:ascii="Times New Roman" w:hAnsi="Times New Roman"/>
          <w:color w:val="000000" w:themeColor="text1"/>
          <w:szCs w:val="24"/>
          <w:highlight w:val="none"/>
          <w14:textFill>
            <w14:solidFill>
              <w14:schemeClr w14:val="tx1"/>
            </w14:solidFill>
          </w14:textFill>
        </w:rPr>
        <w:t>中数据。</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根据项目对土壤环境影响途径分析和类比同类项目同类地区的建设经验，项目建设对土壤环境的影响很小，可接受。</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固体废物环境影响分析</w:t>
      </w:r>
    </w:p>
    <w:p>
      <w:pPr>
        <w:pStyle w:val="27"/>
        <w:ind w:firstLine="482"/>
        <w:rPr>
          <w:rFonts w:ascii="Times New Roman" w:hAnsi="Times New Roman"/>
          <w:b/>
          <w:bCs/>
          <w:color w:val="000000" w:themeColor="text1"/>
          <w:szCs w:val="24"/>
          <w:highlight w:val="none"/>
          <w14:textFill>
            <w14:solidFill>
              <w14:schemeClr w14:val="tx1"/>
            </w14:solidFill>
          </w14:textFill>
        </w:rPr>
      </w:pPr>
      <w:r>
        <w:rPr>
          <w:rFonts w:ascii="Times New Roman" w:hAnsi="Times New Roman"/>
          <w:b/>
          <w:bCs/>
          <w:color w:val="000000" w:themeColor="text1"/>
          <w:szCs w:val="24"/>
          <w:highlight w:val="none"/>
          <w14:textFill>
            <w14:solidFill>
              <w14:schemeClr w14:val="tx1"/>
            </w14:solidFill>
          </w14:textFill>
        </w:rPr>
        <w:t>（</w:t>
      </w:r>
      <w:r>
        <w:rPr>
          <w:rFonts w:hint="eastAsia" w:ascii="Times New Roman" w:hAnsi="Times New Roman"/>
          <w:b/>
          <w:bCs/>
          <w:color w:val="000000" w:themeColor="text1"/>
          <w:szCs w:val="24"/>
          <w:highlight w:val="none"/>
          <w14:textFill>
            <w14:solidFill>
              <w14:schemeClr w14:val="tx1"/>
            </w14:solidFill>
          </w14:textFill>
        </w:rPr>
        <w:t>1</w:t>
      </w:r>
      <w:r>
        <w:rPr>
          <w:rFonts w:ascii="Times New Roman" w:hAnsi="Times New Roman"/>
          <w:b/>
          <w:bCs/>
          <w:color w:val="000000" w:themeColor="text1"/>
          <w:szCs w:val="24"/>
          <w:highlight w:val="none"/>
          <w14:textFill>
            <w14:solidFill>
              <w14:schemeClr w14:val="tx1"/>
            </w14:solidFill>
          </w14:textFill>
        </w:rPr>
        <w:t>）生活垃圾</w:t>
      </w:r>
      <w:r>
        <w:rPr>
          <w:rFonts w:ascii="Times New Roman" w:hAnsi="Times New Roman"/>
          <w:b/>
          <w:color w:val="000000" w:themeColor="text1"/>
          <w:szCs w:val="24"/>
          <w:highlight w:val="none"/>
          <w14:textFill>
            <w14:solidFill>
              <w14:schemeClr w14:val="tx1"/>
            </w14:solidFill>
          </w14:textFill>
        </w:rPr>
        <w:t>影响分析</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生活垃圾可分为两类，如可降解的果皮、菜根、废纸、烟盒、剩饭菜等，不可降解的塑料制品、废金属、废电池等，这些垃圾分类堆放，定期交由环卫部门妥善处置。</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一般情况下，生活垃圾对环境影响不大，但在管理不严特别是大风天气时，轻质垃圾如废纸、塑料等随风移动，散乱在地或悬挂灌木，影响环境卫生；再者，遇到大雨时，如果垃圾没有堆放好，可能会被水冲走，影响周围土壤环境；若垃圾不能及时清运，则容易经风吹雨淋而腐烂变质，不但会影响周围环境的卫生和美观，而且产生的恶臭、淋液可能影响局部地下水。生活垃圾重在管理，施工作业场地设垃圾收集桶，生活垃圾依托当地环卫部门对生活垃圾进行定期清运在统一外运至当地垃圾处理场所进行处置后，对环境影响较小。</w:t>
      </w:r>
    </w:p>
    <w:p>
      <w:pPr>
        <w:pStyle w:val="27"/>
        <w:ind w:firstLine="482"/>
        <w:rPr>
          <w:rFonts w:ascii="Times New Roman" w:hAnsi="Times New Roman"/>
          <w:b/>
          <w:bCs/>
          <w:color w:val="000000" w:themeColor="text1"/>
          <w:szCs w:val="24"/>
          <w:highlight w:val="none"/>
          <w14:textFill>
            <w14:solidFill>
              <w14:schemeClr w14:val="tx1"/>
            </w14:solidFill>
          </w14:textFill>
        </w:rPr>
      </w:pPr>
      <w:r>
        <w:rPr>
          <w:rFonts w:ascii="Times New Roman" w:hAnsi="Times New Roman"/>
          <w:b/>
          <w:bCs/>
          <w:color w:val="000000" w:themeColor="text1"/>
          <w:szCs w:val="24"/>
          <w:highlight w:val="none"/>
          <w14:textFill>
            <w14:solidFill>
              <w14:schemeClr w14:val="tx1"/>
            </w14:solidFill>
          </w14:textFill>
        </w:rPr>
        <w:t>（</w:t>
      </w:r>
      <w:r>
        <w:rPr>
          <w:rFonts w:hint="eastAsia" w:ascii="Times New Roman" w:hAnsi="Times New Roman"/>
          <w:b/>
          <w:bCs/>
          <w:color w:val="000000" w:themeColor="text1"/>
          <w:szCs w:val="24"/>
          <w:highlight w:val="none"/>
          <w14:textFill>
            <w14:solidFill>
              <w14:schemeClr w14:val="tx1"/>
            </w14:solidFill>
          </w14:textFill>
        </w:rPr>
        <w:t>2</w:t>
      </w:r>
      <w:r>
        <w:rPr>
          <w:rFonts w:ascii="Times New Roman" w:hAnsi="Times New Roman"/>
          <w:b/>
          <w:bCs/>
          <w:color w:val="000000" w:themeColor="text1"/>
          <w:szCs w:val="24"/>
          <w:highlight w:val="none"/>
          <w14:textFill>
            <w14:solidFill>
              <w14:schemeClr w14:val="tx1"/>
            </w14:solidFill>
          </w14:textFill>
        </w:rPr>
        <w:t>）</w:t>
      </w:r>
      <w:r>
        <w:rPr>
          <w:rFonts w:hint="eastAsia" w:ascii="Times New Roman" w:hAnsi="Times New Roman"/>
          <w:b/>
          <w:bCs/>
          <w:color w:val="000000" w:themeColor="text1"/>
          <w:highlight w:val="none"/>
          <w14:textFill>
            <w14:solidFill>
              <w14:schemeClr w14:val="tx1"/>
            </w14:solidFill>
          </w14:textFill>
        </w:rPr>
        <w:t>建筑垃圾</w:t>
      </w:r>
    </w:p>
    <w:p>
      <w:pPr>
        <w:pStyle w:val="27"/>
        <w:ind w:firstLine="480"/>
        <w:rPr>
          <w:rFonts w:ascii="Times New Roman" w:hAnsi="Times New Roman"/>
          <w:color w:val="000000" w:themeColor="text1"/>
          <w:szCs w:val="24"/>
          <w:highlight w:val="none"/>
          <w14:textFill>
            <w14:solidFill>
              <w14:schemeClr w14:val="tx1"/>
            </w14:solidFill>
          </w14:textFill>
        </w:rPr>
      </w:pPr>
      <w:r>
        <w:rPr>
          <w:rFonts w:ascii="Times New Roman" w:hAnsi="Times New Roman"/>
          <w:color w:val="000000" w:themeColor="text1"/>
          <w:szCs w:val="22"/>
          <w:highlight w:val="none"/>
          <w14:textFill>
            <w14:solidFill>
              <w14:schemeClr w14:val="tx1"/>
            </w14:solidFill>
          </w14:textFill>
        </w:rPr>
        <w:t>完井搬迁时可能产生少量建筑垃圾，主要如包装袋，废弃建筑材料等，其量小，由施工队伍统一收集清运至政府指定地方</w:t>
      </w:r>
      <w:r>
        <w:rPr>
          <w:rFonts w:ascii="Times New Roman" w:hAnsi="Times New Roman"/>
          <w:color w:val="000000" w:themeColor="text1"/>
          <w:szCs w:val="24"/>
          <w:highlight w:val="none"/>
          <w14:textFill>
            <w14:solidFill>
              <w14:schemeClr w14:val="tx1"/>
            </w14:solidFill>
          </w14:textFill>
        </w:rPr>
        <w:t>，对周围环境的影响也较小。</w:t>
      </w:r>
    </w:p>
    <w:p>
      <w:pPr>
        <w:pStyle w:val="4"/>
        <w:spacing w:before="0" w:beforeLines="0"/>
        <w:ind w:firstLine="480"/>
        <w:rPr>
          <w:b/>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施工期</w:t>
      </w:r>
      <w:r>
        <w:rPr>
          <w:color w:val="000000" w:themeColor="text1"/>
          <w:szCs w:val="24"/>
          <w:highlight w:val="none"/>
          <w:lang w:eastAsia="zh-CN"/>
          <w14:textFill>
            <w14:solidFill>
              <w14:schemeClr w14:val="tx1"/>
            </w14:solidFill>
          </w14:textFill>
        </w:rPr>
        <w:t>油气集输工程</w:t>
      </w:r>
      <w:r>
        <w:rPr>
          <w:rFonts w:hint="eastAsia"/>
          <w:color w:val="000000" w:themeColor="text1"/>
          <w:highlight w:val="none"/>
          <w:lang w:eastAsia="zh-CN"/>
          <w14:textFill>
            <w14:solidFill>
              <w14:schemeClr w14:val="tx1"/>
            </w14:solidFill>
          </w14:textFill>
        </w:rPr>
        <w:t>建设</w:t>
      </w:r>
      <w:r>
        <w:rPr>
          <w:color w:val="000000" w:themeColor="text1"/>
          <w:highlight w:val="none"/>
          <w:lang w:eastAsia="zh-CN"/>
          <w14:textFill>
            <w14:solidFill>
              <w14:schemeClr w14:val="tx1"/>
            </w14:solidFill>
          </w14:textFill>
        </w:rPr>
        <w:t>环境影响分析</w:t>
      </w:r>
      <w:bookmarkEnd w:id="278"/>
    </w:p>
    <w:p>
      <w:pPr>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1、大气环境影响分析</w:t>
      </w:r>
    </w:p>
    <w:p>
      <w:pPr>
        <w:widowControl/>
        <w:ind w:firstLine="480"/>
        <w:jc w:val="left"/>
        <w:rPr>
          <w:rFonts w:cs="宋体"/>
          <w:color w:val="000000" w:themeColor="text1"/>
          <w:kern w:val="0"/>
          <w:szCs w:val="24"/>
          <w:highlight w:val="none"/>
          <w14:textFill>
            <w14:solidFill>
              <w14:schemeClr w14:val="tx1"/>
            </w14:solidFill>
          </w14:textFill>
        </w:rPr>
      </w:pPr>
      <w:r>
        <w:rPr>
          <w:rFonts w:hint="eastAsia" w:cs="宋体"/>
          <w:color w:val="000000" w:themeColor="text1"/>
          <w:kern w:val="0"/>
          <w:szCs w:val="24"/>
          <w:highlight w:val="none"/>
          <w14:textFill>
            <w14:solidFill>
              <w14:schemeClr w14:val="tx1"/>
            </w14:solidFill>
          </w14:textFill>
        </w:rPr>
        <w:t>管线和试采站建设施工废气污染源主要来自地面开挖、回填、土石堆放和运输车辆行驶产生的扬尘，以及施工机械、运输车辆排放的尾气，</w:t>
      </w:r>
      <w:r>
        <w:rPr>
          <w:rFonts w:hint="eastAsia" w:cs="Times New Roman"/>
          <w:bCs/>
          <w:color w:val="000000" w:themeColor="text1"/>
          <w:highlight w:val="none"/>
          <w14:textFill>
            <w14:solidFill>
              <w14:schemeClr w14:val="tx1"/>
            </w14:solidFill>
          </w14:textFill>
        </w:rPr>
        <w:t>焊接烟尘以及防腐废气，</w:t>
      </w:r>
      <w:r>
        <w:rPr>
          <w:rFonts w:hint="eastAsia" w:cs="宋体"/>
          <w:color w:val="000000" w:themeColor="text1"/>
          <w:kern w:val="0"/>
          <w:szCs w:val="24"/>
          <w:highlight w:val="none"/>
          <w14:textFill>
            <w14:solidFill>
              <w14:schemeClr w14:val="tx1"/>
            </w14:solidFill>
          </w14:textFill>
        </w:rPr>
        <w:t>主要污染物为CO和NOx等。这些污染物将对环境空气造成一定程度的污染，但这种污染是短期的，工程结束后，将不复存在。</w:t>
      </w:r>
    </w:p>
    <w:p>
      <w:pPr>
        <w:widowControl/>
        <w:ind w:firstLine="482"/>
        <w:jc w:val="left"/>
        <w:rPr>
          <w:rFonts w:cs="宋体"/>
          <w:color w:val="000000" w:themeColor="text1"/>
          <w:kern w:val="0"/>
          <w:szCs w:val="24"/>
          <w:highlight w:val="none"/>
          <w14:textFill>
            <w14:solidFill>
              <w14:schemeClr w14:val="tx1"/>
            </w14:solidFill>
          </w14:textFill>
        </w:rPr>
      </w:pPr>
      <w:r>
        <w:rPr>
          <w:rFonts w:cs="宋体"/>
          <w:b/>
          <w:bCs/>
          <w:color w:val="000000" w:themeColor="text1"/>
          <w:kern w:val="0"/>
          <w:szCs w:val="24"/>
          <w:highlight w:val="none"/>
          <w14:textFill>
            <w14:solidFill>
              <w14:schemeClr w14:val="tx1"/>
            </w14:solidFill>
          </w14:textFill>
        </w:rPr>
        <w:t>（1）扬尘</w:t>
      </w:r>
    </w:p>
    <w:p>
      <w:pPr>
        <w:widowControl/>
        <w:ind w:firstLine="480"/>
        <w:jc w:val="left"/>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扬尘主要产生于两个部分：</w:t>
      </w:r>
      <w:r>
        <w:rPr>
          <w:rFonts w:hint="eastAsia" w:cs="宋体"/>
          <w:color w:val="000000" w:themeColor="text1"/>
          <w:kern w:val="0"/>
          <w:szCs w:val="24"/>
          <w:highlight w:val="none"/>
          <w14:textFill>
            <w14:solidFill>
              <w14:schemeClr w14:val="tx1"/>
            </w14:solidFill>
          </w14:textFill>
        </w:rPr>
        <w:t>试采站基础、管线</w:t>
      </w:r>
      <w:r>
        <w:rPr>
          <w:rFonts w:hint="eastAsia" w:cs="Times New Roman"/>
          <w:bCs/>
          <w:color w:val="000000" w:themeColor="text1"/>
          <w:highlight w:val="none"/>
          <w14:textFill>
            <w14:solidFill>
              <w14:schemeClr w14:val="tx1"/>
            </w14:solidFill>
          </w14:textFill>
        </w:rPr>
        <w:t>场地平整压实作业</w:t>
      </w:r>
      <w:r>
        <w:rPr>
          <w:rFonts w:cs="宋体"/>
          <w:color w:val="000000" w:themeColor="text1"/>
          <w:kern w:val="0"/>
          <w:szCs w:val="24"/>
          <w:highlight w:val="none"/>
          <w14:textFill>
            <w14:solidFill>
              <w14:schemeClr w14:val="tx1"/>
            </w14:solidFill>
          </w14:textFill>
        </w:rPr>
        <w:t>的地面开挖、填埋、土石方堆放，以及车辆运输过程产生的扬尘。施工期间产生的扬尘污染主要取决于施工作业方式、材料的堆放以及风力等因素，其中受风力的影响因素最大，随着风速的增大，施工扬尘的污染程度和超标范围也将随之增强和扩大。</w:t>
      </w:r>
    </w:p>
    <w:p>
      <w:pPr>
        <w:widowControl/>
        <w:ind w:firstLine="480"/>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管道的地面开挖、填埋、土石方堆放过程为分段进行，施工时间较短，作业带内产生的扬尘为无组织面源排放，根据类似工程的实际现场调查：在大风情况下施工现场下风向1m处扬尘浓度可达3mg/m</w:t>
      </w:r>
      <w:r>
        <w:rPr>
          <w:rFonts w:cs="宋体"/>
          <w:color w:val="000000" w:themeColor="text1"/>
          <w:kern w:val="0"/>
          <w:szCs w:val="24"/>
          <w:highlight w:val="none"/>
          <w:vertAlign w:val="superscript"/>
          <w14:textFill>
            <w14:solidFill>
              <w14:schemeClr w14:val="tx1"/>
            </w14:solidFill>
          </w14:textFill>
        </w:rPr>
        <w:t>3</w:t>
      </w:r>
      <w:r>
        <w:rPr>
          <w:rFonts w:cs="宋体"/>
          <w:color w:val="000000" w:themeColor="text1"/>
          <w:kern w:val="0"/>
          <w:szCs w:val="24"/>
          <w:highlight w:val="none"/>
          <w14:textFill>
            <w14:solidFill>
              <w14:schemeClr w14:val="tx1"/>
            </w14:solidFill>
          </w14:textFill>
        </w:rPr>
        <w:t>以上，25m处为1.53mg/m</w:t>
      </w:r>
      <w:r>
        <w:rPr>
          <w:rFonts w:cs="宋体"/>
          <w:color w:val="000000" w:themeColor="text1"/>
          <w:kern w:val="0"/>
          <w:szCs w:val="24"/>
          <w:highlight w:val="none"/>
          <w:vertAlign w:val="superscript"/>
          <w14:textFill>
            <w14:solidFill>
              <w14:schemeClr w14:val="tx1"/>
            </w14:solidFill>
          </w14:textFill>
        </w:rPr>
        <w:t>3</w:t>
      </w:r>
      <w:r>
        <w:rPr>
          <w:rFonts w:cs="宋体"/>
          <w:color w:val="000000" w:themeColor="text1"/>
          <w:kern w:val="0"/>
          <w:szCs w:val="24"/>
          <w:highlight w:val="none"/>
          <w14:textFill>
            <w14:solidFill>
              <w14:schemeClr w14:val="tx1"/>
            </w14:solidFill>
          </w14:textFill>
        </w:rPr>
        <w:t>，下风向60m范围内TSP浓度超标。管道沿线的较近居住民施工期内会受到施工扬尘的影响，但由于施工时间较短，因此总体而言，管线施工作业扬尘污染是短时的，且影响不会很大。</w:t>
      </w:r>
      <w:r>
        <w:rPr>
          <w:rFonts w:hint="eastAsia" w:cs="宋体"/>
          <w:color w:val="000000" w:themeColor="text1"/>
          <w:kern w:val="0"/>
          <w:szCs w:val="24"/>
          <w:highlight w:val="none"/>
          <w14:textFill>
            <w14:solidFill>
              <w14:schemeClr w14:val="tx1"/>
            </w14:solidFill>
          </w14:textFill>
        </w:rPr>
        <w:t>因此</w:t>
      </w:r>
      <w:r>
        <w:rPr>
          <w:rFonts w:cs="宋体"/>
          <w:color w:val="000000" w:themeColor="text1"/>
          <w:kern w:val="0"/>
          <w:szCs w:val="24"/>
          <w:highlight w:val="none"/>
          <w14:textFill>
            <w14:solidFill>
              <w14:schemeClr w14:val="tx1"/>
            </w14:solidFill>
          </w14:textFill>
        </w:rPr>
        <w:t>在采取合理化管理、作业面和土堆适当喷水、土堆和建筑材料遮盖、大风天停止作业等措施后，施工扬尘对周围保护目标的影响会大为降低。</w:t>
      </w:r>
    </w:p>
    <w:p>
      <w:pPr>
        <w:widowControl/>
        <w:ind w:firstLine="480"/>
        <w:jc w:val="left"/>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汽车施工阶段运输过程中，也会产生扬尘污染。扬尘量、粒径大小等与多种因素有关，如路面状况、车辆行驶速度、载重量、天气情况等。其中风速、风向等天气状况直接影响扬尘的传输方向和距离。由于汽车运输过程中产生的扬尘时间短、扬尘落地快、影响范围主要集中在运输道路两侧，故汽车运输扬尘对周边的环境空气影响程度和范围较小，影响时间也较短。如果采用道路定时洒水抑尘、车辆不要装载过满并采取密闭或遮盖措施，可大大减少运输扬尘对周围环境空气的影响。</w:t>
      </w:r>
    </w:p>
    <w:p>
      <w:pPr>
        <w:widowControl/>
        <w:ind w:firstLine="480"/>
        <w:jc w:val="left"/>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总体而言，施工期扬尘对管道沿经各大气敏感点影响很小，属可接受范围。</w:t>
      </w:r>
    </w:p>
    <w:p>
      <w:pPr>
        <w:widowControl/>
        <w:ind w:firstLine="482"/>
        <w:jc w:val="left"/>
        <w:rPr>
          <w:rFonts w:cs="宋体"/>
          <w:b/>
          <w:bCs/>
          <w:color w:val="000000" w:themeColor="text1"/>
          <w:kern w:val="0"/>
          <w:szCs w:val="24"/>
          <w:highlight w:val="none"/>
          <w14:textFill>
            <w14:solidFill>
              <w14:schemeClr w14:val="tx1"/>
            </w14:solidFill>
          </w14:textFill>
        </w:rPr>
      </w:pPr>
      <w:r>
        <w:rPr>
          <w:rFonts w:cs="宋体"/>
          <w:b/>
          <w:bCs/>
          <w:color w:val="000000" w:themeColor="text1"/>
          <w:kern w:val="0"/>
          <w:szCs w:val="24"/>
          <w:highlight w:val="none"/>
          <w14:textFill>
            <w14:solidFill>
              <w14:schemeClr w14:val="tx1"/>
            </w14:solidFill>
          </w14:textFill>
        </w:rPr>
        <w:t>（2）施工机具尾气</w:t>
      </w:r>
    </w:p>
    <w:p>
      <w:pPr>
        <w:widowControl/>
        <w:ind w:firstLine="480"/>
        <w:jc w:val="left"/>
        <w:rPr>
          <w:rFonts w:cs="宋体"/>
          <w:color w:val="000000" w:themeColor="text1"/>
          <w:kern w:val="0"/>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施工期间，运输汽车、施工机械由于使用汽油或柴油，将产生燃烧尾气，主要污染物为CO、NOx等。但由于废气量较小，且施工现场均在野外，有利于空气的扩散，同时废气污染源具有间歇性和流动性，该类污染源对大气环境的影响较小。</w:t>
      </w:r>
    </w:p>
    <w:p>
      <w:pPr>
        <w:widowControl/>
        <w:ind w:firstLine="482"/>
        <w:jc w:val="left"/>
        <w:rPr>
          <w:rFonts w:cs="宋体"/>
          <w:b/>
          <w:bCs/>
          <w:color w:val="000000" w:themeColor="text1"/>
          <w:kern w:val="0"/>
          <w:szCs w:val="24"/>
          <w:highlight w:val="none"/>
          <w14:textFill>
            <w14:solidFill>
              <w14:schemeClr w14:val="tx1"/>
            </w14:solidFill>
          </w14:textFill>
        </w:rPr>
      </w:pPr>
      <w:r>
        <w:rPr>
          <w:rFonts w:cs="宋体"/>
          <w:b/>
          <w:bCs/>
          <w:color w:val="000000" w:themeColor="text1"/>
          <w:kern w:val="0"/>
          <w:szCs w:val="24"/>
          <w:highlight w:val="none"/>
          <w14:textFill>
            <w14:solidFill>
              <w14:schemeClr w14:val="tx1"/>
            </w14:solidFill>
          </w14:textFill>
        </w:rPr>
        <w:t>（3）焊接烟尘</w:t>
      </w:r>
    </w:p>
    <w:p>
      <w:pPr>
        <w:widowControl/>
        <w:ind w:firstLine="480"/>
        <w:jc w:val="left"/>
        <w:rPr>
          <w:rFonts w:cs="宋体"/>
          <w:color w:val="000000" w:themeColor="text1"/>
          <w:kern w:val="0"/>
          <w:szCs w:val="24"/>
          <w:highlight w:val="none"/>
          <w14:textFill>
            <w14:solidFill>
              <w14:schemeClr w14:val="tx1"/>
            </w14:solidFill>
          </w14:textFill>
        </w:rPr>
      </w:pPr>
      <w:r>
        <w:rPr>
          <w:rFonts w:ascii="宋体" w:hAnsi="宋体" w:cs="宋体"/>
          <w:color w:val="000000" w:themeColor="text1"/>
          <w:kern w:val="0"/>
          <w:szCs w:val="24"/>
          <w:highlight w:val="none"/>
          <w14:textFill>
            <w14:solidFill>
              <w14:schemeClr w14:val="tx1"/>
            </w14:solidFill>
          </w14:textFill>
        </w:rPr>
        <w:t>焊接烟气主要是在管道敷设焊接时产生的，主要污染物为烟尘，产生量较少。焊接工序随着管道的敷设分段进行，焊接烟尘属于流动源且为间歇式排放。焊接工序为野外露天工作，</w:t>
      </w:r>
      <w:r>
        <w:rPr>
          <w:rFonts w:hint="eastAsia" w:cs="Times New Roman"/>
          <w:bCs/>
          <w:color w:val="000000" w:themeColor="text1"/>
          <w:highlight w:val="none"/>
          <w14:textFill>
            <w14:solidFill>
              <w14:schemeClr w14:val="tx1"/>
            </w14:solidFill>
          </w14:textFill>
        </w:rPr>
        <w:t>采用自带焊烟净化器处理后排放，</w:t>
      </w:r>
      <w:r>
        <w:rPr>
          <w:rFonts w:ascii="宋体" w:hAnsi="宋体" w:cs="宋体"/>
          <w:color w:val="000000" w:themeColor="text1"/>
          <w:kern w:val="0"/>
          <w:szCs w:val="24"/>
          <w:highlight w:val="none"/>
          <w14:textFill>
            <w14:solidFill>
              <w14:schemeClr w14:val="tx1"/>
            </w14:solidFill>
          </w14:textFill>
        </w:rPr>
        <w:t>且项目管线在布置时已考虑避开居民等环境敏感点。项目焊接烟气经大气扩散后对环境及敏感点的影响较小</w:t>
      </w:r>
      <w:r>
        <w:rPr>
          <w:rFonts w:cs="宋体"/>
          <w:color w:val="000000" w:themeColor="text1"/>
          <w:kern w:val="0"/>
          <w:szCs w:val="24"/>
          <w:highlight w:val="none"/>
          <w14:textFill>
            <w14:solidFill>
              <w14:schemeClr w14:val="tx1"/>
            </w14:solidFill>
          </w14:textFill>
        </w:rPr>
        <w:t>。</w:t>
      </w:r>
    </w:p>
    <w:p>
      <w:pPr>
        <w:widowControl/>
        <w:ind w:firstLine="482"/>
        <w:jc w:val="left"/>
        <w:rPr>
          <w:rFonts w:hint="eastAsia" w:ascii="宋体" w:hAnsi="宋体" w:cs="宋体"/>
          <w:b/>
          <w:bCs/>
          <w:color w:val="000000" w:themeColor="text1"/>
          <w:kern w:val="0"/>
          <w:szCs w:val="24"/>
          <w:highlight w:val="none"/>
          <w14:textFill>
            <w14:solidFill>
              <w14:schemeClr w14:val="tx1"/>
            </w14:solidFill>
          </w14:textFill>
        </w:rPr>
      </w:pPr>
      <w:r>
        <w:rPr>
          <w:rFonts w:ascii="宋体" w:hAnsi="宋体" w:cs="宋体"/>
          <w:b/>
          <w:bCs/>
          <w:color w:val="000000" w:themeColor="text1"/>
          <w:kern w:val="0"/>
          <w:szCs w:val="24"/>
          <w:highlight w:val="none"/>
          <w14:textFill>
            <w14:solidFill>
              <w14:schemeClr w14:val="tx1"/>
            </w14:solidFill>
          </w14:textFill>
        </w:rPr>
        <w:t>（</w:t>
      </w:r>
      <w:r>
        <w:rPr>
          <w:rFonts w:cs="Times New Roman"/>
          <w:b/>
          <w:bCs/>
          <w:color w:val="000000" w:themeColor="text1"/>
          <w:kern w:val="0"/>
          <w:szCs w:val="24"/>
          <w:highlight w:val="none"/>
          <w14:textFill>
            <w14:solidFill>
              <w14:schemeClr w14:val="tx1"/>
            </w14:solidFill>
          </w14:textFill>
        </w:rPr>
        <w:t>4</w:t>
      </w:r>
      <w:r>
        <w:rPr>
          <w:rFonts w:ascii="宋体" w:hAnsi="宋体" w:cs="宋体"/>
          <w:b/>
          <w:bCs/>
          <w:color w:val="000000" w:themeColor="text1"/>
          <w:kern w:val="0"/>
          <w:szCs w:val="24"/>
          <w:highlight w:val="none"/>
          <w14:textFill>
            <w14:solidFill>
              <w14:schemeClr w14:val="tx1"/>
            </w14:solidFill>
          </w14:textFill>
        </w:rPr>
        <w:t>）防腐废气</w:t>
      </w:r>
    </w:p>
    <w:p>
      <w:pPr>
        <w:widowControl/>
        <w:ind w:firstLine="480"/>
        <w:jc w:val="left"/>
        <w:rPr>
          <w:rFonts w:cs="Times New Roman"/>
          <w:bCs/>
          <w:color w:val="000000" w:themeColor="text1"/>
          <w:highlight w:val="none"/>
          <w14:textFill>
            <w14:solidFill>
              <w14:schemeClr w14:val="tx1"/>
            </w14:solidFill>
          </w14:textFill>
        </w:rPr>
      </w:pPr>
      <w:r>
        <w:rPr>
          <w:rFonts w:ascii="宋体" w:hAnsi="宋体" w:cs="宋体"/>
          <w:color w:val="000000" w:themeColor="text1"/>
          <w:kern w:val="0"/>
          <w:szCs w:val="24"/>
          <w:highlight w:val="none"/>
          <w14:textFill>
            <w14:solidFill>
              <w14:schemeClr w14:val="tx1"/>
            </w14:solidFill>
          </w14:textFill>
        </w:rPr>
        <w:t>防腐废气主要是在管道补口补伤时产生的，产生量较少，且为间断性分散状排放，由于管线周围地域开阔，经大气扩散后对环境及敏感点的影响不大</w:t>
      </w:r>
      <w:r>
        <w:rPr>
          <w:rFonts w:hint="eastAsia" w:ascii="宋体" w:hAnsi="宋体" w:cs="宋体"/>
          <w:color w:val="000000" w:themeColor="text1"/>
          <w:kern w:val="0"/>
          <w:szCs w:val="24"/>
          <w:highlight w:val="none"/>
          <w14:textFill>
            <w14:solidFill>
              <w14:schemeClr w14:val="tx1"/>
            </w14:solidFill>
          </w14:textFill>
        </w:rPr>
        <w:t>。</w:t>
      </w:r>
    </w:p>
    <w:p>
      <w:pPr>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2、地表水环境影响分析</w:t>
      </w:r>
    </w:p>
    <w:p>
      <w:pPr>
        <w:ind w:firstLine="480"/>
        <w:rPr>
          <w:rFonts w:cs="Times New Roman"/>
          <w:bCs/>
          <w:color w:val="000000" w:themeColor="text1"/>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本项目管线不涉及沟渠和河流的穿越，且项目废水主要为管线</w:t>
      </w:r>
      <w:r>
        <w:rPr>
          <w:color w:val="000000" w:themeColor="text1"/>
          <w:highlight w:val="none"/>
          <w:lang w:bidi="en-US"/>
          <w14:textFill>
            <w14:solidFill>
              <w14:schemeClr w14:val="tx1"/>
            </w14:solidFill>
          </w14:textFill>
        </w:rPr>
        <w:t>试压废水</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施工废水</w:t>
      </w:r>
      <w:r>
        <w:rPr>
          <w:rFonts w:cs="Times New Roman"/>
          <w:bCs/>
          <w:color w:val="000000" w:themeColor="text1"/>
          <w:szCs w:val="24"/>
          <w:highlight w:val="none"/>
          <w14:textFill>
            <w14:solidFill>
              <w14:schemeClr w14:val="tx1"/>
            </w14:solidFill>
          </w14:textFill>
        </w:rPr>
        <w:t>（主要污染物为SS）</w:t>
      </w:r>
      <w:r>
        <w:rPr>
          <w:rFonts w:hint="eastAsia" w:cs="Times New Roman"/>
          <w:color w:val="000000" w:themeColor="text1"/>
          <w:szCs w:val="24"/>
          <w:highlight w:val="none"/>
          <w14:textFill>
            <w14:solidFill>
              <w14:schemeClr w14:val="tx1"/>
            </w14:solidFill>
          </w14:textFill>
        </w:rPr>
        <w:t>和</w:t>
      </w:r>
      <w:r>
        <w:rPr>
          <w:rFonts w:cs="Times New Roman"/>
          <w:color w:val="000000" w:themeColor="text1"/>
          <w:szCs w:val="24"/>
          <w:highlight w:val="none"/>
          <w14:textFill>
            <w14:solidFill>
              <w14:schemeClr w14:val="tx1"/>
            </w14:solidFill>
          </w14:textFill>
        </w:rPr>
        <w:t>施工人员的生活污水（主要污染物为</w:t>
      </w:r>
      <w:r>
        <w:rPr>
          <w:rFonts w:cs="Times New Roman"/>
          <w:bCs/>
          <w:color w:val="000000" w:themeColor="text1"/>
          <w:szCs w:val="24"/>
          <w:highlight w:val="none"/>
          <w14:textFill>
            <w14:solidFill>
              <w14:schemeClr w14:val="tx1"/>
            </w14:solidFill>
          </w14:textFill>
        </w:rPr>
        <w:t>COD、SS和NH</w:t>
      </w:r>
      <w:r>
        <w:rPr>
          <w:rFonts w:cs="Times New Roman"/>
          <w:bCs/>
          <w:color w:val="000000" w:themeColor="text1"/>
          <w:szCs w:val="24"/>
          <w:highlight w:val="none"/>
          <w:vertAlign w:val="sub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-N等</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管线</w:t>
      </w:r>
      <w:r>
        <w:rPr>
          <w:rFonts w:cs="Times New Roman"/>
          <w:color w:val="000000" w:themeColor="text1"/>
          <w:szCs w:val="24"/>
          <w:highlight w:val="none"/>
          <w14:textFill>
            <w14:solidFill>
              <w14:schemeClr w14:val="tx1"/>
            </w14:solidFill>
          </w14:textFill>
        </w:rPr>
        <w:t>建设工程量小，施工时间短，</w:t>
      </w:r>
      <w:r>
        <w:rPr>
          <w:rFonts w:cs="Times New Roman"/>
          <w:bCs/>
          <w:color w:val="000000" w:themeColor="text1"/>
          <w:highlight w:val="none"/>
          <w14:textFill>
            <w14:solidFill>
              <w14:schemeClr w14:val="tx1"/>
            </w14:solidFill>
          </w14:textFill>
        </w:rPr>
        <w:t>生活污水经生态厕所收集后定期由密闭罐车拉运至周边生活污水处理厂处理</w:t>
      </w:r>
      <w:r>
        <w:rPr>
          <w:rFonts w:cs="Times New Roman"/>
          <w:color w:val="000000" w:themeColor="text1"/>
          <w:szCs w:val="24"/>
          <w:highlight w:val="none"/>
          <w14:textFill>
            <w14:solidFill>
              <w14:schemeClr w14:val="tx1"/>
            </w14:solidFill>
          </w14:textFill>
        </w:rPr>
        <w:t>；少量生产废水在施工现场设置沉淀池，施工废水经隔油沉淀处理后回用于洒水降尘，不外排</w:t>
      </w:r>
      <w:r>
        <w:rPr>
          <w:rFonts w:hint="eastAsia" w:cs="Times New Roman"/>
          <w:color w:val="000000" w:themeColor="text1"/>
          <w:szCs w:val="24"/>
          <w:highlight w:val="none"/>
          <w14:textFill>
            <w14:solidFill>
              <w14:schemeClr w14:val="tx1"/>
            </w14:solidFill>
          </w14:textFill>
        </w:rPr>
        <w:t>；管线</w:t>
      </w:r>
      <w:r>
        <w:rPr>
          <w:color w:val="000000" w:themeColor="text1"/>
          <w:highlight w:val="none"/>
          <w:lang w:bidi="en-US"/>
          <w14:textFill>
            <w14:solidFill>
              <w14:schemeClr w14:val="tx1"/>
            </w14:solidFill>
          </w14:textFill>
        </w:rPr>
        <w:t>试压废水试压完成沉淀后用于洒水降尘，不外排</w:t>
      </w:r>
      <w:r>
        <w:rPr>
          <w:rFonts w:cs="Times New Roman"/>
          <w:color w:val="000000" w:themeColor="text1"/>
          <w:szCs w:val="24"/>
          <w:highlight w:val="none"/>
          <w14:textFill>
            <w14:solidFill>
              <w14:schemeClr w14:val="tx1"/>
            </w14:solidFill>
          </w14:textFill>
        </w:rPr>
        <w:t>。对地表水环境影响小</w:t>
      </w:r>
      <w:r>
        <w:rPr>
          <w:rFonts w:cs="Times New Roman"/>
          <w:bCs/>
          <w:color w:val="000000" w:themeColor="text1"/>
          <w:highlight w:val="none"/>
          <w14:textFill>
            <w14:solidFill>
              <w14:schemeClr w14:val="tx1"/>
            </w14:solidFill>
          </w14:textFill>
        </w:rPr>
        <w:t>。</w:t>
      </w:r>
    </w:p>
    <w:p>
      <w:pPr>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3、声环境影响分析</w:t>
      </w:r>
    </w:p>
    <w:p>
      <w:pPr>
        <w:ind w:firstLine="480"/>
        <w:rPr>
          <w:bCs/>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站场与管线建设的噪声主要是推土机、挖掘机、载重汽车等运行中产生的，工程量小、时间短，噪声源强小，夜间不施工，对环境影响小，与钻前工程影响范围和影响距离相似，</w:t>
      </w:r>
      <w:r>
        <w:rPr>
          <w:rFonts w:hint="eastAsia"/>
          <w:color w:val="000000" w:themeColor="text1"/>
          <w:szCs w:val="24"/>
          <w:highlight w:val="none"/>
          <w:lang w:val="en-US" w:eastAsia="zh-CN"/>
          <w14:textFill>
            <w14:solidFill>
              <w14:schemeClr w14:val="tx1"/>
            </w14:solidFill>
          </w14:textFill>
        </w:rPr>
        <w:t>由于本项目周边居民分布较远（距离井口500m外）</w:t>
      </w:r>
      <w:r>
        <w:rPr>
          <w:color w:val="000000" w:themeColor="text1"/>
          <w:szCs w:val="24"/>
          <w:highlight w:val="none"/>
          <w14:textFill>
            <w14:solidFill>
              <w14:schemeClr w14:val="tx1"/>
            </w14:solidFill>
          </w14:textFill>
        </w:rPr>
        <w:t>根据影响预测在管线施工期间</w:t>
      </w:r>
      <w:r>
        <w:rPr>
          <w:rFonts w:hint="eastAsia"/>
          <w:color w:val="000000" w:themeColor="text1"/>
          <w:szCs w:val="24"/>
          <w:highlight w:val="none"/>
          <w:lang w:val="en-US" w:eastAsia="zh-CN"/>
          <w14:textFill>
            <w14:solidFill>
              <w14:schemeClr w14:val="tx1"/>
            </w14:solidFill>
          </w14:textFill>
        </w:rPr>
        <w:t>均</w:t>
      </w:r>
      <w:r>
        <w:rPr>
          <w:color w:val="000000" w:themeColor="text1"/>
          <w:szCs w:val="24"/>
          <w:highlight w:val="none"/>
          <w14:textFill>
            <w14:solidFill>
              <w14:schemeClr w14:val="tx1"/>
            </w14:solidFill>
          </w14:textFill>
        </w:rPr>
        <w:t>能够满足</w:t>
      </w:r>
      <w:r>
        <w:rPr>
          <w:bCs/>
          <w:color w:val="000000" w:themeColor="text1"/>
          <w:highlight w:val="none"/>
          <w14:textFill>
            <w14:solidFill>
              <w14:schemeClr w14:val="tx1"/>
            </w14:solidFill>
          </w14:textFill>
        </w:rPr>
        <w:t>《声环境质量标准》（GB3096-2008）2类标准要求</w:t>
      </w:r>
      <w:r>
        <w:rPr>
          <w:rFonts w:hint="eastAsia"/>
          <w:bCs/>
          <w:color w:val="000000" w:themeColor="text1"/>
          <w:highlight w:val="none"/>
          <w14:textFill>
            <w14:solidFill>
              <w14:schemeClr w14:val="tx1"/>
            </w14:solidFill>
          </w14:textFill>
        </w:rPr>
        <w:t>，但管线施工时间短，仅在昼间施工，施工噪声不连续，</w:t>
      </w:r>
      <w:r>
        <w:rPr>
          <w:rFonts w:hint="eastAsia"/>
          <w:bCs/>
          <w:color w:val="000000" w:themeColor="text1"/>
          <w:highlight w:val="none"/>
          <w:lang w:val="en-US" w:eastAsia="zh-CN"/>
          <w14:textFill>
            <w14:solidFill>
              <w14:schemeClr w14:val="tx1"/>
            </w14:solidFill>
          </w14:textFill>
        </w:rPr>
        <w:t>且居民均分布较远</w:t>
      </w:r>
      <w:r>
        <w:rPr>
          <w:rFonts w:hint="eastAsia"/>
          <w:bCs/>
          <w:color w:val="000000" w:themeColor="text1"/>
          <w:highlight w:val="none"/>
          <w14:textFill>
            <w14:solidFill>
              <w14:schemeClr w14:val="tx1"/>
            </w14:solidFill>
          </w14:textFill>
        </w:rPr>
        <w:t>，噪声</w:t>
      </w:r>
      <w:r>
        <w:rPr>
          <w:rFonts w:hint="eastAsia"/>
          <w:bCs/>
          <w:color w:val="000000" w:themeColor="text1"/>
          <w:highlight w:val="none"/>
          <w:lang w:val="en-US" w:eastAsia="zh-CN"/>
          <w14:textFill>
            <w14:solidFill>
              <w14:schemeClr w14:val="tx1"/>
            </w14:solidFill>
          </w14:textFill>
        </w:rPr>
        <w:t>对其</w:t>
      </w:r>
      <w:r>
        <w:rPr>
          <w:rFonts w:hint="eastAsia"/>
          <w:bCs/>
          <w:color w:val="000000" w:themeColor="text1"/>
          <w:highlight w:val="none"/>
          <w14:textFill>
            <w14:solidFill>
              <w14:schemeClr w14:val="tx1"/>
            </w14:solidFill>
          </w14:textFill>
        </w:rPr>
        <w:t>影响较小</w:t>
      </w:r>
      <w:r>
        <w:rPr>
          <w:color w:val="000000" w:themeColor="text1"/>
          <w:szCs w:val="24"/>
          <w:highlight w:val="none"/>
          <w14:textFill>
            <w14:solidFill>
              <w14:schemeClr w14:val="tx1"/>
            </w14:solidFill>
          </w14:textFill>
        </w:rPr>
        <w:t>。</w:t>
      </w:r>
    </w:p>
    <w:p>
      <w:pPr>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4、固废</w:t>
      </w:r>
      <w:r>
        <w:rPr>
          <w:rFonts w:hint="eastAsia" w:eastAsia="黑体" w:cs="Times New Roman"/>
          <w:bCs/>
          <w:color w:val="000000" w:themeColor="text1"/>
          <w:szCs w:val="24"/>
          <w:highlight w:val="none"/>
          <w14:textFill>
            <w14:solidFill>
              <w14:schemeClr w14:val="tx1"/>
            </w14:solidFill>
          </w14:textFill>
        </w:rPr>
        <w:t>环境</w:t>
      </w:r>
      <w:r>
        <w:rPr>
          <w:rFonts w:eastAsia="黑体" w:cs="Times New Roman"/>
          <w:bCs/>
          <w:color w:val="000000" w:themeColor="text1"/>
          <w:szCs w:val="24"/>
          <w:highlight w:val="none"/>
          <w14:textFill>
            <w14:solidFill>
              <w14:schemeClr w14:val="tx1"/>
            </w14:solidFill>
          </w14:textFill>
        </w:rPr>
        <w:t>影响分析</w:t>
      </w:r>
    </w:p>
    <w:p>
      <w:pPr>
        <w:ind w:firstLine="480"/>
        <w:rPr>
          <w:rFonts w:cs="Times New Roman"/>
          <w:color w:val="000000" w:themeColor="text1"/>
          <w:szCs w:val="24"/>
          <w:highlight w:val="none"/>
          <w14:textFill>
            <w14:solidFill>
              <w14:schemeClr w14:val="tx1"/>
            </w14:solidFill>
          </w14:textFill>
        </w:rPr>
      </w:pPr>
      <w:r>
        <w:rPr>
          <w:rFonts w:cs="宋体"/>
          <w:color w:val="000000" w:themeColor="text1"/>
          <w:kern w:val="0"/>
          <w:szCs w:val="24"/>
          <w:highlight w:val="none"/>
          <w14:textFill>
            <w14:solidFill>
              <w14:schemeClr w14:val="tx1"/>
            </w14:solidFill>
          </w14:textFill>
        </w:rPr>
        <w:t>站场与管线建设产生少量建筑垃圾，如包装袋、废弃建筑材料、废焊条、焊渣等，其量小，可回收利用的收集后外售废品回收站，剩余废料由施工队伍统一收集清运至政府指定地方。施工人员多为当地民工，租住在附近农户，其产生的生活垃圾利用附近农户现有的设施进行收集处置，无集中生活垃圾产生。</w:t>
      </w:r>
      <w:r>
        <w:rPr>
          <w:rFonts w:hint="eastAsia" w:cs="Times New Roman"/>
          <w:color w:val="000000" w:themeColor="text1"/>
          <w:szCs w:val="24"/>
          <w:highlight w:val="none"/>
          <w14:textFill>
            <w14:solidFill>
              <w14:schemeClr w14:val="tx1"/>
            </w14:solidFill>
          </w14:textFill>
        </w:rPr>
        <w:t>此外，</w:t>
      </w:r>
      <w:r>
        <w:rPr>
          <w:rFonts w:cs="Times New Roman"/>
          <w:color w:val="000000" w:themeColor="text1"/>
          <w:szCs w:val="24"/>
          <w:highlight w:val="none"/>
          <w14:textFill>
            <w14:solidFill>
              <w14:schemeClr w14:val="tx1"/>
            </w14:solidFill>
          </w14:textFill>
        </w:rPr>
        <w:t>项目站场建设</w:t>
      </w:r>
      <w:r>
        <w:rPr>
          <w:rFonts w:hint="eastAsia" w:cs="Times New Roman"/>
          <w:color w:val="000000" w:themeColor="text1"/>
          <w:szCs w:val="24"/>
          <w:highlight w:val="none"/>
          <w14:textFill>
            <w14:solidFill>
              <w14:schemeClr w14:val="tx1"/>
            </w14:solidFill>
          </w14:textFill>
        </w:rPr>
        <w:t>和集输管线施工还会</w:t>
      </w:r>
      <w:r>
        <w:rPr>
          <w:rFonts w:cs="Times New Roman"/>
          <w:color w:val="000000" w:themeColor="text1"/>
          <w:szCs w:val="24"/>
          <w:highlight w:val="none"/>
          <w14:textFill>
            <w14:solidFill>
              <w14:schemeClr w14:val="tx1"/>
            </w14:solidFill>
          </w14:textFill>
        </w:rPr>
        <w:t>产生</w:t>
      </w:r>
      <w:r>
        <w:rPr>
          <w:rFonts w:hint="eastAsia" w:cs="Times New Roman"/>
          <w:color w:val="000000" w:themeColor="text1"/>
          <w:szCs w:val="24"/>
          <w:highlight w:val="none"/>
          <w14:textFill>
            <w14:solidFill>
              <w14:schemeClr w14:val="tx1"/>
            </w14:solidFill>
          </w14:textFill>
        </w:rPr>
        <w:t>少量</w:t>
      </w:r>
      <w:r>
        <w:rPr>
          <w:rFonts w:cs="Times New Roman"/>
          <w:color w:val="000000" w:themeColor="text1"/>
          <w:szCs w:val="24"/>
          <w:highlight w:val="none"/>
          <w14:textFill>
            <w14:solidFill>
              <w14:schemeClr w14:val="tx1"/>
            </w14:solidFill>
          </w14:textFill>
        </w:rPr>
        <w:t>管道焊接、防腐作业中产生的废材料</w:t>
      </w:r>
      <w:r>
        <w:rPr>
          <w:rFonts w:hint="eastAsia" w:cs="Times New Roman"/>
          <w:color w:val="000000" w:themeColor="text1"/>
          <w:szCs w:val="24"/>
          <w:highlight w:val="none"/>
          <w14:textFill>
            <w14:solidFill>
              <w14:schemeClr w14:val="tx1"/>
            </w14:solidFill>
          </w14:textFill>
        </w:rPr>
        <w:t>，如废焊条、废材料桶等，由施工单位带走处置，不在现场暂存</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因此，</w:t>
      </w:r>
      <w:r>
        <w:rPr>
          <w:rFonts w:cs="宋体"/>
          <w:color w:val="000000" w:themeColor="text1"/>
          <w:kern w:val="0"/>
          <w:szCs w:val="24"/>
          <w:highlight w:val="none"/>
          <w14:textFill>
            <w14:solidFill>
              <w14:schemeClr w14:val="tx1"/>
            </w14:solidFill>
          </w14:textFill>
        </w:rPr>
        <w:t>站场建设固废产生量少，经有效收集处置后，不会产生二次污染，对环境影响小</w:t>
      </w:r>
      <w:r>
        <w:rPr>
          <w:rFonts w:cs="Times New Roman"/>
          <w:color w:val="000000" w:themeColor="text1"/>
          <w:szCs w:val="24"/>
          <w:highlight w:val="none"/>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279" w:name="5.2运营期环境影响分析"/>
      <w:bookmarkEnd w:id="279"/>
      <w:bookmarkStart w:id="280" w:name="5.1.5生态影响分析"/>
      <w:bookmarkEnd w:id="280"/>
      <w:bookmarkStart w:id="281" w:name="_bookmark29"/>
      <w:bookmarkEnd w:id="281"/>
      <w:bookmarkStart w:id="282" w:name="_Toc32288"/>
      <w:r>
        <w:rPr>
          <w:color w:val="000000" w:themeColor="text1"/>
          <w:highlight w:val="none"/>
          <w:lang w:eastAsia="zh-CN"/>
          <w14:textFill>
            <w14:solidFill>
              <w14:schemeClr w14:val="tx1"/>
            </w14:solidFill>
          </w14:textFill>
        </w:rPr>
        <w:t>试采期环境影响分析</w:t>
      </w:r>
      <w:bookmarkEnd w:id="282"/>
    </w:p>
    <w:p>
      <w:pPr>
        <w:pStyle w:val="4"/>
        <w:spacing w:before="0" w:beforeLines="0"/>
        <w:ind w:firstLine="480"/>
        <w:rPr>
          <w:color w:val="000000" w:themeColor="text1"/>
          <w:highlight w:val="none"/>
          <w:lang w:eastAsia="zh-CN"/>
          <w14:textFill>
            <w14:solidFill>
              <w14:schemeClr w14:val="tx1"/>
            </w14:solidFill>
          </w14:textFill>
        </w:rPr>
      </w:pPr>
      <w:bookmarkStart w:id="283" w:name="5.2.1地表水环境影响分析"/>
      <w:bookmarkEnd w:id="283"/>
      <w:bookmarkStart w:id="284" w:name="_Toc120173155"/>
      <w:r>
        <w:rPr>
          <w:color w:val="000000" w:themeColor="text1"/>
          <w:highlight w:val="none"/>
          <w:lang w:eastAsia="zh-CN"/>
          <w14:textFill>
            <w14:solidFill>
              <w14:schemeClr w14:val="tx1"/>
            </w14:solidFill>
          </w14:textFill>
        </w:rPr>
        <w:t>试采期生态环境影响分析</w:t>
      </w:r>
      <w:bookmarkEnd w:id="284"/>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对土地利用类型的影响</w:t>
      </w:r>
    </w:p>
    <w:p>
      <w:pPr>
        <w:pStyle w:val="132"/>
        <w:ind w:firstLine="480"/>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本项目试采期不涉及新增占地（仅在钻井井场占地范围内进行建设），不会直接改变土地利用方式，项目运营不会改变评价区内现有的土地利用的基本格局</w:t>
      </w:r>
      <w:r>
        <w:rPr>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对植被及生物量的影响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（1）工程占地</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试采期</w:t>
      </w:r>
      <w:r>
        <w:rPr>
          <w:color w:val="000000" w:themeColor="text1"/>
          <w:highlight w:val="none"/>
          <w14:textFill>
            <w14:solidFill>
              <w14:schemeClr w14:val="tx1"/>
            </w14:solidFill>
          </w14:textFill>
        </w:rPr>
        <w:t>不涉及新增占地，对植被及生物量无直接影响。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（2）人员活动</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本项目试采期为</w:t>
      </w:r>
      <w:r>
        <w:rPr>
          <w:rFonts w:hint="eastAsia" w:cs="Times New Roman"/>
          <w:bCs/>
          <w:color w:val="000000" w:themeColor="text1"/>
          <w:highlight w:val="none"/>
          <w14:textFill>
            <w14:solidFill>
              <w14:schemeClr w14:val="tx1"/>
            </w14:solidFill>
          </w14:textFill>
        </w:rPr>
        <w:t>不新增值守人员</w:t>
      </w:r>
      <w:r>
        <w:rPr>
          <w:rFonts w:cs="Times New Roman"/>
          <w:bCs/>
          <w:color w:val="000000" w:themeColor="text1"/>
          <w:highlight w:val="none"/>
          <w14:textFill>
            <w14:solidFill>
              <w14:schemeClr w14:val="tx1"/>
            </w14:solidFill>
          </w14:textFill>
        </w:rPr>
        <w:t>，同时，项目区现有土地开发利用程度较高，野生动物</w:t>
      </w:r>
      <w:r>
        <w:rPr>
          <w:rFonts w:hint="eastAsia" w:cs="Times New Roman"/>
          <w:bCs/>
          <w:color w:val="000000" w:themeColor="text1"/>
          <w:highlight w:val="none"/>
          <w:lang w:val="en-US" w:eastAsia="zh-CN"/>
          <w14:textFill>
            <w14:solidFill>
              <w14:schemeClr w14:val="tx1"/>
            </w14:solidFill>
          </w14:textFill>
        </w:rPr>
        <w:t>种类</w:t>
      </w:r>
      <w:r>
        <w:rPr>
          <w:rFonts w:cs="Times New Roman"/>
          <w:bCs/>
          <w:color w:val="000000" w:themeColor="text1"/>
          <w:highlight w:val="none"/>
          <w14:textFill>
            <w14:solidFill>
              <w14:schemeClr w14:val="tx1"/>
            </w14:solidFill>
          </w14:textFill>
        </w:rPr>
        <w:t>比较简单，种类较少，多为已经适应人类生产生活等环境的鸟类和小型啮齿类动物，项目试采对其影响较小</w:t>
      </w:r>
      <w:r>
        <w:rPr>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对陆生野生动物的影响分析</w:t>
      </w:r>
    </w:p>
    <w:p>
      <w:pPr>
        <w:ind w:firstLine="480"/>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本项目试采期不涉及新增占地，</w:t>
      </w:r>
      <w:r>
        <w:rPr>
          <w:rFonts w:hint="eastAsia"/>
          <w:bCs/>
          <w:color w:val="000000" w:themeColor="text1"/>
          <w:highlight w:val="none"/>
          <w14:textFill>
            <w14:solidFill>
              <w14:schemeClr w14:val="tx1"/>
            </w14:solidFill>
          </w14:textFill>
        </w:rPr>
        <w:t>不新增</w:t>
      </w:r>
      <w:r>
        <w:rPr>
          <w:bCs/>
          <w:color w:val="000000" w:themeColor="text1"/>
          <w:highlight w:val="none"/>
          <w14:textFill>
            <w14:solidFill>
              <w14:schemeClr w14:val="tx1"/>
            </w14:solidFill>
          </w14:textFill>
        </w:rPr>
        <w:t>值守</w:t>
      </w:r>
      <w:r>
        <w:rPr>
          <w:rFonts w:hint="eastAsia"/>
          <w:bCs/>
          <w:color w:val="000000" w:themeColor="text1"/>
          <w:highlight w:val="none"/>
          <w14:textFill>
            <w14:solidFill>
              <w14:schemeClr w14:val="tx1"/>
            </w14:solidFill>
          </w14:textFill>
        </w:rPr>
        <w:t>人员</w:t>
      </w:r>
      <w:r>
        <w:rPr>
          <w:bCs/>
          <w:color w:val="000000" w:themeColor="text1"/>
          <w:highlight w:val="none"/>
          <w14:textFill>
            <w14:solidFill>
              <w14:schemeClr w14:val="tx1"/>
            </w14:solidFill>
          </w14:textFill>
        </w:rPr>
        <w:t>，但试生产期间的噪声、放空、生产废弃物可能间接对陆生野生动物产生一定影响，其生境在某种程度上会受到一定的影响，但在周边也可以找到相同或相似生境，可迁移到合适生境中生活，对其生存不会造成威胁。同时项目区现有土地开发利用程度较高，野生动物组成比较简单，种类较少，多为已经适应人类生产生活等环境的鸟类和小型啮齿类动物，项目试采期间，要加强对巡检人员教育宣传，严</w:t>
      </w:r>
      <w:r>
        <w:rPr>
          <w:rFonts w:hint="eastAsia"/>
          <w:bCs/>
          <w:color w:val="000000" w:themeColor="text1"/>
          <w:highlight w:val="none"/>
          <w14:textFill>
            <w14:solidFill>
              <w14:schemeClr w14:val="tx1"/>
            </w14:solidFill>
          </w14:textFill>
        </w:rPr>
        <w:t>禁</w:t>
      </w:r>
      <w:r>
        <w:rPr>
          <w:bCs/>
          <w:color w:val="000000" w:themeColor="text1"/>
          <w:highlight w:val="none"/>
          <w14:textFill>
            <w14:solidFill>
              <w14:schemeClr w14:val="tx1"/>
            </w14:solidFill>
          </w14:textFill>
        </w:rPr>
        <w:t>非法捕杀野生动物，将对其影响降到</w:t>
      </w:r>
      <w:r>
        <w:rPr>
          <w:rFonts w:hint="eastAsia"/>
          <w:bCs/>
          <w:color w:val="000000" w:themeColor="text1"/>
          <w:highlight w:val="none"/>
          <w14:textFill>
            <w14:solidFill>
              <w14:schemeClr w14:val="tx1"/>
            </w14:solidFill>
          </w14:textFill>
        </w:rPr>
        <w:t>最低</w:t>
      </w:r>
      <w:r>
        <w:rPr>
          <w:bCs/>
          <w:color w:val="000000" w:themeColor="text1"/>
          <w:highlight w:val="none"/>
          <w14:textFill>
            <w14:solidFill>
              <w14:schemeClr w14:val="tx1"/>
            </w14:solidFill>
          </w14:textFill>
        </w:rPr>
        <w:t>小</w:t>
      </w:r>
      <w:r>
        <w:rPr>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对重点保护野生动植物的影响</w:t>
      </w:r>
    </w:p>
    <w:p>
      <w:pPr>
        <w:ind w:firstLine="480"/>
        <w:rPr>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根据实地调查，在项目评价区内未发现国家和省级重点保护野生动植物</w:t>
      </w:r>
      <w:r>
        <w:rPr>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对天然林、公益林及生态红线影响分析</w:t>
      </w:r>
    </w:p>
    <w:p>
      <w:pPr>
        <w:adjustRightInd/>
        <w:snapToGrid/>
        <w:ind w:firstLine="480"/>
        <w:rPr>
          <w:rFonts w:cs="Times New Roman"/>
          <w:bCs/>
          <w:color w:val="000000" w:themeColor="text1"/>
          <w:szCs w:val="20"/>
          <w:highlight w:val="none"/>
          <w14:textFill>
            <w14:solidFill>
              <w14:schemeClr w14:val="tx1"/>
            </w14:solidFill>
          </w14:textFill>
        </w:rPr>
      </w:pPr>
      <w:r>
        <w:rPr>
          <w:rFonts w:cs="Times New Roman"/>
          <w:bCs/>
          <w:color w:val="000000" w:themeColor="text1"/>
          <w:szCs w:val="20"/>
          <w:highlight w:val="none"/>
          <w14:textFill>
            <w14:solidFill>
              <w14:schemeClr w14:val="tx1"/>
            </w14:solidFill>
          </w14:textFill>
        </w:rPr>
        <w:t>本项目试采期不涉及新增占地，因此</w:t>
      </w:r>
      <w:r>
        <w:rPr>
          <w:rFonts w:cs="Times New Roman"/>
          <w:color w:val="000000" w:themeColor="text1"/>
          <w:szCs w:val="20"/>
          <w:highlight w:val="none"/>
          <w14:textFill>
            <w14:solidFill>
              <w14:schemeClr w14:val="tx1"/>
            </w14:solidFill>
          </w14:textFill>
        </w:rPr>
        <w:t>对天然林、公益林</w:t>
      </w:r>
      <w:r>
        <w:rPr>
          <w:rFonts w:hint="eastAsia" w:cs="Times New Roman"/>
          <w:color w:val="000000" w:themeColor="text1"/>
          <w:szCs w:val="20"/>
          <w:highlight w:val="none"/>
          <w:lang w:val="en-US" w:eastAsia="zh-CN"/>
          <w14:textFill>
            <w14:solidFill>
              <w14:schemeClr w14:val="tx1"/>
            </w14:solidFill>
          </w14:textFill>
        </w:rPr>
        <w:t>及</w:t>
      </w:r>
      <w:r>
        <w:rPr>
          <w:rFonts w:cs="Times New Roman"/>
          <w:bCs/>
          <w:color w:val="000000" w:themeColor="text1"/>
          <w:szCs w:val="20"/>
          <w:highlight w:val="none"/>
          <w14:textFill>
            <w14:solidFill>
              <w14:schemeClr w14:val="tx1"/>
            </w14:solidFill>
          </w14:textFill>
        </w:rPr>
        <w:t>生态红线</w:t>
      </w:r>
      <w:r>
        <w:rPr>
          <w:rFonts w:hint="eastAsia" w:cs="Times New Roman"/>
          <w:bCs/>
          <w:color w:val="000000" w:themeColor="text1"/>
          <w:szCs w:val="20"/>
          <w:highlight w:val="none"/>
          <w:lang w:val="en-US" w:eastAsia="zh-CN"/>
          <w14:textFill>
            <w14:solidFill>
              <w14:schemeClr w14:val="tx1"/>
            </w14:solidFill>
          </w14:textFill>
        </w:rPr>
        <w:t>等敏感区域</w:t>
      </w:r>
      <w:r>
        <w:rPr>
          <w:rFonts w:cs="Times New Roman"/>
          <w:color w:val="000000" w:themeColor="text1"/>
          <w:szCs w:val="20"/>
          <w:highlight w:val="none"/>
          <w14:textFill>
            <w14:solidFill>
              <w14:schemeClr w14:val="tx1"/>
            </w14:solidFill>
          </w14:textFill>
        </w:rPr>
        <w:t>无直接影响</w:t>
      </w:r>
      <w:r>
        <w:rPr>
          <w:rFonts w:cs="Times New Roman"/>
          <w:bCs/>
          <w:color w:val="000000" w:themeColor="text1"/>
          <w:szCs w:val="20"/>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对景观生态和生态系统影响分析</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试采期不新增占地，森林模地根基不会动摇，景观的恢复稳定性和阻抗稳定性不会改变，生态环境不会发生质的变化，项目区及周边区域生态效能、景观风貌、环境质量、物种多样性等生态因子影响很小，不会对区域生态完整性产生影响</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项目管线占地均为临时占地，项目建成后，要及时</w:t>
      </w:r>
      <w:r>
        <w:rPr>
          <w:rFonts w:cs="Times New Roman"/>
          <w:bCs/>
          <w:color w:val="000000" w:themeColor="text1"/>
          <w:highlight w:val="none"/>
          <w14:textFill>
            <w14:solidFill>
              <w14:schemeClr w14:val="tx1"/>
            </w14:solidFill>
          </w14:textFill>
        </w:rPr>
        <w:t>拆除临时建筑设施，恢复植被，尽量采用以当地乡土灌草先锋物种种植为首选的临时植被恢复工程，</w:t>
      </w:r>
      <w:r>
        <w:rPr>
          <w:rFonts w:hint="eastAsia" w:cs="Times New Roman"/>
          <w:bCs/>
          <w:color w:val="000000" w:themeColor="text1"/>
          <w:highlight w:val="none"/>
          <w14:textFill>
            <w14:solidFill>
              <w14:schemeClr w14:val="tx1"/>
            </w14:solidFill>
          </w14:textFill>
        </w:rPr>
        <w:t>对穿越公益林段，栽植原占用树种马尾松并结合</w:t>
      </w:r>
      <w:r>
        <w:rPr>
          <w:rFonts w:cs="Times New Roman"/>
          <w:bCs/>
          <w:color w:val="000000" w:themeColor="text1"/>
          <w:highlight w:val="none"/>
          <w14:textFill>
            <w14:solidFill>
              <w14:schemeClr w14:val="tx1"/>
            </w14:solidFill>
          </w14:textFill>
        </w:rPr>
        <w:t>乡土灌草先锋物种种植</w:t>
      </w:r>
      <w:r>
        <w:rPr>
          <w:rFonts w:hint="eastAsia" w:cs="Times New Roman"/>
          <w:bCs/>
          <w:color w:val="000000" w:themeColor="text1"/>
          <w:highlight w:val="none"/>
          <w14:textFill>
            <w14:solidFill>
              <w14:schemeClr w14:val="tx1"/>
            </w14:solidFill>
          </w14:textFill>
        </w:rPr>
        <w:t>。项目区亚热带温暖湿润气候特点，可快速恢复植被，快速</w:t>
      </w:r>
      <w:r>
        <w:rPr>
          <w:rFonts w:cs="Times New Roman"/>
          <w:bCs/>
          <w:color w:val="000000" w:themeColor="text1"/>
          <w:highlight w:val="none"/>
          <w14:textFill>
            <w14:solidFill>
              <w14:schemeClr w14:val="tx1"/>
            </w14:solidFill>
          </w14:textFill>
        </w:rPr>
        <w:t>增加与周围自然景观的协调性</w:t>
      </w:r>
      <w:r>
        <w:rPr>
          <w:rFonts w:hint="eastAsia" w:cs="Times New Roman"/>
          <w:bCs/>
          <w:color w:val="000000" w:themeColor="text1"/>
          <w:highlight w:val="none"/>
          <w14:textFill>
            <w14:solidFill>
              <w14:schemeClr w14:val="tx1"/>
            </w14:solidFill>
          </w14:textFill>
        </w:rPr>
        <w:t>，将</w:t>
      </w:r>
      <w:r>
        <w:rPr>
          <w:rFonts w:cs="Times New Roman"/>
          <w:bCs/>
          <w:color w:val="000000" w:themeColor="text1"/>
          <w:highlight w:val="none"/>
          <w14:textFill>
            <w14:solidFill>
              <w14:schemeClr w14:val="tx1"/>
            </w14:solidFill>
          </w14:textFill>
        </w:rPr>
        <w:t>生态和景观阻隔效应</w:t>
      </w:r>
      <w:r>
        <w:rPr>
          <w:rFonts w:hint="eastAsia" w:cs="Times New Roman"/>
          <w:bCs/>
          <w:color w:val="000000" w:themeColor="text1"/>
          <w:highlight w:val="none"/>
          <w14:textFill>
            <w14:solidFill>
              <w14:schemeClr w14:val="tx1"/>
            </w14:solidFill>
          </w14:textFill>
        </w:rPr>
        <w:t>降到最低。</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水土流失影响</w:t>
      </w:r>
      <w:r>
        <w:rPr>
          <w:color w:val="000000" w:themeColor="text1"/>
          <w:highlight w:val="none"/>
          <w14:textFill>
            <w14:solidFill>
              <w14:schemeClr w14:val="tx1"/>
            </w14:solidFill>
          </w14:textFill>
        </w:rPr>
        <w:t>分析</w:t>
      </w:r>
    </w:p>
    <w:p>
      <w:pPr>
        <w:ind w:firstLine="480"/>
        <w:rPr>
          <w:rFonts w:cs="Times New Roman"/>
          <w:bCs/>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项目</w:t>
      </w:r>
      <w:r>
        <w:rPr>
          <w:rFonts w:hint="eastAsia" w:cs="Times New Roman"/>
          <w:color w:val="000000" w:themeColor="text1"/>
          <w:highlight w:val="none"/>
          <w14:textFill>
            <w14:solidFill>
              <w14:schemeClr w14:val="tx1"/>
            </w14:solidFill>
          </w14:textFill>
        </w:rPr>
        <w:t>试采</w:t>
      </w:r>
      <w:r>
        <w:rPr>
          <w:rFonts w:cs="Times New Roman"/>
          <w:color w:val="000000" w:themeColor="text1"/>
          <w:highlight w:val="none"/>
          <w14:textFill>
            <w14:solidFill>
              <w14:schemeClr w14:val="tx1"/>
            </w14:solidFill>
          </w14:textFill>
        </w:rPr>
        <w:t>期不涉及新增占地，</w:t>
      </w:r>
      <w:r>
        <w:rPr>
          <w:rFonts w:hint="eastAsia" w:cs="Times New Roman"/>
          <w:color w:val="000000" w:themeColor="text1"/>
          <w:highlight w:val="none"/>
          <w14:textFill>
            <w14:solidFill>
              <w14:schemeClr w14:val="tx1"/>
            </w14:solidFill>
          </w14:textFill>
        </w:rPr>
        <w:t>试采井站采取了硬化措施并设置排水沟，管线进行了生态恢复，基本不会产生水土流失</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对水土流失重点治理区影响很小。</w:t>
      </w:r>
    </w:p>
    <w:p>
      <w:pPr>
        <w:pStyle w:val="4"/>
        <w:spacing w:before="0" w:beforeLines="0"/>
        <w:ind w:firstLine="480"/>
        <w:rPr>
          <w:color w:val="000000" w:themeColor="text1"/>
          <w:highlight w:val="none"/>
          <w14:textFill>
            <w14:solidFill>
              <w14:schemeClr w14:val="tx1"/>
            </w14:solidFill>
          </w14:textFill>
        </w:rPr>
      </w:pPr>
      <w:bookmarkStart w:id="285" w:name="_Toc120173156"/>
      <w:r>
        <w:rPr>
          <w:color w:val="000000" w:themeColor="text1"/>
          <w:highlight w:val="none"/>
          <w14:textFill>
            <w14:solidFill>
              <w14:schemeClr w14:val="tx1"/>
            </w14:solidFill>
          </w14:textFill>
        </w:rPr>
        <w:t>大气环境影响分析</w:t>
      </w:r>
      <w:bookmarkEnd w:id="285"/>
    </w:p>
    <w:p>
      <w:pPr>
        <w:ind w:firstLine="480"/>
        <w:rPr>
          <w:rFonts w:eastAsia="黑体" w:cs="Times New Roman"/>
          <w:bCs/>
          <w:color w:val="000000" w:themeColor="text1"/>
          <w:szCs w:val="24"/>
          <w:highlight w:val="none"/>
          <w14:textFill>
            <w14:solidFill>
              <w14:schemeClr w14:val="tx1"/>
            </w14:solidFill>
          </w14:textFill>
        </w:rPr>
      </w:pPr>
      <w:r>
        <w:rPr>
          <w:rFonts w:eastAsia="黑体" w:cs="Times New Roman"/>
          <w:bCs/>
          <w:color w:val="000000" w:themeColor="text1"/>
          <w:szCs w:val="24"/>
          <w:highlight w:val="none"/>
          <w14:textFill>
            <w14:solidFill>
              <w14:schemeClr w14:val="tx1"/>
            </w14:solidFill>
          </w14:textFill>
        </w:rPr>
        <w:t>1</w:t>
      </w:r>
      <w:r>
        <w:rPr>
          <w:rFonts w:hint="eastAsia" w:eastAsia="黑体" w:cs="Times New Roman"/>
          <w:bCs/>
          <w:color w:val="000000" w:themeColor="text1"/>
          <w:szCs w:val="24"/>
          <w:highlight w:val="none"/>
          <w14:textFill>
            <w14:solidFill>
              <w14:schemeClr w14:val="tx1"/>
            </w14:solidFill>
          </w14:textFill>
        </w:rPr>
        <w:t>、</w:t>
      </w:r>
      <w:r>
        <w:rPr>
          <w:rFonts w:eastAsia="黑体" w:cs="Times New Roman"/>
          <w:bCs/>
          <w:color w:val="000000" w:themeColor="text1"/>
          <w:szCs w:val="24"/>
          <w:highlight w:val="none"/>
          <w14:textFill>
            <w14:solidFill>
              <w14:schemeClr w14:val="tx1"/>
            </w14:solidFill>
          </w14:textFill>
        </w:rPr>
        <w:t>废气污染物源情况</w:t>
      </w:r>
    </w:p>
    <w:p>
      <w:pPr>
        <w:ind w:firstLine="480"/>
        <w:rPr>
          <w:bCs/>
          <w:color w:val="000000" w:themeColor="text1"/>
          <w:szCs w:val="24"/>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本项目有组织</w:t>
      </w:r>
      <w:r>
        <w:rPr>
          <w:bCs/>
          <w:color w:val="000000" w:themeColor="text1"/>
          <w:szCs w:val="24"/>
          <w:highlight w:val="none"/>
          <w14:textFill>
            <w14:solidFill>
              <w14:schemeClr w14:val="tx1"/>
            </w14:solidFill>
          </w14:textFill>
        </w:rPr>
        <w:t>废气主要来自</w:t>
      </w:r>
      <w:r>
        <w:rPr>
          <w:bCs/>
          <w:color w:val="000000" w:themeColor="text1"/>
          <w:highlight w:val="none"/>
          <w14:textFill>
            <w14:solidFill>
              <w14:schemeClr w14:val="tx1"/>
            </w14:solidFill>
          </w14:textFill>
        </w:rPr>
        <w:t>水套加热炉燃烧废气</w:t>
      </w:r>
      <w:r>
        <w:rPr>
          <w:rFonts w:hint="eastAsia"/>
          <w:bCs/>
          <w:color w:val="000000" w:themeColor="text1"/>
          <w:highlight w:val="none"/>
          <w14:textFill>
            <w14:solidFill>
              <w14:schemeClr w14:val="tx1"/>
            </w14:solidFill>
          </w14:textFill>
        </w:rPr>
        <w:t>，排放情况见下表</w:t>
      </w:r>
      <w:r>
        <w:rPr>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项目运营后正常工况下有组织排放源强参数调查清单</w:t>
      </w:r>
    </w:p>
    <w:tbl>
      <w:tblPr>
        <w:tblStyle w:val="54"/>
        <w:tblW w:w="5000" w:type="pct"/>
        <w:tblInd w:w="0" w:type="dxa"/>
        <w:tblLayout w:type="fixed"/>
        <w:tblCellMar>
          <w:top w:w="0" w:type="dxa"/>
          <w:left w:w="108" w:type="dxa"/>
          <w:bottom w:w="0" w:type="dxa"/>
          <w:right w:w="108" w:type="dxa"/>
        </w:tblCellMar>
      </w:tblPr>
      <w:tblGrid>
        <w:gridCol w:w="728"/>
        <w:gridCol w:w="583"/>
        <w:gridCol w:w="871"/>
        <w:gridCol w:w="754"/>
        <w:gridCol w:w="995"/>
        <w:gridCol w:w="726"/>
        <w:gridCol w:w="871"/>
        <w:gridCol w:w="726"/>
        <w:gridCol w:w="875"/>
        <w:gridCol w:w="733"/>
        <w:gridCol w:w="662"/>
      </w:tblGrid>
      <w:tr>
        <w:tblPrEx>
          <w:tblCellMar>
            <w:top w:w="0" w:type="dxa"/>
            <w:left w:w="108" w:type="dxa"/>
            <w:bottom w:w="0" w:type="dxa"/>
            <w:right w:w="108" w:type="dxa"/>
          </w:tblCellMar>
        </w:tblPrEx>
        <w:trPr>
          <w:trHeight w:val="20" w:hRule="atLeast"/>
          <w:tblHeader/>
        </w:trPr>
        <w:tc>
          <w:tcPr>
            <w:tcW w:w="427" w:type="pct"/>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污染源名称</w:t>
            </w:r>
          </w:p>
        </w:tc>
        <w:tc>
          <w:tcPr>
            <w:tcW w:w="342" w:type="pct"/>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排气筒编号</w:t>
            </w:r>
          </w:p>
        </w:tc>
        <w:tc>
          <w:tcPr>
            <w:tcW w:w="953" w:type="pct"/>
            <w:gridSpan w:val="2"/>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排气筒底部中心坐标（°）</w:t>
            </w:r>
          </w:p>
        </w:tc>
        <w:tc>
          <w:tcPr>
            <w:tcW w:w="584" w:type="pct"/>
            <w:vMerge w:val="restar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排气筒底部</w:t>
            </w:r>
            <w:r>
              <w:rPr>
                <w:rFonts w:hint="eastAsia"/>
                <w:b/>
                <w:bCs/>
                <w:color w:val="000000" w:themeColor="text1"/>
                <w:highlight w:val="none"/>
                <w14:textFill>
                  <w14:solidFill>
                    <w14:schemeClr w14:val="tx1"/>
                  </w14:solidFill>
                </w14:textFill>
              </w:rPr>
              <w:t>海拔</w:t>
            </w:r>
            <w:r>
              <w:rPr>
                <w:b/>
                <w:bCs/>
                <w:color w:val="000000" w:themeColor="text1"/>
                <w:highlight w:val="none"/>
                <w14:textFill>
                  <w14:solidFill>
                    <w14:schemeClr w14:val="tx1"/>
                  </w14:solidFill>
                </w14:textFill>
              </w:rPr>
              <w:t>（m）</w:t>
            </w:r>
          </w:p>
        </w:tc>
        <w:tc>
          <w:tcPr>
            <w:tcW w:w="1875" w:type="pct"/>
            <w:gridSpan w:val="4"/>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排气筒参数</w:t>
            </w:r>
          </w:p>
        </w:tc>
        <w:tc>
          <w:tcPr>
            <w:tcW w:w="819" w:type="pct"/>
            <w:gridSpan w:val="2"/>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污染物排放速率（kg/h）</w:t>
            </w:r>
          </w:p>
        </w:tc>
      </w:tr>
      <w:tr>
        <w:tblPrEx>
          <w:tblCellMar>
            <w:top w:w="0" w:type="dxa"/>
            <w:left w:w="108" w:type="dxa"/>
            <w:bottom w:w="0" w:type="dxa"/>
            <w:right w:w="108" w:type="dxa"/>
          </w:tblCellMar>
        </w:tblPrEx>
        <w:trPr>
          <w:trHeight w:val="20" w:hRule="atLeast"/>
          <w:tblHeader/>
        </w:trPr>
        <w:tc>
          <w:tcPr>
            <w:tcW w:w="427" w:type="pct"/>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p>
        </w:tc>
        <w:tc>
          <w:tcPr>
            <w:tcW w:w="342" w:type="pct"/>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p>
        </w:tc>
        <w:tc>
          <w:tcPr>
            <w:tcW w:w="511"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经度</w:t>
            </w:r>
          </w:p>
        </w:tc>
        <w:tc>
          <w:tcPr>
            <w:tcW w:w="442"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纬度</w:t>
            </w:r>
          </w:p>
        </w:tc>
        <w:tc>
          <w:tcPr>
            <w:tcW w:w="584" w:type="pct"/>
            <w:vMerge w:val="continue"/>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p>
        </w:tc>
        <w:tc>
          <w:tcPr>
            <w:tcW w:w="426"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高度（m）</w:t>
            </w:r>
          </w:p>
        </w:tc>
        <w:tc>
          <w:tcPr>
            <w:tcW w:w="511"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内径（m）</w:t>
            </w:r>
          </w:p>
        </w:tc>
        <w:tc>
          <w:tcPr>
            <w:tcW w:w="426"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温度（℃）</w:t>
            </w:r>
          </w:p>
        </w:tc>
        <w:tc>
          <w:tcPr>
            <w:tcW w:w="513"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流速（m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r>
              <w:rPr>
                <w:rFonts w:hint="eastAsia"/>
                <w:b/>
                <w:bCs/>
                <w:color w:val="000000" w:themeColor="text1"/>
                <w:highlight w:val="none"/>
                <w14:textFill>
                  <w14:solidFill>
                    <w14:schemeClr w14:val="tx1"/>
                  </w14:solidFill>
                </w14:textFill>
              </w:rPr>
              <w:t>h</w:t>
            </w:r>
            <w:r>
              <w:rPr>
                <w:b/>
                <w:bCs/>
                <w:color w:val="000000" w:themeColor="text1"/>
                <w:highlight w:val="none"/>
                <w14:textFill>
                  <w14:solidFill>
                    <w14:schemeClr w14:val="tx1"/>
                  </w14:solidFill>
                </w14:textFill>
              </w:rPr>
              <w:t>）</w:t>
            </w:r>
          </w:p>
        </w:tc>
        <w:tc>
          <w:tcPr>
            <w:tcW w:w="430"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NOx</w:t>
            </w:r>
          </w:p>
        </w:tc>
        <w:tc>
          <w:tcPr>
            <w:tcW w:w="389" w:type="pct"/>
            <w:tcBorders>
              <w:top w:val="single" w:color="auto" w:sz="4" w:space="0"/>
              <w:left w:val="single" w:color="auto" w:sz="4" w:space="0"/>
              <w:bottom w:val="single" w:color="auto" w:sz="4" w:space="0"/>
              <w:right w:val="single" w:color="auto" w:sz="4" w:space="0"/>
            </w:tcBorders>
            <w:vAlign w:val="center"/>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颗粒物</w:t>
            </w:r>
          </w:p>
        </w:tc>
      </w:tr>
      <w:tr>
        <w:tblPrEx>
          <w:tblCellMar>
            <w:top w:w="0" w:type="dxa"/>
            <w:left w:w="108" w:type="dxa"/>
            <w:bottom w:w="0" w:type="dxa"/>
            <w:right w:w="108" w:type="dxa"/>
          </w:tblCellMar>
        </w:tblPrEx>
        <w:trPr>
          <w:trHeight w:val="20" w:hRule="atLeast"/>
        </w:trPr>
        <w:tc>
          <w:tcPr>
            <w:tcW w:w="427"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水套加热炉排气筒</w:t>
            </w:r>
          </w:p>
        </w:tc>
        <w:tc>
          <w:tcPr>
            <w:tcW w:w="342"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P1</w:t>
            </w:r>
          </w:p>
        </w:tc>
        <w:tc>
          <w:tcPr>
            <w:tcW w:w="87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107.81006098</w:t>
            </w:r>
          </w:p>
        </w:tc>
        <w:tc>
          <w:tcPr>
            <w:tcW w:w="754"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31.64413398</w:t>
            </w:r>
          </w:p>
        </w:tc>
        <w:tc>
          <w:tcPr>
            <w:tcW w:w="584"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664</w:t>
            </w:r>
          </w:p>
        </w:tc>
        <w:tc>
          <w:tcPr>
            <w:tcW w:w="426"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511"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0.2</w:t>
            </w:r>
          </w:p>
        </w:tc>
        <w:tc>
          <w:tcPr>
            <w:tcW w:w="426"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w:t>
            </w:r>
          </w:p>
        </w:tc>
        <w:tc>
          <w:tcPr>
            <w:tcW w:w="513"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1247.13</w:t>
            </w:r>
          </w:p>
        </w:tc>
        <w:tc>
          <w:tcPr>
            <w:tcW w:w="430"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w:t>
            </w:r>
            <w:r>
              <w:rPr>
                <w:rFonts w:hint="eastAsia"/>
                <w:color w:val="000000" w:themeColor="text1"/>
                <w:highlight w:val="none"/>
                <w14:textFill>
                  <w14:solidFill>
                    <w14:schemeClr w14:val="tx1"/>
                  </w14:solidFill>
                </w14:textFill>
              </w:rPr>
              <w:t>2</w:t>
            </w:r>
          </w:p>
        </w:tc>
        <w:tc>
          <w:tcPr>
            <w:tcW w:w="389" w:type="pc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0.000</w:t>
            </w:r>
            <w:r>
              <w:rPr>
                <w:rFonts w:hint="eastAsia"/>
                <w:color w:val="000000" w:themeColor="text1"/>
                <w:highlight w:val="none"/>
                <w14:textFill>
                  <w14:solidFill>
                    <w14:schemeClr w14:val="tx1"/>
                  </w14:solidFill>
                </w14:textFill>
              </w:rPr>
              <w:t>31</w:t>
            </w:r>
          </w:p>
        </w:tc>
      </w:tr>
    </w:tbl>
    <w:p>
      <w:pPr>
        <w:spacing w:before="120" w:beforeLines="50"/>
        <w:ind w:firstLine="480"/>
        <w:rPr>
          <w:rFonts w:eastAsia="黑体" w:cs="Times New Roman"/>
          <w:bCs/>
          <w:color w:val="000000" w:themeColor="text1"/>
          <w:szCs w:val="24"/>
          <w:highlight w:val="none"/>
          <w14:textFill>
            <w14:solidFill>
              <w14:schemeClr w14:val="tx1"/>
            </w14:solidFill>
          </w14:textFill>
        </w:rPr>
      </w:pPr>
      <w:r>
        <w:rPr>
          <w:rFonts w:hint="eastAsia" w:eastAsia="黑体" w:cs="Times New Roman"/>
          <w:bCs/>
          <w:color w:val="000000" w:themeColor="text1"/>
          <w:szCs w:val="24"/>
          <w:highlight w:val="none"/>
          <w14:textFill>
            <w14:solidFill>
              <w14:schemeClr w14:val="tx1"/>
            </w14:solidFill>
          </w14:textFill>
        </w:rPr>
        <w:t>2、预测分析</w:t>
      </w:r>
    </w:p>
    <w:p>
      <w:pPr>
        <w:ind w:firstLine="480"/>
        <w:rPr>
          <w:bCs/>
          <w:color w:val="000000" w:themeColor="text1"/>
          <w:szCs w:val="24"/>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采用大气导则估算模式—AERSCREEN进行估算，估算参数详见，估算结果详见表5.2-</w:t>
      </w:r>
      <w:r>
        <w:rPr>
          <w:rFonts w:hint="eastAsia"/>
          <w:bCs/>
          <w:color w:val="000000" w:themeColor="text1"/>
          <w:szCs w:val="24"/>
          <w:highlight w:val="none"/>
          <w:lang w:val="en-US" w:eastAsia="zh-CN"/>
          <w14:textFill>
            <w14:solidFill>
              <w14:schemeClr w14:val="tx1"/>
            </w14:solidFill>
          </w14:textFill>
        </w:rPr>
        <w:t>2</w:t>
      </w:r>
      <w:r>
        <w:rPr>
          <w:rFonts w:hint="eastAsia"/>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估算模型参数表</w:t>
      </w:r>
    </w:p>
    <w:tbl>
      <w:tblPr>
        <w:tblStyle w:val="5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8"/>
        <w:gridCol w:w="3539"/>
        <w:gridCol w:w="2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参数</w:t>
            </w:r>
          </w:p>
        </w:tc>
        <w:tc>
          <w:tcPr>
            <w:tcW w:w="164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城市/农村选项</w:t>
            </w:r>
          </w:p>
        </w:tc>
        <w:tc>
          <w:tcPr>
            <w:tcW w:w="207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城市/农村</w:t>
            </w:r>
          </w:p>
        </w:tc>
        <w:tc>
          <w:tcPr>
            <w:tcW w:w="16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continue"/>
            <w:vAlign w:val="center"/>
          </w:tcPr>
          <w:p>
            <w:pPr>
              <w:pStyle w:val="297"/>
              <w:rPr>
                <w:color w:val="000000" w:themeColor="text1"/>
                <w:highlight w:val="none"/>
                <w14:textFill>
                  <w14:solidFill>
                    <w14:schemeClr w14:val="tx1"/>
                  </w14:solidFill>
                </w14:textFill>
              </w:rPr>
            </w:pPr>
          </w:p>
        </w:tc>
        <w:tc>
          <w:tcPr>
            <w:tcW w:w="207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人口数（城市选项时）</w:t>
            </w:r>
          </w:p>
        </w:tc>
        <w:tc>
          <w:tcPr>
            <w:tcW w:w="16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最高环境温度/℃</w:t>
            </w:r>
          </w:p>
        </w:tc>
        <w:tc>
          <w:tcPr>
            <w:tcW w:w="16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最低环境温度/℃</w:t>
            </w:r>
          </w:p>
        </w:tc>
        <w:tc>
          <w:tcPr>
            <w:tcW w:w="16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土地利用类型</w:t>
            </w:r>
          </w:p>
        </w:tc>
        <w:tc>
          <w:tcPr>
            <w:tcW w:w="1640"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针</w:t>
            </w:r>
            <w:r>
              <w:rPr>
                <w:color w:val="000000" w:themeColor="text1"/>
                <w:highlight w:val="none"/>
                <w14:textFill>
                  <w14:solidFill>
                    <w14:schemeClr w14:val="tx1"/>
                  </w14:solidFill>
                </w14:textFill>
              </w:rPr>
              <w:t>叶林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3360"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区域湿度条件</w:t>
            </w:r>
          </w:p>
        </w:tc>
        <w:tc>
          <w:tcPr>
            <w:tcW w:w="1640"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中等</w:t>
            </w:r>
            <w:r>
              <w:rPr>
                <w:color w:val="000000" w:themeColor="text1"/>
                <w:highlight w:val="none"/>
                <w14:textFill>
                  <w14:solidFill>
                    <w14:schemeClr w14:val="tx1"/>
                  </w14:solidFill>
                </w14:textFill>
              </w:rPr>
              <w:t>潮湿气候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是否考虑地形</w:t>
            </w:r>
          </w:p>
        </w:tc>
        <w:tc>
          <w:tcPr>
            <w:tcW w:w="207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考虑地形</w:t>
            </w:r>
          </w:p>
        </w:tc>
        <w:tc>
          <w:tcPr>
            <w:tcW w:w="16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continue"/>
            <w:vAlign w:val="center"/>
          </w:tcPr>
          <w:p>
            <w:pPr>
              <w:pStyle w:val="297"/>
              <w:rPr>
                <w:color w:val="000000" w:themeColor="text1"/>
                <w:highlight w:val="none"/>
                <w14:textFill>
                  <w14:solidFill>
                    <w14:schemeClr w14:val="tx1"/>
                  </w14:solidFill>
                </w14:textFill>
              </w:rPr>
            </w:pPr>
          </w:p>
        </w:tc>
        <w:tc>
          <w:tcPr>
            <w:tcW w:w="207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地形数据分辨率/m</w:t>
            </w:r>
          </w:p>
        </w:tc>
        <w:tc>
          <w:tcPr>
            <w:tcW w:w="16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是否考虑岸线熏烟</w:t>
            </w:r>
          </w:p>
        </w:tc>
        <w:tc>
          <w:tcPr>
            <w:tcW w:w="207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考虑岸线熏烟</w:t>
            </w:r>
          </w:p>
        </w:tc>
        <w:tc>
          <w:tcPr>
            <w:tcW w:w="16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continue"/>
            <w:vAlign w:val="center"/>
          </w:tcPr>
          <w:p>
            <w:pPr>
              <w:pStyle w:val="297"/>
              <w:rPr>
                <w:color w:val="000000" w:themeColor="text1"/>
                <w:highlight w:val="none"/>
                <w14:textFill>
                  <w14:solidFill>
                    <w14:schemeClr w14:val="tx1"/>
                  </w14:solidFill>
                </w14:textFill>
              </w:rPr>
            </w:pPr>
          </w:p>
        </w:tc>
        <w:tc>
          <w:tcPr>
            <w:tcW w:w="207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岸线距离/km</w:t>
            </w:r>
          </w:p>
        </w:tc>
        <w:tc>
          <w:tcPr>
            <w:tcW w:w="16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84" w:type="pct"/>
            <w:vMerge w:val="continue"/>
            <w:vAlign w:val="center"/>
          </w:tcPr>
          <w:p>
            <w:pPr>
              <w:pStyle w:val="297"/>
              <w:rPr>
                <w:color w:val="000000" w:themeColor="text1"/>
                <w:highlight w:val="none"/>
                <w14:textFill>
                  <w14:solidFill>
                    <w14:schemeClr w14:val="tx1"/>
                  </w14:solidFill>
                </w14:textFill>
              </w:rPr>
            </w:pPr>
          </w:p>
        </w:tc>
        <w:tc>
          <w:tcPr>
            <w:tcW w:w="207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岸线方向/°</w:t>
            </w:r>
          </w:p>
        </w:tc>
        <w:tc>
          <w:tcPr>
            <w:tcW w:w="164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有组织废气排放影响估算结果表</w:t>
      </w:r>
    </w:p>
    <w:tbl>
      <w:tblPr>
        <w:tblStyle w:val="54"/>
        <w:tblW w:w="50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1"/>
        <w:gridCol w:w="1499"/>
        <w:gridCol w:w="1455"/>
        <w:gridCol w:w="1602"/>
        <w:gridCol w:w="19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距源中心下风向</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距离D/m</w:t>
            </w:r>
          </w:p>
        </w:tc>
        <w:tc>
          <w:tcPr>
            <w:tcW w:w="3834" w:type="pct"/>
            <w:gridSpan w:val="4"/>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水套加热炉排气筒（P1）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Merge w:val="continue"/>
            <w:vAlign w:val="center"/>
          </w:tcPr>
          <w:p>
            <w:pPr>
              <w:pStyle w:val="297"/>
              <w:rPr>
                <w:b/>
                <w:bCs/>
                <w:color w:val="000000" w:themeColor="text1"/>
                <w:highlight w:val="none"/>
                <w14:textFill>
                  <w14:solidFill>
                    <w14:schemeClr w14:val="tx1"/>
                  </w14:solidFill>
                </w14:textFill>
              </w:rPr>
            </w:pPr>
          </w:p>
        </w:tc>
        <w:tc>
          <w:tcPr>
            <w:tcW w:w="1730" w:type="pct"/>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NOx</w:t>
            </w:r>
          </w:p>
        </w:tc>
        <w:tc>
          <w:tcPr>
            <w:tcW w:w="2104" w:type="pct"/>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Merge w:val="continue"/>
            <w:vAlign w:val="center"/>
          </w:tcPr>
          <w:p>
            <w:pPr>
              <w:pStyle w:val="297"/>
              <w:rPr>
                <w:b/>
                <w:bCs/>
                <w:color w:val="000000" w:themeColor="text1"/>
                <w:highlight w:val="none"/>
                <w14:textFill>
                  <w14:solidFill>
                    <w14:schemeClr w14:val="tx1"/>
                  </w14:solidFill>
                </w14:textFill>
              </w:rPr>
            </w:pPr>
          </w:p>
        </w:tc>
        <w:tc>
          <w:tcPr>
            <w:tcW w:w="87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μg/m³</w:t>
            </w:r>
            <w:r>
              <w:rPr>
                <w:rFonts w:hint="eastAsia"/>
                <w:b/>
                <w:bCs/>
                <w:color w:val="000000" w:themeColor="text1"/>
                <w:highlight w:val="none"/>
                <w14:textFill>
                  <w14:solidFill>
                    <w14:schemeClr w14:val="tx1"/>
                  </w14:solidFill>
                </w14:textFill>
              </w:rPr>
              <w:t>)</w:t>
            </w:r>
          </w:p>
        </w:tc>
        <w:tc>
          <w:tcPr>
            <w:tcW w:w="852"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w:t>
            </w:r>
          </w:p>
        </w:tc>
        <w:tc>
          <w:tcPr>
            <w:tcW w:w="93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w:t>
            </w: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μg/m³</w:t>
            </w:r>
            <w:r>
              <w:rPr>
                <w:rFonts w:hint="eastAsia"/>
                <w:b/>
                <w:bCs/>
                <w:color w:val="000000" w:themeColor="text1"/>
                <w:highlight w:val="none"/>
                <w14:textFill>
                  <w14:solidFill>
                    <w14:schemeClr w14:val="tx1"/>
                  </w14:solidFill>
                </w14:textFill>
              </w:rPr>
              <w:t>)</w:t>
            </w:r>
          </w:p>
        </w:tc>
        <w:tc>
          <w:tcPr>
            <w:tcW w:w="116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下风向最大浓度</w:t>
            </w:r>
          </w:p>
        </w:tc>
        <w:tc>
          <w:tcPr>
            <w:tcW w:w="878"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18.6</w:t>
            </w:r>
          </w:p>
        </w:tc>
        <w:tc>
          <w:tcPr>
            <w:tcW w:w="852"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7.44</w:t>
            </w:r>
          </w:p>
        </w:tc>
        <w:tc>
          <w:tcPr>
            <w:tcW w:w="938"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2.88</w:t>
            </w:r>
          </w:p>
        </w:tc>
        <w:tc>
          <w:tcPr>
            <w:tcW w:w="1166"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最大浓度出现距离</w:t>
            </w:r>
          </w:p>
        </w:tc>
        <w:tc>
          <w:tcPr>
            <w:tcW w:w="3834" w:type="pct"/>
            <w:gridSpan w:val="4"/>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79</w:t>
            </w:r>
            <w:r>
              <w:rPr>
                <w:color w:val="000000" w:themeColor="text1"/>
                <w:highlight w:val="none"/>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距源最远距离D10%</w:t>
            </w:r>
          </w:p>
        </w:tc>
        <w:tc>
          <w:tcPr>
            <w:tcW w:w="3834" w:type="pct"/>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Pmax＜10%</w:t>
            </w:r>
          </w:p>
        </w:tc>
      </w:tr>
    </w:tbl>
    <w:p>
      <w:pPr>
        <w:spacing w:line="360" w:lineRule="exact"/>
        <w:ind w:firstLine="420"/>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注：上表中C表示落地浓度，P表示占标率。</w:t>
      </w:r>
    </w:p>
    <w:p>
      <w:pPr>
        <w:tabs>
          <w:tab w:val="left" w:pos="600"/>
        </w:tabs>
        <w:ind w:firstLine="0" w:firstLine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5264785" cy="2486660"/>
            <wp:effectExtent l="0" t="0" r="0" b="0"/>
            <wp:docPr id="1657727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27245" name="图片 1"/>
                    <pic:cNvPicPr>
                      <a:picLocks noChangeAspect="1"/>
                    </pic:cNvPicPr>
                  </pic:nvPicPr>
                  <pic:blipFill>
                    <a:blip r:embed="rId67"/>
                    <a:srcRect r="229" b="6606"/>
                    <a:stretch>
                      <a:fillRect/>
                    </a:stretch>
                  </pic:blipFill>
                  <pic:spPr>
                    <a:xfrm>
                      <a:off x="0" y="0"/>
                      <a:ext cx="5264785" cy="2486660"/>
                    </a:xfrm>
                    <a:prstGeom prst="rect">
                      <a:avLst/>
                    </a:prstGeom>
                  </pic:spPr>
                </pic:pic>
              </a:graphicData>
            </a:graphic>
          </wp:inline>
        </w:drawing>
      </w:r>
    </w:p>
    <w:p>
      <w:pPr>
        <w:pStyle w:val="21"/>
        <w:tabs>
          <w:tab w:val="left" w:pos="863"/>
        </w:tabs>
        <w:spacing w:before="0"/>
        <w:ind w:left="0" w:firstLine="420"/>
        <w:jc w:val="center"/>
        <w:rPr>
          <w:rFonts w:ascii="Times New Roman" w:hAnsi="Times New Roman" w:eastAsia="黑体"/>
          <w:color w:val="000000" w:themeColor="text1"/>
          <w:sz w:val="21"/>
          <w:szCs w:val="21"/>
          <w:highlight w:val="none"/>
          <w:lang w:eastAsia="zh-CN"/>
          <w14:textFill>
            <w14:solidFill>
              <w14:schemeClr w14:val="tx1"/>
            </w14:solidFill>
          </w14:textFill>
        </w:rPr>
      </w:pPr>
      <w:r>
        <w:rPr>
          <w:rFonts w:ascii="Times New Roman" w:hAnsi="Times New Roman" w:eastAsia="黑体"/>
          <w:color w:val="000000" w:themeColor="text1"/>
          <w:sz w:val="21"/>
          <w:szCs w:val="21"/>
          <w:highlight w:val="none"/>
          <w:lang w:eastAsia="zh-CN"/>
          <w14:textFill>
            <w14:solidFill>
              <w14:schemeClr w14:val="tx1"/>
            </w14:solidFill>
          </w14:textFill>
        </w:rPr>
        <w:t xml:space="preserve">图 </w:t>
      </w:r>
      <w:r>
        <w:rPr>
          <w:rFonts w:ascii="Times New Roman" w:hAnsi="Times New Roman" w:eastAsia="黑体"/>
          <w:color w:val="000000" w:themeColor="text1"/>
          <w:sz w:val="21"/>
          <w:szCs w:val="21"/>
          <w:highlight w:val="none"/>
          <w:lang w:eastAsia="zh-CN"/>
          <w14:textFill>
            <w14:solidFill>
              <w14:schemeClr w14:val="tx1"/>
            </w14:solidFill>
          </w14:textFill>
        </w:rPr>
        <w:fldChar w:fldCharType="begin"/>
      </w:r>
      <w:r>
        <w:rPr>
          <w:rFonts w:ascii="Times New Roman" w:hAnsi="Times New Roman" w:eastAsia="黑体"/>
          <w:color w:val="000000" w:themeColor="text1"/>
          <w:sz w:val="21"/>
          <w:szCs w:val="21"/>
          <w:highlight w:val="none"/>
          <w:lang w:eastAsia="zh-CN"/>
          <w14:textFill>
            <w14:solidFill>
              <w14:schemeClr w14:val="tx1"/>
            </w14:solidFill>
          </w14:textFill>
        </w:rPr>
        <w:instrText xml:space="preserve"> STYLEREF 2 \s </w:instrText>
      </w:r>
      <w:r>
        <w:rPr>
          <w:rFonts w:ascii="Times New Roman" w:hAnsi="Times New Roman" w:eastAsia="黑体"/>
          <w:color w:val="000000" w:themeColor="text1"/>
          <w:sz w:val="21"/>
          <w:szCs w:val="21"/>
          <w:highlight w:val="none"/>
          <w:lang w:eastAsia="zh-CN"/>
          <w14:textFill>
            <w14:solidFill>
              <w14:schemeClr w14:val="tx1"/>
            </w14:solidFill>
          </w14:textFill>
        </w:rPr>
        <w:fldChar w:fldCharType="separate"/>
      </w:r>
      <w:r>
        <w:rPr>
          <w:rFonts w:ascii="Times New Roman" w:hAnsi="Times New Roman" w:eastAsia="黑体"/>
          <w:color w:val="000000" w:themeColor="text1"/>
          <w:sz w:val="21"/>
          <w:szCs w:val="21"/>
          <w:highlight w:val="none"/>
          <w:lang w:eastAsia="zh-CN"/>
          <w14:textFill>
            <w14:solidFill>
              <w14:schemeClr w14:val="tx1"/>
            </w14:solidFill>
          </w14:textFill>
        </w:rPr>
        <w:t>5.2</w:t>
      </w:r>
      <w:r>
        <w:rPr>
          <w:rFonts w:ascii="Times New Roman" w:hAnsi="Times New Roman" w:eastAsia="黑体"/>
          <w:color w:val="000000" w:themeColor="text1"/>
          <w:sz w:val="21"/>
          <w:szCs w:val="21"/>
          <w:highlight w:val="none"/>
          <w:lang w:eastAsia="zh-CN"/>
          <w14:textFill>
            <w14:solidFill>
              <w14:schemeClr w14:val="tx1"/>
            </w14:solidFill>
          </w14:textFill>
        </w:rPr>
        <w:fldChar w:fldCharType="end"/>
      </w:r>
      <w:r>
        <w:rPr>
          <w:rFonts w:hint="eastAsia" w:ascii="Times New Roman" w:hAnsi="Times New Roman" w:eastAsia="黑体"/>
          <w:color w:val="000000" w:themeColor="text1"/>
          <w:sz w:val="21"/>
          <w:szCs w:val="21"/>
          <w:highlight w:val="none"/>
          <w:lang w:eastAsia="zh-CN"/>
          <w14:textFill>
            <w14:solidFill>
              <w14:schemeClr w14:val="tx1"/>
            </w14:solidFill>
          </w14:textFill>
        </w:rPr>
        <w:t>-</w:t>
      </w:r>
      <w:r>
        <w:rPr>
          <w:rFonts w:ascii="Times New Roman" w:hAnsi="Times New Roman" w:eastAsia="黑体"/>
          <w:color w:val="000000" w:themeColor="text1"/>
          <w:sz w:val="21"/>
          <w:szCs w:val="21"/>
          <w:highlight w:val="none"/>
          <w:lang w:eastAsia="zh-CN"/>
          <w14:textFill>
            <w14:solidFill>
              <w14:schemeClr w14:val="tx1"/>
            </w14:solidFill>
          </w14:textFill>
        </w:rPr>
        <w:fldChar w:fldCharType="begin"/>
      </w:r>
      <w:r>
        <w:rPr>
          <w:rFonts w:ascii="Times New Roman" w:hAnsi="Times New Roman" w:eastAsia="黑体"/>
          <w:color w:val="000000" w:themeColor="text1"/>
          <w:sz w:val="21"/>
          <w:szCs w:val="21"/>
          <w:highlight w:val="none"/>
          <w:lang w:eastAsia="zh-CN"/>
          <w14:textFill>
            <w14:solidFill>
              <w14:schemeClr w14:val="tx1"/>
            </w14:solidFill>
          </w14:textFill>
        </w:rPr>
        <w:instrText xml:space="preserve"> SEQ 图 \* ARABIC \s 2 </w:instrText>
      </w:r>
      <w:r>
        <w:rPr>
          <w:rFonts w:ascii="Times New Roman" w:hAnsi="Times New Roman" w:eastAsia="黑体"/>
          <w:color w:val="000000" w:themeColor="text1"/>
          <w:sz w:val="21"/>
          <w:szCs w:val="21"/>
          <w:highlight w:val="none"/>
          <w:lang w:eastAsia="zh-CN"/>
          <w14:textFill>
            <w14:solidFill>
              <w14:schemeClr w14:val="tx1"/>
            </w14:solidFill>
          </w14:textFill>
        </w:rPr>
        <w:fldChar w:fldCharType="separate"/>
      </w:r>
      <w:r>
        <w:rPr>
          <w:rFonts w:ascii="Times New Roman" w:hAnsi="Times New Roman" w:eastAsia="黑体"/>
          <w:color w:val="000000" w:themeColor="text1"/>
          <w:sz w:val="21"/>
          <w:szCs w:val="21"/>
          <w:highlight w:val="none"/>
          <w:lang w:eastAsia="zh-CN"/>
          <w14:textFill>
            <w14:solidFill>
              <w14:schemeClr w14:val="tx1"/>
            </w14:solidFill>
          </w14:textFill>
        </w:rPr>
        <w:t>2</w:t>
      </w:r>
      <w:r>
        <w:rPr>
          <w:rFonts w:ascii="Times New Roman" w:hAnsi="Times New Roman" w:eastAsia="黑体"/>
          <w:color w:val="000000" w:themeColor="text1"/>
          <w:sz w:val="21"/>
          <w:szCs w:val="21"/>
          <w:highlight w:val="none"/>
          <w:lang w:eastAsia="zh-CN"/>
          <w14:textFill>
            <w14:solidFill>
              <w14:schemeClr w14:val="tx1"/>
            </w14:solidFill>
          </w14:textFill>
        </w:rPr>
        <w:fldChar w:fldCharType="end"/>
      </w:r>
      <w:r>
        <w:rPr>
          <w:rFonts w:hint="eastAsia" w:ascii="Times New Roman" w:hAnsi="Times New Roman" w:eastAsia="黑体"/>
          <w:color w:val="000000" w:themeColor="text1"/>
          <w:sz w:val="21"/>
          <w:szCs w:val="21"/>
          <w:highlight w:val="none"/>
          <w:lang w:eastAsia="zh-CN"/>
          <w14:textFill>
            <w14:solidFill>
              <w14:schemeClr w14:val="tx1"/>
            </w14:solidFill>
          </w14:textFill>
        </w:rPr>
        <w:t xml:space="preserve"> </w:t>
      </w:r>
      <w:r>
        <w:rPr>
          <w:rFonts w:ascii="Times New Roman" w:hAnsi="Times New Roman" w:eastAsia="黑体"/>
          <w:color w:val="000000" w:themeColor="text1"/>
          <w:sz w:val="21"/>
          <w:szCs w:val="21"/>
          <w:highlight w:val="none"/>
          <w:lang w:eastAsia="zh-CN"/>
          <w14:textFill>
            <w14:solidFill>
              <w14:schemeClr w14:val="tx1"/>
            </w14:solidFill>
          </w14:textFill>
        </w:rPr>
        <w:t xml:space="preserve"> 废气有组织污染源点</w:t>
      </w:r>
      <w:r>
        <w:rPr>
          <w:rFonts w:hint="eastAsia" w:ascii="Times New Roman" w:hAnsi="Times New Roman" w:eastAsia="黑体"/>
          <w:color w:val="000000" w:themeColor="text1"/>
          <w:sz w:val="21"/>
          <w:szCs w:val="21"/>
          <w:highlight w:val="none"/>
          <w:lang w:eastAsia="zh-CN"/>
          <w14:textFill>
            <w14:solidFill>
              <w14:schemeClr w14:val="tx1"/>
            </w14:solidFill>
          </w14:textFill>
        </w:rPr>
        <w:t>大气预测结果浓度分布折线图</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由表5.2-3预测结果可知，</w:t>
      </w:r>
      <w:r>
        <w:rPr>
          <w:rFonts w:cs="Times New Roman"/>
          <w:color w:val="000000" w:themeColor="text1"/>
          <w:szCs w:val="24"/>
          <w:highlight w:val="none"/>
          <w14:textFill>
            <w14:solidFill>
              <w14:schemeClr w14:val="tx1"/>
            </w14:solidFill>
          </w14:textFill>
        </w:rPr>
        <w:t>本项目水套加热炉</w:t>
      </w:r>
      <w:r>
        <w:rPr>
          <w:rFonts w:cs="Times New Roman"/>
          <w:color w:val="000000" w:themeColor="text1"/>
          <w:szCs w:val="24"/>
          <w:highlight w:val="none"/>
          <w:lang w:bidi="en-US"/>
          <w14:textFill>
            <w14:solidFill>
              <w14:schemeClr w14:val="tx1"/>
            </w14:solidFill>
          </w14:textFill>
        </w:rPr>
        <w:t>排放的</w:t>
      </w:r>
      <w:bookmarkStart w:id="286" w:name="OLE_LINK69"/>
      <w:bookmarkStart w:id="287" w:name="OLE_LINK72"/>
      <w:r>
        <w:rPr>
          <w:rFonts w:cs="Times New Roman"/>
          <w:color w:val="000000" w:themeColor="text1"/>
          <w:szCs w:val="24"/>
          <w:highlight w:val="none"/>
          <w14:textFill>
            <w14:solidFill>
              <w14:schemeClr w14:val="tx1"/>
            </w14:solidFill>
          </w14:textFill>
        </w:rPr>
        <w:t>NO</w:t>
      </w:r>
      <w:bookmarkEnd w:id="286"/>
      <w:r>
        <w:rPr>
          <w:rFonts w:cs="Times New Roman"/>
          <w:color w:val="000000" w:themeColor="text1"/>
          <w:szCs w:val="24"/>
          <w:highlight w:val="none"/>
          <w:vertAlign w:val="subscript"/>
          <w14:textFill>
            <w14:solidFill>
              <w14:schemeClr w14:val="tx1"/>
            </w14:solidFill>
          </w14:textFill>
        </w:rPr>
        <w:t>X</w:t>
      </w:r>
      <w:bookmarkEnd w:id="287"/>
      <w:bookmarkStart w:id="288" w:name="OLE_LINK74"/>
      <w:r>
        <w:rPr>
          <w:rFonts w:hint="eastAsia" w:cs="Times New Roman"/>
          <w:color w:val="000000" w:themeColor="text1"/>
          <w:szCs w:val="24"/>
          <w:highlight w:val="none"/>
          <w14:textFill>
            <w14:solidFill>
              <w14:schemeClr w14:val="tx1"/>
            </w14:solidFill>
          </w14:textFill>
        </w:rPr>
        <w:t>、颗粒物</w:t>
      </w:r>
      <w:r>
        <w:rPr>
          <w:rFonts w:cs="Times New Roman"/>
          <w:color w:val="000000" w:themeColor="text1"/>
          <w:szCs w:val="24"/>
          <w:highlight w:val="none"/>
          <w:lang w:bidi="en-US"/>
          <w14:textFill>
            <w14:solidFill>
              <w14:schemeClr w14:val="tx1"/>
            </w14:solidFill>
          </w14:textFill>
        </w:rPr>
        <w:t>最大落地浓度出现在</w:t>
      </w:r>
      <w:bookmarkEnd w:id="288"/>
      <w:r>
        <w:rPr>
          <w:rFonts w:hint="eastAsia" w:cs="Times New Roman"/>
          <w:color w:val="000000" w:themeColor="text1"/>
          <w:szCs w:val="24"/>
          <w:highlight w:val="none"/>
          <w:lang w:bidi="en-US"/>
          <w14:textFill>
            <w14:solidFill>
              <w14:schemeClr w14:val="tx1"/>
            </w14:solidFill>
          </w14:textFill>
        </w:rPr>
        <w:t>79</w:t>
      </w:r>
      <w:r>
        <w:rPr>
          <w:rFonts w:cs="Times New Roman"/>
          <w:color w:val="000000" w:themeColor="text1"/>
          <w:szCs w:val="24"/>
          <w:highlight w:val="none"/>
          <w:lang w:bidi="en-US"/>
          <w14:textFill>
            <w14:solidFill>
              <w14:schemeClr w14:val="tx1"/>
            </w14:solidFill>
          </w14:textFill>
        </w:rPr>
        <w:t>m处，</w:t>
      </w:r>
      <w:bookmarkStart w:id="289" w:name="OLE_LINK73"/>
      <w:r>
        <w:rPr>
          <w:rFonts w:cs="Times New Roman"/>
          <w:color w:val="000000" w:themeColor="text1"/>
          <w:szCs w:val="24"/>
          <w:highlight w:val="none"/>
          <w:lang w:bidi="en-US"/>
          <w14:textFill>
            <w14:solidFill>
              <w14:schemeClr w14:val="tx1"/>
            </w14:solidFill>
          </w14:textFill>
        </w:rPr>
        <w:t>最</w:t>
      </w:r>
      <w:r>
        <w:rPr>
          <w:rFonts w:cs="Times New Roman"/>
          <w:color w:val="000000" w:themeColor="text1"/>
          <w:szCs w:val="24"/>
          <w:highlight w:val="none"/>
          <w14:textFill>
            <w14:solidFill>
              <w14:schemeClr w14:val="tx1"/>
            </w14:solidFill>
          </w14:textFill>
        </w:rPr>
        <w:t>大落地浓度分别为</w:t>
      </w:r>
      <w:bookmarkEnd w:id="289"/>
      <w:r>
        <w:rPr>
          <w:rFonts w:hint="eastAsia" w:cs="Times New Roman"/>
          <w:color w:val="000000" w:themeColor="text1"/>
          <w:szCs w:val="24"/>
          <w:highlight w:val="none"/>
          <w14:textFill>
            <w14:solidFill>
              <w14:schemeClr w14:val="tx1"/>
            </w14:solidFill>
          </w14:textFill>
        </w:rPr>
        <w:t>18.6</w:t>
      </w:r>
      <w:r>
        <w:rPr>
          <w:rFonts w:cs="Times New Roman"/>
          <w:color w:val="000000" w:themeColor="text1"/>
          <w:szCs w:val="24"/>
          <w:highlight w:val="none"/>
          <w14:textFill>
            <w14:solidFill>
              <w14:schemeClr w14:val="tx1"/>
            </w14:solidFill>
          </w14:textFill>
        </w:rPr>
        <w:t>μg/m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2.88</w:t>
      </w:r>
      <w:r>
        <w:rPr>
          <w:rFonts w:cs="Times New Roman"/>
          <w:color w:val="000000" w:themeColor="text1"/>
          <w:szCs w:val="24"/>
          <w:highlight w:val="none"/>
          <w14:textFill>
            <w14:solidFill>
              <w14:schemeClr w14:val="tx1"/>
            </w14:solidFill>
          </w14:textFill>
        </w:rPr>
        <w:t>μg/m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w:t>
      </w:r>
      <w:r>
        <w:rPr>
          <w:rFonts w:cs="Times New Roman"/>
          <w:color w:val="000000" w:themeColor="text1"/>
          <w:szCs w:val="24"/>
          <w:highlight w:val="none"/>
          <w:lang w:bidi="en-US"/>
          <w14:textFill>
            <w14:solidFill>
              <w14:schemeClr w14:val="tx1"/>
            </w14:solidFill>
          </w14:textFill>
        </w:rPr>
        <w:t>相应占标率分别为</w:t>
      </w:r>
      <w:r>
        <w:rPr>
          <w:rFonts w:hint="eastAsia" w:cs="Times New Roman"/>
          <w:color w:val="000000" w:themeColor="text1"/>
          <w:szCs w:val="24"/>
          <w:highlight w:val="none"/>
          <w:lang w:bidi="en-US"/>
          <w14:textFill>
            <w14:solidFill>
              <w14:schemeClr w14:val="tx1"/>
            </w14:solidFill>
          </w14:textFill>
        </w:rPr>
        <w:t>7.44</w:t>
      </w:r>
      <w:r>
        <w:rPr>
          <w:rFonts w:cs="Times New Roman"/>
          <w:color w:val="000000" w:themeColor="text1"/>
          <w:szCs w:val="24"/>
          <w:highlight w:val="none"/>
          <w:lang w:bidi="en-US"/>
          <w14:textFill>
            <w14:solidFill>
              <w14:schemeClr w14:val="tx1"/>
            </w14:solidFill>
          </w14:textFill>
        </w:rPr>
        <w:t>%、</w:t>
      </w:r>
      <w:r>
        <w:rPr>
          <w:rFonts w:hint="eastAsia" w:cs="Times New Roman"/>
          <w:color w:val="000000" w:themeColor="text1"/>
          <w:szCs w:val="24"/>
          <w:highlight w:val="none"/>
          <w:lang w:bidi="en-US"/>
          <w14:textFill>
            <w14:solidFill>
              <w14:schemeClr w14:val="tx1"/>
            </w14:solidFill>
          </w14:textFill>
        </w:rPr>
        <w:t>0.32</w:t>
      </w:r>
      <w:r>
        <w:rPr>
          <w:rFonts w:cs="Times New Roman"/>
          <w:color w:val="000000" w:themeColor="text1"/>
          <w:szCs w:val="24"/>
          <w:highlight w:val="none"/>
          <w:lang w:bidi="en-US"/>
          <w14:textFill>
            <w14:solidFill>
              <w14:schemeClr w14:val="tx1"/>
            </w14:solidFill>
          </w14:textFill>
        </w:rPr>
        <w:t>%。由此可见，在正常排放情况下，本项目水套加热炉有组织排放的污染物对环境影响较小，不会改变周围大气环境功能</w:t>
      </w:r>
      <w:r>
        <w:rPr>
          <w:rFonts w:hint="eastAsia" w:cs="Times New Roman"/>
          <w:color w:val="000000" w:themeColor="text1"/>
          <w:szCs w:val="24"/>
          <w:highlight w:val="none"/>
          <w:lang w:bidi="en-US"/>
          <w14:textFill>
            <w14:solidFill>
              <w14:schemeClr w14:val="tx1"/>
            </w14:solidFill>
          </w14:textFill>
        </w:rPr>
        <w:t>，评价工作等级为二级，不进行进一步预测与评价，只对污染物排放量进行核算。</w:t>
      </w:r>
    </w:p>
    <w:p>
      <w:pPr>
        <w:ind w:firstLine="480"/>
        <w:rPr>
          <w:rFonts w:eastAsia="黑体" w:cs="Times New Roman"/>
          <w:bCs/>
          <w:color w:val="000000" w:themeColor="text1"/>
          <w:szCs w:val="24"/>
          <w:highlight w:val="none"/>
          <w14:textFill>
            <w14:solidFill>
              <w14:schemeClr w14:val="tx1"/>
            </w14:solidFill>
          </w14:textFill>
        </w:rPr>
      </w:pPr>
      <w:r>
        <w:rPr>
          <w:rFonts w:hint="eastAsia" w:eastAsia="黑体" w:cs="Times New Roman"/>
          <w:bCs/>
          <w:color w:val="000000" w:themeColor="text1"/>
          <w:szCs w:val="24"/>
          <w:highlight w:val="none"/>
          <w14:textFill>
            <w14:solidFill>
              <w14:schemeClr w14:val="tx1"/>
            </w14:solidFill>
          </w14:textFill>
        </w:rPr>
        <w:t>3、染物排放量核算</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根据《环境影响评价技术导则—大气环境》（HJ2.2-2018）要求“二级评价项目不进行进一步预测与评价，只对污染物排放量进行核算。污染物排放量核算表包括有组织及无组织排放量、大气污染物年排放量、非正常排放量等。”</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1）有组织排放量核算</w:t>
      </w:r>
    </w:p>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项目大气有组织排放量核算表</w:t>
      </w:r>
    </w:p>
    <w:tbl>
      <w:tblPr>
        <w:tblStyle w:val="54"/>
        <w:tblW w:w="8220"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604"/>
        <w:gridCol w:w="2305"/>
        <w:gridCol w:w="1058"/>
        <w:gridCol w:w="1508"/>
        <w:gridCol w:w="1450"/>
        <w:gridCol w:w="129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604"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序号</w:t>
            </w:r>
          </w:p>
        </w:tc>
        <w:tc>
          <w:tcPr>
            <w:tcW w:w="2305"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排放口编号</w:t>
            </w:r>
          </w:p>
        </w:tc>
        <w:tc>
          <w:tcPr>
            <w:tcW w:w="1058"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污染物</w:t>
            </w:r>
          </w:p>
        </w:tc>
        <w:tc>
          <w:tcPr>
            <w:tcW w:w="1508"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核算排放浓度</w:t>
            </w:r>
            <w:r>
              <w:rPr>
                <w:rFonts w:hint="eastAsia" w:cs="Times New Roman"/>
                <w:b/>
                <w:bCs/>
                <w:color w:val="000000" w:themeColor="text1"/>
                <w:sz w:val="21"/>
                <w:szCs w:val="21"/>
                <w:highlight w:val="none"/>
                <w14:textFill>
                  <w14:solidFill>
                    <w14:schemeClr w14:val="tx1"/>
                  </w14:solidFill>
                </w14:textFill>
              </w:rPr>
              <w:t>（</w:t>
            </w:r>
            <w:r>
              <w:rPr>
                <w:rFonts w:cs="Times New Roman"/>
                <w:b/>
                <w:bCs/>
                <w:color w:val="000000" w:themeColor="text1"/>
                <w:sz w:val="21"/>
                <w:szCs w:val="21"/>
                <w:highlight w:val="none"/>
                <w14:textFill>
                  <w14:solidFill>
                    <w14:schemeClr w14:val="tx1"/>
                  </w14:solidFill>
                </w14:textFill>
              </w:rPr>
              <w:t>mg/m</w:t>
            </w:r>
            <w:r>
              <w:rPr>
                <w:rFonts w:cs="Times New Roman"/>
                <w:b/>
                <w:bCs/>
                <w:color w:val="000000" w:themeColor="text1"/>
                <w:sz w:val="21"/>
                <w:szCs w:val="21"/>
                <w:highlight w:val="none"/>
                <w:vertAlign w:val="superscript"/>
                <w14:textFill>
                  <w14:solidFill>
                    <w14:schemeClr w14:val="tx1"/>
                  </w14:solidFill>
                </w14:textFill>
              </w:rPr>
              <w:t>3</w:t>
            </w:r>
            <w:r>
              <w:rPr>
                <w:rFonts w:hint="eastAsia" w:cs="Times New Roman"/>
                <w:b/>
                <w:bCs/>
                <w:color w:val="000000" w:themeColor="text1"/>
                <w:sz w:val="21"/>
                <w:szCs w:val="21"/>
                <w:highlight w:val="none"/>
                <w:vertAlign w:val="superscript"/>
                <w14:textFill>
                  <w14:solidFill>
                    <w14:schemeClr w14:val="tx1"/>
                  </w14:solidFill>
                </w14:textFill>
              </w:rPr>
              <w:t>）</w:t>
            </w:r>
          </w:p>
        </w:tc>
        <w:tc>
          <w:tcPr>
            <w:tcW w:w="1450"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核算排放速率</w:t>
            </w:r>
            <w:r>
              <w:rPr>
                <w:rFonts w:hint="eastAsia" w:cs="Times New Roman"/>
                <w:b/>
                <w:bCs/>
                <w:color w:val="000000" w:themeColor="text1"/>
                <w:sz w:val="21"/>
                <w:szCs w:val="21"/>
                <w:highlight w:val="none"/>
                <w14:textFill>
                  <w14:solidFill>
                    <w14:schemeClr w14:val="tx1"/>
                  </w14:solidFill>
                </w14:textFill>
              </w:rPr>
              <w:t>（</w:t>
            </w:r>
            <w:r>
              <w:rPr>
                <w:rFonts w:cs="Times New Roman"/>
                <w:b/>
                <w:bCs/>
                <w:color w:val="000000" w:themeColor="text1"/>
                <w:sz w:val="21"/>
                <w:szCs w:val="21"/>
                <w:highlight w:val="none"/>
                <w14:textFill>
                  <w14:solidFill>
                    <w14:schemeClr w14:val="tx1"/>
                  </w14:solidFill>
                </w14:textFill>
              </w:rPr>
              <w:t>kg/h</w:t>
            </w:r>
            <w:r>
              <w:rPr>
                <w:rFonts w:hint="eastAsia" w:cs="Times New Roman"/>
                <w:b/>
                <w:bCs/>
                <w:color w:val="000000" w:themeColor="text1"/>
                <w:sz w:val="21"/>
                <w:szCs w:val="21"/>
                <w:highlight w:val="none"/>
                <w14:textFill>
                  <w14:solidFill>
                    <w14:schemeClr w14:val="tx1"/>
                  </w14:solidFill>
                </w14:textFill>
              </w:rPr>
              <w:t>）</w:t>
            </w:r>
          </w:p>
        </w:tc>
        <w:tc>
          <w:tcPr>
            <w:tcW w:w="1295" w:type="dxa"/>
            <w:tcBorders>
              <w:tl2br w:val="nil"/>
              <w:tr2bl w:val="nil"/>
            </w:tcBorders>
            <w:vAlign w:val="center"/>
          </w:tcPr>
          <w:p>
            <w:pPr>
              <w:spacing w:line="240" w:lineRule="auto"/>
              <w:ind w:firstLine="0" w:firstLineChars="0"/>
              <w:jc w:val="center"/>
              <w:rPr>
                <w:rFonts w:cs="Times New Roman"/>
                <w:b/>
                <w:bCs/>
                <w:color w:val="000000" w:themeColor="text1"/>
                <w:sz w:val="21"/>
                <w:szCs w:val="21"/>
                <w:highlight w:val="none"/>
                <w14:textFill>
                  <w14:solidFill>
                    <w14:schemeClr w14:val="tx1"/>
                  </w14:solidFill>
                </w14:textFill>
              </w:rPr>
            </w:pPr>
            <w:r>
              <w:rPr>
                <w:rFonts w:cs="Times New Roman"/>
                <w:b/>
                <w:bCs/>
                <w:color w:val="000000" w:themeColor="text1"/>
                <w:sz w:val="21"/>
                <w:szCs w:val="21"/>
                <w:highlight w:val="none"/>
                <w14:textFill>
                  <w14:solidFill>
                    <w14:schemeClr w14:val="tx1"/>
                  </w14:solidFill>
                </w14:textFill>
              </w:rPr>
              <w:t>核算年排放量</w:t>
            </w:r>
            <w:r>
              <w:rPr>
                <w:rFonts w:hint="eastAsia" w:cs="Times New Roman"/>
                <w:b/>
                <w:bCs/>
                <w:color w:val="000000" w:themeColor="text1"/>
                <w:sz w:val="21"/>
                <w:szCs w:val="21"/>
                <w:highlight w:val="none"/>
                <w14:textFill>
                  <w14:solidFill>
                    <w14:schemeClr w14:val="tx1"/>
                  </w14:solidFill>
                </w14:textFill>
              </w:rPr>
              <w:t>（</w:t>
            </w:r>
            <w:r>
              <w:rPr>
                <w:rFonts w:cs="Times New Roman"/>
                <w:b/>
                <w:bCs/>
                <w:color w:val="000000" w:themeColor="text1"/>
                <w:sz w:val="21"/>
                <w:szCs w:val="21"/>
                <w:highlight w:val="none"/>
                <w14:textFill>
                  <w14:solidFill>
                    <w14:schemeClr w14:val="tx1"/>
                  </w14:solidFill>
                </w14:textFill>
              </w:rPr>
              <w:t>t/a</w:t>
            </w:r>
            <w:r>
              <w:rPr>
                <w:rFonts w:hint="eastAsia" w:cs="Times New Roman"/>
                <w:b/>
                <w:bCs/>
                <w:color w:val="000000" w:themeColor="text1"/>
                <w:sz w:val="21"/>
                <w:szCs w:val="21"/>
                <w:highlight w:val="none"/>
                <w14:textFill>
                  <w14:solidFill>
                    <w14:schemeClr w14:val="tx1"/>
                  </w14:solidFill>
                </w14:textFill>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8220" w:type="dxa"/>
            <w:gridSpan w:val="6"/>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一般排放口</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604" w:type="dxa"/>
            <w:vMerge w:val="restart"/>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p>
        </w:tc>
        <w:tc>
          <w:tcPr>
            <w:tcW w:w="2305" w:type="dxa"/>
            <w:vMerge w:val="restart"/>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水套加热炉排气筒</w:t>
            </w:r>
          </w:p>
        </w:tc>
        <w:tc>
          <w:tcPr>
            <w:tcW w:w="105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颗粒物</w:t>
            </w:r>
          </w:p>
        </w:tc>
        <w:tc>
          <w:tcPr>
            <w:tcW w:w="150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10</w:t>
            </w:r>
          </w:p>
        </w:tc>
        <w:tc>
          <w:tcPr>
            <w:tcW w:w="1450"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0.0031</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0.027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604" w:type="dxa"/>
            <w:vMerge w:val="continue"/>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2305" w:type="dxa"/>
            <w:vMerge w:val="continue"/>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p>
        </w:tc>
        <w:tc>
          <w:tcPr>
            <w:tcW w:w="105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w:t>
            </w:r>
            <w:r>
              <w:rPr>
                <w:rFonts w:cs="Times New Roman"/>
                <w:color w:val="000000" w:themeColor="text1"/>
                <w:sz w:val="21"/>
                <w:szCs w:val="21"/>
                <w:highlight w:val="none"/>
                <w:vertAlign w:val="subscript"/>
                <w14:textFill>
                  <w14:solidFill>
                    <w14:schemeClr w14:val="tx1"/>
                  </w14:solidFill>
                </w14:textFill>
              </w:rPr>
              <w:t>X</w:t>
            </w:r>
          </w:p>
        </w:tc>
        <w:tc>
          <w:tcPr>
            <w:tcW w:w="1508"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64.68</w:t>
            </w:r>
          </w:p>
        </w:tc>
        <w:tc>
          <w:tcPr>
            <w:tcW w:w="1450"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0.02</w:t>
            </w:r>
          </w:p>
        </w:tc>
        <w:tc>
          <w:tcPr>
            <w:tcW w:w="1295" w:type="dxa"/>
            <w:tcBorders>
              <w:tl2br w:val="nil"/>
              <w:tr2bl w:val="nil"/>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0.174</w:t>
            </w:r>
          </w:p>
        </w:tc>
      </w:tr>
    </w:tbl>
    <w:p>
      <w:pPr>
        <w:tabs>
          <w:tab w:val="left" w:pos="600"/>
        </w:tabs>
        <w:spacing w:before="120" w:beforeLines="50"/>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2）无组织排放量核算</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试采期大湾408-3井试采站正常生产情况下，流程设备、管线、阀室等工艺设备为高压密闭作业，无天然气泄漏废气产生，因此不核算无组织排放废气。</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本项目建成后，水套加热炉或分离器需要检修时，将对装置内残余天然气进行放空，每次排放时间2min～2h（可控），根据普光现有工程类比分析，单次排放天然气约180m</w:t>
      </w:r>
      <w:r>
        <w:rPr>
          <w:rFonts w:hint="eastAsia" w:cs="Times New Roman"/>
          <w:color w:val="000000" w:themeColor="text1"/>
          <w:szCs w:val="24"/>
          <w:highlight w:val="none"/>
          <w:vertAlign w:val="superscript"/>
          <w:lang w:bidi="en-US"/>
          <w14:textFill>
            <w14:solidFill>
              <w14:schemeClr w14:val="tx1"/>
            </w14:solidFill>
          </w14:textFill>
        </w:rPr>
        <w:t>3</w:t>
      </w:r>
      <w:r>
        <w:rPr>
          <w:rFonts w:hint="eastAsia" w:cs="Times New Roman"/>
          <w:color w:val="000000" w:themeColor="text1"/>
          <w:szCs w:val="24"/>
          <w:highlight w:val="none"/>
          <w:lang w:bidi="en-US"/>
          <w14:textFill>
            <w14:solidFill>
              <w14:schemeClr w14:val="tx1"/>
            </w14:solidFill>
          </w14:textFill>
        </w:rPr>
        <w:t>按照每年检修2次，则排放天然气360m</w:t>
      </w:r>
      <w:r>
        <w:rPr>
          <w:rFonts w:hint="eastAsia" w:cs="Times New Roman"/>
          <w:color w:val="000000" w:themeColor="text1"/>
          <w:szCs w:val="24"/>
          <w:highlight w:val="none"/>
          <w:vertAlign w:val="superscript"/>
          <w:lang w:bidi="en-US"/>
          <w14:textFill>
            <w14:solidFill>
              <w14:schemeClr w14:val="tx1"/>
            </w14:solidFill>
          </w14:textFill>
        </w:rPr>
        <w:t>3</w:t>
      </w:r>
      <w:r>
        <w:rPr>
          <w:rFonts w:hint="eastAsia" w:cs="Times New Roman"/>
          <w:color w:val="000000" w:themeColor="text1"/>
          <w:szCs w:val="24"/>
          <w:highlight w:val="none"/>
          <w:lang w:bidi="en-US"/>
          <w14:textFill>
            <w14:solidFill>
              <w14:schemeClr w14:val="tx1"/>
            </w14:solidFill>
          </w14:textFill>
        </w:rPr>
        <w:t>。设备检修排放的废气采用放空管燃烧处理后排入大气环境。</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3）大气污染物年排放量核算</w:t>
      </w:r>
    </w:p>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大气污染物年排放量核算表</w:t>
      </w:r>
    </w:p>
    <w:p>
      <w:pPr>
        <w:ind w:firstLine="40"/>
        <w:rPr>
          <w:rFonts w:eastAsia="黑体"/>
          <w:b/>
          <w:bCs/>
          <w:color w:val="000000" w:themeColor="text1"/>
          <w:sz w:val="2"/>
          <w:szCs w:val="2"/>
          <w:highlight w:val="none"/>
          <w14:textFill>
            <w14:solidFill>
              <w14:schemeClr w14:val="tx1"/>
            </w14:solidFill>
          </w14:textFill>
        </w:rPr>
      </w:pPr>
    </w:p>
    <w:tbl>
      <w:tblPr>
        <w:tblStyle w:val="54"/>
        <w:tblW w:w="8220" w:type="dxa"/>
        <w:jc w:val="center"/>
        <w:tblLayout w:type="fixed"/>
        <w:tblCellMar>
          <w:top w:w="0" w:type="dxa"/>
          <w:left w:w="0" w:type="dxa"/>
          <w:bottom w:w="0" w:type="dxa"/>
          <w:right w:w="0" w:type="dxa"/>
        </w:tblCellMar>
      </w:tblPr>
      <w:tblGrid>
        <w:gridCol w:w="2177"/>
        <w:gridCol w:w="3139"/>
        <w:gridCol w:w="2904"/>
      </w:tblGrid>
      <w:tr>
        <w:tblPrEx>
          <w:tblCellMar>
            <w:top w:w="0" w:type="dxa"/>
            <w:left w:w="0" w:type="dxa"/>
            <w:bottom w:w="0" w:type="dxa"/>
            <w:right w:w="0" w:type="dxa"/>
          </w:tblCellMar>
        </w:tblPrEx>
        <w:trPr>
          <w:jc w:val="center"/>
        </w:trPr>
        <w:tc>
          <w:tcPr>
            <w:tcW w:w="2177"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序号</w:t>
            </w:r>
          </w:p>
        </w:tc>
        <w:tc>
          <w:tcPr>
            <w:tcW w:w="3139"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污染物</w:t>
            </w:r>
          </w:p>
        </w:tc>
        <w:tc>
          <w:tcPr>
            <w:tcW w:w="2904"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ind w:firstLine="0" w:firstLineChars="0"/>
              <w:jc w:val="center"/>
              <w:rPr>
                <w:rFonts w:cs="Times New Roman"/>
                <w:b/>
                <w:bCs/>
                <w:color w:val="000000" w:themeColor="text1"/>
                <w:kern w:val="0"/>
                <w:sz w:val="21"/>
                <w:szCs w:val="21"/>
                <w:highlight w:val="none"/>
                <w:lang w:eastAsia="en-US"/>
                <w14:textFill>
                  <w14:solidFill>
                    <w14:schemeClr w14:val="tx1"/>
                  </w14:solidFill>
                </w14:textFill>
              </w:rPr>
            </w:pPr>
            <w:r>
              <w:rPr>
                <w:rFonts w:cs="Times New Roman"/>
                <w:b/>
                <w:bCs/>
                <w:color w:val="000000" w:themeColor="text1"/>
                <w:kern w:val="0"/>
                <w:sz w:val="21"/>
                <w:szCs w:val="21"/>
                <w:highlight w:val="none"/>
                <w:lang w:eastAsia="en-US"/>
                <w14:textFill>
                  <w14:solidFill>
                    <w14:schemeClr w14:val="tx1"/>
                  </w14:solidFill>
                </w14:textFill>
              </w:rPr>
              <w:t>年排放量（t/a）</w:t>
            </w:r>
          </w:p>
        </w:tc>
      </w:tr>
      <w:tr>
        <w:tblPrEx>
          <w:tblCellMar>
            <w:top w:w="0" w:type="dxa"/>
            <w:left w:w="0" w:type="dxa"/>
            <w:bottom w:w="0" w:type="dxa"/>
            <w:right w:w="0" w:type="dxa"/>
          </w:tblCellMar>
        </w:tblPrEx>
        <w:trPr>
          <w:jc w:val="center"/>
        </w:trPr>
        <w:tc>
          <w:tcPr>
            <w:tcW w:w="2177" w:type="dxa"/>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p>
        </w:tc>
        <w:tc>
          <w:tcPr>
            <w:tcW w:w="3139"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颗粒物</w:t>
            </w:r>
          </w:p>
        </w:tc>
        <w:tc>
          <w:tcPr>
            <w:tcW w:w="2904"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0.027</w:t>
            </w:r>
          </w:p>
        </w:tc>
      </w:tr>
      <w:tr>
        <w:tblPrEx>
          <w:tblCellMar>
            <w:top w:w="0" w:type="dxa"/>
            <w:left w:w="0" w:type="dxa"/>
            <w:bottom w:w="0" w:type="dxa"/>
            <w:right w:w="0" w:type="dxa"/>
          </w:tblCellMar>
        </w:tblPrEx>
        <w:trPr>
          <w:jc w:val="center"/>
        </w:trPr>
        <w:tc>
          <w:tcPr>
            <w:tcW w:w="2177" w:type="dxa"/>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2</w:t>
            </w:r>
          </w:p>
        </w:tc>
        <w:tc>
          <w:tcPr>
            <w:tcW w:w="3139"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w:t>
            </w:r>
            <w:r>
              <w:rPr>
                <w:rFonts w:cs="Times New Roman"/>
                <w:color w:val="000000" w:themeColor="text1"/>
                <w:sz w:val="21"/>
                <w:szCs w:val="21"/>
                <w:highlight w:val="none"/>
                <w:vertAlign w:val="subscript"/>
                <w14:textFill>
                  <w14:solidFill>
                    <w14:schemeClr w14:val="tx1"/>
                  </w14:solidFill>
                </w14:textFill>
              </w:rPr>
              <w:t>X</w:t>
            </w:r>
          </w:p>
        </w:tc>
        <w:tc>
          <w:tcPr>
            <w:tcW w:w="2904" w:type="dxa"/>
            <w:tcBorders>
              <w:top w:val="single" w:color="000000" w:sz="4" w:space="0"/>
              <w:left w:val="single" w:color="000000" w:sz="4" w:space="0"/>
              <w:bottom w:val="single" w:color="000000" w:sz="4" w:space="0"/>
              <w:right w:val="single" w:color="000000" w:sz="4" w:space="0"/>
            </w:tcBorders>
            <w:vAlign w:val="center"/>
          </w:tcPr>
          <w:p>
            <w:pPr>
              <w:spacing w:line="240" w:lineRule="auto"/>
              <w:ind w:firstLine="0" w:firstLineChars="0"/>
              <w:jc w:val="center"/>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0.174</w:t>
            </w:r>
          </w:p>
        </w:tc>
      </w:tr>
    </w:tbl>
    <w:p>
      <w:pPr>
        <w:tabs>
          <w:tab w:val="left" w:pos="600"/>
        </w:tabs>
        <w:spacing w:before="120" w:beforeLines="50"/>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4）非正常大气污染物年排放量核算</w:t>
      </w:r>
    </w:p>
    <w:p>
      <w:pPr>
        <w:tabs>
          <w:tab w:val="left" w:pos="600"/>
        </w:tabs>
        <w:ind w:firstLine="480"/>
        <w:rPr>
          <w:rFonts w:cs="Times New Roman"/>
          <w:color w:val="000000" w:themeColor="text1"/>
          <w:szCs w:val="24"/>
          <w:highlight w:val="none"/>
          <w:lang w:bidi="en-US"/>
          <w14:textFill>
            <w14:solidFill>
              <w14:schemeClr w14:val="tx1"/>
            </w14:solidFill>
          </w14:textFill>
        </w:rPr>
      </w:pPr>
      <w:r>
        <w:rPr>
          <w:bCs/>
          <w:color w:val="000000" w:themeColor="text1"/>
          <w:highlight w:val="none"/>
          <w14:textFill>
            <w14:solidFill>
              <w14:schemeClr w14:val="tx1"/>
            </w14:solidFill>
          </w14:textFill>
        </w:rPr>
        <w:t>本项目试采期</w:t>
      </w:r>
      <w:r>
        <w:rPr>
          <w:rFonts w:hint="eastAsia"/>
          <w:bCs/>
          <w:color w:val="000000" w:themeColor="text1"/>
          <w:highlight w:val="none"/>
          <w14:textFill>
            <w14:solidFill>
              <w14:schemeClr w14:val="tx1"/>
            </w14:solidFill>
          </w14:textFill>
        </w:rPr>
        <w:t>非正常工况主要为井口紧急高压放空，其排放量如下。</w:t>
      </w:r>
    </w:p>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大气污染物年排放量核算表</w:t>
      </w:r>
    </w:p>
    <w:p>
      <w:pPr>
        <w:ind w:firstLine="40"/>
        <w:rPr>
          <w:rFonts w:eastAsia="黑体"/>
          <w:b/>
          <w:bCs/>
          <w:color w:val="000000" w:themeColor="text1"/>
          <w:sz w:val="2"/>
          <w:szCs w:val="2"/>
          <w:highlight w:val="none"/>
          <w14:textFill>
            <w14:solidFill>
              <w14:schemeClr w14:val="tx1"/>
            </w14:solidFill>
          </w14:textFill>
        </w:rPr>
      </w:pPr>
    </w:p>
    <w:tbl>
      <w:tblPr>
        <w:tblStyle w:val="54"/>
        <w:tblW w:w="8220" w:type="dxa"/>
        <w:jc w:val="center"/>
        <w:tblLayout w:type="fixed"/>
        <w:tblCellMar>
          <w:top w:w="0" w:type="dxa"/>
          <w:left w:w="0" w:type="dxa"/>
          <w:bottom w:w="0" w:type="dxa"/>
          <w:right w:w="0" w:type="dxa"/>
        </w:tblCellMar>
      </w:tblPr>
      <w:tblGrid>
        <w:gridCol w:w="555"/>
        <w:gridCol w:w="1233"/>
        <w:gridCol w:w="1400"/>
        <w:gridCol w:w="2350"/>
        <w:gridCol w:w="1033"/>
        <w:gridCol w:w="1649"/>
      </w:tblGrid>
      <w:tr>
        <w:tblPrEx>
          <w:tblCellMar>
            <w:top w:w="0" w:type="dxa"/>
            <w:left w:w="0" w:type="dxa"/>
            <w:bottom w:w="0" w:type="dxa"/>
            <w:right w:w="0" w:type="dxa"/>
          </w:tblCellMar>
        </w:tblPrEx>
        <w:trPr>
          <w:trHeight w:val="212" w:hRule="atLeast"/>
          <w:jc w:val="center"/>
        </w:trPr>
        <w:tc>
          <w:tcPr>
            <w:tcW w:w="555" w:type="dxa"/>
            <w:tcBorders>
              <w:top w:val="single" w:color="000000" w:sz="4" w:space="0"/>
              <w:left w:val="single" w:color="000000" w:sz="4" w:space="0"/>
              <w:bottom w:val="single" w:color="000000" w:sz="4" w:space="0"/>
              <w:right w:val="single" w:color="000000" w:sz="4" w:space="0"/>
            </w:tcBorders>
            <w:vAlign w:val="center"/>
          </w:tcPr>
          <w:p>
            <w:pPr>
              <w:pStyle w:val="99"/>
              <w:spacing w:line="240" w:lineRule="auto"/>
              <w:ind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序号</w:t>
            </w:r>
          </w:p>
        </w:tc>
        <w:tc>
          <w:tcPr>
            <w:tcW w:w="1233" w:type="dxa"/>
            <w:tcBorders>
              <w:top w:val="single" w:color="000000" w:sz="4" w:space="0"/>
              <w:left w:val="single" w:color="000000" w:sz="4" w:space="0"/>
              <w:bottom w:val="single" w:color="000000" w:sz="4" w:space="0"/>
              <w:right w:val="single" w:color="000000" w:sz="4" w:space="0"/>
            </w:tcBorders>
            <w:vAlign w:val="center"/>
          </w:tcPr>
          <w:p>
            <w:pPr>
              <w:pStyle w:val="99"/>
              <w:spacing w:line="240" w:lineRule="auto"/>
              <w:ind w:firstLine="0" w:firstLineChars="0"/>
              <w:jc w:val="center"/>
              <w:rPr>
                <w:rFonts w:ascii="Times New Roman" w:hAnsi="Times New Roman"/>
                <w:color w:val="000000" w:themeColor="text1"/>
                <w:sz w:val="21"/>
                <w:szCs w:val="21"/>
                <w:highlight w:val="none"/>
                <w:lang w:eastAsia="zh-CN"/>
                <w14:textFill>
                  <w14:solidFill>
                    <w14:schemeClr w14:val="tx1"/>
                  </w14:solidFill>
                </w14:textFill>
              </w:rPr>
            </w:pPr>
            <w:r>
              <w:rPr>
                <w:rFonts w:hint="eastAsia" w:ascii="Times New Roman" w:hAnsi="Times New Roman"/>
                <w:color w:val="000000" w:themeColor="text1"/>
                <w:sz w:val="21"/>
                <w:szCs w:val="21"/>
                <w:highlight w:val="none"/>
                <w:lang w:eastAsia="zh-CN"/>
                <w14:textFill>
                  <w14:solidFill>
                    <w14:schemeClr w14:val="tx1"/>
                  </w14:solidFill>
                </w14:textFill>
              </w:rPr>
              <w:t>污染物</w:t>
            </w:r>
          </w:p>
        </w:tc>
        <w:tc>
          <w:tcPr>
            <w:tcW w:w="1400" w:type="dxa"/>
            <w:tcBorders>
              <w:top w:val="single" w:color="000000" w:sz="4" w:space="0"/>
              <w:left w:val="single" w:color="000000" w:sz="4" w:space="0"/>
              <w:bottom w:val="single" w:color="000000" w:sz="4" w:space="0"/>
              <w:right w:val="single" w:color="000000" w:sz="4" w:space="0"/>
            </w:tcBorders>
            <w:vAlign w:val="center"/>
          </w:tcPr>
          <w:p>
            <w:pPr>
              <w:pStyle w:val="99"/>
              <w:spacing w:line="240" w:lineRule="auto"/>
              <w:ind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年排放量</w:t>
            </w:r>
          </w:p>
        </w:tc>
        <w:tc>
          <w:tcPr>
            <w:tcW w:w="2350" w:type="dxa"/>
            <w:tcBorders>
              <w:top w:val="single" w:color="000000" w:sz="4" w:space="0"/>
              <w:left w:val="single" w:color="000000" w:sz="4" w:space="0"/>
              <w:bottom w:val="single" w:color="000000" w:sz="4" w:space="0"/>
              <w:right w:val="single" w:color="000000" w:sz="4" w:space="0"/>
            </w:tcBorders>
            <w:vAlign w:val="center"/>
          </w:tcPr>
          <w:p>
            <w:pPr>
              <w:pStyle w:val="99"/>
              <w:spacing w:line="240" w:lineRule="auto"/>
              <w:ind w:firstLine="0" w:firstLineChars="0"/>
              <w:jc w:val="center"/>
              <w:rPr>
                <w:rFonts w:ascii="Times New Roman" w:hAnsi="Times New Roman"/>
                <w:color w:val="000000" w:themeColor="text1"/>
                <w:sz w:val="21"/>
                <w:szCs w:val="21"/>
                <w:highlight w:val="none"/>
                <w:lang w:eastAsia="zh-CN"/>
                <w14:textFill>
                  <w14:solidFill>
                    <w14:schemeClr w14:val="tx1"/>
                  </w14:solidFill>
                </w14:textFill>
              </w:rPr>
            </w:pPr>
            <w:r>
              <w:rPr>
                <w:rFonts w:hint="eastAsia" w:ascii="Times New Roman" w:hAnsi="Times New Roman"/>
                <w:color w:val="000000" w:themeColor="text1"/>
                <w:sz w:val="21"/>
                <w:szCs w:val="21"/>
                <w:highlight w:val="none"/>
                <w:lang w:eastAsia="zh-CN"/>
                <w14:textFill>
                  <w14:solidFill>
                    <w14:schemeClr w14:val="tx1"/>
                  </w14:solidFill>
                </w14:textFill>
              </w:rPr>
              <w:t>处置方式</w:t>
            </w:r>
          </w:p>
        </w:tc>
        <w:tc>
          <w:tcPr>
            <w:tcW w:w="1033" w:type="dxa"/>
            <w:tcBorders>
              <w:top w:val="single" w:color="000000" w:sz="4" w:space="0"/>
              <w:left w:val="single" w:color="000000" w:sz="4" w:space="0"/>
              <w:bottom w:val="single" w:color="000000" w:sz="4" w:space="0"/>
              <w:right w:val="single" w:color="000000" w:sz="4" w:space="0"/>
            </w:tcBorders>
            <w:vAlign w:val="center"/>
          </w:tcPr>
          <w:p>
            <w:pPr>
              <w:pStyle w:val="99"/>
              <w:spacing w:line="240" w:lineRule="auto"/>
              <w:ind w:firstLine="0" w:firstLineChars="0"/>
              <w:jc w:val="center"/>
              <w:rPr>
                <w:rFonts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lang w:eastAsia="zh-CN"/>
                <w14:textFill>
                  <w14:solidFill>
                    <w14:schemeClr w14:val="tx1"/>
                  </w14:solidFill>
                </w14:textFill>
              </w:rPr>
              <w:t>最终</w:t>
            </w:r>
            <w:r>
              <w:rPr>
                <w:rFonts w:ascii="Times New Roman" w:hAnsi="Times New Roman"/>
                <w:color w:val="000000" w:themeColor="text1"/>
                <w:sz w:val="21"/>
                <w:szCs w:val="21"/>
                <w:highlight w:val="none"/>
                <w14:textFill>
                  <w14:solidFill>
                    <w14:schemeClr w14:val="tx1"/>
                  </w14:solidFill>
                </w14:textFill>
              </w:rPr>
              <w:t>污染物</w:t>
            </w:r>
          </w:p>
        </w:tc>
        <w:tc>
          <w:tcPr>
            <w:tcW w:w="1649" w:type="dxa"/>
            <w:tcBorders>
              <w:top w:val="single" w:color="000000" w:sz="4" w:space="0"/>
              <w:left w:val="single" w:color="000000" w:sz="4" w:space="0"/>
              <w:bottom w:val="single" w:color="000000" w:sz="4" w:space="0"/>
              <w:right w:val="single" w:color="000000" w:sz="4" w:space="0"/>
            </w:tcBorders>
            <w:vAlign w:val="center"/>
          </w:tcPr>
          <w:p>
            <w:pPr>
              <w:pStyle w:val="99"/>
              <w:spacing w:line="240" w:lineRule="auto"/>
              <w:ind w:firstLine="0" w:firstLineChars="0"/>
              <w:jc w:val="center"/>
              <w:rPr>
                <w:rFonts w:ascii="Times New Roman" w:hAnsi="Times New Roman"/>
                <w:color w:val="000000" w:themeColor="text1"/>
                <w:sz w:val="21"/>
                <w:szCs w:val="21"/>
                <w:highlight w:val="none"/>
                <w:lang w:eastAsia="zh-CN"/>
                <w14:textFill>
                  <w14:solidFill>
                    <w14:schemeClr w14:val="tx1"/>
                  </w14:solidFill>
                </w14:textFill>
              </w:rPr>
            </w:pPr>
            <w:r>
              <w:rPr>
                <w:rFonts w:hint="eastAsia" w:ascii="Times New Roman" w:hAnsi="Times New Roman"/>
                <w:color w:val="000000" w:themeColor="text1"/>
                <w:sz w:val="21"/>
                <w:szCs w:val="21"/>
                <w:highlight w:val="none"/>
                <w:lang w:eastAsia="zh-CN"/>
                <w14:textFill>
                  <w14:solidFill>
                    <w14:schemeClr w14:val="tx1"/>
                  </w14:solidFill>
                </w14:textFill>
              </w:rPr>
              <w:t>最终</w:t>
            </w:r>
            <w:r>
              <w:rPr>
                <w:rFonts w:ascii="Times New Roman" w:hAnsi="Times New Roman"/>
                <w:color w:val="000000" w:themeColor="text1"/>
                <w:sz w:val="21"/>
                <w:szCs w:val="21"/>
                <w:highlight w:val="none"/>
                <w14:textFill>
                  <w14:solidFill>
                    <w14:schemeClr w14:val="tx1"/>
                  </w14:solidFill>
                </w14:textFill>
              </w:rPr>
              <w:t>污染物</w:t>
            </w:r>
            <w:r>
              <w:rPr>
                <w:rFonts w:hint="eastAsia" w:ascii="Times New Roman" w:hAnsi="Times New Roman"/>
                <w:color w:val="000000" w:themeColor="text1"/>
                <w:sz w:val="21"/>
                <w:szCs w:val="21"/>
                <w:highlight w:val="none"/>
                <w:lang w:eastAsia="zh-CN"/>
                <w14:textFill>
                  <w14:solidFill>
                    <w14:schemeClr w14:val="tx1"/>
                  </w14:solidFill>
                </w14:textFill>
              </w:rPr>
              <w:t>排放量</w:t>
            </w:r>
          </w:p>
        </w:tc>
      </w:tr>
      <w:tr>
        <w:tblPrEx>
          <w:tblCellMar>
            <w:top w:w="0" w:type="dxa"/>
            <w:left w:w="0" w:type="dxa"/>
            <w:bottom w:w="0" w:type="dxa"/>
            <w:right w:w="0" w:type="dxa"/>
          </w:tblCellMar>
        </w:tblPrEx>
        <w:trPr>
          <w:trHeight w:val="215" w:hRule="atLeast"/>
          <w:jc w:val="center"/>
        </w:trPr>
        <w:tc>
          <w:tcPr>
            <w:tcW w:w="555" w:type="dxa"/>
            <w:tcBorders>
              <w:top w:val="single" w:color="000000" w:sz="4" w:space="0"/>
              <w:left w:val="single" w:color="000000" w:sz="4" w:space="0"/>
              <w:bottom w:val="single" w:color="000000" w:sz="4" w:space="0"/>
              <w:right w:val="single" w:color="000000" w:sz="4" w:space="0"/>
            </w:tcBorders>
            <w:vAlign w:val="center"/>
          </w:tcPr>
          <w:p>
            <w:pPr>
              <w:autoSpaceDE w:val="0"/>
              <w:autoSpaceDN w:val="0"/>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1</w:t>
            </w:r>
          </w:p>
        </w:tc>
        <w:tc>
          <w:tcPr>
            <w:tcW w:w="1233" w:type="dxa"/>
            <w:tcBorders>
              <w:top w:val="single" w:color="000000" w:sz="4" w:space="0"/>
              <w:left w:val="single" w:color="000000" w:sz="4" w:space="0"/>
              <w:bottom w:val="single" w:color="000000" w:sz="4" w:space="0"/>
              <w:right w:val="single" w:color="000000" w:sz="4" w:space="0"/>
            </w:tcBorders>
            <w:vAlign w:val="center"/>
          </w:tcPr>
          <w:p>
            <w:pPr>
              <w:pStyle w:val="637"/>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天然气（甲烷）</w:t>
            </w:r>
          </w:p>
        </w:tc>
        <w:tc>
          <w:tcPr>
            <w:tcW w:w="1400" w:type="dxa"/>
            <w:tcBorders>
              <w:top w:val="single" w:color="000000" w:sz="4" w:space="0"/>
              <w:left w:val="single" w:color="000000" w:sz="4" w:space="0"/>
              <w:bottom w:val="single" w:color="000000" w:sz="4" w:space="0"/>
              <w:right w:val="single" w:color="000000" w:sz="4" w:space="0"/>
            </w:tcBorders>
            <w:vAlign w:val="center"/>
          </w:tcPr>
          <w:p>
            <w:pPr>
              <w:pStyle w:val="637"/>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约2～5次/a，</w:t>
            </w:r>
            <w:r>
              <w:rPr>
                <w:rFonts w:hint="eastAsia"/>
                <w:color w:val="000000" w:themeColor="text1"/>
                <w:sz w:val="21"/>
                <w:szCs w:val="21"/>
                <w:highlight w:val="none"/>
                <w14:textFill>
                  <w14:solidFill>
                    <w14:schemeClr w14:val="tx1"/>
                  </w14:solidFill>
                </w14:textFill>
              </w:rPr>
              <w:t>50</w:t>
            </w:r>
            <w:r>
              <w:rPr>
                <w:color w:val="000000" w:themeColor="text1"/>
                <w:sz w:val="21"/>
                <w:szCs w:val="21"/>
                <w:highlight w:val="none"/>
                <w14:textFill>
                  <w14:solidFill>
                    <w14:schemeClr w14:val="tx1"/>
                  </w14:solidFill>
                </w14:textFill>
              </w:rPr>
              <w:t>Nm</w:t>
            </w:r>
            <w:r>
              <w:rPr>
                <w:color w:val="000000" w:themeColor="text1"/>
                <w:sz w:val="21"/>
                <w:szCs w:val="21"/>
                <w:highlight w:val="none"/>
                <w:vertAlign w:val="superscript"/>
                <w14:textFill>
                  <w14:solidFill>
                    <w14:schemeClr w14:val="tx1"/>
                  </w14:solidFill>
                </w14:textFill>
              </w:rPr>
              <w:t>3</w:t>
            </w:r>
            <w:r>
              <w:rPr>
                <w:color w:val="000000" w:themeColor="text1"/>
                <w:sz w:val="21"/>
                <w:szCs w:val="21"/>
                <w:highlight w:val="none"/>
                <w14:textFill>
                  <w14:solidFill>
                    <w14:schemeClr w14:val="tx1"/>
                  </w14:solidFill>
                </w14:textFill>
              </w:rPr>
              <w:t>/次</w:t>
            </w:r>
          </w:p>
        </w:tc>
        <w:tc>
          <w:tcPr>
            <w:tcW w:w="2350" w:type="dxa"/>
            <w:tcBorders>
              <w:top w:val="single" w:color="000000" w:sz="4" w:space="0"/>
              <w:left w:val="single" w:color="000000" w:sz="4" w:space="0"/>
              <w:bottom w:val="single" w:color="000000" w:sz="4" w:space="0"/>
              <w:right w:val="single" w:color="000000" w:sz="4" w:space="0"/>
            </w:tcBorders>
            <w:vAlign w:val="center"/>
          </w:tcPr>
          <w:p>
            <w:pPr>
              <w:pStyle w:val="637"/>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引至放空火炬燃烧后经15m高排气筒有组织排放</w:t>
            </w:r>
          </w:p>
        </w:tc>
        <w:tc>
          <w:tcPr>
            <w:tcW w:w="1033" w:type="dxa"/>
            <w:tcBorders>
              <w:top w:val="single" w:color="000000" w:sz="4" w:space="0"/>
              <w:left w:val="single" w:color="000000" w:sz="4" w:space="0"/>
              <w:bottom w:val="single" w:color="000000" w:sz="4" w:space="0"/>
              <w:right w:val="single" w:color="000000" w:sz="4" w:space="0"/>
            </w:tcBorders>
            <w:vAlign w:val="center"/>
          </w:tcPr>
          <w:p>
            <w:pPr>
              <w:pStyle w:val="637"/>
              <w:spacing w:line="240" w:lineRule="auto"/>
              <w:ind w:firstLine="0" w:firstLineChars="0"/>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NO</w:t>
            </w:r>
            <w:r>
              <w:rPr>
                <w:rFonts w:cs="Times New Roman"/>
                <w:color w:val="000000" w:themeColor="text1"/>
                <w:sz w:val="21"/>
                <w:szCs w:val="21"/>
                <w:highlight w:val="none"/>
                <w:vertAlign w:val="subscript"/>
                <w14:textFill>
                  <w14:solidFill>
                    <w14:schemeClr w14:val="tx1"/>
                  </w14:solidFill>
                </w14:textFill>
              </w:rPr>
              <w:t>X</w:t>
            </w:r>
          </w:p>
        </w:tc>
        <w:tc>
          <w:tcPr>
            <w:tcW w:w="1649" w:type="dxa"/>
            <w:tcBorders>
              <w:top w:val="single" w:color="000000" w:sz="4" w:space="0"/>
              <w:left w:val="single" w:color="000000" w:sz="4" w:space="0"/>
              <w:bottom w:val="single" w:color="000000" w:sz="4" w:space="0"/>
              <w:right w:val="single" w:color="000000" w:sz="4" w:space="0"/>
            </w:tcBorders>
            <w:vAlign w:val="center"/>
          </w:tcPr>
          <w:p>
            <w:pPr>
              <w:pStyle w:val="637"/>
              <w:spacing w:line="240" w:lineRule="auto"/>
              <w:ind w:firstLine="0" w:firstLineChars="0"/>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少量</w:t>
            </w:r>
          </w:p>
        </w:tc>
      </w:tr>
    </w:tbl>
    <w:p>
      <w:pPr>
        <w:spacing w:before="120" w:beforeLines="50"/>
        <w:ind w:firstLine="480"/>
        <w:rPr>
          <w:rFonts w:eastAsia="黑体" w:cs="Times New Roman"/>
          <w:bCs/>
          <w:color w:val="000000" w:themeColor="text1"/>
          <w:szCs w:val="24"/>
          <w:highlight w:val="none"/>
          <w14:textFill>
            <w14:solidFill>
              <w14:schemeClr w14:val="tx1"/>
            </w14:solidFill>
          </w14:textFill>
        </w:rPr>
      </w:pPr>
      <w:r>
        <w:rPr>
          <w:rFonts w:hint="eastAsia" w:eastAsia="黑体" w:cs="Times New Roman"/>
          <w:bCs/>
          <w:color w:val="000000" w:themeColor="text1"/>
          <w:szCs w:val="24"/>
          <w:highlight w:val="none"/>
          <w14:textFill>
            <w14:solidFill>
              <w14:schemeClr w14:val="tx1"/>
            </w14:solidFill>
          </w14:textFill>
        </w:rPr>
        <w:t>4、</w:t>
      </w:r>
      <w:r>
        <w:rPr>
          <w:rFonts w:eastAsia="黑体" w:cs="Times New Roman"/>
          <w:bCs/>
          <w:color w:val="000000" w:themeColor="text1"/>
          <w:szCs w:val="24"/>
          <w:highlight w:val="none"/>
          <w14:textFill>
            <w14:solidFill>
              <w14:schemeClr w14:val="tx1"/>
            </w14:solidFill>
          </w14:textFill>
        </w:rPr>
        <w:t>大气环境影响分析</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1）水套加热炉废气环境影响分析</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根据上述预测分析可知，</w:t>
      </w:r>
      <w:r>
        <w:rPr>
          <w:rFonts w:hint="eastAsia" w:cs="Times New Roman"/>
          <w:color w:val="000000" w:themeColor="text1"/>
          <w:szCs w:val="24"/>
          <w:highlight w:val="none"/>
          <w:lang w:bidi="en-US"/>
          <w14:textFill>
            <w14:solidFill>
              <w14:schemeClr w14:val="tx1"/>
            </w14:solidFill>
          </w14:textFill>
        </w:rPr>
        <w:t>本项目</w:t>
      </w:r>
      <w:r>
        <w:rPr>
          <w:rFonts w:cs="Times New Roman"/>
          <w:color w:val="000000" w:themeColor="text1"/>
          <w:szCs w:val="24"/>
          <w:highlight w:val="none"/>
          <w:lang w:bidi="en-US"/>
          <w14:textFill>
            <w14:solidFill>
              <w14:schemeClr w14:val="tx1"/>
            </w14:solidFill>
          </w14:textFill>
        </w:rPr>
        <w:t>拟建</w:t>
      </w:r>
      <w:r>
        <w:rPr>
          <w:rFonts w:hint="eastAsia" w:cs="Times New Roman"/>
          <w:color w:val="000000" w:themeColor="text1"/>
          <w:szCs w:val="24"/>
          <w:highlight w:val="none"/>
          <w:lang w:bidi="en-US"/>
          <w14:textFill>
            <w14:solidFill>
              <w14:schemeClr w14:val="tx1"/>
            </w14:solidFill>
          </w14:textFill>
        </w:rPr>
        <w:t>的</w:t>
      </w:r>
      <w:r>
        <w:rPr>
          <w:rFonts w:cs="Times New Roman"/>
          <w:color w:val="000000" w:themeColor="text1"/>
          <w:szCs w:val="24"/>
          <w:highlight w:val="none"/>
          <w:lang w:bidi="en-US"/>
          <w14:textFill>
            <w14:solidFill>
              <w14:schemeClr w14:val="tx1"/>
            </w14:solidFill>
          </w14:textFill>
        </w:rPr>
        <w:t>水套加热炉污染物排放的</w:t>
      </w:r>
      <w:r>
        <w:rPr>
          <w:rFonts w:cs="Times New Roman"/>
          <w:color w:val="000000" w:themeColor="text1"/>
          <w:szCs w:val="24"/>
          <w:highlight w:val="none"/>
          <w14:textFill>
            <w14:solidFill>
              <w14:schemeClr w14:val="tx1"/>
            </w14:solidFill>
          </w14:textFill>
        </w:rPr>
        <w:t>NO</w:t>
      </w:r>
      <w:r>
        <w:rPr>
          <w:rFonts w:cs="Times New Roman"/>
          <w:color w:val="000000" w:themeColor="text1"/>
          <w:szCs w:val="24"/>
          <w:highlight w:val="none"/>
          <w:vertAlign w:val="subscript"/>
          <w14:textFill>
            <w14:solidFill>
              <w14:schemeClr w14:val="tx1"/>
            </w14:solidFill>
          </w14:textFill>
        </w:rPr>
        <w:t>X</w:t>
      </w:r>
      <w:r>
        <w:rPr>
          <w:rFonts w:hint="eastAsia" w:cs="Times New Roman"/>
          <w:color w:val="000000" w:themeColor="text1"/>
          <w:szCs w:val="24"/>
          <w:highlight w:val="none"/>
          <w14:textFill>
            <w14:solidFill>
              <w14:schemeClr w14:val="tx1"/>
            </w14:solidFill>
          </w14:textFill>
        </w:rPr>
        <w:t>、颗粒物</w:t>
      </w:r>
      <w:r>
        <w:rPr>
          <w:rFonts w:cs="Times New Roman"/>
          <w:color w:val="000000" w:themeColor="text1"/>
          <w:szCs w:val="24"/>
          <w:highlight w:val="none"/>
          <w:lang w:bidi="en-US"/>
          <w14:textFill>
            <w14:solidFill>
              <w14:schemeClr w14:val="tx1"/>
            </w14:solidFill>
          </w14:textFill>
        </w:rPr>
        <w:t>最大落地浓度出现在</w:t>
      </w:r>
      <w:r>
        <w:rPr>
          <w:rFonts w:hint="eastAsia" w:cs="Times New Roman"/>
          <w:color w:val="000000" w:themeColor="text1"/>
          <w:szCs w:val="24"/>
          <w:highlight w:val="none"/>
          <w:lang w:bidi="en-US"/>
          <w14:textFill>
            <w14:solidFill>
              <w14:schemeClr w14:val="tx1"/>
            </w14:solidFill>
          </w14:textFill>
        </w:rPr>
        <w:t>79</w:t>
      </w:r>
      <w:r>
        <w:rPr>
          <w:rFonts w:cs="Times New Roman"/>
          <w:color w:val="000000" w:themeColor="text1"/>
          <w:szCs w:val="24"/>
          <w:highlight w:val="none"/>
          <w:lang w:bidi="en-US"/>
          <w14:textFill>
            <w14:solidFill>
              <w14:schemeClr w14:val="tx1"/>
            </w14:solidFill>
          </w14:textFill>
        </w:rPr>
        <w:t>m处，最</w:t>
      </w:r>
      <w:r>
        <w:rPr>
          <w:rFonts w:cs="Times New Roman"/>
          <w:color w:val="000000" w:themeColor="text1"/>
          <w:szCs w:val="24"/>
          <w:highlight w:val="none"/>
          <w14:textFill>
            <w14:solidFill>
              <w14:schemeClr w14:val="tx1"/>
            </w14:solidFill>
          </w14:textFill>
        </w:rPr>
        <w:t>大落地浓度分别为</w:t>
      </w:r>
      <w:r>
        <w:rPr>
          <w:rFonts w:hint="eastAsia" w:cs="Times New Roman"/>
          <w:color w:val="000000" w:themeColor="text1"/>
          <w:szCs w:val="24"/>
          <w:highlight w:val="none"/>
          <w14:textFill>
            <w14:solidFill>
              <w14:schemeClr w14:val="tx1"/>
            </w14:solidFill>
          </w14:textFill>
        </w:rPr>
        <w:t>18.6</w:t>
      </w:r>
      <w:r>
        <w:rPr>
          <w:rFonts w:cs="Times New Roman"/>
          <w:color w:val="000000" w:themeColor="text1"/>
          <w:szCs w:val="24"/>
          <w:highlight w:val="none"/>
          <w14:textFill>
            <w14:solidFill>
              <w14:schemeClr w14:val="tx1"/>
            </w14:solidFill>
          </w14:textFill>
        </w:rPr>
        <w:t>μg/m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2.88</w:t>
      </w:r>
      <w:r>
        <w:rPr>
          <w:rFonts w:cs="Times New Roman"/>
          <w:color w:val="000000" w:themeColor="text1"/>
          <w:szCs w:val="24"/>
          <w:highlight w:val="none"/>
          <w14:textFill>
            <w14:solidFill>
              <w14:schemeClr w14:val="tx1"/>
            </w14:solidFill>
          </w14:textFill>
        </w:rPr>
        <w:t>μg/m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w:t>
      </w:r>
      <w:r>
        <w:rPr>
          <w:rFonts w:cs="Times New Roman"/>
          <w:color w:val="000000" w:themeColor="text1"/>
          <w:szCs w:val="24"/>
          <w:highlight w:val="none"/>
          <w:lang w:bidi="en-US"/>
          <w14:textFill>
            <w14:solidFill>
              <w14:schemeClr w14:val="tx1"/>
            </w14:solidFill>
          </w14:textFill>
        </w:rPr>
        <w:t>相应占标率分别为</w:t>
      </w:r>
      <w:r>
        <w:rPr>
          <w:rFonts w:hint="eastAsia" w:cs="Times New Roman"/>
          <w:color w:val="000000" w:themeColor="text1"/>
          <w:szCs w:val="24"/>
          <w:highlight w:val="none"/>
          <w:lang w:bidi="en-US"/>
          <w14:textFill>
            <w14:solidFill>
              <w14:schemeClr w14:val="tx1"/>
            </w14:solidFill>
          </w14:textFill>
        </w:rPr>
        <w:t>7.44</w:t>
      </w:r>
      <w:r>
        <w:rPr>
          <w:rFonts w:cs="Times New Roman"/>
          <w:color w:val="000000" w:themeColor="text1"/>
          <w:szCs w:val="24"/>
          <w:highlight w:val="none"/>
          <w:lang w:bidi="en-US"/>
          <w14:textFill>
            <w14:solidFill>
              <w14:schemeClr w14:val="tx1"/>
            </w14:solidFill>
          </w14:textFill>
        </w:rPr>
        <w:t>%、</w:t>
      </w:r>
      <w:r>
        <w:rPr>
          <w:rFonts w:hint="eastAsia" w:cs="Times New Roman"/>
          <w:color w:val="000000" w:themeColor="text1"/>
          <w:szCs w:val="24"/>
          <w:highlight w:val="none"/>
          <w:lang w:bidi="en-US"/>
          <w14:textFill>
            <w14:solidFill>
              <w14:schemeClr w14:val="tx1"/>
            </w14:solidFill>
          </w14:textFill>
        </w:rPr>
        <w:t>0.32</w:t>
      </w:r>
      <w:r>
        <w:rPr>
          <w:rFonts w:cs="Times New Roman"/>
          <w:color w:val="000000" w:themeColor="text1"/>
          <w:szCs w:val="24"/>
          <w:highlight w:val="none"/>
          <w:lang w:bidi="en-US"/>
          <w14:textFill>
            <w14:solidFill>
              <w14:schemeClr w14:val="tx1"/>
            </w14:solidFill>
          </w14:textFill>
        </w:rPr>
        <w:t>%，污染物排放量小，</w:t>
      </w:r>
      <w:r>
        <w:rPr>
          <w:rFonts w:hint="eastAsia" w:cs="Times New Roman"/>
          <w:color w:val="000000" w:themeColor="text1"/>
          <w:szCs w:val="24"/>
          <w:highlight w:val="none"/>
          <w:lang w:bidi="en-US"/>
          <w14:textFill>
            <w14:solidFill>
              <w14:schemeClr w14:val="tx1"/>
            </w14:solidFill>
          </w14:textFill>
        </w:rPr>
        <w:t>不会显著增加环境空气中污染物浓度，</w:t>
      </w:r>
      <w:r>
        <w:rPr>
          <w:rFonts w:cs="Times New Roman"/>
          <w:color w:val="000000" w:themeColor="text1"/>
          <w:szCs w:val="24"/>
          <w:highlight w:val="none"/>
          <w:lang w:bidi="en-US"/>
          <w14:textFill>
            <w14:solidFill>
              <w14:schemeClr w14:val="tx1"/>
            </w14:solidFill>
          </w14:textFill>
        </w:rPr>
        <w:t>污染物排放对环境空气的影响较小。</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2）放空燃烧</w:t>
      </w:r>
      <w:r>
        <w:rPr>
          <w:rFonts w:cs="Times New Roman"/>
          <w:color w:val="000000" w:themeColor="text1"/>
          <w:szCs w:val="24"/>
          <w:highlight w:val="none"/>
          <w:lang w:bidi="en-US"/>
          <w14:textFill>
            <w14:solidFill>
              <w14:schemeClr w14:val="tx1"/>
            </w14:solidFill>
          </w14:textFill>
        </w:rPr>
        <w:t>废气</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cs="Times New Roman"/>
          <w:color w:val="000000" w:themeColor="text1"/>
          <w:szCs w:val="24"/>
          <w:highlight w:val="none"/>
          <w:lang w:bidi="en-US"/>
          <w14:textFill>
            <w14:solidFill>
              <w14:schemeClr w14:val="tx1"/>
            </w14:solidFill>
          </w14:textFill>
        </w:rPr>
        <w:t>本项目非正常工况主要废气为站场检修/事故放空废气，本项目非正常工况</w:t>
      </w:r>
      <w:r>
        <w:rPr>
          <w:rFonts w:hint="eastAsia" w:cs="Times New Roman"/>
          <w:color w:val="000000" w:themeColor="text1"/>
          <w:szCs w:val="24"/>
          <w:highlight w:val="none"/>
          <w:lang w:bidi="en-US"/>
          <w14:textFill>
            <w14:solidFill>
              <w14:schemeClr w14:val="tx1"/>
            </w14:solidFill>
          </w14:textFill>
        </w:rPr>
        <w:t>放空废气量小，放空次数少，</w:t>
      </w:r>
      <w:r>
        <w:rPr>
          <w:rFonts w:cs="Times New Roman"/>
          <w:color w:val="000000" w:themeColor="text1"/>
          <w:szCs w:val="24"/>
          <w:highlight w:val="none"/>
          <w:lang w:bidi="en-US"/>
          <w14:textFill>
            <w14:solidFill>
              <w14:schemeClr w14:val="tx1"/>
            </w14:solidFill>
          </w14:textFill>
        </w:rPr>
        <w:t>项目区扩散条件好，对环境空气质量影响小。</w:t>
      </w:r>
    </w:p>
    <w:p>
      <w:pPr>
        <w:tabs>
          <w:tab w:val="left" w:pos="600"/>
        </w:tabs>
        <w:ind w:firstLine="480"/>
        <w:rPr>
          <w:rFonts w:cs="Times New Roman"/>
          <w:color w:val="000000" w:themeColor="text1"/>
          <w:szCs w:val="24"/>
          <w:highlight w:val="none"/>
          <w:lang w:bidi="en-US"/>
          <w14:textFill>
            <w14:solidFill>
              <w14:schemeClr w14:val="tx1"/>
            </w14:solidFill>
          </w14:textFill>
        </w:rPr>
      </w:pPr>
      <w:r>
        <w:rPr>
          <w:rFonts w:hint="eastAsia" w:cs="Times New Roman"/>
          <w:color w:val="000000" w:themeColor="text1"/>
          <w:szCs w:val="24"/>
          <w:highlight w:val="none"/>
          <w:lang w:bidi="en-US"/>
          <w14:textFill>
            <w14:solidFill>
              <w14:schemeClr w14:val="tx1"/>
            </w14:solidFill>
          </w14:textFill>
        </w:rPr>
        <w:t>总的来说，</w:t>
      </w:r>
      <w:r>
        <w:rPr>
          <w:rFonts w:cs="Times New Roman"/>
          <w:color w:val="000000" w:themeColor="text1"/>
          <w:szCs w:val="24"/>
          <w:highlight w:val="none"/>
          <w:lang w:bidi="en-US"/>
          <w14:textFill>
            <w14:solidFill>
              <w14:schemeClr w14:val="tx1"/>
            </w14:solidFill>
          </w14:textFill>
        </w:rPr>
        <w:t>项目区扩散条件好，</w:t>
      </w:r>
      <w:r>
        <w:rPr>
          <w:rFonts w:hint="eastAsia" w:cs="Times New Roman"/>
          <w:color w:val="000000" w:themeColor="text1"/>
          <w:szCs w:val="24"/>
          <w:highlight w:val="none"/>
          <w:lang w:bidi="en-US"/>
          <w14:textFill>
            <w14:solidFill>
              <w14:schemeClr w14:val="tx1"/>
            </w14:solidFill>
          </w14:textFill>
        </w:rPr>
        <w:t>废气排放量小，污染物浓度低，</w:t>
      </w:r>
      <w:r>
        <w:rPr>
          <w:rFonts w:cs="Times New Roman"/>
          <w:color w:val="000000" w:themeColor="text1"/>
          <w:szCs w:val="24"/>
          <w:highlight w:val="none"/>
          <w:lang w:bidi="en-US"/>
          <w14:textFill>
            <w14:solidFill>
              <w14:schemeClr w14:val="tx1"/>
            </w14:solidFill>
          </w14:textFill>
        </w:rPr>
        <w:t>对环境空气质量影响小。</w:t>
      </w:r>
    </w:p>
    <w:p>
      <w:pPr>
        <w:pStyle w:val="4"/>
        <w:spacing w:before="0" w:beforeLines="0"/>
        <w:ind w:firstLine="480"/>
        <w:rPr>
          <w:color w:val="000000" w:themeColor="text1"/>
          <w:highlight w:val="none"/>
          <w14:textFill>
            <w14:solidFill>
              <w14:schemeClr w14:val="tx1"/>
            </w14:solidFill>
          </w14:textFill>
        </w:rPr>
      </w:pPr>
      <w:bookmarkStart w:id="290" w:name="_Toc120173157"/>
      <w:r>
        <w:rPr>
          <w:color w:val="000000" w:themeColor="text1"/>
          <w:highlight w:val="none"/>
          <w14:textFill>
            <w14:solidFill>
              <w14:schemeClr w14:val="tx1"/>
            </w14:solidFill>
          </w14:textFill>
        </w:rPr>
        <w:t>地表水环境影响分析</w:t>
      </w:r>
      <w:bookmarkEnd w:id="290"/>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（1）</w:t>
      </w:r>
      <w:r>
        <w:rPr>
          <w:rFonts w:hint="eastAsia" w:cs="Times New Roman"/>
          <w:b/>
          <w:color w:val="000000" w:themeColor="text1"/>
          <w:szCs w:val="24"/>
          <w:highlight w:val="none"/>
          <w14:textFill>
            <w14:solidFill>
              <w14:schemeClr w14:val="tx1"/>
            </w14:solidFill>
          </w14:textFill>
        </w:rPr>
        <w:t>采出水</w:t>
      </w:r>
      <w:r>
        <w:rPr>
          <w:rFonts w:cs="Times New Roman"/>
          <w:b/>
          <w:color w:val="000000" w:themeColor="text1"/>
          <w:szCs w:val="24"/>
          <w:highlight w:val="none"/>
          <w14:textFill>
            <w14:solidFill>
              <w14:schemeClr w14:val="tx1"/>
            </w14:solidFill>
          </w14:textFill>
        </w:rPr>
        <w:t>影响分析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类比区块普光气田</w:t>
      </w:r>
      <w:r>
        <w:rPr>
          <w:rFonts w:hint="eastAsia" w:cs="Times New Roman"/>
          <w:bCs/>
          <w:color w:val="000000" w:themeColor="text1"/>
          <w:highlight w:val="none"/>
          <w14:textFill>
            <w14:solidFill>
              <w14:schemeClr w14:val="tx1"/>
            </w14:solidFill>
          </w14:textFill>
        </w:rPr>
        <w:t>内含硫天然气井</w:t>
      </w:r>
      <w:r>
        <w:rPr>
          <w:rFonts w:cs="Times New Roman"/>
          <w:bCs/>
          <w:color w:val="000000" w:themeColor="text1"/>
          <w:highlight w:val="none"/>
          <w14:textFill>
            <w14:solidFill>
              <w14:schemeClr w14:val="tx1"/>
            </w14:solidFill>
          </w14:textFill>
        </w:rPr>
        <w:t>日产</w:t>
      </w:r>
      <w:r>
        <w:rPr>
          <w:rFonts w:hint="eastAsia" w:cs="Times New Roman"/>
          <w:bCs/>
          <w:color w:val="000000" w:themeColor="text1"/>
          <w:highlight w:val="none"/>
          <w14:textFill>
            <w14:solidFill>
              <w14:schemeClr w14:val="tx1"/>
            </w14:solidFill>
          </w14:textFill>
        </w:rPr>
        <w:t>采出水</w:t>
      </w:r>
      <w:r>
        <w:rPr>
          <w:rFonts w:cs="Times New Roman"/>
          <w:bCs/>
          <w:color w:val="000000" w:themeColor="text1"/>
          <w:highlight w:val="none"/>
          <w14:textFill>
            <w14:solidFill>
              <w14:schemeClr w14:val="tx1"/>
            </w14:solidFill>
          </w14:textFill>
        </w:rPr>
        <w:t>情况，预估</w:t>
      </w:r>
      <w:r>
        <w:rPr>
          <w:rFonts w:hint="eastAsia" w:cs="Times New Roman"/>
          <w:bCs/>
          <w:color w:val="000000" w:themeColor="text1"/>
          <w:highlight w:val="none"/>
          <w14:textFill>
            <w14:solidFill>
              <w14:schemeClr w14:val="tx1"/>
            </w14:solidFill>
          </w14:textFill>
        </w:rPr>
        <w:t>大湾408-3井场</w:t>
      </w:r>
      <w:r>
        <w:rPr>
          <w:rFonts w:hint="eastAsia"/>
          <w:color w:val="000000" w:themeColor="text1"/>
          <w:highlight w:val="none"/>
          <w14:textFill>
            <w14:solidFill>
              <w14:schemeClr w14:val="tx1"/>
            </w14:solidFill>
          </w14:textFill>
        </w:rPr>
        <w:t>试采站</w:t>
      </w:r>
      <w:r>
        <w:rPr>
          <w:rFonts w:hint="eastAsia" w:cs="Times New Roman"/>
          <w:bCs/>
          <w:color w:val="000000" w:themeColor="text1"/>
          <w:highlight w:val="none"/>
          <w14:textFill>
            <w14:solidFill>
              <w14:schemeClr w14:val="tx1"/>
            </w14:solidFill>
          </w14:textFill>
        </w:rPr>
        <w:t>采出水</w:t>
      </w:r>
      <w:r>
        <w:rPr>
          <w:rFonts w:cs="Times New Roman"/>
          <w:bCs/>
          <w:color w:val="000000" w:themeColor="text1"/>
          <w:highlight w:val="none"/>
          <w14:textFill>
            <w14:solidFill>
              <w14:schemeClr w14:val="tx1"/>
            </w14:solidFill>
          </w14:textFill>
        </w:rPr>
        <w:t>产生量约为</w:t>
      </w:r>
      <w:r>
        <w:rPr>
          <w:rFonts w:hint="eastAsia" w:cs="Times New Roman"/>
          <w:bCs/>
          <w:color w:val="000000" w:themeColor="text1"/>
          <w:highlight w:val="none"/>
          <w14:textFill>
            <w14:solidFill>
              <w14:schemeClr w14:val="tx1"/>
            </w14:solidFill>
          </w14:textFill>
        </w:rPr>
        <w:t>10</w:t>
      </w:r>
      <w:r>
        <w:rPr>
          <w:rFonts w:cs="Times New Roman"/>
          <w:bCs/>
          <w:color w:val="000000" w:themeColor="text1"/>
          <w:highlight w:val="none"/>
          <w14:textFill>
            <w14:solidFill>
              <w14:schemeClr w14:val="tx1"/>
            </w14:solidFill>
          </w14:textFill>
        </w:rPr>
        <w:t>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/d</w:t>
      </w:r>
      <w:r>
        <w:rPr>
          <w:rFonts w:hint="eastAsia" w:cs="Times New Roman"/>
          <w:bCs/>
          <w:color w:val="000000" w:themeColor="text1"/>
          <w:highlight w:val="none"/>
          <w14:textFill>
            <w14:solidFill>
              <w14:schemeClr w14:val="tx1"/>
            </w14:solidFill>
          </w14:textFill>
        </w:rPr>
        <w:t>（初期储层改造期间未返排完全压裂返排液会和采出水一起返排，预计共计约50</w:t>
      </w:r>
      <w:r>
        <w:rPr>
          <w:rFonts w:cs="Times New Roman"/>
          <w:bCs/>
          <w:color w:val="000000" w:themeColor="text1"/>
          <w:highlight w:val="none"/>
          <w14:textFill>
            <w14:solidFill>
              <w14:schemeClr w14:val="tx1"/>
            </w14:solidFill>
          </w14:textFill>
        </w:rPr>
        <w:t>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/d</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试采期大湾408-3井场采出水</w:t>
      </w:r>
      <w:r>
        <w:rPr>
          <w:rFonts w:hint="eastAsia" w:cs="Times New Roman"/>
          <w:bCs/>
          <w:color w:val="000000" w:themeColor="text1"/>
          <w:highlight w:val="none"/>
          <w:lang w:eastAsia="zh-CN"/>
          <w14:textFill>
            <w14:solidFill>
              <w14:schemeClr w14:val="tx1"/>
            </w14:solidFill>
          </w14:textFill>
        </w:rPr>
        <w:t>通过拟建管线外输至大湾408试采站已建临时分酸分离器分离后进入酸液缓冲罐收集暂存</w:t>
      </w:r>
      <w:r>
        <w:rPr>
          <w:rFonts w:hint="eastAsia" w:cs="Times New Roman"/>
          <w:bCs/>
          <w:color w:val="000000" w:themeColor="text1"/>
          <w:highlight w:val="none"/>
          <w14:textFill>
            <w14:solidFill>
              <w14:schemeClr w14:val="tx1"/>
            </w14:solidFill>
          </w14:textFill>
        </w:rPr>
        <w:t>，后</w:t>
      </w:r>
      <w:r>
        <w:rPr>
          <w:rFonts w:hint="eastAsia" w:cs="Times New Roman"/>
          <w:color w:val="000000" w:themeColor="text1"/>
          <w:szCs w:val="24"/>
          <w:highlight w:val="none"/>
          <w14:textFill>
            <w14:solidFill>
              <w14:schemeClr w14:val="tx1"/>
            </w14:solidFill>
          </w14:textFill>
        </w:rPr>
        <w:t>经</w:t>
      </w:r>
      <w:r>
        <w:rPr>
          <w:rFonts w:cs="Times New Roman"/>
          <w:color w:val="000000" w:themeColor="text1"/>
          <w:szCs w:val="24"/>
          <w:highlight w:val="none"/>
          <w14:textFill>
            <w14:solidFill>
              <w14:schemeClr w14:val="tx1"/>
            </w14:solidFill>
          </w14:textFill>
        </w:rPr>
        <w:t>密闭罐车拉运至</w:t>
      </w:r>
      <w:r>
        <w:rPr>
          <w:rFonts w:hint="eastAsia" w:cs="Times New Roman"/>
          <w:color w:val="000000" w:themeColor="text1"/>
          <w:szCs w:val="24"/>
          <w:highlight w:val="none"/>
          <w14:textFill>
            <w14:solidFill>
              <w14:schemeClr w14:val="tx1"/>
            </w14:solidFill>
          </w14:textFill>
        </w:rPr>
        <w:t>赵家坝污水处理站</w:t>
      </w:r>
      <w:r>
        <w:rPr>
          <w:rFonts w:cs="Times New Roman"/>
          <w:color w:val="000000" w:themeColor="text1"/>
          <w:szCs w:val="24"/>
          <w:highlight w:val="none"/>
          <w14:textFill>
            <w14:solidFill>
              <w14:schemeClr w14:val="tx1"/>
            </w14:solidFill>
          </w14:textFill>
        </w:rPr>
        <w:t>达标</w:t>
      </w:r>
      <w:r>
        <w:rPr>
          <w:rFonts w:hint="eastAsia" w:cs="Times New Roman"/>
          <w:color w:val="000000" w:themeColor="text1"/>
          <w:szCs w:val="24"/>
          <w:highlight w:val="none"/>
          <w14:textFill>
            <w14:solidFill>
              <w14:schemeClr w14:val="tx1"/>
            </w14:solidFill>
          </w14:textFill>
        </w:rPr>
        <w:t>（达《采出水回注方法》SY/T 6596-2016中注入水基本要求）</w:t>
      </w:r>
      <w:r>
        <w:rPr>
          <w:rFonts w:cs="Times New Roman"/>
          <w:color w:val="000000" w:themeColor="text1"/>
          <w:szCs w:val="24"/>
          <w:highlight w:val="none"/>
          <w14:textFill>
            <w14:solidFill>
              <w14:schemeClr w14:val="tx1"/>
            </w14:solidFill>
          </w14:textFill>
        </w:rPr>
        <w:t>后管输至</w:t>
      </w:r>
      <w:r>
        <w:rPr>
          <w:rFonts w:hint="eastAsia" w:cs="Times New Roman"/>
          <w:color w:val="000000" w:themeColor="text1"/>
          <w:szCs w:val="24"/>
          <w:highlight w:val="none"/>
          <w14:textFill>
            <w14:solidFill>
              <w14:schemeClr w14:val="tx1"/>
            </w14:solidFill>
          </w14:textFill>
        </w:rPr>
        <w:t>普光3井回注站</w:t>
      </w:r>
      <w:r>
        <w:rPr>
          <w:rFonts w:cs="Times New Roman"/>
          <w:color w:val="000000" w:themeColor="text1"/>
          <w:szCs w:val="24"/>
          <w:highlight w:val="none"/>
          <w14:textFill>
            <w14:solidFill>
              <w14:schemeClr w14:val="tx1"/>
            </w14:solidFill>
          </w14:textFill>
        </w:rPr>
        <w:t>回注</w:t>
      </w:r>
      <w:r>
        <w:rPr>
          <w:rFonts w:hint="eastAsia"/>
          <w:color w:val="000000" w:themeColor="text1"/>
          <w:highlight w:val="none"/>
          <w14:textFill>
            <w14:solidFill>
              <w14:schemeClr w14:val="tx1"/>
            </w14:solidFill>
          </w14:textFill>
        </w:rPr>
        <w:t>处理，均</w:t>
      </w:r>
      <w:r>
        <w:rPr>
          <w:rFonts w:cs="Times New Roman"/>
          <w:color w:val="000000" w:themeColor="text1"/>
          <w:szCs w:val="24"/>
          <w:highlight w:val="none"/>
          <w14:textFill>
            <w14:solidFill>
              <w14:schemeClr w14:val="tx1"/>
            </w14:solidFill>
          </w14:textFill>
        </w:rPr>
        <w:t>不外排</w:t>
      </w:r>
      <w:r>
        <w:rPr>
          <w:rFonts w:hint="eastAsia" w:cs="Times New Roman"/>
          <w:bCs/>
          <w:color w:val="000000" w:themeColor="text1"/>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现场无废水外排，对地表水体影响较小。且随着采气试采，废水产生量将更小，水质简单，去向明确，本项目依托配套的环保设施处理能力满足本项目需求，该收集处理工艺在川东北气田开发区块已运行多年，效果稳定可靠，未发生过处理不佳导致环境污染的事故发生。因此，本项目试采期</w:t>
      </w:r>
      <w:r>
        <w:rPr>
          <w:rFonts w:hint="eastAsia" w:cs="Times New Roman"/>
          <w:bCs/>
          <w:color w:val="000000" w:themeColor="text1"/>
          <w:szCs w:val="24"/>
          <w:highlight w:val="none"/>
          <w14:textFill>
            <w14:solidFill>
              <w14:schemeClr w14:val="tx1"/>
            </w14:solidFill>
          </w14:textFill>
        </w:rPr>
        <w:t>采出水</w:t>
      </w:r>
      <w:r>
        <w:rPr>
          <w:rFonts w:cs="Times New Roman"/>
          <w:bCs/>
          <w:color w:val="000000" w:themeColor="text1"/>
          <w:szCs w:val="24"/>
          <w:highlight w:val="none"/>
          <w14:textFill>
            <w14:solidFill>
              <w14:schemeClr w14:val="tx1"/>
            </w14:solidFill>
          </w14:textFill>
        </w:rPr>
        <w:t>不会对地表水环境造成不良影响。</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（2）非正常工况井下作业废水</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在</w:t>
      </w:r>
      <w:r>
        <w:rPr>
          <w:rFonts w:cs="Times New Roman"/>
          <w:bCs/>
          <w:color w:val="000000" w:themeColor="text1"/>
          <w:highlight w:val="none"/>
          <w14:textFill>
            <w14:solidFill>
              <w14:schemeClr w14:val="tx1"/>
            </w14:solidFill>
          </w14:textFill>
        </w:rPr>
        <w:t>试采期</w:t>
      </w:r>
      <w:r>
        <w:rPr>
          <w:rFonts w:hint="eastAsia" w:cs="Times New Roman"/>
          <w:bCs/>
          <w:color w:val="000000" w:themeColor="text1"/>
          <w:highlight w:val="none"/>
          <w14:textFill>
            <w14:solidFill>
              <w14:schemeClr w14:val="tx1"/>
            </w14:solidFill>
          </w14:textFill>
        </w:rPr>
        <w:t>间</w:t>
      </w:r>
      <w:r>
        <w:rPr>
          <w:rFonts w:cs="Times New Roman"/>
          <w:bCs/>
          <w:color w:val="000000" w:themeColor="text1"/>
          <w:highlight w:val="none"/>
          <w14:textFill>
            <w14:solidFill>
              <w14:schemeClr w14:val="tx1"/>
            </w14:solidFill>
          </w14:textFill>
        </w:rPr>
        <w:t>，当地层堵塞时，为提高地层渗透率，需进行压裂酸化等作业，属于试采期非正常工况。根据类比调查，作业频次为1次/a，单井排放量为50m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/a，将废水用密闭罐车拉运至</w:t>
      </w:r>
      <w:r>
        <w:rPr>
          <w:rFonts w:hint="eastAsia" w:cs="Times New Roman"/>
          <w:bCs/>
          <w:color w:val="000000" w:themeColor="text1"/>
          <w:highlight w:val="none"/>
          <w14:textFill>
            <w14:solidFill>
              <w14:schemeClr w14:val="tx1"/>
            </w14:solidFill>
          </w14:textFill>
        </w:rPr>
        <w:t>赵家坝污水处理站</w:t>
      </w:r>
      <w:r>
        <w:rPr>
          <w:rFonts w:cs="Times New Roman"/>
          <w:bCs/>
          <w:color w:val="000000" w:themeColor="text1"/>
          <w:highlight w:val="none"/>
          <w14:textFill>
            <w14:solidFill>
              <w14:schemeClr w14:val="tx1"/>
            </w14:solidFill>
          </w14:textFill>
        </w:rPr>
        <w:t>处理达</w:t>
      </w:r>
      <w:r>
        <w:rPr>
          <w:rFonts w:hint="eastAsia" w:cs="Times New Roman"/>
          <w:bCs/>
          <w:color w:val="000000" w:themeColor="text1"/>
          <w:highlight w:val="none"/>
          <w14:textFill>
            <w14:solidFill>
              <w14:schemeClr w14:val="tx1"/>
            </w14:solidFill>
          </w14:textFill>
        </w:rPr>
        <w:t>《采出水回注方法》（SY/T 6596-2016）中注入水基本要求</w:t>
      </w:r>
      <w:r>
        <w:rPr>
          <w:rFonts w:cs="Times New Roman"/>
          <w:bCs/>
          <w:color w:val="000000" w:themeColor="text1"/>
          <w:highlight w:val="none"/>
          <w14:textFill>
            <w14:solidFill>
              <w14:schemeClr w14:val="tx1"/>
            </w14:solidFill>
          </w14:textFill>
        </w:rPr>
        <w:t>后经</w:t>
      </w:r>
      <w:r>
        <w:rPr>
          <w:rFonts w:hint="eastAsia" w:cs="Times New Roman"/>
          <w:bCs/>
          <w:color w:val="000000" w:themeColor="text1"/>
          <w:highlight w:val="none"/>
          <w14:textFill>
            <w14:solidFill>
              <w14:schemeClr w14:val="tx1"/>
            </w14:solidFill>
          </w14:textFill>
        </w:rPr>
        <w:t>普光3井回注站</w:t>
      </w:r>
      <w:r>
        <w:rPr>
          <w:rFonts w:cs="Times New Roman"/>
          <w:bCs/>
          <w:color w:val="000000" w:themeColor="text1"/>
          <w:highlight w:val="none"/>
          <w14:textFill>
            <w14:solidFill>
              <w14:schemeClr w14:val="tx1"/>
            </w14:solidFill>
          </w14:textFill>
        </w:rPr>
        <w:t>回注</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不外排，</w:t>
      </w:r>
      <w:r>
        <w:rPr>
          <w:rFonts w:cs="Times New Roman"/>
          <w:bCs/>
          <w:color w:val="000000" w:themeColor="text1"/>
          <w:szCs w:val="24"/>
          <w:highlight w:val="none"/>
          <w14:textFill>
            <w14:solidFill>
              <w14:schemeClr w14:val="tx1"/>
            </w14:solidFill>
          </w14:textFill>
        </w:rPr>
        <w:t>对地表水体影响较小</w:t>
      </w:r>
      <w:r>
        <w:rPr>
          <w:rFonts w:cs="Times New Roman"/>
          <w:bCs/>
          <w:color w:val="000000" w:themeColor="text1"/>
          <w:highlight w:val="none"/>
          <w14:textFill>
            <w14:solidFill>
              <w14:schemeClr w14:val="tx1"/>
            </w14:solidFill>
          </w14:textFill>
        </w:rPr>
        <w:t>。</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（3）生活污水影响分析</w:t>
      </w:r>
    </w:p>
    <w:p>
      <w:pPr>
        <w:ind w:firstLine="480"/>
        <w:rPr>
          <w:rFonts w:cs="Times New Roman"/>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本项目</w:t>
      </w:r>
      <w:r>
        <w:rPr>
          <w:rFonts w:hint="eastAsia"/>
          <w:bCs/>
          <w:color w:val="000000" w:themeColor="text1"/>
          <w:szCs w:val="24"/>
          <w:highlight w:val="none"/>
          <w14:textFill>
            <w14:solidFill>
              <w14:schemeClr w14:val="tx1"/>
            </w14:solidFill>
          </w14:textFill>
        </w:rPr>
        <w:t>不新增值守人员</w:t>
      </w:r>
      <w:r>
        <w:rPr>
          <w:bCs/>
          <w:color w:val="000000" w:themeColor="text1"/>
          <w:szCs w:val="24"/>
          <w:highlight w:val="none"/>
          <w14:textFill>
            <w14:solidFill>
              <w14:schemeClr w14:val="tx1"/>
            </w14:solidFill>
          </w14:textFill>
        </w:rPr>
        <w:t>，无</w:t>
      </w:r>
      <w:r>
        <w:rPr>
          <w:rFonts w:hint="eastAsia"/>
          <w:bCs/>
          <w:color w:val="000000" w:themeColor="text1"/>
          <w:szCs w:val="24"/>
          <w:highlight w:val="none"/>
          <w14:textFill>
            <w14:solidFill>
              <w14:schemeClr w14:val="tx1"/>
            </w14:solidFill>
          </w14:textFill>
        </w:rPr>
        <w:t>新增</w:t>
      </w:r>
      <w:r>
        <w:rPr>
          <w:bCs/>
          <w:color w:val="000000" w:themeColor="text1"/>
          <w:szCs w:val="24"/>
          <w:highlight w:val="none"/>
          <w14:textFill>
            <w14:solidFill>
              <w14:schemeClr w14:val="tx1"/>
            </w14:solidFill>
          </w14:textFill>
        </w:rPr>
        <w:t>生活污水产生</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综上所述，在严格落实各项污染防治措施的前提下，本项目试采期对周围地表水环境影响较小。</w:t>
      </w:r>
    </w:p>
    <w:p>
      <w:pPr>
        <w:pStyle w:val="4"/>
        <w:spacing w:before="0" w:beforeLines="0"/>
        <w:ind w:firstLine="480"/>
        <w:rPr>
          <w:color w:val="000000" w:themeColor="text1"/>
          <w:highlight w:val="none"/>
          <w14:textFill>
            <w14:solidFill>
              <w14:schemeClr w14:val="tx1"/>
            </w14:solidFill>
          </w14:textFill>
        </w:rPr>
      </w:pPr>
      <w:bookmarkStart w:id="291" w:name="_Toc120173158"/>
      <w:r>
        <w:rPr>
          <w:color w:val="000000" w:themeColor="text1"/>
          <w:highlight w:val="none"/>
          <w14:textFill>
            <w14:solidFill>
              <w14:schemeClr w14:val="tx1"/>
            </w14:solidFill>
          </w14:textFill>
        </w:rPr>
        <w:t>声环境影响分析</w:t>
      </w:r>
      <w:bookmarkEnd w:id="291"/>
    </w:p>
    <w:p>
      <w:pPr>
        <w:ind w:firstLine="480"/>
        <w:rPr>
          <w:rFonts w:cs="Times New Roman"/>
          <w:bCs/>
          <w:color w:val="000000" w:themeColor="text1"/>
          <w:szCs w:val="24"/>
          <w:highlight w:val="none"/>
          <w14:textFill>
            <w14:solidFill>
              <w14:schemeClr w14:val="tx1"/>
            </w14:solidFill>
          </w14:textFill>
        </w:rPr>
      </w:pPr>
      <w:bookmarkStart w:id="292" w:name="_Toc120173159"/>
      <w:r>
        <w:rPr>
          <w:rFonts w:cs="Times New Roman"/>
          <w:bCs/>
          <w:color w:val="000000" w:themeColor="text1"/>
          <w:szCs w:val="24"/>
          <w:highlight w:val="none"/>
          <w14:textFill>
            <w14:solidFill>
              <w14:schemeClr w14:val="tx1"/>
            </w14:solidFill>
          </w14:textFill>
        </w:rPr>
        <w:t>本项目运营期主要依托</w:t>
      </w:r>
      <w:r>
        <w:rPr>
          <w:rFonts w:hint="eastAsia" w:cs="Times New Roman"/>
          <w:bCs/>
          <w:color w:val="000000" w:themeColor="text1"/>
          <w:szCs w:val="24"/>
          <w:highlight w:val="none"/>
          <w14:textFill>
            <w14:solidFill>
              <w14:schemeClr w14:val="tx1"/>
            </w14:solidFill>
          </w14:textFill>
        </w:rPr>
        <w:t>大湾</w:t>
      </w:r>
      <w:r>
        <w:rPr>
          <w:rFonts w:hint="eastAsia" w:cs="Times New Roman"/>
          <w:bCs/>
          <w:color w:val="000000" w:themeColor="text1"/>
          <w:szCs w:val="24"/>
          <w:highlight w:val="none"/>
          <w:lang w:eastAsia="zh-CN"/>
          <w14:textFill>
            <w14:solidFill>
              <w14:schemeClr w14:val="tx1"/>
            </w14:solidFill>
          </w14:textFill>
        </w:rPr>
        <w:t>408试采站</w:t>
      </w:r>
      <w:r>
        <w:rPr>
          <w:rFonts w:cs="Times New Roman"/>
          <w:bCs/>
          <w:color w:val="000000" w:themeColor="text1"/>
          <w:szCs w:val="24"/>
          <w:highlight w:val="none"/>
          <w14:textFill>
            <w14:solidFill>
              <w14:schemeClr w14:val="tx1"/>
            </w14:solidFill>
          </w14:textFill>
        </w:rPr>
        <w:t>进行试采生产，拟建井场内主要生产设备为采气树、水套加热炉及超声波流量计等。因此试采期</w:t>
      </w:r>
      <w:r>
        <w:rPr>
          <w:rFonts w:hint="eastAsia" w:cs="Times New Roman"/>
          <w:bCs/>
          <w:color w:val="000000" w:themeColor="text1"/>
          <w:szCs w:val="24"/>
          <w:highlight w:val="none"/>
          <w14:textFill>
            <w14:solidFill>
              <w14:schemeClr w14:val="tx1"/>
            </w14:solidFill>
          </w14:textFill>
        </w:rPr>
        <w:t>大湾</w:t>
      </w:r>
      <w:r>
        <w:rPr>
          <w:rFonts w:hint="eastAsia" w:cs="Times New Roman"/>
          <w:bCs/>
          <w:color w:val="000000" w:themeColor="text1"/>
          <w:szCs w:val="24"/>
          <w:highlight w:val="none"/>
          <w:lang w:eastAsia="zh-CN"/>
          <w14:textFill>
            <w14:solidFill>
              <w14:schemeClr w14:val="tx1"/>
            </w14:solidFill>
          </w14:textFill>
        </w:rPr>
        <w:t>408试采站</w:t>
      </w:r>
      <w:r>
        <w:rPr>
          <w:rFonts w:cs="Times New Roman"/>
          <w:bCs/>
          <w:color w:val="000000" w:themeColor="text1"/>
          <w:szCs w:val="24"/>
          <w:highlight w:val="none"/>
          <w14:textFill>
            <w14:solidFill>
              <w14:schemeClr w14:val="tx1"/>
            </w14:solidFill>
          </w14:textFill>
        </w:rPr>
        <w:t>厂界噪声与对敏感目标（厂界</w:t>
      </w:r>
      <w:r>
        <w:rPr>
          <w:rFonts w:hint="eastAsia" w:cs="Times New Roman"/>
          <w:bCs/>
          <w:color w:val="000000" w:themeColor="text1"/>
          <w:szCs w:val="24"/>
          <w:highlight w:val="none"/>
          <w14:textFill>
            <w14:solidFill>
              <w14:schemeClr w14:val="tx1"/>
            </w14:solidFill>
          </w14:textFill>
        </w:rPr>
        <w:t>3</w:t>
      </w:r>
      <w:r>
        <w:rPr>
          <w:rFonts w:cs="Times New Roman"/>
          <w:bCs/>
          <w:color w:val="000000" w:themeColor="text1"/>
          <w:szCs w:val="24"/>
          <w:highlight w:val="none"/>
          <w14:textFill>
            <w14:solidFill>
              <w14:schemeClr w14:val="tx1"/>
            </w14:solidFill>
          </w14:textFill>
        </w:rPr>
        <w:t>00m范围内无居民分布）的影响基本无变化，</w:t>
      </w:r>
      <w:r>
        <w:rPr>
          <w:rFonts w:hint="eastAsia" w:cs="Times New Roman"/>
          <w:bCs/>
          <w:color w:val="000000" w:themeColor="text1"/>
          <w:szCs w:val="24"/>
          <w:highlight w:val="none"/>
          <w14:textFill>
            <w14:solidFill>
              <w14:schemeClr w14:val="tx1"/>
            </w14:solidFill>
          </w14:textFill>
        </w:rPr>
        <w:t>对周边居民影响较小</w:t>
      </w:r>
      <w:r>
        <w:rPr>
          <w:rFonts w:cs="Times New Roman"/>
          <w:bCs/>
          <w:color w:val="000000" w:themeColor="text1"/>
          <w:szCs w:val="24"/>
          <w:highlight w:val="none"/>
          <w14:textFill>
            <w14:solidFill>
              <w14:schemeClr w14:val="tx1"/>
            </w14:solidFill>
          </w14:textFill>
        </w:rPr>
        <w: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本项目试采期非正常情况下，本项目</w:t>
      </w:r>
      <w:r>
        <w:rPr>
          <w:rFonts w:hint="eastAsia" w:cs="Times New Roman"/>
          <w:bCs/>
          <w:color w:val="000000" w:themeColor="text1"/>
          <w:szCs w:val="24"/>
          <w:highlight w:val="none"/>
          <w14:textFill>
            <w14:solidFill>
              <w14:schemeClr w14:val="tx1"/>
            </w14:solidFill>
          </w14:textFill>
        </w:rPr>
        <w:t>将</w:t>
      </w:r>
      <w:r>
        <w:rPr>
          <w:rFonts w:cs="Times New Roman"/>
          <w:bCs/>
          <w:color w:val="000000" w:themeColor="text1"/>
          <w:szCs w:val="24"/>
          <w:highlight w:val="none"/>
          <w14:textFill>
            <w14:solidFill>
              <w14:schemeClr w14:val="tx1"/>
            </w14:solidFill>
          </w14:textFill>
        </w:rPr>
        <w:t>产生放空火炬燃烧噪声，放空噪声在90~105dB（A）之间，影响范围约300m左右，放空火炬周边300m范围内</w:t>
      </w:r>
      <w:r>
        <w:rPr>
          <w:rFonts w:hint="eastAsia" w:cs="Times New Roman"/>
          <w:bCs/>
          <w:color w:val="000000" w:themeColor="text1"/>
          <w:szCs w:val="24"/>
          <w:highlight w:val="none"/>
          <w14:textFill>
            <w14:solidFill>
              <w14:schemeClr w14:val="tx1"/>
            </w14:solidFill>
          </w14:textFill>
        </w:rPr>
        <w:t>无</w:t>
      </w:r>
      <w:r>
        <w:rPr>
          <w:rFonts w:cs="Times New Roman"/>
          <w:bCs/>
          <w:color w:val="000000" w:themeColor="text1"/>
          <w:szCs w:val="24"/>
          <w:highlight w:val="none"/>
          <w14:textFill>
            <w14:solidFill>
              <w14:schemeClr w14:val="tx1"/>
            </w14:solidFill>
          </w14:textFill>
        </w:rPr>
        <w:t>居民分布</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由于放空噪声属于偶发噪声，发生频率低、时间短，对周围的环境影响是短暂的，因此非正常情况下自动放空的噪声对区域声环境和敏感目标的影响是可接受的。</w:t>
      </w:r>
    </w:p>
    <w:p>
      <w:pPr>
        <w:ind w:firstLine="482"/>
        <w:rPr>
          <w:b/>
          <w:color w:val="000000" w:themeColor="text1"/>
          <w:szCs w:val="24"/>
          <w:highlight w:val="none"/>
          <w14:textFill>
            <w14:solidFill>
              <w14:schemeClr w14:val="tx1"/>
            </w14:solidFill>
          </w14:textFill>
        </w:rPr>
      </w:pPr>
      <w:r>
        <w:rPr>
          <w:b/>
          <w:color w:val="000000" w:themeColor="text1"/>
          <w:szCs w:val="24"/>
          <w:highlight w:val="none"/>
          <w14:textFill>
            <w14:solidFill>
              <w14:schemeClr w14:val="tx1"/>
            </w14:solidFill>
          </w14:textFill>
        </w:rPr>
        <w:t>（2）事故和检修放空噪声影响分析</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在事故和检修放空时，产生的放空噪声等级约为80dB（A），评价预测放空噪声在距声源不同距离的影响值见</w:t>
      </w:r>
      <w:r>
        <w:rPr>
          <w:rFonts w:hint="eastAsia"/>
          <w:bCs/>
          <w:color w:val="000000" w:themeColor="text1"/>
          <w:szCs w:val="24"/>
          <w:highlight w:val="none"/>
          <w14:textFill>
            <w14:solidFill>
              <w14:schemeClr w14:val="tx1"/>
            </w14:solidFill>
          </w14:textFill>
        </w:rPr>
        <w:t>下表</w:t>
      </w:r>
      <w:r>
        <w:rPr>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放空噪声预测结果  单位：dB（A）</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38"/>
        <w:gridCol w:w="739"/>
        <w:gridCol w:w="1013"/>
        <w:gridCol w:w="739"/>
        <w:gridCol w:w="1013"/>
        <w:gridCol w:w="739"/>
        <w:gridCol w:w="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vAlign w:val="center"/>
          </w:tcPr>
          <w:p>
            <w:pPr>
              <w:pStyle w:val="264"/>
              <w:rPr>
                <w:rFonts w:eastAsia="宋体" w:cs="Times New Roman"/>
                <w:color w:val="000000" w:themeColor="text1"/>
                <w:highlight w:val="none"/>
                <w14:textFill>
                  <w14:solidFill>
                    <w14:schemeClr w14:val="tx1"/>
                  </w14:solidFill>
                </w14:textFill>
              </w:rPr>
            </w:pPr>
            <w:r>
              <w:rPr>
                <w:rFonts w:eastAsia="宋体" w:cs="Times New Roman"/>
                <w:color w:val="000000" w:themeColor="text1"/>
                <w:highlight w:val="none"/>
                <w14:textFill>
                  <w14:solidFill>
                    <w14:schemeClr w14:val="tx1"/>
                  </w14:solidFill>
                </w14:textFill>
              </w:rPr>
              <w:t>与声源距离（m）</w:t>
            </w:r>
          </w:p>
        </w:tc>
        <w:tc>
          <w:tcPr>
            <w:tcW w:w="0" w:type="auto"/>
            <w:tcBorders>
              <w:top w:val="single" w:color="auto" w:sz="4" w:space="0"/>
              <w:left w:val="single" w:color="auto" w:sz="4" w:space="0"/>
              <w:bottom w:val="single" w:color="auto" w:sz="4" w:space="0"/>
              <w:right w:val="single" w:color="auto" w:sz="4" w:space="0"/>
            </w:tcBorders>
            <w:vAlign w:val="center"/>
          </w:tcPr>
          <w:p>
            <w:pPr>
              <w:pStyle w:val="264"/>
              <w:rPr>
                <w:rFonts w:eastAsia="宋体" w:cs="Times New Roman"/>
                <w:color w:val="000000" w:themeColor="text1"/>
                <w:highlight w:val="none"/>
                <w14:textFill>
                  <w14:solidFill>
                    <w14:schemeClr w14:val="tx1"/>
                  </w14:solidFill>
                </w14:textFill>
              </w:rPr>
            </w:pPr>
            <w:r>
              <w:rPr>
                <w:rFonts w:eastAsia="宋体" w:cs="Times New Roman"/>
                <w:color w:val="000000" w:themeColor="text1"/>
                <w:highlight w:val="none"/>
                <w14:textFill>
                  <w14:solidFill>
                    <w14:schemeClr w14:val="tx1"/>
                  </w14:solidFill>
                </w14:textFill>
              </w:rPr>
              <w:t>10</w:t>
            </w:r>
          </w:p>
        </w:tc>
        <w:tc>
          <w:tcPr>
            <w:tcW w:w="0" w:type="auto"/>
            <w:tcBorders>
              <w:top w:val="single" w:color="auto" w:sz="4" w:space="0"/>
              <w:left w:val="single" w:color="auto" w:sz="4" w:space="0"/>
              <w:bottom w:val="single" w:color="auto" w:sz="4" w:space="0"/>
              <w:right w:val="single" w:color="auto" w:sz="4" w:space="0"/>
            </w:tcBorders>
            <w:vAlign w:val="center"/>
          </w:tcPr>
          <w:p>
            <w:pPr>
              <w:pStyle w:val="264"/>
              <w:rPr>
                <w:rFonts w:eastAsia="宋体" w:cs="Times New Roman"/>
                <w:color w:val="000000" w:themeColor="text1"/>
                <w:highlight w:val="none"/>
                <w14:textFill>
                  <w14:solidFill>
                    <w14:schemeClr w14:val="tx1"/>
                  </w14:solidFill>
                </w14:textFill>
              </w:rPr>
            </w:pPr>
            <w:r>
              <w:rPr>
                <w:rFonts w:eastAsia="宋体" w:cs="Times New Roman"/>
                <w:color w:val="000000" w:themeColor="text1"/>
                <w:highlight w:val="none"/>
                <w14:textFill>
                  <w14:solidFill>
                    <w14:schemeClr w14:val="tx1"/>
                  </w14:solidFill>
                </w14:textFill>
              </w:rPr>
              <w:t>15</w:t>
            </w:r>
          </w:p>
        </w:tc>
        <w:tc>
          <w:tcPr>
            <w:tcW w:w="0" w:type="auto"/>
            <w:tcBorders>
              <w:top w:val="single" w:color="auto" w:sz="4" w:space="0"/>
              <w:left w:val="single" w:color="auto" w:sz="4" w:space="0"/>
              <w:bottom w:val="single" w:color="auto" w:sz="4" w:space="0"/>
              <w:right w:val="single" w:color="auto" w:sz="4" w:space="0"/>
            </w:tcBorders>
            <w:vAlign w:val="center"/>
          </w:tcPr>
          <w:p>
            <w:pPr>
              <w:pStyle w:val="264"/>
              <w:rPr>
                <w:rFonts w:eastAsia="宋体" w:cs="Times New Roman"/>
                <w:color w:val="000000" w:themeColor="text1"/>
                <w:highlight w:val="none"/>
                <w14:textFill>
                  <w14:solidFill>
                    <w14:schemeClr w14:val="tx1"/>
                  </w14:solidFill>
                </w14:textFill>
              </w:rPr>
            </w:pPr>
            <w:r>
              <w:rPr>
                <w:rFonts w:eastAsia="宋体" w:cs="Times New Roman"/>
                <w:color w:val="000000" w:themeColor="text1"/>
                <w:highlight w:val="none"/>
                <w14:textFill>
                  <w14:solidFill>
                    <w14:schemeClr w14:val="tx1"/>
                  </w14:solidFill>
                </w14:textFill>
              </w:rPr>
              <w:t>20</w:t>
            </w:r>
          </w:p>
        </w:tc>
        <w:tc>
          <w:tcPr>
            <w:tcW w:w="0" w:type="auto"/>
            <w:tcBorders>
              <w:top w:val="single" w:color="auto" w:sz="4" w:space="0"/>
              <w:left w:val="single" w:color="auto" w:sz="4" w:space="0"/>
              <w:bottom w:val="single" w:color="auto" w:sz="4" w:space="0"/>
              <w:right w:val="single" w:color="auto" w:sz="4" w:space="0"/>
            </w:tcBorders>
            <w:vAlign w:val="center"/>
          </w:tcPr>
          <w:p>
            <w:pPr>
              <w:pStyle w:val="264"/>
              <w:rPr>
                <w:rFonts w:eastAsia="宋体" w:cs="Times New Roman"/>
                <w:color w:val="000000" w:themeColor="text1"/>
                <w:highlight w:val="none"/>
                <w14:textFill>
                  <w14:solidFill>
                    <w14:schemeClr w14:val="tx1"/>
                  </w14:solidFill>
                </w14:textFill>
              </w:rPr>
            </w:pPr>
            <w:r>
              <w:rPr>
                <w:rFonts w:eastAsia="宋体" w:cs="Times New Roman"/>
                <w:color w:val="000000" w:themeColor="text1"/>
                <w:highlight w:val="none"/>
                <w14:textFill>
                  <w14:solidFill>
                    <w14:schemeClr w14:val="tx1"/>
                  </w14:solidFill>
                </w14:textFill>
              </w:rPr>
              <w:t>30</w:t>
            </w:r>
          </w:p>
        </w:tc>
        <w:tc>
          <w:tcPr>
            <w:tcW w:w="0" w:type="auto"/>
            <w:tcBorders>
              <w:top w:val="single" w:color="auto" w:sz="4" w:space="0"/>
              <w:left w:val="single" w:color="auto" w:sz="4" w:space="0"/>
              <w:bottom w:val="single" w:color="auto" w:sz="4" w:space="0"/>
              <w:right w:val="single" w:color="auto" w:sz="4" w:space="0"/>
            </w:tcBorders>
            <w:vAlign w:val="center"/>
          </w:tcPr>
          <w:p>
            <w:pPr>
              <w:pStyle w:val="264"/>
              <w:rPr>
                <w:rFonts w:eastAsia="宋体" w:cs="Times New Roman"/>
                <w:color w:val="000000" w:themeColor="text1"/>
                <w:highlight w:val="none"/>
                <w14:textFill>
                  <w14:solidFill>
                    <w14:schemeClr w14:val="tx1"/>
                  </w14:solidFill>
                </w14:textFill>
              </w:rPr>
            </w:pPr>
            <w:r>
              <w:rPr>
                <w:rFonts w:eastAsia="宋体" w:cs="Times New Roman"/>
                <w:color w:val="000000" w:themeColor="text1"/>
                <w:highlight w:val="none"/>
                <w14:textFill>
                  <w14:solidFill>
                    <w14:schemeClr w14:val="tx1"/>
                  </w14:solidFill>
                </w14:textFill>
              </w:rPr>
              <w:t>40</w:t>
            </w:r>
          </w:p>
        </w:tc>
        <w:tc>
          <w:tcPr>
            <w:tcW w:w="0" w:type="auto"/>
            <w:tcBorders>
              <w:top w:val="single" w:color="auto" w:sz="4" w:space="0"/>
              <w:left w:val="single" w:color="auto" w:sz="4" w:space="0"/>
              <w:bottom w:val="single" w:color="auto" w:sz="4" w:space="0"/>
              <w:right w:val="single" w:color="auto" w:sz="4" w:space="0"/>
            </w:tcBorders>
            <w:vAlign w:val="center"/>
          </w:tcPr>
          <w:p>
            <w:pPr>
              <w:pStyle w:val="264"/>
              <w:rPr>
                <w:rFonts w:eastAsia="宋体" w:cs="Times New Roman"/>
                <w:color w:val="000000" w:themeColor="text1"/>
                <w:highlight w:val="none"/>
                <w14:textFill>
                  <w14:solidFill>
                    <w14:schemeClr w14:val="tx1"/>
                  </w14:solidFill>
                </w14:textFill>
              </w:rPr>
            </w:pPr>
            <w:r>
              <w:rPr>
                <w:rFonts w:eastAsia="宋体" w:cs="Times New Roman"/>
                <w:color w:val="000000" w:themeColor="text1"/>
                <w:highlight w:val="non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vAlign w:val="center"/>
          </w:tcPr>
          <w:p>
            <w:pPr>
              <w:pStyle w:val="255"/>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预测值（dBA）</w:t>
            </w:r>
          </w:p>
        </w:tc>
        <w:tc>
          <w:tcPr>
            <w:tcW w:w="0" w:type="auto"/>
            <w:tcBorders>
              <w:top w:val="single" w:color="auto" w:sz="4" w:space="0"/>
              <w:left w:val="single" w:color="auto" w:sz="4" w:space="0"/>
              <w:bottom w:val="single" w:color="auto" w:sz="4" w:space="0"/>
              <w:right w:val="single" w:color="auto" w:sz="4" w:space="0"/>
            </w:tcBorders>
            <w:vAlign w:val="center"/>
          </w:tcPr>
          <w:p>
            <w:pPr>
              <w:pStyle w:val="255"/>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60</w:t>
            </w:r>
          </w:p>
        </w:tc>
        <w:tc>
          <w:tcPr>
            <w:tcW w:w="0" w:type="auto"/>
            <w:tcBorders>
              <w:top w:val="single" w:color="auto" w:sz="4" w:space="0"/>
              <w:left w:val="single" w:color="auto" w:sz="4" w:space="0"/>
              <w:bottom w:val="single" w:color="auto" w:sz="4" w:space="0"/>
              <w:right w:val="single" w:color="auto" w:sz="4" w:space="0"/>
            </w:tcBorders>
            <w:vAlign w:val="center"/>
          </w:tcPr>
          <w:p>
            <w:pPr>
              <w:pStyle w:val="255"/>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56.5</w:t>
            </w:r>
          </w:p>
        </w:tc>
        <w:tc>
          <w:tcPr>
            <w:tcW w:w="0" w:type="auto"/>
            <w:tcBorders>
              <w:top w:val="single" w:color="auto" w:sz="4" w:space="0"/>
              <w:left w:val="single" w:color="auto" w:sz="4" w:space="0"/>
              <w:bottom w:val="single" w:color="auto" w:sz="4" w:space="0"/>
              <w:right w:val="single" w:color="auto" w:sz="4" w:space="0"/>
            </w:tcBorders>
            <w:vAlign w:val="center"/>
          </w:tcPr>
          <w:p>
            <w:pPr>
              <w:pStyle w:val="255"/>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54</w:t>
            </w:r>
          </w:p>
        </w:tc>
        <w:tc>
          <w:tcPr>
            <w:tcW w:w="0" w:type="auto"/>
            <w:tcBorders>
              <w:top w:val="single" w:color="auto" w:sz="4" w:space="0"/>
              <w:left w:val="single" w:color="auto" w:sz="4" w:space="0"/>
              <w:bottom w:val="single" w:color="auto" w:sz="4" w:space="0"/>
              <w:right w:val="single" w:color="auto" w:sz="4" w:space="0"/>
            </w:tcBorders>
            <w:vAlign w:val="center"/>
          </w:tcPr>
          <w:p>
            <w:pPr>
              <w:pStyle w:val="255"/>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50.5</w:t>
            </w:r>
          </w:p>
        </w:tc>
        <w:tc>
          <w:tcPr>
            <w:tcW w:w="0" w:type="auto"/>
            <w:tcBorders>
              <w:top w:val="single" w:color="auto" w:sz="4" w:space="0"/>
              <w:left w:val="single" w:color="auto" w:sz="4" w:space="0"/>
              <w:bottom w:val="single" w:color="auto" w:sz="4" w:space="0"/>
              <w:right w:val="single" w:color="auto" w:sz="4" w:space="0"/>
            </w:tcBorders>
            <w:vAlign w:val="center"/>
          </w:tcPr>
          <w:p>
            <w:pPr>
              <w:pStyle w:val="255"/>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48</w:t>
            </w:r>
          </w:p>
        </w:tc>
        <w:tc>
          <w:tcPr>
            <w:tcW w:w="0" w:type="auto"/>
            <w:tcBorders>
              <w:top w:val="single" w:color="auto" w:sz="4" w:space="0"/>
              <w:left w:val="single" w:color="auto" w:sz="4" w:space="0"/>
              <w:bottom w:val="single" w:color="auto" w:sz="4" w:space="0"/>
              <w:right w:val="single" w:color="auto" w:sz="4" w:space="0"/>
            </w:tcBorders>
            <w:vAlign w:val="center"/>
          </w:tcPr>
          <w:p>
            <w:pPr>
              <w:pStyle w:val="255"/>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46</w:t>
            </w:r>
          </w:p>
        </w:tc>
      </w:tr>
    </w:tbl>
    <w:p>
      <w:pPr>
        <w:spacing w:before="120" w:beforeLines="50"/>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由</w:t>
      </w:r>
      <w:r>
        <w:rPr>
          <w:rFonts w:hint="eastAsia"/>
          <w:bCs/>
          <w:color w:val="000000" w:themeColor="text1"/>
          <w:highlight w:val="none"/>
          <w14:textFill>
            <w14:solidFill>
              <w14:schemeClr w14:val="tx1"/>
            </w14:solidFill>
          </w14:textFill>
        </w:rPr>
        <w:t>上表</w:t>
      </w:r>
      <w:r>
        <w:rPr>
          <w:bCs/>
          <w:color w:val="000000" w:themeColor="text1"/>
          <w:highlight w:val="none"/>
          <w14:textFill>
            <w14:solidFill>
              <w14:schemeClr w14:val="tx1"/>
            </w14:solidFill>
          </w14:textFill>
        </w:rPr>
        <w:t>可知，距离放空管10m外的昼间噪声便可达标，约在32m处夜间噪声便可达标。事故和检修放空属偶发工况，对外环境及周边居民影响小。</w:t>
      </w:r>
    </w:p>
    <w:p>
      <w:pPr>
        <w:pStyle w:val="4"/>
        <w:spacing w:before="0" w:beforeLines="0"/>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w:t>
      </w:r>
      <w:r>
        <w:rPr>
          <w:rFonts w:hint="eastAsia"/>
          <w:color w:val="000000" w:themeColor="text1"/>
          <w:highlight w:val="none"/>
          <w:lang w:eastAsia="zh-CN"/>
          <w14:textFill>
            <w14:solidFill>
              <w14:schemeClr w14:val="tx1"/>
            </w14:solidFill>
          </w14:textFill>
        </w:rPr>
        <w:t>环境</w:t>
      </w:r>
      <w:r>
        <w:rPr>
          <w:color w:val="000000" w:themeColor="text1"/>
          <w:highlight w:val="none"/>
          <w14:textFill>
            <w14:solidFill>
              <w14:schemeClr w14:val="tx1"/>
            </w14:solidFill>
          </w14:textFill>
        </w:rPr>
        <w:t>影响分析</w:t>
      </w:r>
      <w:bookmarkEnd w:id="292"/>
    </w:p>
    <w:p>
      <w:pPr>
        <w:ind w:firstLine="480"/>
        <w:rPr>
          <w:rFonts w:cs="Times New Roman"/>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w:t>
      </w:r>
      <w:r>
        <w:rPr>
          <w:rFonts w:hint="eastAsia"/>
          <w:bCs/>
          <w:color w:val="000000" w:themeColor="text1"/>
          <w:highlight w:val="none"/>
          <w14:textFill>
            <w14:solidFill>
              <w14:schemeClr w14:val="tx1"/>
            </w14:solidFill>
          </w14:textFill>
        </w:rPr>
        <w:t>项目不新增值守人员</w:t>
      </w:r>
      <w:r>
        <w:rPr>
          <w:bCs/>
          <w:color w:val="000000" w:themeColor="text1"/>
          <w:highlight w:val="none"/>
          <w14:textFill>
            <w14:solidFill>
              <w14:schemeClr w14:val="tx1"/>
            </w14:solidFill>
          </w14:textFill>
        </w:rPr>
        <w:t>，无</w:t>
      </w:r>
      <w:r>
        <w:rPr>
          <w:rFonts w:hint="eastAsia"/>
          <w:bCs/>
          <w:color w:val="000000" w:themeColor="text1"/>
          <w:highlight w:val="none"/>
          <w14:textFill>
            <w14:solidFill>
              <w14:schemeClr w14:val="tx1"/>
            </w14:solidFill>
          </w14:textFill>
        </w:rPr>
        <w:t>新增</w:t>
      </w:r>
      <w:r>
        <w:rPr>
          <w:bCs/>
          <w:color w:val="000000" w:themeColor="text1"/>
          <w:highlight w:val="none"/>
          <w14:textFill>
            <w14:solidFill>
              <w14:schemeClr w14:val="tx1"/>
            </w14:solidFill>
          </w14:textFill>
        </w:rPr>
        <w:t>生活垃圾产生。</w:t>
      </w:r>
      <w:r>
        <w:rPr>
          <w:rFonts w:hint="eastAsia"/>
          <w:bCs/>
          <w:color w:val="000000" w:themeColor="text1"/>
          <w:highlight w:val="none"/>
          <w14:textFill>
            <w14:solidFill>
              <w14:schemeClr w14:val="tx1"/>
            </w14:solidFill>
          </w14:textFill>
        </w:rPr>
        <w:t>除砂器撬产生的砂土杂质</w:t>
      </w:r>
      <w:r>
        <w:rPr>
          <w:color w:val="000000" w:themeColor="text1"/>
          <w:szCs w:val="20"/>
          <w:highlight w:val="none"/>
          <w14:textFill>
            <w14:solidFill>
              <w14:schemeClr w14:val="tx1"/>
            </w14:solidFill>
          </w14:textFill>
        </w:rPr>
        <w:t>定期就近交给依法取得生态环境部门关于利用和处置相关工业固体废物项目环评批复、具有处理处置相应固体废物能力并配套建设有废气、废水、固废等污染物治理设施的单位进行资源化利用。</w:t>
      </w:r>
      <w:r>
        <w:rPr>
          <w:rFonts w:hint="eastAsia"/>
          <w:color w:val="000000" w:themeColor="text1"/>
          <w:highlight w:val="none"/>
          <w14:textFill>
            <w14:solidFill>
              <w14:schemeClr w14:val="tx1"/>
            </w14:solidFill>
          </w14:textFill>
        </w:rPr>
        <w:t>废活性炭暂存于危险废物暂存间，定期交由资质单位处置</w:t>
      </w:r>
      <w:r>
        <w:rPr>
          <w:rFonts w:hint="eastAsia"/>
          <w:bCs/>
          <w:color w:val="000000" w:themeColor="text1"/>
          <w:highlight w:val="none"/>
          <w14:textFill>
            <w14:solidFill>
              <w14:schemeClr w14:val="tx1"/>
            </w14:solidFill>
          </w14:textFill>
        </w:rPr>
        <w:t>，不会产生二次污染，对环境影响小</w:t>
      </w:r>
      <w:r>
        <w:rPr>
          <w:rFonts w:cs="Times New Roman"/>
          <w:bCs/>
          <w:color w:val="000000" w:themeColor="text1"/>
          <w:highlight w:val="none"/>
          <w14:textFill>
            <w14:solidFill>
              <w14:schemeClr w14:val="tx1"/>
            </w14:solidFill>
          </w14:textFill>
        </w:rPr>
        <w:t>。</w:t>
      </w:r>
    </w:p>
    <w:p>
      <w:pPr>
        <w:pStyle w:val="4"/>
        <w:spacing w:before="0" w:beforeLines="0"/>
        <w:ind w:firstLine="480"/>
        <w:rPr>
          <w:color w:val="000000" w:themeColor="text1"/>
          <w:highlight w:val="none"/>
          <w14:textFill>
            <w14:solidFill>
              <w14:schemeClr w14:val="tx1"/>
            </w14:solidFill>
          </w14:textFill>
        </w:rPr>
      </w:pPr>
      <w:bookmarkStart w:id="293" w:name="_Toc120173160"/>
      <w:r>
        <w:rPr>
          <w:color w:val="000000" w:themeColor="text1"/>
          <w:highlight w:val="none"/>
          <w14:textFill>
            <w14:solidFill>
              <w14:schemeClr w14:val="tx1"/>
            </w14:solidFill>
          </w14:textFill>
        </w:rPr>
        <w:t>土壤环境影响分析</w:t>
      </w:r>
      <w:bookmarkEnd w:id="293"/>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本项目试采期污染物主要通过地面漫流、垂直入渗途径污染土壤。对于</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在事故情况下会造成污染物的</w:t>
      </w:r>
      <w:r>
        <w:rPr>
          <w:rFonts w:hint="eastAsia" w:cs="Times New Roman"/>
          <w:bCs/>
          <w:color w:val="000000" w:themeColor="text1"/>
          <w:highlight w:val="none"/>
          <w14:textFill>
            <w14:solidFill>
              <w14:schemeClr w14:val="tx1"/>
            </w14:solidFill>
          </w14:textFill>
        </w:rPr>
        <w:t>泄漏</w:t>
      </w:r>
      <w:r>
        <w:rPr>
          <w:rFonts w:cs="Times New Roman"/>
          <w:bCs/>
          <w:color w:val="000000" w:themeColor="text1"/>
          <w:highlight w:val="none"/>
          <w14:textFill>
            <w14:solidFill>
              <w14:schemeClr w14:val="tx1"/>
            </w14:solidFill>
          </w14:textFill>
        </w:rPr>
        <w:t>，通过地面漫流、垂直入渗途径污染土壤。</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本项目试采期对井身固井合格后运行，地层水不会从井筒泄漏进入土壤环境；</w:t>
      </w:r>
      <w:r>
        <w:rPr>
          <w:rFonts w:hint="eastAsia" w:cs="Times New Roman"/>
          <w:color w:val="000000" w:themeColor="text1"/>
          <w:szCs w:val="24"/>
          <w:highlight w:val="none"/>
          <w14:textFill>
            <w14:solidFill>
              <w14:schemeClr w14:val="tx1"/>
            </w14:solidFill>
          </w14:textFill>
        </w:rPr>
        <w:t>采出水</w:t>
      </w:r>
      <w:r>
        <w:rPr>
          <w:color w:val="000000" w:themeColor="text1"/>
          <w:szCs w:val="24"/>
          <w:highlight w:val="none"/>
          <w14:textFill>
            <w14:solidFill>
              <w14:schemeClr w14:val="tx1"/>
            </w14:solidFill>
          </w14:textFill>
        </w:rPr>
        <w:t>暂存于</w:t>
      </w:r>
      <w:r>
        <w:rPr>
          <w:rFonts w:hint="eastAsia"/>
          <w:bCs/>
          <w:color w:val="000000" w:themeColor="text1"/>
          <w:highlight w:val="none"/>
          <w:lang w:eastAsia="zh-CN"/>
          <w14:textFill>
            <w14:solidFill>
              <w14:schemeClr w14:val="tx1"/>
            </w14:solidFill>
          </w14:textFill>
        </w:rPr>
        <w:t>酸液缓冲罐</w:t>
      </w:r>
      <w:r>
        <w:rPr>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再</w:t>
      </w:r>
      <w:r>
        <w:rPr>
          <w:rFonts w:cs="Times New Roman"/>
          <w:color w:val="000000" w:themeColor="text1"/>
          <w:szCs w:val="24"/>
          <w:highlight w:val="none"/>
          <w14:textFill>
            <w14:solidFill>
              <w14:schemeClr w14:val="tx1"/>
            </w14:solidFill>
          </w14:textFill>
        </w:rPr>
        <w:t>罐车外运行处理；非正常工况井下作业废水</w:t>
      </w:r>
      <w:r>
        <w:rPr>
          <w:rFonts w:hint="eastAsia" w:cs="Times New Roman"/>
          <w:color w:val="000000" w:themeColor="text1"/>
          <w:szCs w:val="24"/>
          <w:highlight w:val="none"/>
          <w14:textFill>
            <w14:solidFill>
              <w14:schemeClr w14:val="tx1"/>
            </w14:solidFill>
          </w14:textFill>
        </w:rPr>
        <w:t>管输至大湾</w:t>
      </w:r>
      <w:r>
        <w:rPr>
          <w:rFonts w:hint="eastAsia" w:cs="Times New Roman"/>
          <w:color w:val="000000" w:themeColor="text1"/>
          <w:szCs w:val="24"/>
          <w:highlight w:val="none"/>
          <w:lang w:eastAsia="zh-CN"/>
          <w14:textFill>
            <w14:solidFill>
              <w14:schemeClr w14:val="tx1"/>
            </w14:solidFill>
          </w14:textFill>
        </w:rPr>
        <w:t>408试采站</w:t>
      </w:r>
      <w:r>
        <w:rPr>
          <w:rFonts w:hint="eastAsia" w:cs="Times New Roman"/>
          <w:color w:val="000000" w:themeColor="text1"/>
          <w:szCs w:val="24"/>
          <w:highlight w:val="none"/>
          <w14:textFill>
            <w14:solidFill>
              <w14:schemeClr w14:val="tx1"/>
            </w14:solidFill>
          </w14:textFill>
        </w:rPr>
        <w:t>暂存，再</w:t>
      </w:r>
      <w:r>
        <w:rPr>
          <w:rFonts w:cs="Times New Roman"/>
          <w:color w:val="000000" w:themeColor="text1"/>
          <w:szCs w:val="24"/>
          <w:highlight w:val="none"/>
          <w14:textFill>
            <w14:solidFill>
              <w14:schemeClr w14:val="tx1"/>
            </w14:solidFill>
          </w14:textFill>
        </w:rPr>
        <w:t>用密闭罐车拉运至</w:t>
      </w:r>
      <w:r>
        <w:rPr>
          <w:rFonts w:hint="eastAsia" w:cs="Times New Roman"/>
          <w:color w:val="000000" w:themeColor="text1"/>
          <w:szCs w:val="24"/>
          <w:highlight w:val="none"/>
          <w14:textFill>
            <w14:solidFill>
              <w14:schemeClr w14:val="tx1"/>
            </w14:solidFill>
          </w14:textFill>
        </w:rPr>
        <w:t>赵家坝污水处理站</w:t>
      </w:r>
      <w:r>
        <w:rPr>
          <w:rFonts w:cs="Times New Roman"/>
          <w:color w:val="000000" w:themeColor="text1"/>
          <w:szCs w:val="24"/>
          <w:highlight w:val="none"/>
          <w14:textFill>
            <w14:solidFill>
              <w14:schemeClr w14:val="tx1"/>
            </w14:solidFill>
          </w14:textFill>
        </w:rPr>
        <w:t>处理达标后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经</w:t>
      </w:r>
      <w:r>
        <w:rPr>
          <w:rFonts w:hint="eastAsia" w:cs="Times New Roman"/>
          <w:color w:val="000000" w:themeColor="text1"/>
          <w:szCs w:val="24"/>
          <w:highlight w:val="none"/>
          <w14:textFill>
            <w14:solidFill>
              <w14:schemeClr w14:val="tx1"/>
            </w14:solidFill>
          </w14:textFill>
        </w:rPr>
        <w:t>普光3井回注站</w:t>
      </w:r>
      <w:r>
        <w:rPr>
          <w:rFonts w:cs="Times New Roman"/>
          <w:color w:val="000000" w:themeColor="text1"/>
          <w:szCs w:val="24"/>
          <w:highlight w:val="none"/>
          <w14:textFill>
            <w14:solidFill>
              <w14:schemeClr w14:val="tx1"/>
            </w14:solidFill>
          </w14:textFill>
        </w:rPr>
        <w:t>回注；除此之外，无其他废水产生，井站也无生产固废产生和堆放。同时</w:t>
      </w:r>
      <w:r>
        <w:rPr>
          <w:rFonts w:cs="Times New Roman"/>
          <w:bCs/>
          <w:color w:val="000000" w:themeColor="text1"/>
          <w:highlight w:val="none"/>
          <w14:textFill>
            <w14:solidFill>
              <w14:schemeClr w14:val="tx1"/>
            </w14:solidFill>
          </w14:textFill>
        </w:rPr>
        <w:t>井站设置了清污分流，</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和方井设置了围堰拦截放</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事故状态下泄露的污水，同时</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周围设置导流沟，将可能泄露的废水导流至集污坑；井场四周设置有排水沟与自然沟渠连接，便于疏导场地雨水。此外，本项目试采期对</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、方井周边采取重点防渗，工艺区进行一般防渗，</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暂存地层水及时转运，污水发生</w:t>
      </w:r>
      <w:r>
        <w:rPr>
          <w:rFonts w:hint="eastAsia" w:cs="Times New Roman"/>
          <w:bCs/>
          <w:color w:val="000000" w:themeColor="text1"/>
          <w:highlight w:val="none"/>
          <w14:textFill>
            <w14:solidFill>
              <w14:schemeClr w14:val="tx1"/>
            </w14:solidFill>
          </w14:textFill>
        </w:rPr>
        <w:t>泄漏</w:t>
      </w:r>
      <w:r>
        <w:rPr>
          <w:rFonts w:cs="Times New Roman"/>
          <w:bCs/>
          <w:color w:val="000000" w:themeColor="text1"/>
          <w:highlight w:val="none"/>
          <w14:textFill>
            <w14:solidFill>
              <w14:schemeClr w14:val="tx1"/>
            </w14:solidFill>
          </w14:textFill>
        </w:rPr>
        <w:t>进入土壤环境可能性较小，在加强土壤环境的跟踪监测在后，试采期不会对土壤环境造成不利影响。</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highlight w:val="none"/>
          <w14:textFill>
            <w14:solidFill>
              <w14:schemeClr w14:val="tx1"/>
            </w14:solidFill>
          </w14:textFill>
        </w:rPr>
        <w:t>同时调查了川东北地区诸多天然气勘探、钻采工程，试采期均未对土壤环境造成不利影响，因此本项目试采期对土壤环境影响很小，项目在试采期对土壤环境的影响是可以接受的。</w:t>
      </w:r>
    </w:p>
    <w:p>
      <w:pPr>
        <w:pStyle w:val="3"/>
        <w:spacing w:before="0" w:beforeLines="0"/>
        <w:rPr>
          <w:color w:val="000000" w:themeColor="text1"/>
          <w:highlight w:val="none"/>
          <w:lang w:eastAsia="zh-CN"/>
          <w14:textFill>
            <w14:solidFill>
              <w14:schemeClr w14:val="tx1"/>
            </w14:solidFill>
          </w14:textFill>
        </w:rPr>
      </w:pPr>
      <w:bookmarkStart w:id="294" w:name="5.3环境风险分析"/>
      <w:bookmarkEnd w:id="294"/>
      <w:bookmarkStart w:id="295" w:name="_bookmark30"/>
      <w:bookmarkEnd w:id="295"/>
      <w:bookmarkStart w:id="296" w:name="5.2.4营运期声环境影响分析"/>
      <w:bookmarkEnd w:id="296"/>
      <w:bookmarkStart w:id="297" w:name="5.2.5营运期固体废弃物对环境的影响"/>
      <w:bookmarkEnd w:id="297"/>
      <w:bookmarkStart w:id="298" w:name="_Toc10354"/>
      <w:r>
        <w:rPr>
          <w:color w:val="000000" w:themeColor="text1"/>
          <w:highlight w:val="none"/>
          <w:lang w:eastAsia="zh-CN"/>
          <w14:textFill>
            <w14:solidFill>
              <w14:schemeClr w14:val="tx1"/>
            </w14:solidFill>
          </w14:textFill>
        </w:rPr>
        <w:t>地下水环境影响分析</w:t>
      </w:r>
      <w:bookmarkEnd w:id="298"/>
    </w:p>
    <w:p>
      <w:pPr>
        <w:pStyle w:val="4"/>
        <w:spacing w:before="0" w:beforeLines="0"/>
        <w:ind w:firstLine="480"/>
        <w:rPr>
          <w:b/>
          <w:color w:val="000000" w:themeColor="text1"/>
          <w:highlight w:val="none"/>
          <w:lang w:eastAsia="zh-CN"/>
          <w14:textFill>
            <w14:solidFill>
              <w14:schemeClr w14:val="tx1"/>
            </w14:solidFill>
          </w14:textFill>
        </w:rPr>
      </w:pPr>
      <w:bookmarkStart w:id="299" w:name="_Toc120173162"/>
      <w:r>
        <w:rPr>
          <w:color w:val="000000" w:themeColor="text1"/>
          <w:highlight w:val="none"/>
          <w:lang w:eastAsia="zh-CN"/>
          <w14:textFill>
            <w14:solidFill>
              <w14:schemeClr w14:val="tx1"/>
            </w14:solidFill>
          </w14:textFill>
        </w:rPr>
        <w:t>项目区水文地质条件</w:t>
      </w:r>
      <w:bookmarkEnd w:id="299"/>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地下水类型</w:t>
      </w:r>
    </w:p>
    <w:p>
      <w:pPr>
        <w:widowControl/>
        <w:ind w:firstLine="480"/>
        <w:rPr>
          <w:rFonts w:cs="Times New Roman"/>
          <w:color w:val="000000" w:themeColor="text1"/>
          <w:kern w:val="0"/>
          <w:szCs w:val="24"/>
          <w:highlight w:val="none"/>
          <w14:textFill>
            <w14:solidFill>
              <w14:schemeClr w14:val="tx1"/>
            </w14:solidFill>
          </w14:textFill>
        </w:rPr>
      </w:pPr>
      <w:bookmarkStart w:id="300" w:name="_Toc14702819"/>
      <w:r>
        <w:rPr>
          <w:rFonts w:cs="Times New Roman"/>
          <w:color w:val="000000" w:themeColor="text1"/>
          <w:szCs w:val="24"/>
          <w:highlight w:val="none"/>
          <w14:textFill>
            <w14:solidFill>
              <w14:schemeClr w14:val="tx1"/>
            </w14:solidFill>
          </w14:textFill>
        </w:rPr>
        <w:t>普光气田开发区内地下水类型包括松散堆积层孔隙水、碎屑岩裂隙孔隙水和基岩裂隙水，其中本项目所在区域以基岩裂隙水与碎屑岩类裂隙水为主。沟谷地段为地下水的排泄区。岩性变化地段和结构松散的卸荷岩体具有较强的透水性能，岩体的透水性具有随着深度的增加、卸荷的减弱而递减的一般规律</w:t>
      </w:r>
      <w:r>
        <w:rPr>
          <w:rFonts w:hint="eastAsia" w:cs="Times New Roman"/>
          <w:color w:val="000000" w:themeColor="text1"/>
          <w:kern w:val="0"/>
          <w:szCs w:val="24"/>
          <w:highlight w:val="none"/>
          <w14:textFill>
            <w14:solidFill>
              <w14:schemeClr w14:val="tx1"/>
            </w14:solidFill>
          </w14:textFill>
        </w:rPr>
        <w:t>。</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1、松散堆积层孔隙水</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松散堆积层孔隙潜水主要赋存于河流阶地的细砂层中，基岩为相对隔水层，零星分布在赵家坝、清溪镇等地，即中河、后河、清溪河宽谷地带，含水层为第四系全新统，以冲积、冲洪积砂质粘土夹砾石为主，次为残坡积和崩坡积之砂质粘土，粘质砂土夹杂碎石块。泉流量一般小于0.1L/s，钻孔涌水量小于50m3/d。分布零星，面积窄小，厚度薄（0～20m），地下水较为贫乏，不具有供水意义。一般属HCO</w:t>
      </w:r>
      <w:r>
        <w:rPr>
          <w:rFonts w:hint="eastAsia" w:cs="Times New Roman"/>
          <w:color w:val="000000" w:themeColor="text1"/>
          <w:kern w:val="0"/>
          <w:szCs w:val="24"/>
          <w:highlight w:val="none"/>
          <w:vertAlign w:val="subscript"/>
          <w14:textFill>
            <w14:solidFill>
              <w14:schemeClr w14:val="tx1"/>
            </w14:solidFill>
          </w14:textFill>
        </w:rPr>
        <w:t>3</w:t>
      </w:r>
      <w:r>
        <w:rPr>
          <w:rFonts w:hint="eastAsia" w:cs="Times New Roman"/>
          <w:color w:val="000000" w:themeColor="text1"/>
          <w:kern w:val="0"/>
          <w:szCs w:val="24"/>
          <w:highlight w:val="none"/>
          <w14:textFill>
            <w14:solidFill>
              <w14:schemeClr w14:val="tx1"/>
            </w14:solidFill>
          </w14:textFill>
        </w:rPr>
        <w:t>--Ca（Na+K）水，矿化度0.356～0.392g/L，总硬度13～15德度，pH值5～6。</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2、碎屑岩裂隙孔隙水</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分布于黄金口背斜中段一带，主要由沙溪庙组地层组成，但在其中段核部有两处出露了千佛崖组地层，形成构造窗。其中南面的一处位于普光镇西北，长15km左右，宽1～2km；北面一处位于黄金口边，长10km，宽1～4km。由于该背斜穿插于北西向构造之中，并受到强烈的挤压，因而两翼岩层产状较陡，倾角达20°～50°。但向外围很快变缓，节理裂隙发育。在地貌上形成背斜山，千佛崖组地层裸露于轴部附近山岭一带，补给区位置较高，对于翼部地下水的补给、运移和富集有利，因而黄金口背斜翼部地下水比较丰富，特别是在千佛崖组和沙溪庙组接触带附近，有较丰富的层间承压水，泉水流量大于11m</w:t>
      </w:r>
      <w:r>
        <w:rPr>
          <w:rFonts w:hint="eastAsia" w:cs="Times New Roman"/>
          <w:color w:val="000000" w:themeColor="text1"/>
          <w:kern w:val="0"/>
          <w:szCs w:val="24"/>
          <w:highlight w:val="none"/>
          <w:vertAlign w:val="superscript"/>
          <w14:textFill>
            <w14:solidFill>
              <w14:schemeClr w14:val="tx1"/>
            </w14:solidFill>
          </w14:textFill>
        </w:rPr>
        <w:t>3</w:t>
      </w:r>
      <w:r>
        <w:rPr>
          <w:rFonts w:hint="eastAsia" w:cs="Times New Roman"/>
          <w:color w:val="000000" w:themeColor="text1"/>
          <w:kern w:val="0"/>
          <w:szCs w:val="24"/>
          <w:highlight w:val="none"/>
          <w14:textFill>
            <w14:solidFill>
              <w14:schemeClr w14:val="tx1"/>
            </w14:solidFill>
          </w14:textFill>
        </w:rPr>
        <w:t>/d，单井涌水量可达100～500m</w:t>
      </w:r>
      <w:r>
        <w:rPr>
          <w:rFonts w:hint="eastAsia" w:cs="Times New Roman"/>
          <w:color w:val="000000" w:themeColor="text1"/>
          <w:kern w:val="0"/>
          <w:szCs w:val="24"/>
          <w:highlight w:val="none"/>
          <w:vertAlign w:val="superscript"/>
          <w14:textFill>
            <w14:solidFill>
              <w14:schemeClr w14:val="tx1"/>
            </w14:solidFill>
          </w14:textFill>
        </w:rPr>
        <w:t>3</w:t>
      </w:r>
      <w:r>
        <w:rPr>
          <w:rFonts w:hint="eastAsia" w:cs="Times New Roman"/>
          <w:color w:val="000000" w:themeColor="text1"/>
          <w:kern w:val="0"/>
          <w:szCs w:val="24"/>
          <w:highlight w:val="none"/>
          <w14:textFill>
            <w14:solidFill>
              <w14:schemeClr w14:val="tx1"/>
            </w14:solidFill>
          </w14:textFill>
        </w:rPr>
        <w:t>/d，含水层顶板埋深50～100m。</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由于含水层主要出露于山岭地带，补给区所处位置较高，地下水以接受大气降水的渗入补给为主，补给后地下水主要通过构造裂隙和层间裂隙沿岩层倾斜方向作垂向（倾向）运动。一部分地下水在地表侵蚀基准面之上以下降泉的形式排泄，一部分向深部运移、贮集，并作水平（走向）运动。在含水层被沟谷切割的地段，可以接受地表水的补给，地下水运动的总趋势是由北东向南西方向径流。地下水化学类型为重碳酸钙镁型和重碳酸硫酸钙镁型，矿化度0.2g/L左右，总硬度0.8～6.5德度，pH值6～7。</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3、基岩裂隙水</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此类型在气田区广泛分布，本项目区也属于此类型，按裂隙性质，地下水的富存条件可分为构造裂隙水和风化带网状裂隙水两大亚类。</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A、构造裂隙水</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构造裂隙水主要分布在侏罗系蓬莱镇组（J</w:t>
      </w:r>
      <w:r>
        <w:rPr>
          <w:rFonts w:hint="eastAsia" w:cs="Times New Roman"/>
          <w:color w:val="000000" w:themeColor="text1"/>
          <w:kern w:val="0"/>
          <w:szCs w:val="24"/>
          <w:highlight w:val="none"/>
          <w:vertAlign w:val="subscript"/>
          <w14:textFill>
            <w14:solidFill>
              <w14:schemeClr w14:val="tx1"/>
            </w14:solidFill>
          </w14:textFill>
        </w:rPr>
        <w:t>3</w:t>
      </w:r>
      <w:r>
        <w:rPr>
          <w:rFonts w:hint="eastAsia" w:cs="Times New Roman"/>
          <w:color w:val="000000" w:themeColor="text1"/>
          <w:kern w:val="0"/>
          <w:szCs w:val="24"/>
          <w:highlight w:val="none"/>
          <w14:textFill>
            <w14:solidFill>
              <w14:schemeClr w14:val="tx1"/>
            </w14:solidFill>
          </w14:textFill>
        </w:rPr>
        <w:t>p2）、下白垩统苍溪组（K</w:t>
      </w:r>
      <w:r>
        <w:rPr>
          <w:rFonts w:hint="eastAsia" w:cs="Times New Roman"/>
          <w:color w:val="000000" w:themeColor="text1"/>
          <w:kern w:val="0"/>
          <w:szCs w:val="24"/>
          <w:highlight w:val="none"/>
          <w:vertAlign w:val="subscript"/>
          <w14:textFill>
            <w14:solidFill>
              <w14:schemeClr w14:val="tx1"/>
            </w14:solidFill>
          </w14:textFill>
        </w:rPr>
        <w:t>1c</w:t>
      </w:r>
      <w:r>
        <w:rPr>
          <w:rFonts w:hint="eastAsia" w:cs="Times New Roman"/>
          <w:color w:val="000000" w:themeColor="text1"/>
          <w:kern w:val="0"/>
          <w:szCs w:val="24"/>
          <w:highlight w:val="none"/>
          <w14:textFill>
            <w14:solidFill>
              <w14:schemeClr w14:val="tx1"/>
            </w14:solidFill>
          </w14:textFill>
        </w:rPr>
        <w:t>）、白龙组（K</w:t>
      </w:r>
      <w:r>
        <w:rPr>
          <w:rFonts w:hint="eastAsia" w:cs="Times New Roman"/>
          <w:color w:val="000000" w:themeColor="text1"/>
          <w:kern w:val="0"/>
          <w:szCs w:val="24"/>
          <w:highlight w:val="none"/>
          <w:vertAlign w:val="subscript"/>
          <w14:textFill>
            <w14:solidFill>
              <w14:schemeClr w14:val="tx1"/>
            </w14:solidFill>
          </w14:textFill>
        </w:rPr>
        <w:t>1b</w:t>
      </w:r>
      <w:r>
        <w:rPr>
          <w:rFonts w:hint="eastAsia" w:cs="Times New Roman"/>
          <w:color w:val="000000" w:themeColor="text1"/>
          <w:kern w:val="0"/>
          <w:szCs w:val="24"/>
          <w:highlight w:val="none"/>
          <w14:textFill>
            <w14:solidFill>
              <w14:schemeClr w14:val="tx1"/>
            </w14:solidFill>
          </w14:textFill>
        </w:rPr>
        <w:t>），岩性主要是紫红色泥岩、粉砂质泥岩与厚至块状细粒长石、石英砂岩互层，上侏罗统蓬莱镇组上段和的砂岩和泥岩之不等厚互层组成，一般以砂岩为主要含水层，且为双层结构（即上部以浅层潜水为主，下部以承压水为主）的含水特征，以碎屑岩裂隙孔隙水－层间承压水为主。地下水位埋深一般小于20m，含水层顶板埋深一般小于50m。地下径流模数0.5～1L/（s·km</w:t>
      </w:r>
      <w:r>
        <w:rPr>
          <w:rFonts w:hint="eastAsia" w:cs="Times New Roman"/>
          <w:color w:val="000000" w:themeColor="text1"/>
          <w:kern w:val="0"/>
          <w:szCs w:val="24"/>
          <w:highlight w:val="none"/>
          <w:vertAlign w:val="superscript"/>
          <w14:textFill>
            <w14:solidFill>
              <w14:schemeClr w14:val="tx1"/>
            </w14:solidFill>
          </w14:textFill>
        </w:rPr>
        <w:t>2</w:t>
      </w:r>
      <w:r>
        <w:rPr>
          <w:rFonts w:hint="eastAsia" w:cs="Times New Roman"/>
          <w:color w:val="000000" w:themeColor="text1"/>
          <w:kern w:val="0"/>
          <w:szCs w:val="24"/>
          <w:highlight w:val="none"/>
          <w14:textFill>
            <w14:solidFill>
              <w14:schemeClr w14:val="tx1"/>
            </w14:solidFill>
          </w14:textFill>
        </w:rPr>
        <w:t>），钻孔涌水量一般可达100～500m</w:t>
      </w:r>
      <w:r>
        <w:rPr>
          <w:rFonts w:hint="eastAsia" w:cs="Times New Roman"/>
          <w:color w:val="000000" w:themeColor="text1"/>
          <w:kern w:val="0"/>
          <w:szCs w:val="24"/>
          <w:highlight w:val="none"/>
          <w:vertAlign w:val="superscript"/>
          <w14:textFill>
            <w14:solidFill>
              <w14:schemeClr w14:val="tx1"/>
            </w14:solidFill>
          </w14:textFill>
        </w:rPr>
        <w:t>3</w:t>
      </w:r>
      <w:r>
        <w:rPr>
          <w:rFonts w:hint="eastAsia" w:cs="Times New Roman"/>
          <w:color w:val="000000" w:themeColor="text1"/>
          <w:kern w:val="0"/>
          <w:szCs w:val="24"/>
          <w:highlight w:val="none"/>
          <w14:textFill>
            <w14:solidFill>
              <w14:schemeClr w14:val="tx1"/>
            </w14:solidFill>
          </w14:textFill>
        </w:rPr>
        <w:t>/d，属于中等富水地带。</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 xml:space="preserve">水质以重碳酸钠型和重碳酸钙型为主，矿化度0.1～0.5g/L，总硬度为0.5～10德度，pH值为7.5～9。泉流量一般在0.1～1L/s之间。 </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B、风化带网状裂隙水</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风化带网状裂隙水主要分布于普光气田区西部、西南部，地下水为潜水，主要赋存于沙溪庙组和遂宁组地层中浅部风化网状裂隙发育地带。普光气田区西部、西南相对高差较小，故侵蚀作用较弱，对风化带发育比较有利，风化带发育深度一般为0～10m。由于风化带厚度较薄并因发育不均匀呈断续分布，一般不能形成连续分布的统一含水层，其地下水的补给条件和赋存条件比较差，表现为富水性弱和水量一般较为贫乏。泉流量一般在0.01～0.1L/s，地下径流模数0.1～0.5L/（s·km</w:t>
      </w:r>
      <w:r>
        <w:rPr>
          <w:rFonts w:hint="eastAsia" w:cs="Times New Roman"/>
          <w:color w:val="000000" w:themeColor="text1"/>
          <w:kern w:val="0"/>
          <w:szCs w:val="24"/>
          <w:highlight w:val="none"/>
          <w:vertAlign w:val="superscript"/>
          <w14:textFill>
            <w14:solidFill>
              <w14:schemeClr w14:val="tx1"/>
            </w14:solidFill>
          </w14:textFill>
        </w:rPr>
        <w:t>2</w:t>
      </w:r>
      <w:r>
        <w:rPr>
          <w:rFonts w:hint="eastAsia" w:cs="Times New Roman"/>
          <w:color w:val="000000" w:themeColor="text1"/>
          <w:kern w:val="0"/>
          <w:szCs w:val="24"/>
          <w:highlight w:val="none"/>
          <w14:textFill>
            <w14:solidFill>
              <w14:schemeClr w14:val="tx1"/>
            </w14:solidFill>
          </w14:textFill>
        </w:rPr>
        <w:t>），钻孔涌水量多小于50m</w:t>
      </w:r>
      <w:r>
        <w:rPr>
          <w:rFonts w:hint="eastAsia" w:cs="Times New Roman"/>
          <w:color w:val="000000" w:themeColor="text1"/>
          <w:kern w:val="0"/>
          <w:szCs w:val="24"/>
          <w:highlight w:val="none"/>
          <w:vertAlign w:val="superscript"/>
          <w14:textFill>
            <w14:solidFill>
              <w14:schemeClr w14:val="tx1"/>
            </w14:solidFill>
          </w14:textFill>
        </w:rPr>
        <w:t>3</w:t>
      </w:r>
      <w:r>
        <w:rPr>
          <w:rFonts w:hint="eastAsia" w:cs="Times New Roman"/>
          <w:color w:val="000000" w:themeColor="text1"/>
          <w:kern w:val="0"/>
          <w:szCs w:val="24"/>
          <w:highlight w:val="none"/>
          <w14:textFill>
            <w14:solidFill>
              <w14:schemeClr w14:val="tx1"/>
            </w14:solidFill>
          </w14:textFill>
        </w:rPr>
        <w:t>/d。因此，虽然通常可供分散的独家小户居民用水之需，但遇干旱季节，则常有枯竭之忧。</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水质一般为重碳酸钙型或重碳酸钙镁型水，矿化度0.1～0.3g/L，总硬度在8 ～13德度，pH值6.5～7.5。</w:t>
      </w:r>
    </w:p>
    <w:p>
      <w:pPr>
        <w:widowControl/>
        <w:ind w:firstLine="480"/>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普光气田区的基岩裂隙水由于地质、地貌条件不利于大气降水渗入补给，故该地区地下水属于就地补给就近排泄的浅层潜水。泉水多出露在砂岩底部与泥岩接触面附近，说明各含水层之间，一般不发生水力联系。</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地下水赋存特征及补径排关系</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基岩裂隙水与碎屑岩类裂隙水广泛分布全区，地表出露较常见，井、泉可见，为当地居民之饮用水源。含水层的埋藏特点以及补给、径流、排泄条件，决定区内地下水的水质、水量。地下水主要赋存特征如下：</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A、风化带网状裂隙水分布十分广泛</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地下水储水性质及埋藏条件，本区基岩裂隙水皆埋藏于浅部砂、泥岩之风化带中，以砂岩裂隙和泥岩网状微细裂隙储集为主，孔隙储集次之，局部地区兼有溶蚀孔隙裂隙储水。多属潜水类型，部分微具承压。其分布相当广泛，无论是田边地角、丘陵谷旁，凡有汇水条件的地方均可见及，但主要还是位于河谷与丘间汇水面积较大之洼地，并形成相对富集带。</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B、各地段富水性一般较差，水量极不均匀</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据1</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20万区域水文地质普查报告统计，在广大红层丘陵区，60%以上的泉水流量在0.05L/s以下，超过0.1L/s的大泉仅占16%，其中最大的只达0.15L/s左右。80%以上的地区单孔涌水量在100t/d以下，其中单孔涌水量小于30t/d的地区30%左右。这种不均匀性在区域上的表现通常是贫中有富，即在广大贫水地区存在着一些相对富水地段。而这些富水地段的泉水流量一般为0.105～0.15L/s，钻孔涌水量100～1000t/d，其面积一般只占基岩裂隙水地区的10%～15%。另外，这种不均匀性还表现在同一局部地区或同一含水层富水性的悬殊上，这大概正是基岩风化裂隙水的特点。由此可见，富水地段并非</w:t>
      </w:r>
      <w:r>
        <w:rPr>
          <w:rFonts w:hint="eastAsia" w:cs="Times New Roman"/>
          <w:color w:val="000000" w:themeColor="text1"/>
          <w:szCs w:val="24"/>
          <w:highlight w:val="none"/>
          <w14:textFill>
            <w14:solidFill>
              <w14:schemeClr w14:val="tx1"/>
            </w14:solidFill>
          </w14:textFill>
        </w:rPr>
        <w:t>井</w:t>
      </w:r>
      <w:r>
        <w:rPr>
          <w:rFonts w:cs="Times New Roman"/>
          <w:color w:val="000000" w:themeColor="text1"/>
          <w:szCs w:val="24"/>
          <w:highlight w:val="none"/>
          <w14:textFill>
            <w14:solidFill>
              <w14:schemeClr w14:val="tx1"/>
            </w14:solidFill>
          </w14:textFill>
        </w:rPr>
        <w:t>富水，贫水地段并非</w:t>
      </w:r>
      <w:r>
        <w:rPr>
          <w:rFonts w:hint="eastAsia" w:cs="Times New Roman"/>
          <w:color w:val="000000" w:themeColor="text1"/>
          <w:szCs w:val="24"/>
          <w:highlight w:val="none"/>
          <w14:textFill>
            <w14:solidFill>
              <w14:schemeClr w14:val="tx1"/>
            </w14:solidFill>
          </w14:textFill>
        </w:rPr>
        <w:t>井</w:t>
      </w:r>
      <w:r>
        <w:rPr>
          <w:rFonts w:cs="Times New Roman"/>
          <w:color w:val="000000" w:themeColor="text1"/>
          <w:szCs w:val="24"/>
          <w:highlight w:val="none"/>
          <w14:textFill>
            <w14:solidFill>
              <w14:schemeClr w14:val="tx1"/>
            </w14:solidFill>
          </w14:textFill>
        </w:rPr>
        <w:t>贫水，水量多少实际上与具体井位的选择有很大关系；即使在同一含水层中，由于岩性、裂隙发育程度的变化，其含水性在不同的井、孔中也可能相差十分悬殊。</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地下水位高，埋深浅，淡水带厚度通常较薄</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区基岩裂隙水一般为潜水，其埋深80%以上的在0～5m之间，尤以0～3m为多。但在上沙溪庙组分布的丘陵区，也有水位较深者。另外，在裂隙潜水广泛分布的背景下，亦有时可见局部承压水出现。究其原因主要是与覆盖层性质有关，即在以遂宁组泥岩为含水层的宽谷丘陵区，不仅覆盖层以第四系粘性土为主，而且基岩顶部强风化层在地下水作用下也多强烈泥化，而具有隔水性。这种由二者所共同组成沟谷中的隔水层，势必会使浅层地下水具有一定的承压性质。另一种原因则可能与局部构造因素有关，即它们或许正处于背斜倾角由陡变缓的倾末端或转折端。</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D、地下水补给、径流、排泄条件良好，动态不稳定</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浅层地下水是可供饮用和灌溉的优良淡矿化水，其淡水带深度一般不大，风化裂隙带发育深度一般在20～30m，地下水位埋深在沟谷地带一般为3～5m，丘坡下部一般6～9m，井深20m左右一般可揭露主要潜水含水层。因向下部多迅速转为微咸水、咸水，以至盐卤水所接替。淡水带深度，即咸、淡水界面埋藏深度，因受地下水径流条件控制，表现出周边深，盆内浅的规律。盆地腹心，以沙溪庙组（J</w:t>
      </w:r>
      <w:r>
        <w:rPr>
          <w:rFonts w:cs="Times New Roman"/>
          <w:color w:val="000000" w:themeColor="text1"/>
          <w:szCs w:val="24"/>
          <w:highlight w:val="none"/>
          <w:vertAlign w:val="subscript"/>
          <w14:textFill>
            <w14:solidFill>
              <w14:schemeClr w14:val="tx1"/>
            </w14:solidFill>
          </w14:textFill>
        </w:rPr>
        <w:t>2</w:t>
      </w:r>
      <w:r>
        <w:rPr>
          <w:rFonts w:cs="Times New Roman"/>
          <w:color w:val="000000" w:themeColor="text1"/>
          <w:szCs w:val="24"/>
          <w:highlight w:val="none"/>
          <w14:textFill>
            <w14:solidFill>
              <w14:schemeClr w14:val="tx1"/>
            </w14:solidFill>
          </w14:textFill>
        </w:rPr>
        <w:t>s）、遂宁组（J</w:t>
      </w:r>
      <w:r>
        <w:rPr>
          <w:rFonts w:cs="Times New Roman"/>
          <w:color w:val="000000" w:themeColor="text1"/>
          <w:szCs w:val="24"/>
          <w:highlight w:val="none"/>
          <w:vertAlign w:val="subscript"/>
          <w14:textFill>
            <w14:solidFill>
              <w14:schemeClr w14:val="tx1"/>
            </w14:solidFill>
          </w14:textFill>
        </w:rPr>
        <w:t>2</w:t>
      </w:r>
      <w:r>
        <w:rPr>
          <w:rFonts w:cs="Times New Roman"/>
          <w:color w:val="000000" w:themeColor="text1"/>
          <w:szCs w:val="24"/>
          <w:highlight w:val="none"/>
          <w14:textFill>
            <w14:solidFill>
              <w14:schemeClr w14:val="tx1"/>
            </w14:solidFill>
          </w14:textFill>
        </w:rPr>
        <w:t>sn）为主，组成的浅丘区，地下水交替条件差，咸淡水界面埋深一般50m左右，甚或小于50m。向外围低山丘陵区，随着径流条件变化，渐增至50～100m，100～200m。接近盆缘地区，深度大于200m。本项目区可利用地下水淡水深度在100～200m。</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区内含水层主要接受大气降雨补给，该类地下水主要依靠大气降水补给。因评价区内地形坡降较大，地表径流条件好，大气降水多以面流方式排泄，少量沿地表岩土层裂隙下渗并径流补给地下水。项目区含水层接受补给后，主要由项目区东北向西南径流，于地势较低及构造有利位置以泉的形式出露，或呈泄流的方式排泄至评价区最低排泄基准面</w:t>
      </w:r>
      <w:r>
        <w:rPr>
          <w:rFonts w:hint="eastAsia" w:cs="Times New Roman"/>
          <w:color w:val="000000" w:themeColor="text1"/>
          <w:szCs w:val="24"/>
          <w:highlight w:val="none"/>
          <w14:textFill>
            <w14:solidFill>
              <w14:schemeClr w14:val="tx1"/>
            </w14:solidFill>
          </w14:textFill>
        </w:rPr>
        <w:t>后河</w:t>
      </w:r>
      <w:r>
        <w:rPr>
          <w:rFonts w:cs="Times New Roman"/>
          <w:color w:val="000000" w:themeColor="text1"/>
          <w:szCs w:val="24"/>
          <w:highlight w:val="none"/>
          <w14:textFill>
            <w14:solidFill>
              <w14:schemeClr w14:val="tx1"/>
            </w14:solidFill>
          </w14:textFill>
        </w:rPr>
        <w:t>。经调查，当地地下水水质良好，无原生水文地质环境问题。</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地下水开发利用现状</w:t>
      </w:r>
      <w:bookmarkEnd w:id="300"/>
    </w:p>
    <w:p>
      <w:pPr>
        <w:widowControl/>
        <w:ind w:firstLine="480"/>
        <w:rPr>
          <w:rFonts w:cs="Times New Roman"/>
          <w:bCs/>
          <w:color w:val="000000" w:themeColor="text1"/>
          <w:szCs w:val="24"/>
          <w:highlight w:val="none"/>
          <w14:textFill>
            <w14:solidFill>
              <w14:schemeClr w14:val="tx1"/>
            </w14:solidFill>
          </w14:textFill>
        </w:rPr>
      </w:pPr>
      <w:r>
        <w:rPr>
          <w:color w:val="000000" w:themeColor="text1"/>
          <w:highlight w:val="none"/>
          <w14:textFill>
            <w14:solidFill>
              <w14:schemeClr w14:val="tx1"/>
            </w14:solidFill>
          </w14:textFill>
        </w:rPr>
        <w:t>经调查，评价区内无集中地下水水源地，根据外环境调查，井场附近居民家中</w:t>
      </w:r>
      <w:r>
        <w:rPr>
          <w:rFonts w:hint="eastAsia"/>
          <w:color w:val="000000" w:themeColor="text1"/>
          <w:highlight w:val="none"/>
          <w14:textFill>
            <w14:solidFill>
              <w14:schemeClr w14:val="tx1"/>
            </w14:solidFill>
          </w14:textFill>
        </w:rPr>
        <w:t>主要</w:t>
      </w:r>
      <w:r>
        <w:rPr>
          <w:color w:val="000000" w:themeColor="text1"/>
          <w:highlight w:val="none"/>
          <w14:textFill>
            <w14:solidFill>
              <w14:schemeClr w14:val="tx1"/>
            </w14:solidFill>
          </w14:textFill>
        </w:rPr>
        <w:t>使用</w:t>
      </w:r>
      <w:r>
        <w:rPr>
          <w:rFonts w:hint="eastAsia"/>
          <w:color w:val="000000" w:themeColor="text1"/>
          <w:highlight w:val="none"/>
          <w14:textFill>
            <w14:solidFill>
              <w14:schemeClr w14:val="tx1"/>
            </w14:solidFill>
          </w14:textFill>
        </w:rPr>
        <w:t>山泉水</w:t>
      </w:r>
      <w:r>
        <w:rPr>
          <w:color w:val="000000" w:themeColor="text1"/>
          <w:highlight w:val="none"/>
          <w14:textFill>
            <w14:solidFill>
              <w14:schemeClr w14:val="tx1"/>
            </w14:solidFill>
          </w14:textFill>
        </w:rPr>
        <w:t>作为饮用水源</w:t>
      </w:r>
      <w:r>
        <w:rPr>
          <w:rFonts w:cs="Times New Roman"/>
          <w:bCs/>
          <w:color w:val="000000" w:themeColor="text1"/>
          <w:szCs w:val="24"/>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bookmarkStart w:id="301" w:name="_Toc14702820"/>
      <w:bookmarkStart w:id="302" w:name="_Toc498501600"/>
      <w:r>
        <w:rPr>
          <w:color w:val="000000" w:themeColor="text1"/>
          <w:highlight w:val="none"/>
          <w14:textFill>
            <w14:solidFill>
              <w14:schemeClr w14:val="tx1"/>
            </w14:solidFill>
          </w14:textFill>
        </w:rPr>
        <w:t>环境水文地质调查</w:t>
      </w:r>
      <w:bookmarkEnd w:id="301"/>
      <w:bookmarkEnd w:id="302"/>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按照地下水环境影响评价导则，针对本项目特征，本次调查包括：</w:t>
      </w:r>
      <w:r>
        <w:rPr>
          <w:rFonts w:hint="eastAsia"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原生水文地质问题调查；</w:t>
      </w:r>
      <w:r>
        <w:rPr>
          <w:rFonts w:hint="eastAsia"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地下水污染源分布及类型调查。</w:t>
      </w:r>
    </w:p>
    <w:p>
      <w:pPr>
        <w:ind w:firstLine="482"/>
        <w:rPr>
          <w:b/>
          <w:color w:val="000000" w:themeColor="text1"/>
          <w:highlight w:val="none"/>
          <w14:textFill>
            <w14:solidFill>
              <w14:schemeClr w14:val="tx1"/>
            </w14:solidFill>
          </w14:textFill>
        </w:rPr>
      </w:pPr>
      <w:bookmarkStart w:id="303" w:name="_Toc14702821"/>
      <w:r>
        <w:rPr>
          <w:b/>
          <w:color w:val="000000" w:themeColor="text1"/>
          <w:highlight w:val="none"/>
          <w14:textFill>
            <w14:solidFill>
              <w14:schemeClr w14:val="tx1"/>
            </w14:solidFill>
          </w14:textFill>
        </w:rPr>
        <w:t>（1）原生水文地质问题调查</w:t>
      </w:r>
      <w:bookmarkEnd w:id="303"/>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根据评价区下水水质监测结果，本项目区地下水属于低矿化度淡水，水质情况尚可；根据相关资料及调查访问，评价区未出现地方病等与地下水相关的环境问题。</w:t>
      </w:r>
    </w:p>
    <w:p>
      <w:pPr>
        <w:ind w:firstLine="482"/>
        <w:rPr>
          <w:b/>
          <w:color w:val="000000" w:themeColor="text1"/>
          <w:highlight w:val="none"/>
          <w14:textFill>
            <w14:solidFill>
              <w14:schemeClr w14:val="tx1"/>
            </w14:solidFill>
          </w14:textFill>
        </w:rPr>
      </w:pPr>
      <w:bookmarkStart w:id="304" w:name="_Toc14702822"/>
      <w:r>
        <w:rPr>
          <w:b/>
          <w:color w:val="000000" w:themeColor="text1"/>
          <w:highlight w:val="none"/>
          <w14:textFill>
            <w14:solidFill>
              <w14:schemeClr w14:val="tx1"/>
            </w14:solidFill>
          </w14:textFill>
        </w:rPr>
        <w:t>（2）地下水污染源调查</w:t>
      </w:r>
      <w:bookmarkEnd w:id="304"/>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根据现场调查，评价范围内主要地下水污染源为：分散居民农业生产及生活污水对地下水水质的扰动。</w:t>
      </w:r>
    </w:p>
    <w:p>
      <w:pPr>
        <w:pStyle w:val="4"/>
        <w:spacing w:before="0" w:beforeLines="0"/>
        <w:ind w:firstLine="480"/>
        <w:rPr>
          <w:b/>
          <w:color w:val="000000" w:themeColor="text1"/>
          <w:highlight w:val="none"/>
          <w:lang w:eastAsia="zh-CN"/>
          <w14:textFill>
            <w14:solidFill>
              <w14:schemeClr w14:val="tx1"/>
            </w14:solidFill>
          </w14:textFill>
        </w:rPr>
      </w:pPr>
      <w:bookmarkStart w:id="305" w:name="_Toc120173163"/>
      <w:r>
        <w:rPr>
          <w:color w:val="000000" w:themeColor="text1"/>
          <w:highlight w:val="none"/>
          <w:lang w:eastAsia="zh-CN"/>
          <w14:textFill>
            <w14:solidFill>
              <w14:schemeClr w14:val="tx1"/>
            </w14:solidFill>
          </w14:textFill>
        </w:rPr>
        <w:t>地下水环境功能与环境保护目标</w:t>
      </w:r>
      <w:bookmarkEnd w:id="305"/>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地下水功能划分</w:t>
      </w:r>
    </w:p>
    <w:p>
      <w:pPr>
        <w:ind w:firstLine="480"/>
        <w:rPr>
          <w:color w:val="000000" w:themeColor="text1"/>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确定评价区地下水环境的主要功能是分析地下水环境影响、布置工作重点的重要工作之一。地下水系统是一个具有综合服务功能的开放系统，是维持社会经济发展的重要供水水源，也是维持生态环境系统稳定的重要因素。本研究确定工程区地下水环境功能从两个方面进行：依据《全国地下水功能区划分技术大纲》的要求和规定、根据实地调查的本项目工程区的地下水环境状况</w:t>
      </w:r>
      <w:r>
        <w:rPr>
          <w:color w:val="000000" w:themeColor="text1"/>
          <w:highlight w:val="none"/>
          <w14:textFill>
            <w14:solidFill>
              <w14:schemeClr w14:val="tx1"/>
            </w14:solidFill>
          </w14:textFill>
        </w:rPr>
        <w:t>。</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（1）地下水功能及其划分</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地下水功能是指地下水的水质和水量及其在空间和时间上的变化对人类社会和环境所产生的作用或效应，它由地下水的资源功能、生态环境功能和地质环境功能组成。</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1）地下水的资源功能是指具备一定的补给、储存和更新条件的地下水资源供给保障作用或效应。为了保持地下水的资源供给功能，首先在水量上，地下水要得到可持续的稳定补给，这样才能保障可持续开发。</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地下水的生态功能是指地下水系统对陆表植被或湖泊、湿地或土地质量良性维持的作用或效应，如果地下水系统发生变化，则生态环境出现相应的改变。地表水生态系统（河道基流、湿地、泉水等）和陆地非地带性植被都需要地下水的补给和调节。地下水位下降和水质的恶化对地表生态系统会带来严重影响。</w:t>
      </w:r>
    </w:p>
    <w:p>
      <w:pPr>
        <w:widowControl/>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3）地下水的地质环境功能是指地下水的地质安全保障功能，是指地下水系统对其所赋存的地质环境稳定性所具有支撑和保护的作用或效应，如果地下水系统发生变化，则地质环境出现相应的改变。</w:t>
      </w:r>
    </w:p>
    <w:p>
      <w:pPr>
        <w:widowControl/>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（2）地下水环境调查</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通过对项目区地下水、地表水、居民用水及环境状况调查，本项目位于四川省达州市宣汉县</w:t>
      </w:r>
      <w:r>
        <w:rPr>
          <w:rFonts w:hint="eastAsia"/>
          <w:color w:val="000000" w:themeColor="text1"/>
          <w:highlight w:val="none"/>
          <w14:textFill>
            <w14:solidFill>
              <w14:schemeClr w14:val="tx1"/>
            </w14:solidFill>
          </w14:textFill>
        </w:rPr>
        <w:t>毛坝镇</w:t>
      </w:r>
      <w:r>
        <w:rPr>
          <w:color w:val="000000" w:themeColor="text1"/>
          <w:highlight w:val="none"/>
          <w14:textFill>
            <w14:solidFill>
              <w14:schemeClr w14:val="tx1"/>
            </w14:solidFill>
          </w14:textFill>
        </w:rPr>
        <w:t>，评价区内仅有少数居民分布，井场附近居民</w:t>
      </w:r>
      <w:r>
        <w:rPr>
          <w:rFonts w:hint="eastAsia"/>
          <w:color w:val="000000" w:themeColor="text1"/>
          <w:highlight w:val="none"/>
          <w:lang w:val="en-US" w:eastAsia="zh-CN"/>
          <w14:textFill>
            <w14:solidFill>
              <w14:schemeClr w14:val="tx1"/>
            </w14:solidFill>
          </w14:textFill>
        </w:rPr>
        <w:t>主要</w:t>
      </w:r>
      <w:r>
        <w:rPr>
          <w:color w:val="000000" w:themeColor="text1"/>
          <w:highlight w:val="none"/>
          <w14:textFill>
            <w14:solidFill>
              <w14:schemeClr w14:val="tx1"/>
            </w14:solidFill>
          </w14:textFill>
        </w:rPr>
        <w:t>使用泉水作为饮用水源。</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综上，根据《全国地下水功能区划分技术大纲》的要求和实地调查评价区地下水环境状况，本项目评价区地下水功能为供水水源资源功能</w:t>
      </w:r>
      <w:r>
        <w:rPr>
          <w:color w:val="000000" w:themeColor="text1"/>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地下水环境保护目标</w:t>
      </w:r>
    </w:p>
    <w:p>
      <w:pPr>
        <w:pStyle w:val="21"/>
        <w:spacing w:before="0"/>
        <w:ind w:left="0" w:firstLine="480"/>
        <w:jc w:val="both"/>
        <w:rPr>
          <w:rFonts w:ascii="Times New Roman" w:hAnsi="Times New Roman" w:cstheme="minorBidi"/>
          <w:bCs/>
          <w:color w:val="000000" w:themeColor="text1"/>
          <w:kern w:val="2"/>
          <w:szCs w:val="22"/>
          <w:highlight w:val="none"/>
          <w:lang w:eastAsia="zh-CN"/>
          <w14:textFill>
            <w14:solidFill>
              <w14:schemeClr w14:val="tx1"/>
            </w14:solidFill>
          </w14:textFill>
        </w:rPr>
      </w:pPr>
      <w:r>
        <w:rPr>
          <w:rFonts w:ascii="Times New Roman" w:hAnsi="Times New Roman" w:cstheme="minorBidi"/>
          <w:bCs/>
          <w:color w:val="000000" w:themeColor="text1"/>
          <w:kern w:val="2"/>
          <w:szCs w:val="22"/>
          <w:highlight w:val="none"/>
          <w:lang w:eastAsia="zh-CN"/>
          <w14:textFill>
            <w14:solidFill>
              <w14:schemeClr w14:val="tx1"/>
            </w14:solidFill>
          </w14:textFill>
        </w:rPr>
        <w:t>根据外环境调查，结合项目场地所处水文地质条件，区域地下水总体流向为</w:t>
      </w:r>
      <w:r>
        <w:rPr>
          <w:rFonts w:hint="eastAsia" w:ascii="Times New Roman" w:hAnsi="Times New Roman" w:cstheme="minorBidi"/>
          <w:bCs/>
          <w:color w:val="000000" w:themeColor="text1"/>
          <w:kern w:val="2"/>
          <w:szCs w:val="22"/>
          <w:highlight w:val="none"/>
          <w:lang w:eastAsia="zh-CN"/>
          <w14:textFill>
            <w14:solidFill>
              <w14:schemeClr w14:val="tx1"/>
            </w14:solidFill>
          </w14:textFill>
        </w:rPr>
        <w:t>西北</w:t>
      </w:r>
      <w:r>
        <w:rPr>
          <w:rFonts w:ascii="Times New Roman" w:hAnsi="Times New Roman" w:cstheme="minorBidi"/>
          <w:bCs/>
          <w:color w:val="000000" w:themeColor="text1"/>
          <w:kern w:val="2"/>
          <w:szCs w:val="22"/>
          <w:highlight w:val="none"/>
          <w:lang w:eastAsia="zh-CN"/>
          <w14:textFill>
            <w14:solidFill>
              <w14:schemeClr w14:val="tx1"/>
            </w14:solidFill>
          </w14:textFill>
        </w:rPr>
        <w:t>至</w:t>
      </w:r>
      <w:r>
        <w:rPr>
          <w:rFonts w:hint="eastAsia" w:ascii="Times New Roman" w:hAnsi="Times New Roman" w:cstheme="minorBidi"/>
          <w:bCs/>
          <w:color w:val="000000" w:themeColor="text1"/>
          <w:kern w:val="2"/>
          <w:szCs w:val="22"/>
          <w:highlight w:val="none"/>
          <w:lang w:eastAsia="zh-CN"/>
          <w14:textFill>
            <w14:solidFill>
              <w14:schemeClr w14:val="tx1"/>
            </w14:solidFill>
          </w14:textFill>
        </w:rPr>
        <w:t>东</w:t>
      </w:r>
      <w:r>
        <w:rPr>
          <w:rFonts w:ascii="Times New Roman" w:hAnsi="Times New Roman" w:cstheme="minorBidi"/>
          <w:bCs/>
          <w:color w:val="000000" w:themeColor="text1"/>
          <w:kern w:val="2"/>
          <w:szCs w:val="22"/>
          <w:highlight w:val="none"/>
          <w:lang w:eastAsia="zh-CN"/>
          <w14:textFill>
            <w14:solidFill>
              <w14:schemeClr w14:val="tx1"/>
            </w14:solidFill>
          </w14:textFill>
        </w:rPr>
        <w:t>南，排泄至</w:t>
      </w:r>
      <w:r>
        <w:rPr>
          <w:rFonts w:hint="eastAsia" w:ascii="Times New Roman" w:hAnsi="Times New Roman" w:cstheme="minorBidi"/>
          <w:bCs/>
          <w:color w:val="000000" w:themeColor="text1"/>
          <w:kern w:val="2"/>
          <w:szCs w:val="22"/>
          <w:highlight w:val="none"/>
          <w:lang w:eastAsia="zh-CN"/>
          <w14:textFill>
            <w14:solidFill>
              <w14:schemeClr w14:val="tx1"/>
            </w14:solidFill>
          </w14:textFill>
        </w:rPr>
        <w:t>后河</w:t>
      </w:r>
      <w:r>
        <w:rPr>
          <w:rFonts w:ascii="Times New Roman" w:hAnsi="Times New Roman" w:cstheme="minorBidi"/>
          <w:bCs/>
          <w:color w:val="000000" w:themeColor="text1"/>
          <w:kern w:val="2"/>
          <w:szCs w:val="22"/>
          <w:highlight w:val="none"/>
          <w:lang w:eastAsia="zh-CN"/>
          <w14:textFill>
            <w14:solidFill>
              <w14:schemeClr w14:val="tx1"/>
            </w14:solidFill>
          </w14:textFill>
        </w:rPr>
        <w:t>。项目施工可能受影响的含水层为基岩裂隙水与碎屑岩类裂隙水。本项目地下水环境保护目标见前文“2.9.</w:t>
      </w:r>
      <w:r>
        <w:rPr>
          <w:rFonts w:hint="eastAsia" w:ascii="Times New Roman" w:hAnsi="Times New Roman" w:cstheme="minorBidi"/>
          <w:bCs/>
          <w:color w:val="000000" w:themeColor="text1"/>
          <w:kern w:val="2"/>
          <w:szCs w:val="22"/>
          <w:highlight w:val="none"/>
          <w:lang w:val="en-US" w:eastAsia="zh-CN"/>
          <w14:textFill>
            <w14:solidFill>
              <w14:schemeClr w14:val="tx1"/>
            </w14:solidFill>
          </w14:textFill>
        </w:rPr>
        <w:t>2</w:t>
      </w:r>
      <w:r>
        <w:rPr>
          <w:rFonts w:ascii="Times New Roman" w:hAnsi="Times New Roman" w:cstheme="minorBidi"/>
          <w:bCs/>
          <w:color w:val="000000" w:themeColor="text1"/>
          <w:kern w:val="2"/>
          <w:szCs w:val="22"/>
          <w:highlight w:val="none"/>
          <w:lang w:eastAsia="zh-CN"/>
          <w14:textFill>
            <w14:solidFill>
              <w14:schemeClr w14:val="tx1"/>
            </w14:solidFill>
          </w14:textFill>
        </w:rPr>
        <w:t>外环境关系”。</w:t>
      </w:r>
    </w:p>
    <w:p>
      <w:pPr>
        <w:pStyle w:val="4"/>
        <w:spacing w:before="0" w:beforeLines="0"/>
        <w:ind w:firstLine="480"/>
        <w:rPr>
          <w:b/>
          <w:color w:val="000000" w:themeColor="text1"/>
          <w:highlight w:val="none"/>
          <w:lang w:eastAsia="zh-CN"/>
          <w14:textFill>
            <w14:solidFill>
              <w14:schemeClr w14:val="tx1"/>
            </w14:solidFill>
          </w14:textFill>
        </w:rPr>
      </w:pPr>
      <w:bookmarkStart w:id="306" w:name="_Toc120173164"/>
      <w:r>
        <w:rPr>
          <w:color w:val="000000" w:themeColor="text1"/>
          <w:highlight w:val="none"/>
          <w:lang w:eastAsia="zh-CN"/>
          <w14:textFill>
            <w14:solidFill>
              <w14:schemeClr w14:val="tx1"/>
            </w14:solidFill>
          </w14:textFill>
        </w:rPr>
        <w:t>地下水评价因子及识别</w:t>
      </w:r>
      <w:bookmarkEnd w:id="306"/>
    </w:p>
    <w:p>
      <w:pPr>
        <w:pStyle w:val="21"/>
        <w:spacing w:before="0"/>
        <w:ind w:left="0" w:firstLine="480"/>
        <w:jc w:val="both"/>
        <w:rPr>
          <w:rFonts w:ascii="Times New Roman" w:hAnsi="Times New Roman" w:eastAsia="黑体"/>
          <w:bCs/>
          <w:color w:val="000000" w:themeColor="text1"/>
          <w:kern w:val="2"/>
          <w:highlight w:val="none"/>
          <w:lang w:eastAsia="zh-CN"/>
          <w14:textFill>
            <w14:solidFill>
              <w14:schemeClr w14:val="tx1"/>
            </w14:solidFill>
          </w14:textFill>
        </w:rPr>
      </w:pPr>
      <w:bookmarkStart w:id="307" w:name="_Toc14702795"/>
      <w:bookmarkStart w:id="308" w:name="_Toc9106"/>
      <w:r>
        <w:rPr>
          <w:rFonts w:ascii="Times New Roman" w:hAnsi="Times New Roman" w:eastAsia="黑体"/>
          <w:bCs/>
          <w:color w:val="000000" w:themeColor="text1"/>
          <w:kern w:val="2"/>
          <w:highlight w:val="none"/>
          <w:lang w:eastAsia="zh-CN"/>
          <w14:textFill>
            <w14:solidFill>
              <w14:schemeClr w14:val="tx1"/>
            </w14:solidFill>
          </w14:textFill>
        </w:rPr>
        <w:t>1、地下水环境现状评价因子</w:t>
      </w:r>
      <w:bookmarkEnd w:id="307"/>
      <w:bookmarkEnd w:id="308"/>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地下水环境：K</w:t>
      </w:r>
      <w:r>
        <w:rPr>
          <w:rFonts w:ascii="Times New Roman" w:hAnsi="Times New Roman"/>
          <w:bCs/>
          <w:color w:val="000000" w:themeColor="text1"/>
          <w:kern w:val="2"/>
          <w:highlight w:val="none"/>
          <w:vertAlign w:val="superscript"/>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、Na</w:t>
      </w:r>
      <w:r>
        <w:rPr>
          <w:rFonts w:ascii="Times New Roman" w:hAnsi="Times New Roman"/>
          <w:bCs/>
          <w:color w:val="000000" w:themeColor="text1"/>
          <w:kern w:val="2"/>
          <w:highlight w:val="none"/>
          <w:vertAlign w:val="superscript"/>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、Ca</w:t>
      </w:r>
      <w:r>
        <w:rPr>
          <w:rFonts w:ascii="Times New Roman" w:hAnsi="Times New Roman"/>
          <w:bCs/>
          <w:color w:val="000000" w:themeColor="text1"/>
          <w:kern w:val="2"/>
          <w:highlight w:val="none"/>
          <w:vertAlign w:val="super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、Mg</w:t>
      </w:r>
      <w:r>
        <w:rPr>
          <w:rFonts w:ascii="Times New Roman" w:hAnsi="Times New Roman"/>
          <w:bCs/>
          <w:color w:val="000000" w:themeColor="text1"/>
          <w:kern w:val="2"/>
          <w:highlight w:val="none"/>
          <w:vertAlign w:val="super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、CO</w:t>
      </w:r>
      <w:r>
        <w:rPr>
          <w:rFonts w:ascii="Times New Roman" w:hAnsi="Times New Roman"/>
          <w:bCs/>
          <w:color w:val="000000" w:themeColor="text1"/>
          <w:kern w:val="2"/>
          <w:highlight w:val="none"/>
          <w:vertAlign w:val="subscript"/>
          <w:lang w:eastAsia="zh-CN"/>
          <w14:textFill>
            <w14:solidFill>
              <w14:schemeClr w14:val="tx1"/>
            </w14:solidFill>
          </w14:textFill>
        </w:rPr>
        <w:t>3</w:t>
      </w:r>
      <w:r>
        <w:rPr>
          <w:rFonts w:ascii="Times New Roman" w:hAnsi="Times New Roman"/>
          <w:bCs/>
          <w:color w:val="000000" w:themeColor="text1"/>
          <w:kern w:val="2"/>
          <w:highlight w:val="none"/>
          <w:vertAlign w:val="super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、HCO</w:t>
      </w:r>
      <w:r>
        <w:rPr>
          <w:rFonts w:ascii="Times New Roman" w:hAnsi="Times New Roman"/>
          <w:bCs/>
          <w:color w:val="000000" w:themeColor="text1"/>
          <w:kern w:val="2"/>
          <w:highlight w:val="none"/>
          <w:vertAlign w:val="superscript"/>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t>、Cl</w:t>
      </w:r>
      <w:r>
        <w:rPr>
          <w:rFonts w:ascii="Times New Roman" w:hAnsi="Times New Roman"/>
          <w:bCs/>
          <w:color w:val="000000" w:themeColor="text1"/>
          <w:kern w:val="2"/>
          <w:highlight w:val="none"/>
          <w:vertAlign w:val="superscript"/>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、SO</w:t>
      </w:r>
      <w:r>
        <w:rPr>
          <w:rFonts w:ascii="Times New Roman" w:hAnsi="Times New Roman"/>
          <w:bCs/>
          <w:color w:val="000000" w:themeColor="text1"/>
          <w:kern w:val="2"/>
          <w:highlight w:val="none"/>
          <w:vertAlign w:val="subscript"/>
          <w:lang w:eastAsia="zh-CN"/>
          <w14:textFill>
            <w14:solidFill>
              <w14:schemeClr w14:val="tx1"/>
            </w14:solidFill>
          </w14:textFill>
        </w:rPr>
        <w:t>4</w:t>
      </w:r>
      <w:r>
        <w:rPr>
          <w:rFonts w:ascii="Times New Roman" w:hAnsi="Times New Roman"/>
          <w:bCs/>
          <w:color w:val="000000" w:themeColor="text1"/>
          <w:kern w:val="2"/>
          <w:highlight w:val="none"/>
          <w:vertAlign w:val="super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、pH、氨氮、硝酸盐、亚硝酸盐、挥发性酚类、氰化物、砷、汞、铬（六价）、总硬度、铅、氟、镉、铁、锰、溶解性总固体、</w:t>
      </w:r>
      <w:r>
        <w:rPr>
          <w:rFonts w:hint="eastAsia" w:ascii="Times New Roman" w:hAnsi="Times New Roman"/>
          <w:bCs/>
          <w:color w:val="000000" w:themeColor="text1"/>
          <w:kern w:val="2"/>
          <w:highlight w:val="none"/>
          <w:lang w:eastAsia="zh-CN"/>
          <w14:textFill>
            <w14:solidFill>
              <w14:schemeClr w14:val="tx1"/>
            </w14:solidFill>
          </w14:textFill>
        </w:rPr>
        <w:t>耗氧量</w:t>
      </w:r>
      <w:r>
        <w:rPr>
          <w:rFonts w:ascii="Times New Roman" w:hAnsi="Times New Roman"/>
          <w:bCs/>
          <w:color w:val="000000" w:themeColor="text1"/>
          <w:kern w:val="2"/>
          <w:highlight w:val="none"/>
          <w:lang w:eastAsia="zh-CN"/>
          <w14:textFill>
            <w14:solidFill>
              <w14:schemeClr w14:val="tx1"/>
            </w14:solidFill>
          </w14:textFill>
        </w:rPr>
        <w:t>、硫酸盐、总大肠菌群、细菌总数。</w:t>
      </w:r>
    </w:p>
    <w:p>
      <w:pPr>
        <w:pStyle w:val="21"/>
        <w:spacing w:before="0"/>
        <w:ind w:left="0" w:firstLine="480"/>
        <w:jc w:val="both"/>
        <w:rPr>
          <w:rFonts w:ascii="Times New Roman" w:hAnsi="Times New Roman" w:eastAsia="黑体"/>
          <w:bCs/>
          <w:color w:val="000000" w:themeColor="text1"/>
          <w:kern w:val="2"/>
          <w:highlight w:val="none"/>
          <w:lang w:eastAsia="zh-CN"/>
          <w14:textFill>
            <w14:solidFill>
              <w14:schemeClr w14:val="tx1"/>
            </w14:solidFill>
          </w14:textFill>
        </w:rPr>
      </w:pPr>
      <w:bookmarkStart w:id="309" w:name="_Toc14702796"/>
      <w:bookmarkStart w:id="310" w:name="_Toc21960"/>
      <w:r>
        <w:rPr>
          <w:rFonts w:ascii="Times New Roman" w:hAnsi="Times New Roman" w:eastAsia="黑体"/>
          <w:bCs/>
          <w:color w:val="000000" w:themeColor="text1"/>
          <w:kern w:val="2"/>
          <w:highlight w:val="none"/>
          <w:lang w:eastAsia="zh-CN"/>
          <w14:textFill>
            <w14:solidFill>
              <w14:schemeClr w14:val="tx1"/>
            </w14:solidFill>
          </w14:textFill>
        </w:rPr>
        <w:t>2、地下水环境影响评价因子</w:t>
      </w:r>
      <w:bookmarkEnd w:id="309"/>
      <w:bookmarkEnd w:id="310"/>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鉴于本项目废水具有氯化物、悬浮物含量高，含石油类、有机物，且变化范围大，水质复杂的特点，类比同类项目，本项目产生废水水质主要含有有机物、石油类、氯离子、无机盐等。</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根据《环境影响评价技术导则-地下水环境》（HJ610-2016），预测因子识别应对项目污染物进行分类后（重金属、持久性污染物和其他类别进行分类），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根据监测资料，本项目拟建地附近潜水含水层地下水水质良好，所有指标均未超过《地下水质量标准》（GB/T14848-2017）中的Ⅲ类标准限值要求。基于本项目废水的水质特征，选择无机离子中等标污染负荷最大的氯离子，持久性污染物中等标污染负荷最大的COD</w:t>
      </w:r>
      <w:r>
        <w:rPr>
          <w:rFonts w:ascii="Times New Roman" w:hAnsi="Times New Roman"/>
          <w:bCs/>
          <w:color w:val="000000" w:themeColor="text1"/>
          <w:kern w:val="2"/>
          <w:highlight w:val="none"/>
          <w:vertAlign w:val="subscript"/>
          <w:lang w:eastAsia="zh-CN"/>
          <w14:textFill>
            <w14:solidFill>
              <w14:schemeClr w14:val="tx1"/>
            </w14:solidFill>
          </w14:textFill>
        </w:rPr>
        <w:t>Cr</w:t>
      </w:r>
      <w:r>
        <w:rPr>
          <w:rFonts w:ascii="Times New Roman" w:hAnsi="Times New Roman"/>
          <w:bCs/>
          <w:color w:val="000000" w:themeColor="text1"/>
          <w:kern w:val="2"/>
          <w:highlight w:val="none"/>
          <w:lang w:eastAsia="zh-CN"/>
          <w14:textFill>
            <w14:solidFill>
              <w14:schemeClr w14:val="tx1"/>
            </w14:solidFill>
          </w14:textFill>
        </w:rPr>
        <w:t>，特征污染因子石油类作为本次评价的预测因子。</w:t>
      </w:r>
    </w:p>
    <w:p>
      <w:pPr>
        <w:pStyle w:val="4"/>
        <w:spacing w:before="0" w:beforeLines="0"/>
        <w:ind w:firstLine="480"/>
        <w:rPr>
          <w:b/>
          <w:color w:val="000000" w:themeColor="text1"/>
          <w:highlight w:val="none"/>
          <w:lang w:eastAsia="zh-CN"/>
          <w14:textFill>
            <w14:solidFill>
              <w14:schemeClr w14:val="tx1"/>
            </w14:solidFill>
          </w14:textFill>
        </w:rPr>
      </w:pPr>
      <w:bookmarkStart w:id="311" w:name="_Toc120173165"/>
      <w:bookmarkStart w:id="312" w:name="_Toc14702804"/>
      <w:r>
        <w:rPr>
          <w:color w:val="000000" w:themeColor="text1"/>
          <w:highlight w:val="none"/>
          <w:lang w:eastAsia="zh-CN"/>
          <w14:textFill>
            <w14:solidFill>
              <w14:schemeClr w14:val="tx1"/>
            </w14:solidFill>
          </w14:textFill>
        </w:rPr>
        <w:t>水文地质参数识别</w:t>
      </w:r>
      <w:bookmarkEnd w:id="311"/>
      <w:bookmarkEnd w:id="312"/>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本次评价充分参考《</w:t>
      </w:r>
      <w:r>
        <w:rPr>
          <w:rFonts w:hint="eastAsia" w:cs="Times New Roman"/>
          <w:color w:val="000000" w:themeColor="text1"/>
          <w:kern w:val="0"/>
          <w:szCs w:val="24"/>
          <w:highlight w:val="none"/>
          <w14:textFill>
            <w14:solidFill>
              <w14:schemeClr w14:val="tx1"/>
            </w14:solidFill>
          </w14:textFill>
        </w:rPr>
        <w:t>大湾408井台钻井及试采</w:t>
      </w:r>
      <w:r>
        <w:rPr>
          <w:rFonts w:cs="Times New Roman"/>
          <w:color w:val="000000" w:themeColor="text1"/>
          <w:kern w:val="0"/>
          <w:szCs w:val="24"/>
          <w:highlight w:val="none"/>
          <w14:textFill>
            <w14:solidFill>
              <w14:schemeClr w14:val="tx1"/>
            </w14:solidFill>
          </w14:textFill>
        </w:rPr>
        <w:t>工程环境影响评价专题》</w:t>
      </w:r>
      <w:r>
        <w:rPr>
          <w:rFonts w:cs="Times New Roman"/>
          <w:color w:val="000000" w:themeColor="text1"/>
          <w:szCs w:val="24"/>
          <w:highlight w:val="none"/>
          <w14:textFill>
            <w14:solidFill>
              <w14:schemeClr w14:val="tx1"/>
            </w14:solidFill>
          </w14:textFill>
        </w:rPr>
        <w:t>《老君4井钻井工程环境影响报告表</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大湾406滚动勘探井地下水环境影响评价专题报告</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M506-1T井产能建设项目地下水环境影响评价专题报告</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大湾4井探工程地下水环境影响评价专题报告 西南交通大学地球科学与环境工程学院 2018.8》</w:t>
      </w:r>
      <w:r>
        <w:rPr>
          <w:rFonts w:cs="Times New Roman"/>
          <w:color w:val="000000" w:themeColor="text1"/>
          <w:kern w:val="0"/>
          <w:szCs w:val="24"/>
          <w:highlight w:val="none"/>
          <w14:textFill>
            <w14:solidFill>
              <w14:schemeClr w14:val="tx1"/>
            </w14:solidFill>
          </w14:textFill>
        </w:rPr>
        <w:t>的地下水环境影响评价成果来选取水文地质参数。项目区域浅层风化带裂隙水储水介质为侏罗系中统上沙溪庙组</w:t>
      </w:r>
      <w:r>
        <w:rPr>
          <w:rFonts w:hint="eastAsia" w:cs="Times New Roman"/>
          <w:color w:val="000000" w:themeColor="text1"/>
          <w:kern w:val="0"/>
          <w:szCs w:val="24"/>
          <w:highlight w:val="none"/>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J</w:t>
      </w:r>
      <w:r>
        <w:rPr>
          <w:rFonts w:cs="Times New Roman"/>
          <w:color w:val="000000" w:themeColor="text1"/>
          <w:kern w:val="0"/>
          <w:szCs w:val="24"/>
          <w:highlight w:val="none"/>
          <w:vertAlign w:val="subscript"/>
          <w14:textFill>
            <w14:solidFill>
              <w14:schemeClr w14:val="tx1"/>
            </w14:solidFill>
          </w14:textFill>
        </w:rPr>
        <w:t>2</w:t>
      </w:r>
      <w:r>
        <w:rPr>
          <w:rFonts w:cs="Times New Roman"/>
          <w:color w:val="000000" w:themeColor="text1"/>
          <w:kern w:val="0"/>
          <w:szCs w:val="24"/>
          <w:highlight w:val="none"/>
          <w14:textFill>
            <w14:solidFill>
              <w14:schemeClr w14:val="tx1"/>
            </w14:solidFill>
          </w14:textFill>
        </w:rPr>
        <w:t>s</w:t>
      </w:r>
      <w:r>
        <w:rPr>
          <w:rFonts w:cs="Times New Roman"/>
          <w:color w:val="000000" w:themeColor="text1"/>
          <w:kern w:val="0"/>
          <w:szCs w:val="24"/>
          <w:highlight w:val="none"/>
          <w:vertAlign w:val="superscript"/>
          <w14:textFill>
            <w14:solidFill>
              <w14:schemeClr w14:val="tx1"/>
            </w14:solidFill>
          </w14:textFill>
        </w:rPr>
        <w:t>2</w:t>
      </w:r>
      <w:r>
        <w:rPr>
          <w:rFonts w:hint="eastAsia" w:cs="Times New Roman"/>
          <w:color w:val="000000" w:themeColor="text1"/>
          <w:kern w:val="0"/>
          <w:szCs w:val="24"/>
          <w:highlight w:val="none"/>
          <w:vertAlign w:val="superscript"/>
          <w14:textFill>
            <w14:solidFill>
              <w14:schemeClr w14:val="tx1"/>
            </w14:solidFill>
          </w14:textFill>
        </w:rPr>
        <w:t>）</w:t>
      </w:r>
      <w:r>
        <w:rPr>
          <w:rFonts w:cs="Times New Roman"/>
          <w:color w:val="000000" w:themeColor="text1"/>
          <w:kern w:val="0"/>
          <w:szCs w:val="24"/>
          <w:highlight w:val="none"/>
          <w14:textFill>
            <w14:solidFill>
              <w14:schemeClr w14:val="tx1"/>
            </w14:solidFill>
          </w14:textFill>
        </w:rPr>
        <w:t>地层，地层岩性为紫红色泥岩、粉砂质泥岩与灰～绿灰色细砂岩、粉砂岩、泥质粉砂岩呈不等厚互层；砂岩类在上部以薄～中层状为主，中、下部以厚层状为主。与下伏下沙溪庙组整合接触</w:t>
      </w:r>
      <w:r>
        <w:rPr>
          <w:rFonts w:cs="Times New Roman"/>
          <w:color w:val="000000" w:themeColor="text1"/>
          <w:szCs w:val="24"/>
          <w:highlight w:val="none"/>
          <w14:textFill>
            <w14:solidFill>
              <w14:schemeClr w14:val="tx1"/>
            </w14:solidFill>
          </w14:textFill>
        </w:rPr>
        <w:t>。</w:t>
      </w:r>
    </w:p>
    <w:p>
      <w:pPr>
        <w:pStyle w:val="4"/>
        <w:spacing w:before="0" w:beforeLines="0"/>
        <w:ind w:firstLine="480"/>
        <w:rPr>
          <w:b/>
          <w:color w:val="000000" w:themeColor="text1"/>
          <w:highlight w:val="none"/>
          <w:lang w:eastAsia="zh-CN"/>
          <w14:textFill>
            <w14:solidFill>
              <w14:schemeClr w14:val="tx1"/>
            </w14:solidFill>
          </w14:textFill>
        </w:rPr>
      </w:pPr>
      <w:bookmarkStart w:id="313" w:name="_Toc120173166"/>
      <w:r>
        <w:rPr>
          <w:color w:val="000000" w:themeColor="text1"/>
          <w:highlight w:val="none"/>
          <w:lang w:eastAsia="zh-CN"/>
          <w14:textFill>
            <w14:solidFill>
              <w14:schemeClr w14:val="tx1"/>
            </w14:solidFill>
          </w14:textFill>
        </w:rPr>
        <w:t>地下水污染源源强分析</w:t>
      </w:r>
      <w:bookmarkEnd w:id="313"/>
    </w:p>
    <w:p>
      <w:pPr>
        <w:pStyle w:val="21"/>
        <w:spacing w:before="0"/>
        <w:ind w:left="0" w:firstLine="480"/>
        <w:jc w:val="both"/>
        <w:rPr>
          <w:rFonts w:ascii="Times New Roman" w:hAnsi="Times New Roman" w:eastAsia="黑体"/>
          <w:bCs/>
          <w:color w:val="000000" w:themeColor="text1"/>
          <w:kern w:val="2"/>
          <w:highlight w:val="none"/>
          <w:lang w:eastAsia="zh-CN"/>
          <w14:textFill>
            <w14:solidFill>
              <w14:schemeClr w14:val="tx1"/>
            </w14:solidFill>
          </w14:textFill>
        </w:rPr>
      </w:pPr>
      <w:r>
        <w:rPr>
          <w:rFonts w:ascii="Times New Roman" w:hAnsi="Times New Roman" w:eastAsia="黑体"/>
          <w:bCs/>
          <w:color w:val="000000" w:themeColor="text1"/>
          <w:kern w:val="2"/>
          <w:highlight w:val="none"/>
          <w:lang w:eastAsia="zh-CN"/>
          <w14:textFill>
            <w14:solidFill>
              <w14:schemeClr w14:val="tx1"/>
            </w14:solidFill>
          </w14:textFill>
        </w:rPr>
        <w:t>1、产污环节分析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钻前工程施工时间短，废水产生量小且为一般施工废水，无特殊污染物，回用于洒水降尘不会对地下水环境造成影响；</w:t>
      </w:r>
      <w:r>
        <w:rPr>
          <w:rFonts w:hint="eastAsia"/>
          <w:bCs/>
          <w:color w:val="000000" w:themeColor="text1"/>
          <w:szCs w:val="24"/>
          <w:highlight w:val="none"/>
          <w14:textFill>
            <w14:solidFill>
              <w14:schemeClr w14:val="tx1"/>
            </w14:solidFill>
          </w14:textFill>
        </w:rPr>
        <w:t>试采</w:t>
      </w:r>
      <w:r>
        <w:rPr>
          <w:bCs/>
          <w:color w:val="000000" w:themeColor="text1"/>
          <w:szCs w:val="24"/>
          <w:highlight w:val="none"/>
          <w14:textFill>
            <w14:solidFill>
              <w14:schemeClr w14:val="tx1"/>
            </w14:solidFill>
          </w14:textFill>
        </w:rPr>
        <w:t>期</w:t>
      </w:r>
      <w:r>
        <w:rPr>
          <w:rFonts w:hint="eastAsia"/>
          <w:bCs/>
          <w:color w:val="000000" w:themeColor="text1"/>
          <w:szCs w:val="24"/>
          <w:highlight w:val="none"/>
          <w14:textFill>
            <w14:solidFill>
              <w14:schemeClr w14:val="tx1"/>
            </w14:solidFill>
          </w14:textFill>
        </w:rPr>
        <w:t>无生活污水产生，</w:t>
      </w:r>
      <w:r>
        <w:rPr>
          <w:rFonts w:hint="eastAsia"/>
          <w:bCs/>
          <w:color w:val="000000" w:themeColor="text1"/>
          <w:szCs w:val="24"/>
          <w:highlight w:val="none"/>
          <w:lang w:eastAsia="zh-CN"/>
          <w14:textFill>
            <w14:solidFill>
              <w14:schemeClr w14:val="tx1"/>
            </w14:solidFill>
          </w14:textFill>
        </w:rPr>
        <w:t>产生的采出水通过大湾408已建分酸分离器分离后由酸液缓冲罐收集后，再外运处理</w:t>
      </w:r>
      <w:r>
        <w:rPr>
          <w:bCs/>
          <w:color w:val="000000" w:themeColor="text1"/>
          <w:szCs w:val="24"/>
          <w:highlight w:val="none"/>
          <w14:textFill>
            <w14:solidFill>
              <w14:schemeClr w14:val="tx1"/>
            </w14:solidFill>
          </w14:textFill>
        </w:rPr>
        <w:t>，</w:t>
      </w:r>
      <w:r>
        <w:rPr>
          <w:rFonts w:hint="eastAsia"/>
          <w:bCs/>
          <w:color w:val="000000" w:themeColor="text1"/>
          <w:szCs w:val="24"/>
          <w:highlight w:val="none"/>
          <w:lang w:eastAsia="zh-CN"/>
          <w14:textFill>
            <w14:solidFill>
              <w14:schemeClr w14:val="tx1"/>
            </w14:solidFill>
          </w14:textFill>
        </w:rPr>
        <w:t>酸液缓冲罐</w:t>
      </w:r>
      <w:r>
        <w:rPr>
          <w:bCs/>
          <w:color w:val="000000" w:themeColor="text1"/>
          <w:szCs w:val="24"/>
          <w:highlight w:val="none"/>
          <w14:textFill>
            <w14:solidFill>
              <w14:schemeClr w14:val="tx1"/>
            </w14:solidFill>
          </w14:textFill>
        </w:rPr>
        <w:t>设置于防渗区，事故情况下也难以入渗地下水系统，钻井工程生活污水</w:t>
      </w:r>
      <w:r>
        <w:rPr>
          <w:color w:val="000000" w:themeColor="text1"/>
          <w:szCs w:val="24"/>
          <w:highlight w:val="none"/>
          <w14:textFill>
            <w14:solidFill>
              <w14:schemeClr w14:val="tx1"/>
            </w14:solidFill>
          </w14:textFill>
        </w:rPr>
        <w:t>经生态厕所收集后定期由密闭罐车拉运至周边生活污水处理厂处理</w:t>
      </w:r>
      <w:r>
        <w:rPr>
          <w:bCs/>
          <w:color w:val="000000" w:themeColor="text1"/>
          <w:szCs w:val="24"/>
          <w:highlight w:val="none"/>
          <w14:textFill>
            <w14:solidFill>
              <w14:schemeClr w14:val="tx1"/>
            </w14:solidFill>
          </w14:textFill>
        </w:rPr>
        <w:t>，都不会对地下水造成污染。本工程建设施工过程中，钻井、固井等井下作业无防渗条件，其污染物下渗可能污染浅层地下水，钻井、固井施工时井场内罐、池泄漏也可能通过井场内未做防渗区域入渗进入地下水，故将钻井、固井作业中污染物可能进入地下水系统作为评价重点，但由于其水循环动力相对较小，其影响范围也相对较小</w:t>
      </w:r>
      <w:r>
        <w:rPr>
          <w:rFonts w:cs="Times New Roman"/>
          <w:bCs/>
          <w:color w:val="000000" w:themeColor="text1"/>
          <w:szCs w:val="24"/>
          <w:highlight w:val="none"/>
          <w14:textFill>
            <w14:solidFill>
              <w14:schemeClr w14:val="tx1"/>
            </w14:solidFill>
          </w14:textFill>
        </w:rPr>
        <w:t>。</w:t>
      </w:r>
    </w:p>
    <w:p>
      <w:pPr>
        <w:pStyle w:val="21"/>
        <w:spacing w:before="0"/>
        <w:ind w:left="0" w:firstLine="480"/>
        <w:jc w:val="both"/>
        <w:rPr>
          <w:rFonts w:ascii="Times New Roman" w:hAnsi="Times New Roman" w:eastAsia="黑体"/>
          <w:bCs/>
          <w:color w:val="000000" w:themeColor="text1"/>
          <w:kern w:val="2"/>
          <w:highlight w:val="none"/>
          <w:lang w:eastAsia="zh-CN"/>
          <w14:textFill>
            <w14:solidFill>
              <w14:schemeClr w14:val="tx1"/>
            </w14:solidFill>
          </w14:textFill>
        </w:rPr>
      </w:pPr>
      <w:bookmarkStart w:id="314" w:name="_Toc14702812"/>
      <w:r>
        <w:rPr>
          <w:rFonts w:ascii="Times New Roman" w:hAnsi="Times New Roman" w:eastAsia="黑体"/>
          <w:bCs/>
          <w:color w:val="000000" w:themeColor="text1"/>
          <w:kern w:val="2"/>
          <w:highlight w:val="none"/>
          <w:lang w:eastAsia="zh-CN"/>
          <w14:textFill>
            <w14:solidFill>
              <w14:schemeClr w14:val="tx1"/>
            </w14:solidFill>
          </w14:textFill>
        </w:rPr>
        <w:t>2、地下水污染源分析</w:t>
      </w:r>
      <w:bookmarkEnd w:id="314"/>
    </w:p>
    <w:p>
      <w:pPr>
        <w:ind w:firstLine="482"/>
        <w:rPr>
          <w:rFonts w:cs="Times New Roman"/>
          <w:b/>
          <w:bCs/>
          <w:color w:val="000000" w:themeColor="text1"/>
          <w:szCs w:val="24"/>
          <w:highlight w:val="none"/>
          <w14:textFill>
            <w14:solidFill>
              <w14:schemeClr w14:val="tx1"/>
            </w14:solidFill>
          </w14:textFill>
        </w:rPr>
      </w:pPr>
      <w:bookmarkStart w:id="315" w:name="_Toc29002"/>
      <w:r>
        <w:rPr>
          <w:rFonts w:cs="Times New Roman"/>
          <w:b/>
          <w:bCs/>
          <w:color w:val="000000" w:themeColor="text1"/>
          <w:szCs w:val="24"/>
          <w:highlight w:val="none"/>
          <w14:textFill>
            <w14:solidFill>
              <w14:schemeClr w14:val="tx1"/>
            </w14:solidFill>
          </w14:textFill>
        </w:rPr>
        <w:t>（1）正常状况</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本项目的地下水污染源主要来自钻井废水、洗井废水、压裂返排液、</w:t>
      </w:r>
      <w:r>
        <w:rPr>
          <w:rFonts w:hint="eastAsia" w:cs="Times New Roman"/>
          <w:color w:val="000000" w:themeColor="text1"/>
          <w:szCs w:val="24"/>
          <w:highlight w:val="none"/>
          <w14:textFill>
            <w14:solidFill>
              <w14:schemeClr w14:val="tx1"/>
            </w14:solidFill>
          </w14:textFill>
        </w:rPr>
        <w:t>场地初期雨水</w:t>
      </w:r>
      <w:r>
        <w:rPr>
          <w:rFonts w:cs="Times New Roman"/>
          <w:color w:val="000000" w:themeColor="text1"/>
          <w:szCs w:val="24"/>
          <w:highlight w:val="none"/>
          <w14:textFill>
            <w14:solidFill>
              <w14:schemeClr w14:val="tx1"/>
            </w14:solidFill>
          </w14:textFill>
        </w:rPr>
        <w:t>及钻井泥浆，柴油机房、储备罐中的油类物质等，这些物质都放置在相应的储备罐或储存池中，一般情况下，只要对各种地下水污染源及时采取回用、转运、防渗等方式处理，就不会对地下水水质产生大的影响。与此同时，井场选址于地质稳定地带，也不受当地河水洪灾危险，正常状况下废水外溢及下渗造成地下水污染的可能性极小。</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本工程按《环境影响评价技术导则—地下水环境》（HJ 610-2016）和《石油化工工程防渗技术规范》（GB/T50934-2013）设计地下水防渗措施，根据《环境影响评价技术导则—地下水环境》（HJ 610-2016）中9.4.2，本工程不进行正常状况情景下的预测。</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（2）非正常状况</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1）污染源分析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非正常状况下本项目对地下水可能产生的不利影响途径主要有以下几个方面：</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钻井初期钻井液渗入浅层地下水；</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罐体循环使用，发生腐蚀使防渗不到位出现废水渗漏，从围堰溢出或者基础防渗不到位入渗地下水，或是在雨季发生泥浆外溢情况，井场设备机油泄漏，生活污水、固废以及钻井所需材料堆放不当，井场污染物收集、存储措施不到位，在雨季产生地面溢流外溢废水进入井场未硬化地面入渗等都有可能造成不同程度的地下水污染；</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物料跑冒滴漏，钻井过程中物料管理不严格、化学品堆放不当、柴油泄漏等物料的跑冒滴漏不同程度的污染地下水；</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④</w:t>
      </w:r>
      <w:r>
        <w:rPr>
          <w:rFonts w:cs="Times New Roman"/>
          <w:color w:val="000000" w:themeColor="text1"/>
          <w:szCs w:val="24"/>
          <w:highlight w:val="none"/>
          <w14:textFill>
            <w14:solidFill>
              <w14:schemeClr w14:val="tx1"/>
            </w14:solidFill>
          </w14:textFill>
        </w:rPr>
        <w:t>放喷池主要收集压裂作业废水，因防渗不到位出现返排液渗漏，有可能造成不同程度的地下水污染；</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⑤</w:t>
      </w:r>
      <w:r>
        <w:rPr>
          <w:rFonts w:cs="Times New Roman"/>
          <w:color w:val="000000" w:themeColor="text1"/>
          <w:szCs w:val="24"/>
          <w:highlight w:val="none"/>
          <w14:textFill>
            <w14:solidFill>
              <w14:schemeClr w14:val="tx1"/>
            </w14:solidFill>
          </w14:textFill>
        </w:rPr>
        <w:t>井口作业区、泥浆循环系统区、泥浆不落地装置区散落的泥浆、废水进入井场未硬化地面入渗；</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⑥</w:t>
      </w:r>
      <w:r>
        <w:rPr>
          <w:rFonts w:cs="Times New Roman"/>
          <w:color w:val="000000" w:themeColor="text1"/>
          <w:szCs w:val="24"/>
          <w:highlight w:val="none"/>
          <w14:textFill>
            <w14:solidFill>
              <w14:schemeClr w14:val="tx1"/>
            </w14:solidFill>
          </w14:textFill>
        </w:rPr>
        <w:t>压裂过程</w:t>
      </w:r>
      <w:r>
        <w:rPr>
          <w:rFonts w:hint="eastAsia" w:cs="Times New Roman"/>
          <w:color w:val="000000" w:themeColor="text1"/>
          <w:szCs w:val="24"/>
          <w:highlight w:val="none"/>
          <w14:textFill>
            <w14:solidFill>
              <w14:schemeClr w14:val="tx1"/>
            </w14:solidFill>
          </w14:textFill>
        </w:rPr>
        <w:t>高压压裂作业导致</w:t>
      </w:r>
      <w:r>
        <w:rPr>
          <w:rFonts w:cs="Times New Roman"/>
          <w:color w:val="000000" w:themeColor="text1"/>
          <w:szCs w:val="24"/>
          <w:highlight w:val="none"/>
          <w14:textFill>
            <w14:solidFill>
              <w14:schemeClr w14:val="tx1"/>
            </w14:solidFill>
          </w14:textFill>
        </w:rPr>
        <w:t>井筒</w:t>
      </w:r>
      <w:r>
        <w:rPr>
          <w:rFonts w:hint="eastAsia" w:cs="Times New Roman"/>
          <w:color w:val="000000" w:themeColor="text1"/>
          <w:szCs w:val="24"/>
          <w:highlight w:val="none"/>
          <w14:textFill>
            <w14:solidFill>
              <w14:schemeClr w14:val="tx1"/>
            </w14:solidFill>
          </w14:textFill>
        </w:rPr>
        <w:t>套管</w:t>
      </w:r>
      <w:r>
        <w:rPr>
          <w:rFonts w:cs="Times New Roman"/>
          <w:color w:val="000000" w:themeColor="text1"/>
          <w:szCs w:val="24"/>
          <w:highlight w:val="none"/>
          <w14:textFill>
            <w14:solidFill>
              <w14:schemeClr w14:val="tx1"/>
            </w14:solidFill>
          </w14:textFill>
        </w:rPr>
        <w:t>破裂，压裂液进入含水层。</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钻井施工过程中若出现上述几种非正常状况，则可能对区域地下水环境产生影响。本项目</w:t>
      </w:r>
      <w:r>
        <w:rPr>
          <w:rFonts w:hint="eastAsia" w:cs="Times New Roman"/>
          <w:color w:val="000000" w:themeColor="text1"/>
          <w:szCs w:val="24"/>
          <w:highlight w:val="none"/>
          <w14:textFill>
            <w14:solidFill>
              <w14:schemeClr w14:val="tx1"/>
            </w14:solidFill>
          </w14:textFill>
        </w:rPr>
        <w:t>浅层钻井前采用预埋导管封隔浅层含水层，同时钻井采取清水钻井液快速钻井，发生钻井液漏失进入浅层地下水含水层的可能性极小，同时即使极端情况下发生钻井液漏失，也是清水和泥土为主的钻井液，无有毒有害物质，不会对地下水造成污染；</w:t>
      </w:r>
      <w:r>
        <w:rPr>
          <w:rFonts w:cs="Times New Roman"/>
          <w:color w:val="000000" w:themeColor="text1"/>
          <w:szCs w:val="24"/>
          <w:highlight w:val="none"/>
          <w14:textFill>
            <w14:solidFill>
              <w14:schemeClr w14:val="tx1"/>
            </w14:solidFill>
          </w14:textFill>
        </w:rPr>
        <w:t>本项目采取分区分级防渗：场地内方井、泥浆循环系统区域、泥浆不落地系统区域（含油桶堆放区）、泥浆储备罐区、循环罐区、柴油罐区、放喷池、油基岩屑暂存区、埋地管道等采取重点防渗措施；井架基础、发电机房、钻井固废暂存区、气源房、材料棚、雨、污分流区域以及厕所等区域采取一般防渗措施；其他区域等采取简单防渗措施。本项目除放喷池直接采用池体外，其他存放污水和泥浆装置均为罐体且安装于防渗地面上，能及时发现泄漏和收集处理，放喷池使用时间短且重点防渗，同时对跑冒滴漏等散落在井场的污染物及时收集，可有效避免地表污染物入渗。因此非正常情况下，对地下水可能造成的</w:t>
      </w:r>
      <w:r>
        <w:rPr>
          <w:rFonts w:hint="eastAsia" w:cs="Times New Roman"/>
          <w:color w:val="000000" w:themeColor="text1"/>
          <w:szCs w:val="24"/>
          <w:highlight w:val="none"/>
          <w14:textFill>
            <w14:solidFill>
              <w14:schemeClr w14:val="tx1"/>
            </w14:solidFill>
          </w14:textFill>
        </w:rPr>
        <w:t>影响</w:t>
      </w:r>
      <w:r>
        <w:rPr>
          <w:rFonts w:cs="Times New Roman"/>
          <w:color w:val="000000" w:themeColor="text1"/>
          <w:szCs w:val="24"/>
          <w:highlight w:val="none"/>
          <w14:textFill>
            <w14:solidFill>
              <w14:schemeClr w14:val="tx1"/>
            </w14:solidFill>
          </w14:textFill>
        </w:rPr>
        <w:t>主要是放喷池泄漏和压裂过程井筒破裂。</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2）源强分析</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废水泄漏</w:t>
      </w:r>
    </w:p>
    <w:p>
      <w:pPr>
        <w:ind w:firstLine="480"/>
        <w:rPr>
          <w:rFonts w:cs="Times New Roman"/>
          <w:snapToGrid w:val="0"/>
          <w:color w:val="000000" w:themeColor="text1"/>
          <w:szCs w:val="24"/>
          <w:highlight w:val="none"/>
          <w14:textFill>
            <w14:solidFill>
              <w14:schemeClr w14:val="tx1"/>
            </w14:solidFill>
          </w14:textFill>
        </w:rPr>
      </w:pPr>
      <w:r>
        <w:rPr>
          <w:rFonts w:cs="Times New Roman"/>
          <w:snapToGrid w:val="0"/>
          <w:color w:val="000000" w:themeColor="text1"/>
          <w:szCs w:val="24"/>
          <w:highlight w:val="none"/>
          <w14:textFill>
            <w14:solidFill>
              <w14:schemeClr w14:val="tx1"/>
            </w14:solidFill>
          </w14:textFill>
        </w:rPr>
        <w:t>本项目在井场界外设置有放喷池</w:t>
      </w:r>
      <w:r>
        <w:rPr>
          <w:rFonts w:hint="eastAsia" w:cs="Times New Roman"/>
          <w:snapToGrid w:val="0"/>
          <w:color w:val="000000" w:themeColor="text1"/>
          <w:szCs w:val="24"/>
          <w:highlight w:val="none"/>
          <w14:textFill>
            <w14:solidFill>
              <w14:schemeClr w14:val="tx1"/>
            </w14:solidFill>
          </w14:textFill>
        </w:rPr>
        <w:t>2</w:t>
      </w:r>
      <w:r>
        <w:rPr>
          <w:rFonts w:cs="Times New Roman"/>
          <w:snapToGrid w:val="0"/>
          <w:color w:val="000000" w:themeColor="text1"/>
          <w:szCs w:val="24"/>
          <w:highlight w:val="none"/>
          <w14:textFill>
            <w14:solidFill>
              <w14:schemeClr w14:val="tx1"/>
            </w14:solidFill>
          </w14:textFill>
        </w:rPr>
        <w:t>座</w:t>
      </w:r>
      <w:r>
        <w:rPr>
          <w:rFonts w:hint="eastAsia" w:cs="Times New Roman"/>
          <w:snapToGrid w:val="0"/>
          <w:color w:val="000000" w:themeColor="text1"/>
          <w:szCs w:val="24"/>
          <w:highlight w:val="none"/>
          <w14:textFill>
            <w14:solidFill>
              <w14:schemeClr w14:val="tx1"/>
            </w14:solidFill>
          </w14:textFill>
        </w:rPr>
        <w:t>（1座新建、1座利旧）</w:t>
      </w:r>
      <w:r>
        <w:rPr>
          <w:rFonts w:cs="Times New Roman"/>
          <w:snapToGrid w:val="0"/>
          <w:color w:val="000000" w:themeColor="text1"/>
          <w:szCs w:val="24"/>
          <w:highlight w:val="none"/>
          <w14:textFill>
            <w14:solidFill>
              <w14:schemeClr w14:val="tx1"/>
            </w14:solidFill>
          </w14:textFill>
        </w:rPr>
        <w:t>，单座设计容积300m</w:t>
      </w:r>
      <w:r>
        <w:rPr>
          <w:rFonts w:cs="Times New Roman"/>
          <w:snapToGrid w:val="0"/>
          <w:color w:val="000000" w:themeColor="text1"/>
          <w:szCs w:val="24"/>
          <w:highlight w:val="none"/>
          <w:vertAlign w:val="superscript"/>
          <w14:textFill>
            <w14:solidFill>
              <w14:schemeClr w14:val="tx1"/>
            </w14:solidFill>
          </w14:textFill>
        </w:rPr>
        <w:t>3</w:t>
      </w:r>
      <w:r>
        <w:rPr>
          <w:rFonts w:cs="Times New Roman"/>
          <w:snapToGrid w:val="0"/>
          <w:color w:val="000000" w:themeColor="text1"/>
          <w:szCs w:val="24"/>
          <w:highlight w:val="none"/>
          <w14:textFill>
            <w14:solidFill>
              <w14:schemeClr w14:val="tx1"/>
            </w14:solidFill>
          </w14:textFill>
        </w:rPr>
        <w:t>，单个尺寸为</w:t>
      </w:r>
      <w:r>
        <w:rPr>
          <w:rFonts w:cs="Times New Roman"/>
          <w:color w:val="000000" w:themeColor="text1"/>
          <w:szCs w:val="24"/>
          <w:highlight w:val="none"/>
          <w14:textFill>
            <w14:solidFill>
              <w14:schemeClr w14:val="tx1"/>
            </w14:solidFill>
          </w14:textFill>
        </w:rPr>
        <w:t>20m×10m×1.5m</w:t>
      </w:r>
      <w:r>
        <w:rPr>
          <w:rFonts w:cs="Times New Roman"/>
          <w:snapToGrid w:val="0"/>
          <w:color w:val="000000" w:themeColor="text1"/>
          <w:szCs w:val="24"/>
          <w:highlight w:val="none"/>
          <w14:textFill>
            <w14:solidFill>
              <w14:schemeClr w14:val="tx1"/>
            </w14:solidFill>
          </w14:textFill>
        </w:rPr>
        <w:t>，主要在压裂期间用于暂存压裂返排液，储存时间短，在返排液进入放喷池后应及时转运返排液，储存周期不超过10天</w:t>
      </w:r>
      <w:bookmarkStart w:id="316" w:name="_Hlk89072732"/>
      <w:r>
        <w:rPr>
          <w:rFonts w:cs="Times New Roman"/>
          <w:snapToGrid w:val="0"/>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本项目单井加砂压裂液的返排周期约3</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5d</w:t>
      </w:r>
      <w:r>
        <w:rPr>
          <w:rFonts w:cs="Times New Roman"/>
          <w:snapToGrid w:val="0"/>
          <w:color w:val="000000" w:themeColor="text1"/>
          <w:szCs w:val="24"/>
          <w:highlight w:val="none"/>
          <w14:textFill>
            <w14:solidFill>
              <w14:schemeClr w14:val="tx1"/>
            </w14:solidFill>
          </w14:textFill>
        </w:rPr>
        <w:t>）</w:t>
      </w:r>
      <w:bookmarkEnd w:id="316"/>
      <w:r>
        <w:rPr>
          <w:rFonts w:cs="Times New Roman"/>
          <w:snapToGrid w:val="0"/>
          <w:color w:val="000000" w:themeColor="text1"/>
          <w:szCs w:val="24"/>
          <w:highlight w:val="none"/>
          <w14:textFill>
            <w14:solidFill>
              <w14:schemeClr w14:val="tx1"/>
            </w14:solidFill>
          </w14:textFill>
        </w:rPr>
        <w:t>，因此假定放喷池池底产生裂缝，压裂返排液通过裂缝逐渐渗漏到地下含水层中，对地下水水质造成污染</w:t>
      </w:r>
      <w:r>
        <w:rPr>
          <w:rFonts w:hint="eastAsia" w:cs="Times New Roman"/>
          <w:snapToGrid w:val="0"/>
          <w:color w:val="000000" w:themeColor="text1"/>
          <w:szCs w:val="24"/>
          <w:highlight w:val="none"/>
          <w14:textFill>
            <w14:solidFill>
              <w14:schemeClr w14:val="tx1"/>
            </w14:solidFill>
          </w14:textFill>
        </w:rPr>
        <w:t>，污</w:t>
      </w:r>
      <w:r>
        <w:rPr>
          <w:rFonts w:cs="Times New Roman"/>
          <w:snapToGrid w:val="0"/>
          <w:color w:val="000000" w:themeColor="text1"/>
          <w:szCs w:val="24"/>
          <w:highlight w:val="none"/>
          <w14:textFill>
            <w14:solidFill>
              <w14:schemeClr w14:val="tx1"/>
            </w14:solidFill>
          </w14:textFill>
        </w:rPr>
        <w:t>染源类型为短时源强。根据</w:t>
      </w:r>
      <w:r>
        <w:rPr>
          <w:rFonts w:hint="eastAsia" w:cs="Times New Roman"/>
          <w:snapToGrid w:val="0"/>
          <w:color w:val="000000" w:themeColor="text1"/>
          <w:szCs w:val="24"/>
          <w:highlight w:val="none"/>
          <w14:textFill>
            <w14:solidFill>
              <w14:schemeClr w14:val="tx1"/>
            </w14:solidFill>
          </w14:textFill>
        </w:rPr>
        <w:t>放喷</w:t>
      </w:r>
      <w:r>
        <w:rPr>
          <w:rFonts w:cs="Times New Roman"/>
          <w:snapToGrid w:val="0"/>
          <w:color w:val="000000" w:themeColor="text1"/>
          <w:szCs w:val="24"/>
          <w:highlight w:val="none"/>
          <w14:textFill>
            <w14:solidFill>
              <w14:schemeClr w14:val="tx1"/>
            </w14:solidFill>
          </w14:textFill>
        </w:rPr>
        <w:t>池对地下水的影响途径来设定主要污染源的分布位置，选定优先控制的污染物，预测事故工况下污染物在地下水中迁移过程，进一步分析污染物影响范围、超标范围和迁出场区后浓度变化。</w:t>
      </w:r>
    </w:p>
    <w:p>
      <w:pPr>
        <w:ind w:firstLine="480"/>
        <w:rPr>
          <w:rFonts w:cs="Times New Roman"/>
          <w:color w:val="000000" w:themeColor="text1"/>
          <w:szCs w:val="24"/>
          <w:highlight w:val="none"/>
          <w14:textFill>
            <w14:solidFill>
              <w14:schemeClr w14:val="tx1"/>
            </w14:solidFill>
          </w14:textFill>
        </w:rPr>
      </w:pPr>
      <w:r>
        <w:rPr>
          <w:rFonts w:cs="Times New Roman"/>
          <w:snapToGrid w:val="0"/>
          <w:color w:val="000000" w:themeColor="text1"/>
          <w:szCs w:val="24"/>
          <w:highlight w:val="none"/>
          <w14:textFill>
            <w14:solidFill>
              <w14:schemeClr w14:val="tx1"/>
            </w14:solidFill>
          </w14:textFill>
        </w:rPr>
        <w:t>根据类比防渗池体泄漏情况，一般泄漏面积因池子面积大小而不同，参考</w:t>
      </w:r>
      <w:r>
        <w:rPr>
          <w:rFonts w:hint="eastAsia" w:cs="Times New Roman"/>
          <w:snapToGrid w:val="0"/>
          <w:color w:val="000000" w:themeColor="text1"/>
          <w:szCs w:val="24"/>
          <w:highlight w:val="none"/>
          <w14:textFill>
            <w14:solidFill>
              <w14:schemeClr w14:val="tx1"/>
            </w14:solidFill>
          </w14:textFill>
        </w:rPr>
        <w:t>同类项目</w:t>
      </w:r>
      <w:r>
        <w:rPr>
          <w:rFonts w:cs="Times New Roman"/>
          <w:snapToGrid w:val="0"/>
          <w:color w:val="000000" w:themeColor="text1"/>
          <w:szCs w:val="24"/>
          <w:highlight w:val="none"/>
          <w14:textFill>
            <w14:solidFill>
              <w14:schemeClr w14:val="tx1"/>
            </w14:solidFill>
          </w14:textFill>
        </w:rPr>
        <w:t>放喷池检修过程中池子破损的面积统计数据，300m</w:t>
      </w:r>
      <w:r>
        <w:rPr>
          <w:rFonts w:cs="Times New Roman"/>
          <w:snapToGrid w:val="0"/>
          <w:color w:val="000000" w:themeColor="text1"/>
          <w:szCs w:val="24"/>
          <w:highlight w:val="none"/>
          <w:vertAlign w:val="superscript"/>
          <w14:textFill>
            <w14:solidFill>
              <w14:schemeClr w14:val="tx1"/>
            </w14:solidFill>
          </w14:textFill>
        </w:rPr>
        <w:t>3</w:t>
      </w:r>
      <w:r>
        <w:rPr>
          <w:rFonts w:cs="Times New Roman"/>
          <w:snapToGrid w:val="0"/>
          <w:color w:val="000000" w:themeColor="text1"/>
          <w:szCs w:val="24"/>
          <w:highlight w:val="none"/>
          <w14:textFill>
            <w14:solidFill>
              <w14:schemeClr w14:val="tx1"/>
            </w14:solidFill>
          </w14:textFill>
        </w:rPr>
        <w:t>放喷池破损面积在0</w:t>
      </w:r>
      <w:r>
        <w:rPr>
          <w:rFonts w:hint="eastAsia" w:cs="Times New Roman"/>
          <w:snapToGrid w:val="0"/>
          <w:color w:val="000000" w:themeColor="text1"/>
          <w:szCs w:val="24"/>
          <w:highlight w:val="none"/>
          <w14:textFill>
            <w14:solidFill>
              <w14:schemeClr w14:val="tx1"/>
            </w14:solidFill>
          </w14:textFill>
        </w:rPr>
        <w:t>%～</w:t>
      </w:r>
      <w:r>
        <w:rPr>
          <w:rFonts w:cs="Times New Roman"/>
          <w:snapToGrid w:val="0"/>
          <w:color w:val="000000" w:themeColor="text1"/>
          <w:szCs w:val="24"/>
          <w:highlight w:val="none"/>
          <w14:textFill>
            <w14:solidFill>
              <w14:schemeClr w14:val="tx1"/>
            </w14:solidFill>
          </w14:textFill>
        </w:rPr>
        <w:t>10%之间，大于10%的池体破损还未发现过。假定放喷池渗漏面积为池底总面积的10%（20m</w:t>
      </w:r>
      <w:r>
        <w:rPr>
          <w:rFonts w:cs="Times New Roman"/>
          <w:snapToGrid w:val="0"/>
          <w:color w:val="000000" w:themeColor="text1"/>
          <w:szCs w:val="24"/>
          <w:highlight w:val="none"/>
          <w:vertAlign w:val="superscript"/>
          <w14:textFill>
            <w14:solidFill>
              <w14:schemeClr w14:val="tx1"/>
            </w14:solidFill>
          </w14:textFill>
        </w:rPr>
        <w:t>2</w:t>
      </w:r>
      <w:r>
        <w:rPr>
          <w:rFonts w:cs="Times New Roman"/>
          <w:snapToGrid w:val="0"/>
          <w:color w:val="000000" w:themeColor="text1"/>
          <w:szCs w:val="24"/>
          <w:highlight w:val="none"/>
          <w14:textFill>
            <w14:solidFill>
              <w14:schemeClr w14:val="tx1"/>
            </w14:solidFill>
          </w14:textFill>
        </w:rPr>
        <w:t>），放喷池中存储有废水，废水进入地下属于有压渗透，假定包气带充满水，按达西公式计算源强，公式如下：</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drawing>
          <wp:inline distT="0" distB="0" distL="0" distR="0">
            <wp:extent cx="974090" cy="379730"/>
            <wp:effectExtent l="0" t="0" r="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974090" cy="379730"/>
                    </a:xfrm>
                    <a:prstGeom prst="rect">
                      <a:avLst/>
                    </a:prstGeom>
                    <a:noFill/>
                    <a:ln>
                      <a:noFill/>
                    </a:ln>
                  </pic:spPr>
                </pic:pic>
              </a:graphicData>
            </a:graphic>
          </wp:inline>
        </w:drawing>
      </w:r>
    </w:p>
    <w:p>
      <w:pPr>
        <w:ind w:firstLine="424" w:firstLineChars="177"/>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式中：</w:t>
      </w:r>
    </w:p>
    <w:p>
      <w:pPr>
        <w:ind w:firstLine="991" w:firstLineChars="413"/>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Q—渗入到地下水的污水量；</w:t>
      </w:r>
    </w:p>
    <w:p>
      <w:pPr>
        <w:ind w:firstLine="991" w:firstLineChars="413"/>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K—地面垂向渗透系数，0.133m/d（取1.54×10</w:t>
      </w:r>
      <w:r>
        <w:rPr>
          <w:rFonts w:cs="Times New Roman"/>
          <w:bCs/>
          <w:color w:val="000000" w:themeColor="text1"/>
          <w:szCs w:val="24"/>
          <w:highlight w:val="none"/>
          <w:vertAlign w:val="superscript"/>
          <w14:textFill>
            <w14:solidFill>
              <w14:schemeClr w14:val="tx1"/>
            </w14:solidFill>
          </w14:textFill>
        </w:rPr>
        <w:t>-4</w:t>
      </w:r>
      <w:r>
        <w:rPr>
          <w:rFonts w:cs="Times New Roman"/>
          <w:bCs/>
          <w:color w:val="000000" w:themeColor="text1"/>
          <w:szCs w:val="24"/>
          <w:highlight w:val="none"/>
          <w14:textFill>
            <w14:solidFill>
              <w14:schemeClr w14:val="tx1"/>
            </w14:solidFill>
          </w14:textFill>
        </w:rPr>
        <w:t>cm/s）；</w:t>
      </w:r>
    </w:p>
    <w:p>
      <w:pPr>
        <w:ind w:firstLine="991" w:firstLineChars="413"/>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H—池内水深，按可能最大水深取1.3m；</w:t>
      </w:r>
    </w:p>
    <w:p>
      <w:pPr>
        <w:ind w:firstLine="991" w:firstLineChars="413"/>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D—地下水埋深，按最不利场地取3m；</w:t>
      </w:r>
    </w:p>
    <w:p>
      <w:pPr>
        <w:ind w:firstLine="991" w:firstLineChars="413"/>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A—池底泄漏面积（m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），取20m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根据计算，本项目泄漏量约为3.73m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/d，放喷池储存周期最长为10天，即持续渗漏持续时间为10d，渗漏量为37.3m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压裂过程井筒破裂</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事故工况下，压裂过程中导致井筒破裂，排放形式可概化为点源，排放规律可简化为非连续恒定排放，瞬时泄漏量按单段压裂液（</w:t>
      </w:r>
      <w:r>
        <w:rPr>
          <w:rFonts w:hint="eastAsia" w:cs="Times New Roman"/>
          <w:color w:val="000000" w:themeColor="text1"/>
          <w:szCs w:val="24"/>
          <w:highlight w:val="none"/>
          <w14:textFill>
            <w14:solidFill>
              <w14:schemeClr w14:val="tx1"/>
            </w14:solidFill>
          </w14:textFill>
        </w:rPr>
        <w:t>平均约</w:t>
      </w:r>
      <w:r>
        <w:rPr>
          <w:rFonts w:cs="Times New Roman"/>
          <w:color w:val="000000" w:themeColor="text1"/>
          <w:szCs w:val="24"/>
          <w:highlight w:val="none"/>
          <w14:textFill>
            <w14:solidFill>
              <w14:schemeClr w14:val="tx1"/>
            </w14:solidFill>
          </w14:textFill>
        </w:rPr>
        <w:t>230m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）用量的10%，泄露时间假定为10min，因此瞬时泄漏量为23m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，非正常情况下污染源强统计表见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_Ref142858772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17" w:name="_Ref14285877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317"/>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非正常情况下污染源源强统计表</w:t>
      </w:r>
    </w:p>
    <w:bookmarkEnd w:id="315"/>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1369"/>
        <w:gridCol w:w="1541"/>
        <w:gridCol w:w="1370"/>
        <w:gridCol w:w="1371"/>
        <w:gridCol w:w="1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00" w:type="dxa"/>
            <w:vAlign w:val="center"/>
          </w:tcPr>
          <w:p>
            <w:pPr>
              <w:pStyle w:val="297"/>
              <w:rPr>
                <w:b/>
                <w:bCs/>
                <w:color w:val="000000" w:themeColor="text1"/>
                <w:highlight w:val="none"/>
                <w14:textFill>
                  <w14:solidFill>
                    <w14:schemeClr w14:val="tx1"/>
                  </w14:solidFill>
                </w14:textFill>
              </w:rPr>
            </w:pPr>
            <w:bookmarkStart w:id="318" w:name="_Toc120173167"/>
            <w:r>
              <w:rPr>
                <w:b/>
                <w:bCs/>
                <w:color w:val="000000" w:themeColor="text1"/>
                <w:highlight w:val="none"/>
                <w14:textFill>
                  <w14:solidFill>
                    <w14:schemeClr w14:val="tx1"/>
                  </w14:solidFill>
                </w14:textFill>
              </w:rPr>
              <w:t>泄漏位置</w:t>
            </w:r>
          </w:p>
        </w:tc>
        <w:tc>
          <w:tcPr>
            <w:tcW w:w="136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特征污染物</w:t>
            </w:r>
          </w:p>
        </w:tc>
        <w:tc>
          <w:tcPr>
            <w:tcW w:w="154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浓度（mg/L）</w:t>
            </w:r>
          </w:p>
        </w:tc>
        <w:tc>
          <w:tcPr>
            <w:tcW w:w="137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泄漏量（kg）</w:t>
            </w:r>
          </w:p>
        </w:tc>
        <w:tc>
          <w:tcPr>
            <w:tcW w:w="137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泄漏时间</w:t>
            </w:r>
          </w:p>
        </w:tc>
        <w:tc>
          <w:tcPr>
            <w:tcW w:w="137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含水层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放喷池破裂</w:t>
            </w:r>
          </w:p>
        </w:tc>
        <w:tc>
          <w:tcPr>
            <w:tcW w:w="1369" w:type="dxa"/>
            <w:vAlign w:val="center"/>
          </w:tcPr>
          <w:p>
            <w:pPr>
              <w:pStyle w:val="297"/>
              <w:rPr>
                <w:snapToGrid w:val="0"/>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COD</w:t>
            </w:r>
            <w:r>
              <w:rPr>
                <w:color w:val="000000" w:themeColor="text1"/>
                <w:highlight w:val="none"/>
                <w:vertAlign w:val="subscript"/>
                <w14:textFill>
                  <w14:solidFill>
                    <w14:schemeClr w14:val="tx1"/>
                  </w14:solidFill>
                </w14:textFill>
              </w:rPr>
              <w:t>Cr</w:t>
            </w:r>
          </w:p>
        </w:tc>
        <w:tc>
          <w:tcPr>
            <w:tcW w:w="1541"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5000</w:t>
            </w:r>
          </w:p>
        </w:tc>
        <w:tc>
          <w:tcPr>
            <w:tcW w:w="1370" w:type="dxa"/>
            <w:vAlign w:val="center"/>
          </w:tcPr>
          <w:p>
            <w:pPr>
              <w:pStyle w:val="297"/>
              <w:rPr>
                <w:snapToGrid w:val="0"/>
                <w:color w:val="000000" w:themeColor="text1"/>
                <w:highlight w:val="none"/>
                <w14:textFill>
                  <w14:solidFill>
                    <w14:schemeClr w14:val="tx1"/>
                  </w14:solidFill>
                </w14:textFill>
              </w:rPr>
            </w:pPr>
            <w:r>
              <w:rPr>
                <w:rFonts w:eastAsia="等线"/>
                <w:color w:val="000000" w:themeColor="text1"/>
                <w:szCs w:val="21"/>
                <w:highlight w:val="none"/>
                <w14:textFill>
                  <w14:solidFill>
                    <w14:schemeClr w14:val="tx1"/>
                  </w14:solidFill>
                </w14:textFill>
              </w:rPr>
              <w:t>186.5</w:t>
            </w:r>
          </w:p>
        </w:tc>
        <w:tc>
          <w:tcPr>
            <w:tcW w:w="1371"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10d</w:t>
            </w: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pStyle w:val="297"/>
              <w:rPr>
                <w:color w:val="000000" w:themeColor="text1"/>
                <w:highlight w:val="none"/>
                <w14:textFill>
                  <w14:solidFill>
                    <w14:schemeClr w14:val="tx1"/>
                  </w14:solidFill>
                </w14:textFill>
              </w:rPr>
            </w:pPr>
          </w:p>
        </w:tc>
        <w:tc>
          <w:tcPr>
            <w:tcW w:w="1369"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石油类</w:t>
            </w:r>
          </w:p>
        </w:tc>
        <w:tc>
          <w:tcPr>
            <w:tcW w:w="1541"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200</w:t>
            </w:r>
          </w:p>
        </w:tc>
        <w:tc>
          <w:tcPr>
            <w:tcW w:w="1370" w:type="dxa"/>
            <w:vAlign w:val="center"/>
          </w:tcPr>
          <w:p>
            <w:pPr>
              <w:pStyle w:val="297"/>
              <w:rPr>
                <w:snapToGrid w:val="0"/>
                <w:color w:val="000000" w:themeColor="text1"/>
                <w:highlight w:val="none"/>
                <w14:textFill>
                  <w14:solidFill>
                    <w14:schemeClr w14:val="tx1"/>
                  </w14:solidFill>
                </w14:textFill>
              </w:rPr>
            </w:pPr>
            <w:r>
              <w:rPr>
                <w:rFonts w:eastAsia="等线"/>
                <w:color w:val="000000" w:themeColor="text1"/>
                <w:szCs w:val="21"/>
                <w:highlight w:val="none"/>
                <w14:textFill>
                  <w14:solidFill>
                    <w14:schemeClr w14:val="tx1"/>
                  </w14:solidFill>
                </w14:textFill>
              </w:rPr>
              <w:t>7.46</w:t>
            </w:r>
          </w:p>
        </w:tc>
        <w:tc>
          <w:tcPr>
            <w:tcW w:w="1371" w:type="dxa"/>
            <w:vMerge w:val="continue"/>
            <w:vAlign w:val="center"/>
          </w:tcPr>
          <w:p>
            <w:pPr>
              <w:pStyle w:val="297"/>
              <w:rPr>
                <w:color w:val="000000" w:themeColor="text1"/>
                <w:highlight w:val="none"/>
                <w14:textFill>
                  <w14:solidFill>
                    <w14:schemeClr w14:val="tx1"/>
                  </w14:solidFill>
                </w14:textFill>
              </w:rPr>
            </w:pP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pStyle w:val="297"/>
              <w:rPr>
                <w:color w:val="000000" w:themeColor="text1"/>
                <w:highlight w:val="none"/>
                <w14:textFill>
                  <w14:solidFill>
                    <w14:schemeClr w14:val="tx1"/>
                  </w14:solidFill>
                </w14:textFill>
              </w:rPr>
            </w:pPr>
          </w:p>
        </w:tc>
        <w:tc>
          <w:tcPr>
            <w:tcW w:w="1369"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氯化物</w:t>
            </w:r>
          </w:p>
        </w:tc>
        <w:tc>
          <w:tcPr>
            <w:tcW w:w="1541"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4000</w:t>
            </w:r>
          </w:p>
        </w:tc>
        <w:tc>
          <w:tcPr>
            <w:tcW w:w="1370" w:type="dxa"/>
            <w:vAlign w:val="center"/>
          </w:tcPr>
          <w:p>
            <w:pPr>
              <w:pStyle w:val="297"/>
              <w:rPr>
                <w:snapToGrid w:val="0"/>
                <w:color w:val="000000" w:themeColor="text1"/>
                <w:highlight w:val="none"/>
                <w14:textFill>
                  <w14:solidFill>
                    <w14:schemeClr w14:val="tx1"/>
                  </w14:solidFill>
                </w14:textFill>
              </w:rPr>
            </w:pPr>
            <w:r>
              <w:rPr>
                <w:rFonts w:eastAsia="等线"/>
                <w:color w:val="000000" w:themeColor="text1"/>
                <w:szCs w:val="21"/>
                <w:highlight w:val="none"/>
                <w14:textFill>
                  <w14:solidFill>
                    <w14:schemeClr w14:val="tx1"/>
                  </w14:solidFill>
                </w14:textFill>
              </w:rPr>
              <w:t>149.2</w:t>
            </w:r>
          </w:p>
        </w:tc>
        <w:tc>
          <w:tcPr>
            <w:tcW w:w="1371" w:type="dxa"/>
            <w:vMerge w:val="continue"/>
            <w:vAlign w:val="center"/>
          </w:tcPr>
          <w:p>
            <w:pPr>
              <w:pStyle w:val="297"/>
              <w:rPr>
                <w:color w:val="000000" w:themeColor="text1"/>
                <w:highlight w:val="none"/>
                <w14:textFill>
                  <w14:solidFill>
                    <w14:schemeClr w14:val="tx1"/>
                  </w14:solidFill>
                </w14:textFill>
              </w:rPr>
            </w:pP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压裂过程中井筒破裂</w:t>
            </w:r>
          </w:p>
        </w:tc>
        <w:tc>
          <w:tcPr>
            <w:tcW w:w="1369"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COD</w:t>
            </w:r>
            <w:r>
              <w:rPr>
                <w:snapToGrid w:val="0"/>
                <w:color w:val="000000" w:themeColor="text1"/>
                <w:highlight w:val="none"/>
                <w:vertAlign w:val="subscript"/>
                <w14:textFill>
                  <w14:solidFill>
                    <w14:schemeClr w14:val="tx1"/>
                  </w14:solidFill>
                </w14:textFill>
              </w:rPr>
              <w:t>Cr</w:t>
            </w:r>
          </w:p>
        </w:tc>
        <w:tc>
          <w:tcPr>
            <w:tcW w:w="1541"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5000</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115</w:t>
            </w:r>
          </w:p>
        </w:tc>
        <w:tc>
          <w:tcPr>
            <w:tcW w:w="1371"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10min</w:t>
            </w: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pStyle w:val="297"/>
              <w:rPr>
                <w:color w:val="000000" w:themeColor="text1"/>
                <w:highlight w:val="none"/>
                <w14:textFill>
                  <w14:solidFill>
                    <w14:schemeClr w14:val="tx1"/>
                  </w14:solidFill>
                </w14:textFill>
              </w:rPr>
            </w:pPr>
          </w:p>
        </w:tc>
        <w:tc>
          <w:tcPr>
            <w:tcW w:w="1369"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石油类</w:t>
            </w:r>
          </w:p>
        </w:tc>
        <w:tc>
          <w:tcPr>
            <w:tcW w:w="1541"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200</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w:t>
            </w:r>
          </w:p>
        </w:tc>
        <w:tc>
          <w:tcPr>
            <w:tcW w:w="1371" w:type="dxa"/>
            <w:vMerge w:val="continue"/>
            <w:vAlign w:val="center"/>
          </w:tcPr>
          <w:p>
            <w:pPr>
              <w:pStyle w:val="297"/>
              <w:rPr>
                <w:color w:val="000000" w:themeColor="text1"/>
                <w:highlight w:val="none"/>
                <w14:textFill>
                  <w14:solidFill>
                    <w14:schemeClr w14:val="tx1"/>
                  </w14:solidFill>
                </w14:textFill>
              </w:rPr>
            </w:pP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潜水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00" w:type="dxa"/>
            <w:vMerge w:val="continue"/>
            <w:vAlign w:val="center"/>
          </w:tcPr>
          <w:p>
            <w:pPr>
              <w:pStyle w:val="297"/>
              <w:rPr>
                <w:color w:val="000000" w:themeColor="text1"/>
                <w:highlight w:val="none"/>
                <w14:textFill>
                  <w14:solidFill>
                    <w14:schemeClr w14:val="tx1"/>
                  </w14:solidFill>
                </w14:textFill>
              </w:rPr>
            </w:pPr>
          </w:p>
        </w:tc>
        <w:tc>
          <w:tcPr>
            <w:tcW w:w="1369"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氯化物</w:t>
            </w:r>
          </w:p>
        </w:tc>
        <w:tc>
          <w:tcPr>
            <w:tcW w:w="1541" w:type="dxa"/>
            <w:vAlign w:val="center"/>
          </w:tcPr>
          <w:p>
            <w:pPr>
              <w:pStyle w:val="297"/>
              <w:rPr>
                <w:snapToGrid w:val="0"/>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t>4000</w:t>
            </w:r>
          </w:p>
        </w:tc>
        <w:tc>
          <w:tcPr>
            <w:tcW w:w="13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92</w:t>
            </w:r>
          </w:p>
        </w:tc>
        <w:tc>
          <w:tcPr>
            <w:tcW w:w="1371" w:type="dxa"/>
            <w:vMerge w:val="continue"/>
            <w:vAlign w:val="center"/>
          </w:tcPr>
          <w:p>
            <w:pPr>
              <w:pStyle w:val="297"/>
              <w:rPr>
                <w:color w:val="000000" w:themeColor="text1"/>
                <w:highlight w:val="none"/>
                <w14:textFill>
                  <w14:solidFill>
                    <w14:schemeClr w14:val="tx1"/>
                  </w14:solidFill>
                </w14:textFill>
              </w:rPr>
            </w:pPr>
          </w:p>
        </w:tc>
        <w:tc>
          <w:tcPr>
            <w:tcW w:w="137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潜水</w:t>
            </w:r>
          </w:p>
        </w:tc>
      </w:tr>
    </w:tbl>
    <w:p>
      <w:pPr>
        <w:pStyle w:val="4"/>
        <w:spacing w:before="120"/>
        <w:ind w:firstLine="480"/>
        <w:rPr>
          <w:b/>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地下水环境影响预测及评价</w:t>
      </w:r>
      <w:bookmarkEnd w:id="318"/>
    </w:p>
    <w:p>
      <w:pPr>
        <w:pStyle w:val="21"/>
        <w:spacing w:before="0"/>
        <w:ind w:left="0" w:firstLine="480"/>
        <w:jc w:val="both"/>
        <w:rPr>
          <w:rFonts w:ascii="Times New Roman" w:hAnsi="Times New Roman" w:eastAsia="黑体"/>
          <w:bCs/>
          <w:color w:val="000000" w:themeColor="text1"/>
          <w:kern w:val="2"/>
          <w:highlight w:val="none"/>
          <w:lang w:eastAsia="zh-CN"/>
          <w14:textFill>
            <w14:solidFill>
              <w14:schemeClr w14:val="tx1"/>
            </w14:solidFill>
          </w14:textFill>
        </w:rPr>
      </w:pPr>
      <w:r>
        <w:rPr>
          <w:rFonts w:ascii="Times New Roman" w:hAnsi="Times New Roman" w:eastAsia="黑体"/>
          <w:bCs/>
          <w:color w:val="000000" w:themeColor="text1"/>
          <w:kern w:val="2"/>
          <w:highlight w:val="none"/>
          <w:lang w:eastAsia="zh-CN"/>
          <w14:textFill>
            <w14:solidFill>
              <w14:schemeClr w14:val="tx1"/>
            </w14:solidFill>
          </w14:textFill>
        </w:rPr>
        <w:t>1、地下水环境影响预测原则</w:t>
      </w:r>
    </w:p>
    <w:p>
      <w:pPr>
        <w:ind w:firstLine="480"/>
        <w:rPr>
          <w:rFonts w:cs="Times New Roman"/>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预测遵循保护地下水资源与环境的原则、遵循环境安全性原则，预测范围、时段、内容和方法根据评价工作等级、工程特征与环境特征，结合当地环境功能和环保要求确定，以拟建项目对地下水资源量、水质的影响及由此而产生的主要环境水文地质问题为重点，预测为评价项目的环境安全和环境保护措施的合理性提供依据。</w:t>
      </w:r>
    </w:p>
    <w:p>
      <w:pPr>
        <w:pStyle w:val="21"/>
        <w:spacing w:before="0"/>
        <w:ind w:left="0" w:firstLine="480"/>
        <w:jc w:val="both"/>
        <w:rPr>
          <w:rFonts w:ascii="Times New Roman" w:hAnsi="Times New Roman" w:eastAsia="黑体"/>
          <w:bCs/>
          <w:color w:val="000000" w:themeColor="text1"/>
          <w:kern w:val="2"/>
          <w:highlight w:val="none"/>
          <w:lang w:eastAsia="zh-CN"/>
          <w14:textFill>
            <w14:solidFill>
              <w14:schemeClr w14:val="tx1"/>
            </w14:solidFill>
          </w14:textFill>
        </w:rPr>
      </w:pPr>
      <w:r>
        <w:rPr>
          <w:rFonts w:ascii="Times New Roman" w:hAnsi="Times New Roman" w:eastAsia="黑体"/>
          <w:bCs/>
          <w:color w:val="000000" w:themeColor="text1"/>
          <w:kern w:val="2"/>
          <w:highlight w:val="none"/>
          <w:lang w:eastAsia="zh-CN"/>
          <w14:textFill>
            <w14:solidFill>
              <w14:schemeClr w14:val="tx1"/>
            </w14:solidFill>
          </w14:textFill>
        </w:rPr>
        <w:t>2、模型概化及参数选取</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（1）模型概化</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含有污染物的废水将以入渗的方式进入含水层，从保守角度，本次计算忽略污染物在包气带的运移过程。建设场地地下水流向呈一维流动，地下水位动态稳定，因此污染物在浅层含水层中的迁移，可概化为瞬时注入示踪剂（平面瞬时点源）的一维稳定流动二维水动力弥散问题。本次评价采用《环境影响评价技术导则—地下水》（HJ610-2016）中的地下水一维稳定流二维水动力弥散瞬时注入模式，采用解析法进行估算。</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drawing>
          <wp:inline distT="0" distB="0" distL="0" distR="0">
            <wp:extent cx="2826385" cy="72453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826385" cy="724535"/>
                    </a:xfrm>
                    <a:prstGeom prst="rect">
                      <a:avLst/>
                    </a:prstGeom>
                    <a:noFill/>
                    <a:ln>
                      <a:noFill/>
                    </a:ln>
                  </pic:spPr>
                </pic:pic>
              </a:graphicData>
            </a:graphic>
          </wp:inline>
        </w:drawing>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式中：</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x，y—计算点处的位置坐标；</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t—时间，d；</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C（x，y，t）—t时刻点x，y处的示踪剂浓度，g/L；</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M—含水层的厚度，m；</w:t>
      </w:r>
    </w:p>
    <w:p>
      <w:pPr>
        <w:ind w:firstLine="480"/>
        <w:rPr>
          <w:rFonts w:cs="Times New Roman"/>
          <w:color w:val="000000" w:themeColor="text1"/>
          <w:szCs w:val="24"/>
          <w:highlight w:val="none"/>
          <w14:textFill>
            <w14:solidFill>
              <w14:schemeClr w14:val="tx1"/>
            </w14:solidFill>
          </w14:textFill>
        </w:rPr>
      </w:pPr>
      <m:oMath>
        <m:sSub>
          <m:sSubPr>
            <m:ctrlPr>
              <w:rPr>
                <w:rFonts w:ascii="Cambria Math" w:hAnsi="Cambria Math" w:cs="Times New Roman"/>
                <w:i/>
                <w:snapToGrid w:val="0"/>
                <w:color w:val="000000" w:themeColor="text1"/>
                <w:szCs w:val="24"/>
                <w:highlight w:val="none"/>
                <w14:textFill>
                  <w14:solidFill>
                    <w14:schemeClr w14:val="tx1"/>
                  </w14:solidFill>
                </w14:textFill>
              </w:rPr>
            </m:ctrlPr>
          </m:sSubPr>
          <m:e>
            <m:r>
              <m:rPr/>
              <w:rPr>
                <w:rFonts w:ascii="Cambria Math" w:hAnsi="Cambria Math" w:cs="Times New Roman"/>
                <w:snapToGrid w:val="0"/>
                <w:color w:val="000000" w:themeColor="text1"/>
                <w:szCs w:val="24"/>
                <w:highlight w:val="none"/>
                <w14:textFill>
                  <w14:solidFill>
                    <w14:schemeClr w14:val="tx1"/>
                  </w14:solidFill>
                </w14:textFill>
              </w:rPr>
              <m:t>m</m:t>
            </m:r>
            <m:ctrlPr>
              <w:rPr>
                <w:rFonts w:ascii="Cambria Math" w:hAnsi="Cambria Math" w:cs="Times New Roman"/>
                <w:i/>
                <w:snapToGrid w:val="0"/>
                <w:color w:val="000000" w:themeColor="text1"/>
                <w:szCs w:val="24"/>
                <w:highlight w:val="none"/>
                <w14:textFill>
                  <w14:solidFill>
                    <w14:schemeClr w14:val="tx1"/>
                  </w14:solidFill>
                </w14:textFill>
              </w:rPr>
            </m:ctrlPr>
          </m:e>
          <m:sub>
            <m:r>
              <m:rPr/>
              <w:rPr>
                <w:rFonts w:ascii="Cambria Math" w:hAnsi="Cambria Math" w:cs="Times New Roman"/>
                <w:snapToGrid w:val="0"/>
                <w:color w:val="000000" w:themeColor="text1"/>
                <w:szCs w:val="24"/>
                <w:highlight w:val="none"/>
                <w14:textFill>
                  <w14:solidFill>
                    <w14:schemeClr w14:val="tx1"/>
                  </w14:solidFill>
                </w14:textFill>
              </w:rPr>
              <m:t>M</m:t>
            </m:r>
            <m:ctrlPr>
              <w:rPr>
                <w:rFonts w:ascii="Cambria Math" w:hAnsi="Cambria Math" w:cs="Times New Roman"/>
                <w:i/>
                <w:snapToGrid w:val="0"/>
                <w:color w:val="000000" w:themeColor="text1"/>
                <w:szCs w:val="24"/>
                <w:highlight w:val="none"/>
                <w14:textFill>
                  <w14:solidFill>
                    <w14:schemeClr w14:val="tx1"/>
                  </w14:solidFill>
                </w14:textFill>
              </w:rPr>
            </m:ctrlPr>
          </m:sub>
        </m:sSub>
      </m:oMath>
      <w:r>
        <w:rPr>
          <w:rFonts w:cs="Times New Roman"/>
          <w:color w:val="000000" w:themeColor="text1"/>
          <w:szCs w:val="24"/>
          <w:highlight w:val="none"/>
          <w14:textFill>
            <w14:solidFill>
              <w14:schemeClr w14:val="tx1"/>
            </w14:solidFill>
          </w14:textFill>
        </w:rPr>
        <w:t>—瞬时注入示踪剂的质量，kg；</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u—水流速度，m/d；</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n—有效孔隙度，无量纲；</w:t>
      </w:r>
    </w:p>
    <w:p>
      <w:pPr>
        <w:ind w:firstLine="480"/>
        <w:rPr>
          <w:rFonts w:cs="Times New Roman"/>
          <w:color w:val="000000" w:themeColor="text1"/>
          <w:szCs w:val="24"/>
          <w:highlight w:val="none"/>
          <w14:textFill>
            <w14:solidFill>
              <w14:schemeClr w14:val="tx1"/>
            </w14:solidFill>
          </w14:textFill>
        </w:rPr>
      </w:pPr>
      <m:oMath>
        <m:sSub>
          <m:sSubPr>
            <m:ctrlPr>
              <w:rPr>
                <w:rFonts w:ascii="Cambria Math" w:hAnsi="Cambria Math" w:cs="Times New Roman"/>
                <w:i/>
                <w:snapToGrid w:val="0"/>
                <w:color w:val="000000" w:themeColor="text1"/>
                <w:szCs w:val="24"/>
                <w:highlight w:val="none"/>
                <w14:textFill>
                  <w14:solidFill>
                    <w14:schemeClr w14:val="tx1"/>
                  </w14:solidFill>
                </w14:textFill>
              </w:rPr>
            </m:ctrlPr>
          </m:sSubPr>
          <m:e>
            <m:r>
              <m:rPr/>
              <w:rPr>
                <w:rFonts w:ascii="Cambria Math" w:hAnsi="Cambria Math" w:cs="Times New Roman"/>
                <w:snapToGrid w:val="0"/>
                <w:color w:val="000000" w:themeColor="text1"/>
                <w:szCs w:val="24"/>
                <w:highlight w:val="none"/>
                <w14:textFill>
                  <w14:solidFill>
                    <w14:schemeClr w14:val="tx1"/>
                  </w14:solidFill>
                </w14:textFill>
              </w:rPr>
              <m:t>D</m:t>
            </m:r>
            <m:ctrlPr>
              <w:rPr>
                <w:rFonts w:ascii="Cambria Math" w:hAnsi="Cambria Math" w:cs="Times New Roman"/>
                <w:i/>
                <w:snapToGrid w:val="0"/>
                <w:color w:val="000000" w:themeColor="text1"/>
                <w:szCs w:val="24"/>
                <w:highlight w:val="none"/>
                <w14:textFill>
                  <w14:solidFill>
                    <w14:schemeClr w14:val="tx1"/>
                  </w14:solidFill>
                </w14:textFill>
              </w:rPr>
            </m:ctrlPr>
          </m:e>
          <m:sub>
            <m:r>
              <m:rPr/>
              <w:rPr>
                <w:rFonts w:ascii="Cambria Math" w:hAnsi="Cambria Math" w:cs="Times New Roman"/>
                <w:snapToGrid w:val="0"/>
                <w:color w:val="000000" w:themeColor="text1"/>
                <w:szCs w:val="24"/>
                <w:highlight w:val="none"/>
                <w14:textFill>
                  <w14:solidFill>
                    <w14:schemeClr w14:val="tx1"/>
                  </w14:solidFill>
                </w14:textFill>
              </w:rPr>
              <m:t>L</m:t>
            </m:r>
            <m:ctrlPr>
              <w:rPr>
                <w:rFonts w:ascii="Cambria Math" w:hAnsi="Cambria Math" w:cs="Times New Roman"/>
                <w:i/>
                <w:snapToGrid w:val="0"/>
                <w:color w:val="000000" w:themeColor="text1"/>
                <w:szCs w:val="24"/>
                <w:highlight w:val="none"/>
                <w14:textFill>
                  <w14:solidFill>
                    <w14:schemeClr w14:val="tx1"/>
                  </w14:solidFill>
                </w14:textFill>
              </w:rPr>
            </m:ctrlPr>
          </m:sub>
        </m:sSub>
      </m:oMath>
      <w:r>
        <w:rPr>
          <w:rFonts w:cs="Times New Roman"/>
          <w:color w:val="000000" w:themeColor="text1"/>
          <w:szCs w:val="24"/>
          <w:highlight w:val="none"/>
          <w14:textFill>
            <w14:solidFill>
              <w14:schemeClr w14:val="tx1"/>
            </w14:solidFill>
          </w14:textFill>
        </w:rPr>
        <w:t>—纵向弥散系数，m</w:t>
      </w:r>
      <w:r>
        <w:rPr>
          <w:rFonts w:cs="Times New Roman"/>
          <w:color w:val="000000" w:themeColor="text1"/>
          <w:szCs w:val="24"/>
          <w:highlight w:val="none"/>
          <w:vertAlign w:val="superscript"/>
          <w14:textFill>
            <w14:solidFill>
              <w14:schemeClr w14:val="tx1"/>
            </w14:solidFill>
          </w14:textFill>
        </w:rPr>
        <w:t>2</w:t>
      </w:r>
      <w:r>
        <w:rPr>
          <w:rFonts w:cs="Times New Roman"/>
          <w:color w:val="000000" w:themeColor="text1"/>
          <w:szCs w:val="24"/>
          <w:highlight w:val="none"/>
          <w14:textFill>
            <w14:solidFill>
              <w14:schemeClr w14:val="tx1"/>
            </w14:solidFill>
          </w14:textFill>
        </w:rPr>
        <w:t>/d；</w:t>
      </w:r>
    </w:p>
    <w:p>
      <w:pPr>
        <w:ind w:firstLine="480"/>
        <w:rPr>
          <w:rFonts w:cs="Times New Roman"/>
          <w:color w:val="000000" w:themeColor="text1"/>
          <w:szCs w:val="24"/>
          <w:highlight w:val="none"/>
          <w14:textFill>
            <w14:solidFill>
              <w14:schemeClr w14:val="tx1"/>
            </w14:solidFill>
          </w14:textFill>
        </w:rPr>
      </w:pPr>
      <m:oMath>
        <m:sSub>
          <m:sSubPr>
            <m:ctrlPr>
              <w:rPr>
                <w:rFonts w:ascii="Cambria Math" w:hAnsi="Cambria Math" w:cs="Times New Roman"/>
                <w:i/>
                <w:snapToGrid w:val="0"/>
                <w:color w:val="000000" w:themeColor="text1"/>
                <w:szCs w:val="24"/>
                <w:highlight w:val="none"/>
                <w14:textFill>
                  <w14:solidFill>
                    <w14:schemeClr w14:val="tx1"/>
                  </w14:solidFill>
                </w14:textFill>
              </w:rPr>
            </m:ctrlPr>
          </m:sSubPr>
          <m:e>
            <m:r>
              <m:rPr/>
              <w:rPr>
                <w:rFonts w:ascii="Cambria Math" w:hAnsi="Cambria Math" w:cs="Times New Roman"/>
                <w:snapToGrid w:val="0"/>
                <w:color w:val="000000" w:themeColor="text1"/>
                <w:szCs w:val="24"/>
                <w:highlight w:val="none"/>
                <w14:textFill>
                  <w14:solidFill>
                    <w14:schemeClr w14:val="tx1"/>
                  </w14:solidFill>
                </w14:textFill>
              </w:rPr>
              <m:t>D</m:t>
            </m:r>
            <m:ctrlPr>
              <w:rPr>
                <w:rFonts w:ascii="Cambria Math" w:hAnsi="Cambria Math" w:cs="Times New Roman"/>
                <w:i/>
                <w:snapToGrid w:val="0"/>
                <w:color w:val="000000" w:themeColor="text1"/>
                <w:szCs w:val="24"/>
                <w:highlight w:val="none"/>
                <w14:textFill>
                  <w14:solidFill>
                    <w14:schemeClr w14:val="tx1"/>
                  </w14:solidFill>
                </w14:textFill>
              </w:rPr>
            </m:ctrlPr>
          </m:e>
          <m:sub>
            <m:r>
              <m:rPr/>
              <w:rPr>
                <w:rFonts w:ascii="Cambria Math" w:hAnsi="Cambria Math" w:cs="Times New Roman"/>
                <w:snapToGrid w:val="0"/>
                <w:color w:val="000000" w:themeColor="text1"/>
                <w:szCs w:val="24"/>
                <w:highlight w:val="none"/>
                <w14:textFill>
                  <w14:solidFill>
                    <w14:schemeClr w14:val="tx1"/>
                  </w14:solidFill>
                </w14:textFill>
              </w:rPr>
              <m:t>T</m:t>
            </m:r>
            <m:ctrlPr>
              <w:rPr>
                <w:rFonts w:ascii="Cambria Math" w:hAnsi="Cambria Math" w:cs="Times New Roman"/>
                <w:i/>
                <w:snapToGrid w:val="0"/>
                <w:color w:val="000000" w:themeColor="text1"/>
                <w:szCs w:val="24"/>
                <w:highlight w:val="none"/>
                <w14:textFill>
                  <w14:solidFill>
                    <w14:schemeClr w14:val="tx1"/>
                  </w14:solidFill>
                </w14:textFill>
              </w:rPr>
            </m:ctrlPr>
          </m:sub>
        </m:sSub>
      </m:oMath>
      <w:r>
        <w:rPr>
          <w:rFonts w:cs="Times New Roman"/>
          <w:color w:val="000000" w:themeColor="text1"/>
          <w:szCs w:val="24"/>
          <w:highlight w:val="none"/>
          <w14:textFill>
            <w14:solidFill>
              <w14:schemeClr w14:val="tx1"/>
            </w14:solidFill>
          </w14:textFill>
        </w:rPr>
        <w:t>—横向y方向的弥散系数，m</w:t>
      </w:r>
      <w:r>
        <w:rPr>
          <w:rFonts w:cs="Times New Roman"/>
          <w:color w:val="000000" w:themeColor="text1"/>
          <w:szCs w:val="24"/>
          <w:highlight w:val="none"/>
          <w:vertAlign w:val="superscript"/>
          <w14:textFill>
            <w14:solidFill>
              <w14:schemeClr w14:val="tx1"/>
            </w14:solidFill>
          </w14:textFill>
        </w:rPr>
        <w:t>2</w:t>
      </w:r>
      <w:r>
        <w:rPr>
          <w:rFonts w:cs="Times New Roman"/>
          <w:color w:val="000000" w:themeColor="text1"/>
          <w:szCs w:val="24"/>
          <w:highlight w:val="none"/>
          <w14:textFill>
            <w14:solidFill>
              <w14:schemeClr w14:val="tx1"/>
            </w14:solidFill>
          </w14:textFill>
        </w:rPr>
        <w:t>/d；</w:t>
      </w:r>
    </w:p>
    <w:p>
      <w:pPr>
        <w:ind w:firstLine="480"/>
        <w:rPr>
          <w:rFonts w:cs="Times New Roman"/>
          <w:color w:val="000000" w:themeColor="text1"/>
          <w:szCs w:val="24"/>
          <w:highlight w:val="none"/>
          <w14:textFill>
            <w14:solidFill>
              <w14:schemeClr w14:val="tx1"/>
            </w14:solidFill>
          </w14:textFill>
        </w:rPr>
      </w:pPr>
      <m:oMath>
        <m:r>
          <m:rPr/>
          <w:rPr>
            <w:rFonts w:ascii="Cambria Math" w:hAnsi="Cambria Math" w:cs="Times New Roman"/>
            <w:snapToGrid w:val="0"/>
            <w:color w:val="000000" w:themeColor="text1"/>
            <w:szCs w:val="24"/>
            <w:highlight w:val="none"/>
            <w14:textFill>
              <w14:solidFill>
                <w14:schemeClr w14:val="tx1"/>
              </w14:solidFill>
            </w14:textFill>
          </w:rPr>
          <m:t>π</m:t>
        </m:r>
      </m:oMath>
      <w:r>
        <w:rPr>
          <w:rFonts w:cs="Times New Roman"/>
          <w:color w:val="000000" w:themeColor="text1"/>
          <w:szCs w:val="24"/>
          <w:highlight w:val="none"/>
          <w14:textFill>
            <w14:solidFill>
              <w14:schemeClr w14:val="tx1"/>
            </w14:solidFill>
          </w14:textFill>
        </w:rPr>
        <w:t>—圆周率。</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将本次预测所用模型转换形式后可得：</w:t>
      </w:r>
    </w:p>
    <w:p>
      <w:pPr>
        <w:ind w:firstLine="480"/>
        <w:rPr>
          <w:rFonts w:cs="Times New Roman"/>
          <w:color w:val="000000" w:themeColor="text1"/>
          <w:szCs w:val="24"/>
          <w:highlight w:val="none"/>
          <w14:textFill>
            <w14:solidFill>
              <w14:schemeClr w14:val="tx1"/>
            </w14:solidFill>
          </w14:textFill>
        </w:rPr>
      </w:pPr>
      <m:oMathPara>
        <m:oMath>
          <m:f>
            <m:fPr>
              <m:ctrlPr>
                <w:rPr>
                  <w:rFonts w:ascii="Cambria Math" w:hAnsi="Cambria Math" w:cs="Times New Roman"/>
                  <w:i/>
                  <w:color w:val="000000" w:themeColor="text1"/>
                  <w:szCs w:val="24"/>
                  <w:highlight w:val="none"/>
                  <w14:textFill>
                    <w14:solidFill>
                      <w14:schemeClr w14:val="tx1"/>
                    </w14:solidFill>
                  </w14:textFill>
                </w:rPr>
              </m:ctrlPr>
            </m:fPr>
            <m:num>
              <m:sSup>
                <m:sSupPr>
                  <m:ctrlPr>
                    <w:rPr>
                      <w:rFonts w:ascii="Cambria Math" w:hAnsi="Cambria Math" w:cs="Times New Roman"/>
                      <w:i/>
                      <w:color w:val="000000" w:themeColor="text1"/>
                      <w:szCs w:val="24"/>
                      <w:highlight w:val="none"/>
                      <w14:textFill>
                        <w14:solidFill>
                          <w14:schemeClr w14:val="tx1"/>
                        </w14:solidFill>
                      </w14:textFill>
                    </w:rPr>
                  </m:ctrlPr>
                </m:sSupPr>
                <m:e>
                  <m:r>
                    <m:rPr/>
                    <w:rPr>
                      <w:rFonts w:ascii="Cambria Math" w:hAnsi="Cambria Math" w:cs="Times New Roman"/>
                      <w:color w:val="000000" w:themeColor="text1"/>
                      <w:szCs w:val="24"/>
                      <w:highlight w:val="none"/>
                      <w14:textFill>
                        <w14:solidFill>
                          <w14:schemeClr w14:val="tx1"/>
                        </w14:solidFill>
                      </w14:textFill>
                    </w:rPr>
                    <m:t>（x−ut）</m:t>
                  </m:r>
                  <m:ctrlPr>
                    <w:rPr>
                      <w:rFonts w:ascii="Cambria Math" w:hAnsi="Cambria Math" w:cs="Times New Roman"/>
                      <w:i/>
                      <w:color w:val="000000" w:themeColor="text1"/>
                      <w:szCs w:val="24"/>
                      <w:highlight w:val="none"/>
                      <w14:textFill>
                        <w14:solidFill>
                          <w14:schemeClr w14:val="tx1"/>
                        </w14:solidFill>
                      </w14:textFill>
                    </w:rPr>
                  </m:ctrlPr>
                </m:e>
                <m:sup>
                  <m:r>
                    <m:rPr/>
                    <w:rPr>
                      <w:rFonts w:ascii="Cambria Math" w:hAnsi="Cambria Math" w:cs="Times New Roman"/>
                      <w:color w:val="000000" w:themeColor="text1"/>
                      <w:szCs w:val="24"/>
                      <w:highlight w:val="none"/>
                      <w14:textFill>
                        <w14:solidFill>
                          <w14:schemeClr w14:val="tx1"/>
                        </w14:solidFill>
                      </w14:textFill>
                    </w:rPr>
                    <m:t>2</m:t>
                  </m:r>
                  <m:ctrlPr>
                    <w:rPr>
                      <w:rFonts w:ascii="Cambria Math" w:hAnsi="Cambria Math" w:cs="Times New Roman"/>
                      <w:i/>
                      <w:color w:val="000000" w:themeColor="text1"/>
                      <w:szCs w:val="24"/>
                      <w:highlight w:val="none"/>
                      <w14:textFill>
                        <w14:solidFill>
                          <w14:schemeClr w14:val="tx1"/>
                        </w14:solidFill>
                      </w14:textFill>
                    </w:rPr>
                  </m:ctrlPr>
                </m:sup>
              </m:sSup>
              <m:ctrlPr>
                <w:rPr>
                  <w:rFonts w:ascii="Cambria Math" w:hAnsi="Cambria Math" w:cs="Times New Roman"/>
                  <w:i/>
                  <w:color w:val="000000" w:themeColor="text1"/>
                  <w:szCs w:val="24"/>
                  <w:highlight w:val="none"/>
                  <w14:textFill>
                    <w14:solidFill>
                      <w14:schemeClr w14:val="tx1"/>
                    </w14:solidFill>
                  </w14:textFill>
                </w:rPr>
              </m:ctrlPr>
            </m:num>
            <m:den>
              <m:r>
                <m:rPr/>
                <w:rPr>
                  <w:rFonts w:ascii="Cambria Math" w:hAnsi="Cambria Math" w:cs="Times New Roman"/>
                  <w:color w:val="000000" w:themeColor="text1"/>
                  <w:szCs w:val="24"/>
                  <w:highlight w:val="none"/>
                  <w14:textFill>
                    <w14:solidFill>
                      <w14:schemeClr w14:val="tx1"/>
                    </w14:solidFill>
                  </w14:textFill>
                </w:rPr>
                <m:t>4</m:t>
              </m:r>
              <m:sSub>
                <m:sSubPr>
                  <m:ctrlPr>
                    <w:rPr>
                      <w:rFonts w:ascii="Cambria Math" w:hAnsi="Cambria Math" w:cs="Times New Roman"/>
                      <w:i/>
                      <w:color w:val="000000" w:themeColor="text1"/>
                      <w:szCs w:val="24"/>
                      <w:highlight w:val="none"/>
                      <w14:textFill>
                        <w14:solidFill>
                          <w14:schemeClr w14:val="tx1"/>
                        </w14:solidFill>
                      </w14:textFill>
                    </w:rPr>
                  </m:ctrlPr>
                </m:sSubPr>
                <m:e>
                  <m:r>
                    <m:rPr/>
                    <w:rPr>
                      <w:rFonts w:ascii="Cambria Math" w:hAnsi="Cambria Math" w:cs="Times New Roman"/>
                      <w:color w:val="000000" w:themeColor="text1"/>
                      <w:szCs w:val="24"/>
                      <w:highlight w:val="none"/>
                      <w14:textFill>
                        <w14:solidFill>
                          <w14:schemeClr w14:val="tx1"/>
                        </w14:solidFill>
                      </w14:textFill>
                    </w:rPr>
                    <m:t>D</m:t>
                  </m:r>
                  <m:ctrlPr>
                    <w:rPr>
                      <w:rFonts w:ascii="Cambria Math" w:hAnsi="Cambria Math" w:cs="Times New Roman"/>
                      <w:i/>
                      <w:color w:val="000000" w:themeColor="text1"/>
                      <w:szCs w:val="24"/>
                      <w:highlight w:val="none"/>
                      <w14:textFill>
                        <w14:solidFill>
                          <w14:schemeClr w14:val="tx1"/>
                        </w14:solidFill>
                      </w14:textFill>
                    </w:rPr>
                  </m:ctrlPr>
                </m:e>
                <m:sub>
                  <m:r>
                    <m:rPr/>
                    <w:rPr>
                      <w:rFonts w:ascii="Cambria Math" w:hAnsi="Cambria Math" w:cs="Times New Roman"/>
                      <w:color w:val="000000" w:themeColor="text1"/>
                      <w:szCs w:val="24"/>
                      <w:highlight w:val="none"/>
                      <w14:textFill>
                        <w14:solidFill>
                          <w14:schemeClr w14:val="tx1"/>
                        </w14:solidFill>
                      </w14:textFill>
                    </w:rPr>
                    <m:t>L</m:t>
                  </m:r>
                  <m:ctrlPr>
                    <w:rPr>
                      <w:rFonts w:ascii="Cambria Math" w:hAnsi="Cambria Math" w:cs="Times New Roman"/>
                      <w:i/>
                      <w:color w:val="000000" w:themeColor="text1"/>
                      <w:szCs w:val="24"/>
                      <w:highlight w:val="none"/>
                      <w14:textFill>
                        <w14:solidFill>
                          <w14:schemeClr w14:val="tx1"/>
                        </w14:solidFill>
                      </w14:textFill>
                    </w:rPr>
                  </m:ctrlPr>
                </m:sub>
              </m:sSub>
              <m:r>
                <m:rPr/>
                <w:rPr>
                  <w:rFonts w:ascii="Cambria Math" w:hAnsi="Cambria Math" w:cs="Times New Roman"/>
                  <w:color w:val="000000" w:themeColor="text1"/>
                  <w:szCs w:val="24"/>
                  <w:highlight w:val="none"/>
                  <w14:textFill>
                    <w14:solidFill>
                      <w14:schemeClr w14:val="tx1"/>
                    </w14:solidFill>
                  </w14:textFill>
                </w:rPr>
                <m:t>t</m:t>
              </m:r>
              <m:ctrlPr>
                <w:rPr>
                  <w:rFonts w:ascii="Cambria Math" w:hAnsi="Cambria Math" w:cs="Times New Roman"/>
                  <w:i/>
                  <w:color w:val="000000" w:themeColor="text1"/>
                  <w:szCs w:val="24"/>
                  <w:highlight w:val="none"/>
                  <w14:textFill>
                    <w14:solidFill>
                      <w14:schemeClr w14:val="tx1"/>
                    </w14:solidFill>
                  </w14:textFill>
                </w:rPr>
              </m:ctrlPr>
            </m:den>
          </m:f>
          <m:r>
            <m:rPr/>
            <w:rPr>
              <w:rFonts w:ascii="Cambria Math" w:hAnsi="Cambria Math" w:cs="Times New Roman"/>
              <w:color w:val="000000" w:themeColor="text1"/>
              <w:szCs w:val="24"/>
              <w:highlight w:val="none"/>
              <w14:textFill>
                <w14:solidFill>
                  <w14:schemeClr w14:val="tx1"/>
                </w14:solidFill>
              </w14:textFill>
            </w:rPr>
            <m:t>+</m:t>
          </m:r>
          <m:f>
            <m:fPr>
              <m:ctrlPr>
                <w:rPr>
                  <w:rFonts w:ascii="Cambria Math" w:hAnsi="Cambria Math" w:cs="Times New Roman"/>
                  <w:i/>
                  <w:color w:val="000000" w:themeColor="text1"/>
                  <w:szCs w:val="24"/>
                  <w:highlight w:val="none"/>
                  <w14:textFill>
                    <w14:solidFill>
                      <w14:schemeClr w14:val="tx1"/>
                    </w14:solidFill>
                  </w14:textFill>
                </w:rPr>
              </m:ctrlPr>
            </m:fPr>
            <m:num>
              <m:sSup>
                <m:sSupPr>
                  <m:ctrlPr>
                    <w:rPr>
                      <w:rFonts w:ascii="Cambria Math" w:hAnsi="Cambria Math" w:cs="Times New Roman"/>
                      <w:i/>
                      <w:color w:val="000000" w:themeColor="text1"/>
                      <w:szCs w:val="24"/>
                      <w:highlight w:val="none"/>
                      <w14:textFill>
                        <w14:solidFill>
                          <w14:schemeClr w14:val="tx1"/>
                        </w14:solidFill>
                      </w14:textFill>
                    </w:rPr>
                  </m:ctrlPr>
                </m:sSupPr>
                <m:e>
                  <m:r>
                    <m:rPr/>
                    <w:rPr>
                      <w:rFonts w:ascii="Cambria Math" w:hAnsi="Cambria Math" w:cs="Times New Roman"/>
                      <w:color w:val="000000" w:themeColor="text1"/>
                      <w:szCs w:val="24"/>
                      <w:highlight w:val="none"/>
                      <w14:textFill>
                        <w14:solidFill>
                          <w14:schemeClr w14:val="tx1"/>
                        </w14:solidFill>
                      </w14:textFill>
                    </w:rPr>
                    <m:t>y</m:t>
                  </m:r>
                  <m:ctrlPr>
                    <w:rPr>
                      <w:rFonts w:ascii="Cambria Math" w:hAnsi="Cambria Math" w:cs="Times New Roman"/>
                      <w:i/>
                      <w:color w:val="000000" w:themeColor="text1"/>
                      <w:szCs w:val="24"/>
                      <w:highlight w:val="none"/>
                      <w14:textFill>
                        <w14:solidFill>
                          <w14:schemeClr w14:val="tx1"/>
                        </w14:solidFill>
                      </w14:textFill>
                    </w:rPr>
                  </m:ctrlPr>
                </m:e>
                <m:sup>
                  <m:r>
                    <m:rPr/>
                    <w:rPr>
                      <w:rFonts w:ascii="Cambria Math" w:hAnsi="Cambria Math" w:cs="Times New Roman"/>
                      <w:color w:val="000000" w:themeColor="text1"/>
                      <w:szCs w:val="24"/>
                      <w:highlight w:val="none"/>
                      <w14:textFill>
                        <w14:solidFill>
                          <w14:schemeClr w14:val="tx1"/>
                        </w14:solidFill>
                      </w14:textFill>
                    </w:rPr>
                    <m:t>2</m:t>
                  </m:r>
                  <m:ctrlPr>
                    <w:rPr>
                      <w:rFonts w:ascii="Cambria Math" w:hAnsi="Cambria Math" w:cs="Times New Roman"/>
                      <w:i/>
                      <w:color w:val="000000" w:themeColor="text1"/>
                      <w:szCs w:val="24"/>
                      <w:highlight w:val="none"/>
                      <w14:textFill>
                        <w14:solidFill>
                          <w14:schemeClr w14:val="tx1"/>
                        </w14:solidFill>
                      </w14:textFill>
                    </w:rPr>
                  </m:ctrlPr>
                </m:sup>
              </m:sSup>
              <m:ctrlPr>
                <w:rPr>
                  <w:rFonts w:ascii="Cambria Math" w:hAnsi="Cambria Math" w:cs="Times New Roman"/>
                  <w:i/>
                  <w:color w:val="000000" w:themeColor="text1"/>
                  <w:szCs w:val="24"/>
                  <w:highlight w:val="none"/>
                  <w14:textFill>
                    <w14:solidFill>
                      <w14:schemeClr w14:val="tx1"/>
                    </w14:solidFill>
                  </w14:textFill>
                </w:rPr>
              </m:ctrlPr>
            </m:num>
            <m:den>
              <m:r>
                <m:rPr/>
                <w:rPr>
                  <w:rFonts w:ascii="Cambria Math" w:hAnsi="Cambria Math" w:cs="Times New Roman"/>
                  <w:color w:val="000000" w:themeColor="text1"/>
                  <w:szCs w:val="24"/>
                  <w:highlight w:val="none"/>
                  <w14:textFill>
                    <w14:solidFill>
                      <w14:schemeClr w14:val="tx1"/>
                    </w14:solidFill>
                  </w14:textFill>
                </w:rPr>
                <m:t>4</m:t>
              </m:r>
              <m:sSub>
                <m:sSubPr>
                  <m:ctrlPr>
                    <w:rPr>
                      <w:rFonts w:ascii="Cambria Math" w:hAnsi="Cambria Math" w:cs="Times New Roman"/>
                      <w:i/>
                      <w:color w:val="000000" w:themeColor="text1"/>
                      <w:szCs w:val="24"/>
                      <w:highlight w:val="none"/>
                      <w14:textFill>
                        <w14:solidFill>
                          <w14:schemeClr w14:val="tx1"/>
                        </w14:solidFill>
                      </w14:textFill>
                    </w:rPr>
                  </m:ctrlPr>
                </m:sSubPr>
                <m:e>
                  <m:r>
                    <m:rPr/>
                    <w:rPr>
                      <w:rFonts w:ascii="Cambria Math" w:hAnsi="Cambria Math" w:cs="Times New Roman"/>
                      <w:color w:val="000000" w:themeColor="text1"/>
                      <w:szCs w:val="24"/>
                      <w:highlight w:val="none"/>
                      <w14:textFill>
                        <w14:solidFill>
                          <w14:schemeClr w14:val="tx1"/>
                        </w14:solidFill>
                      </w14:textFill>
                    </w:rPr>
                    <m:t>D</m:t>
                  </m:r>
                  <m:ctrlPr>
                    <w:rPr>
                      <w:rFonts w:ascii="Cambria Math" w:hAnsi="Cambria Math" w:cs="Times New Roman"/>
                      <w:i/>
                      <w:color w:val="000000" w:themeColor="text1"/>
                      <w:szCs w:val="24"/>
                      <w:highlight w:val="none"/>
                      <w14:textFill>
                        <w14:solidFill>
                          <w14:schemeClr w14:val="tx1"/>
                        </w14:solidFill>
                      </w14:textFill>
                    </w:rPr>
                  </m:ctrlPr>
                </m:e>
                <m:sub>
                  <m:r>
                    <m:rPr/>
                    <w:rPr>
                      <w:rFonts w:ascii="Cambria Math" w:hAnsi="Cambria Math" w:cs="Times New Roman"/>
                      <w:color w:val="000000" w:themeColor="text1"/>
                      <w:szCs w:val="24"/>
                      <w:highlight w:val="none"/>
                      <w14:textFill>
                        <w14:solidFill>
                          <w14:schemeClr w14:val="tx1"/>
                        </w14:solidFill>
                      </w14:textFill>
                    </w:rPr>
                    <m:t>T</m:t>
                  </m:r>
                  <m:ctrlPr>
                    <w:rPr>
                      <w:rFonts w:ascii="Cambria Math" w:hAnsi="Cambria Math" w:cs="Times New Roman"/>
                      <w:i/>
                      <w:color w:val="000000" w:themeColor="text1"/>
                      <w:szCs w:val="24"/>
                      <w:highlight w:val="none"/>
                      <w14:textFill>
                        <w14:solidFill>
                          <w14:schemeClr w14:val="tx1"/>
                        </w14:solidFill>
                      </w14:textFill>
                    </w:rPr>
                  </m:ctrlPr>
                </m:sub>
              </m:sSub>
              <m:r>
                <m:rPr/>
                <w:rPr>
                  <w:rFonts w:ascii="Cambria Math" w:hAnsi="Cambria Math" w:cs="Times New Roman"/>
                  <w:color w:val="000000" w:themeColor="text1"/>
                  <w:szCs w:val="24"/>
                  <w:highlight w:val="none"/>
                  <w14:textFill>
                    <w14:solidFill>
                      <w14:schemeClr w14:val="tx1"/>
                    </w14:solidFill>
                  </w14:textFill>
                </w:rPr>
                <m:t>t</m:t>
              </m:r>
              <m:ctrlPr>
                <w:rPr>
                  <w:rFonts w:ascii="Cambria Math" w:hAnsi="Cambria Math" w:cs="Times New Roman"/>
                  <w:i/>
                  <w:color w:val="000000" w:themeColor="text1"/>
                  <w:szCs w:val="24"/>
                  <w:highlight w:val="none"/>
                  <w14:textFill>
                    <w14:solidFill>
                      <w14:schemeClr w14:val="tx1"/>
                    </w14:solidFill>
                  </w14:textFill>
                </w:rPr>
              </m:ctrlPr>
            </m:den>
          </m:f>
          <m:r>
            <m:rPr/>
            <w:rPr>
              <w:rFonts w:ascii="Cambria Math" w:hAnsi="Cambria Math" w:cs="Times New Roman"/>
              <w:color w:val="000000" w:themeColor="text1"/>
              <w:szCs w:val="24"/>
              <w:highlight w:val="none"/>
              <w14:textFill>
                <w14:solidFill>
                  <w14:schemeClr w14:val="tx1"/>
                </w14:solidFill>
              </w14:textFill>
            </w:rPr>
            <m:t>=</m:t>
          </m:r>
          <m:func>
            <m:funcPr>
              <m:ctrlPr>
                <w:rPr>
                  <w:rFonts w:ascii="Cambria Math" w:hAnsi="Cambria Math" w:cs="Times New Roman"/>
                  <w:i/>
                  <w:color w:val="000000" w:themeColor="text1"/>
                  <w:szCs w:val="24"/>
                  <w:highlight w:val="none"/>
                  <w14:textFill>
                    <w14:solidFill>
                      <w14:schemeClr w14:val="tx1"/>
                    </w14:solidFill>
                  </w14:textFill>
                </w:rPr>
              </m:ctrlPr>
            </m:funcPr>
            <m:fName>
              <m:r>
                <m:rPr>
                  <m:sty m:val="p"/>
                </m:rPr>
                <w:rPr>
                  <w:rFonts w:ascii="Cambria Math" w:hAnsi="Cambria Math" w:cs="Times New Roman"/>
                  <w:color w:val="000000" w:themeColor="text1"/>
                  <w:szCs w:val="24"/>
                  <w:highlight w:val="none"/>
                  <w14:textFill>
                    <w14:solidFill>
                      <w14:schemeClr w14:val="tx1"/>
                    </w14:solidFill>
                  </w14:textFill>
                </w:rPr>
                <m:t>ln</m:t>
              </m:r>
              <m:ctrlPr>
                <w:rPr>
                  <w:rFonts w:ascii="Cambria Math" w:hAnsi="Cambria Math" w:cs="Times New Roman"/>
                  <w:i/>
                  <w:color w:val="000000" w:themeColor="text1"/>
                  <w:szCs w:val="24"/>
                  <w:highlight w:val="none"/>
                  <w14:textFill>
                    <w14:solidFill>
                      <w14:schemeClr w14:val="tx1"/>
                    </w14:solidFill>
                  </w14:textFill>
                </w:rPr>
              </m:ctrlPr>
            </m:fName>
            <m:e>
              <m:d>
                <m:dPr>
                  <m:begChr m:val="["/>
                  <m:endChr m:val="]"/>
                  <m:ctrlPr>
                    <w:rPr>
                      <w:rFonts w:ascii="Cambria Math" w:hAnsi="Cambria Math" w:cs="Times New Roman"/>
                      <w:i/>
                      <w:color w:val="000000" w:themeColor="text1"/>
                      <w:szCs w:val="24"/>
                      <w:highlight w:val="none"/>
                      <w14:textFill>
                        <w14:solidFill>
                          <w14:schemeClr w14:val="tx1"/>
                        </w14:solidFill>
                      </w14:textFill>
                    </w:rPr>
                  </m:ctrlPr>
                </m:dPr>
                <m:e>
                  <m:f>
                    <m:fPr>
                      <m:ctrlPr>
                        <w:rPr>
                          <w:rFonts w:ascii="Cambria Math" w:hAnsi="Cambria Math" w:cs="Times New Roman"/>
                          <w:i/>
                          <w:color w:val="000000" w:themeColor="text1"/>
                          <w:szCs w:val="24"/>
                          <w:highlight w:val="none"/>
                          <w14:textFill>
                            <w14:solidFill>
                              <w14:schemeClr w14:val="tx1"/>
                            </w14:solidFill>
                          </w14:textFill>
                        </w:rPr>
                      </m:ctrlPr>
                    </m:fPr>
                    <m:num>
                      <m:sSub>
                        <m:sSubPr>
                          <m:ctrlPr>
                            <w:rPr>
                              <w:rFonts w:ascii="Cambria Math" w:hAnsi="Cambria Math" w:cs="Times New Roman"/>
                              <w:color w:val="000000" w:themeColor="text1"/>
                              <w:szCs w:val="24"/>
                              <w:highlight w:val="none"/>
                              <w14:textFill>
                                <w14:solidFill>
                                  <w14:schemeClr w14:val="tx1"/>
                                </w14:solidFill>
                              </w14:textFill>
                            </w:rPr>
                          </m:ctrlPr>
                        </m:sSubPr>
                        <m:e>
                          <m:r>
                            <m:rPr>
                              <m:sty m:val="p"/>
                            </m:rPr>
                            <w:rPr>
                              <w:rFonts w:ascii="Cambria Math" w:hAnsi="Cambria Math" w:cs="Times New Roman"/>
                              <w:color w:val="000000" w:themeColor="text1"/>
                              <w:szCs w:val="24"/>
                              <w:highlight w:val="none"/>
                              <w14:textFill>
                                <w14:solidFill>
                                  <w14:schemeClr w14:val="tx1"/>
                                </w14:solidFill>
                              </w14:textFill>
                            </w:rPr>
                            <m:t>m</m:t>
                          </m:r>
                          <m:ctrlPr>
                            <w:rPr>
                              <w:rFonts w:ascii="Cambria Math" w:hAnsi="Cambria Math" w:cs="Times New Roman"/>
                              <w:color w:val="000000" w:themeColor="text1"/>
                              <w:szCs w:val="24"/>
                              <w:highlight w:val="none"/>
                              <w14:textFill>
                                <w14:solidFill>
                                  <w14:schemeClr w14:val="tx1"/>
                                </w14:solidFill>
                              </w14:textFill>
                            </w:rPr>
                          </m:ctrlPr>
                        </m:e>
                        <m:sub>
                          <m:r>
                            <m:rPr/>
                            <w:rPr>
                              <w:rFonts w:ascii="Cambria Math" w:hAnsi="Cambria Math" w:cs="Times New Roman"/>
                              <w:color w:val="000000" w:themeColor="text1"/>
                              <w:szCs w:val="24"/>
                              <w:highlight w:val="none"/>
                              <w14:textFill>
                                <w14:solidFill>
                                  <w14:schemeClr w14:val="tx1"/>
                                </w14:solidFill>
                              </w14:textFill>
                            </w:rPr>
                            <m:t>M</m:t>
                          </m:r>
                          <m:ctrlPr>
                            <w:rPr>
                              <w:rFonts w:ascii="Cambria Math" w:hAnsi="Cambria Math" w:cs="Times New Roman"/>
                              <w:color w:val="000000" w:themeColor="text1"/>
                              <w:szCs w:val="24"/>
                              <w:highlight w:val="none"/>
                              <w14:textFill>
                                <w14:solidFill>
                                  <w14:schemeClr w14:val="tx1"/>
                                </w14:solidFill>
                              </w14:textFill>
                            </w:rPr>
                          </m:ctrlPr>
                        </m:sub>
                      </m:sSub>
                      <m:ctrlPr>
                        <w:rPr>
                          <w:rFonts w:ascii="Cambria Math" w:hAnsi="Cambria Math" w:cs="Times New Roman"/>
                          <w:i/>
                          <w:color w:val="000000" w:themeColor="text1"/>
                          <w:szCs w:val="24"/>
                          <w:highlight w:val="none"/>
                          <w14:textFill>
                            <w14:solidFill>
                              <w14:schemeClr w14:val="tx1"/>
                            </w14:solidFill>
                          </w14:textFill>
                        </w:rPr>
                      </m:ctrlPr>
                    </m:num>
                    <m:den>
                      <m:r>
                        <m:rPr/>
                        <w:rPr>
                          <w:rFonts w:ascii="Cambria Math" w:hAnsi="Cambria Math" w:cs="Times New Roman"/>
                          <w:color w:val="000000" w:themeColor="text1"/>
                          <w:szCs w:val="24"/>
                          <w:highlight w:val="none"/>
                          <w14:textFill>
                            <w14:solidFill>
                              <w14:schemeClr w14:val="tx1"/>
                            </w14:solidFill>
                          </w14:textFill>
                        </w:rPr>
                        <m:t>4πnM</m:t>
                      </m:r>
                      <m:r>
                        <m:rPr>
                          <m:sty m:val="p"/>
                        </m:rPr>
                        <w:rPr>
                          <w:rFonts w:ascii="Cambria Math" w:hAnsi="Cambria Math" w:cs="Times New Roman"/>
                          <w:color w:val="000000" w:themeColor="text1"/>
                          <w:szCs w:val="24"/>
                          <w:highlight w:val="none"/>
                          <w14:textFill>
                            <w14:solidFill>
                              <w14:schemeClr w14:val="tx1"/>
                            </w14:solidFill>
                          </w14:textFill>
                        </w:rPr>
                        <m:t>C</m:t>
                      </m:r>
                      <m:d>
                        <m:dPr>
                          <m:begChr m:val="（"/>
                          <m:endChr m:val="）"/>
                          <m:ctrlPr>
                            <w:rPr>
                              <w:rFonts w:ascii="Cambria Math" w:hAnsi="Cambria Math" w:cs="Times New Roman"/>
                              <w:color w:val="000000" w:themeColor="text1"/>
                              <w:szCs w:val="24"/>
                              <w:highlight w:val="none"/>
                              <w14:textFill>
                                <w14:solidFill>
                                  <w14:schemeClr w14:val="tx1"/>
                                </w14:solidFill>
                              </w14:textFill>
                            </w:rPr>
                          </m:ctrlPr>
                        </m:dPr>
                        <m:e>
                          <m:r>
                            <m:rPr/>
                            <w:rPr>
                              <w:rFonts w:ascii="Cambria Math" w:hAnsi="Cambria Math" w:cs="Times New Roman"/>
                              <w:color w:val="000000" w:themeColor="text1"/>
                              <w:szCs w:val="24"/>
                              <w:highlight w:val="none"/>
                              <w14:textFill>
                                <w14:solidFill>
                                  <w14:schemeClr w14:val="tx1"/>
                                </w14:solidFill>
                              </w14:textFill>
                            </w:rPr>
                            <m:t>x，y，t</m:t>
                          </m:r>
                          <m:ctrlPr>
                            <w:rPr>
                              <w:rFonts w:ascii="Cambria Math" w:hAnsi="Cambria Math" w:cs="Times New Roman"/>
                              <w:color w:val="000000" w:themeColor="text1"/>
                              <w:szCs w:val="24"/>
                              <w:highlight w:val="none"/>
                              <w14:textFill>
                                <w14:solidFill>
                                  <w14:schemeClr w14:val="tx1"/>
                                </w14:solidFill>
                              </w14:textFill>
                            </w:rPr>
                          </m:ctrlPr>
                        </m:e>
                      </m:d>
                      <m:rad>
                        <m:radPr>
                          <m:degHide m:val="1"/>
                          <m:ctrlPr>
                            <w:rPr>
                              <w:rFonts w:ascii="Cambria Math" w:hAnsi="Cambria Math" w:cs="Times New Roman"/>
                              <w:i/>
                              <w:color w:val="000000" w:themeColor="text1"/>
                              <w:szCs w:val="24"/>
                              <w:highlight w:val="none"/>
                              <w14:textFill>
                                <w14:solidFill>
                                  <w14:schemeClr w14:val="tx1"/>
                                </w14:solidFill>
                              </w14:textFill>
                            </w:rPr>
                          </m:ctrlPr>
                        </m:radPr>
                        <m:deg>
                          <m:ctrlPr>
                            <w:rPr>
                              <w:rFonts w:ascii="Cambria Math" w:hAnsi="Cambria Math" w:cs="Times New Roman"/>
                              <w:i/>
                              <w:color w:val="000000" w:themeColor="text1"/>
                              <w:szCs w:val="24"/>
                              <w:highlight w:val="none"/>
                              <w14:textFill>
                                <w14:solidFill>
                                  <w14:schemeClr w14:val="tx1"/>
                                </w14:solidFill>
                              </w14:textFill>
                            </w:rPr>
                          </m:ctrlPr>
                        </m:deg>
                        <m:e>
                          <m:sSub>
                            <m:sSubPr>
                              <m:ctrlPr>
                                <w:rPr>
                                  <w:rFonts w:ascii="Cambria Math" w:hAnsi="Cambria Math" w:cs="Times New Roman"/>
                                  <w:i/>
                                  <w:color w:val="000000" w:themeColor="text1"/>
                                  <w:szCs w:val="24"/>
                                  <w:highlight w:val="none"/>
                                  <w14:textFill>
                                    <w14:solidFill>
                                      <w14:schemeClr w14:val="tx1"/>
                                    </w14:solidFill>
                                  </w14:textFill>
                                </w:rPr>
                              </m:ctrlPr>
                            </m:sSubPr>
                            <m:e>
                              <m:r>
                                <m:rPr/>
                                <w:rPr>
                                  <w:rFonts w:ascii="Cambria Math" w:hAnsi="Cambria Math" w:cs="Times New Roman"/>
                                  <w:color w:val="000000" w:themeColor="text1"/>
                                  <w:szCs w:val="24"/>
                                  <w:highlight w:val="none"/>
                                  <w14:textFill>
                                    <w14:solidFill>
                                      <w14:schemeClr w14:val="tx1"/>
                                    </w14:solidFill>
                                  </w14:textFill>
                                </w:rPr>
                                <m:t>D</m:t>
                              </m:r>
                              <m:ctrlPr>
                                <w:rPr>
                                  <w:rFonts w:ascii="Cambria Math" w:hAnsi="Cambria Math" w:cs="Times New Roman"/>
                                  <w:i/>
                                  <w:color w:val="000000" w:themeColor="text1"/>
                                  <w:szCs w:val="24"/>
                                  <w:highlight w:val="none"/>
                                  <w14:textFill>
                                    <w14:solidFill>
                                      <w14:schemeClr w14:val="tx1"/>
                                    </w14:solidFill>
                                  </w14:textFill>
                                </w:rPr>
                              </m:ctrlPr>
                            </m:e>
                            <m:sub>
                              <m:r>
                                <m:rPr/>
                                <w:rPr>
                                  <w:rFonts w:ascii="Cambria Math" w:hAnsi="Cambria Math" w:cs="Times New Roman"/>
                                  <w:color w:val="000000" w:themeColor="text1"/>
                                  <w:szCs w:val="24"/>
                                  <w:highlight w:val="none"/>
                                  <w14:textFill>
                                    <w14:solidFill>
                                      <w14:schemeClr w14:val="tx1"/>
                                    </w14:solidFill>
                                  </w14:textFill>
                                </w:rPr>
                                <m:t>L</m:t>
                              </m:r>
                              <m:ctrlPr>
                                <w:rPr>
                                  <w:rFonts w:ascii="Cambria Math" w:hAnsi="Cambria Math" w:cs="Times New Roman"/>
                                  <w:i/>
                                  <w:color w:val="000000" w:themeColor="text1"/>
                                  <w:szCs w:val="24"/>
                                  <w:highlight w:val="none"/>
                                  <w14:textFill>
                                    <w14:solidFill>
                                      <w14:schemeClr w14:val="tx1"/>
                                    </w14:solidFill>
                                  </w14:textFill>
                                </w:rPr>
                              </m:ctrlPr>
                            </m:sub>
                          </m:sSub>
                          <m:sSub>
                            <m:sSubPr>
                              <m:ctrlPr>
                                <w:rPr>
                                  <w:rFonts w:ascii="Cambria Math" w:hAnsi="Cambria Math" w:cs="Times New Roman"/>
                                  <w:i/>
                                  <w:color w:val="000000" w:themeColor="text1"/>
                                  <w:szCs w:val="24"/>
                                  <w:highlight w:val="none"/>
                                  <w14:textFill>
                                    <w14:solidFill>
                                      <w14:schemeClr w14:val="tx1"/>
                                    </w14:solidFill>
                                  </w14:textFill>
                                </w:rPr>
                              </m:ctrlPr>
                            </m:sSubPr>
                            <m:e>
                              <m:r>
                                <m:rPr/>
                                <w:rPr>
                                  <w:rFonts w:ascii="Cambria Math" w:hAnsi="Cambria Math" w:cs="Times New Roman"/>
                                  <w:color w:val="000000" w:themeColor="text1"/>
                                  <w:szCs w:val="24"/>
                                  <w:highlight w:val="none"/>
                                  <w14:textFill>
                                    <w14:solidFill>
                                      <w14:schemeClr w14:val="tx1"/>
                                    </w14:solidFill>
                                  </w14:textFill>
                                </w:rPr>
                                <m:t>D</m:t>
                              </m:r>
                              <m:ctrlPr>
                                <w:rPr>
                                  <w:rFonts w:ascii="Cambria Math" w:hAnsi="Cambria Math" w:cs="Times New Roman"/>
                                  <w:i/>
                                  <w:color w:val="000000" w:themeColor="text1"/>
                                  <w:szCs w:val="24"/>
                                  <w:highlight w:val="none"/>
                                  <w14:textFill>
                                    <w14:solidFill>
                                      <w14:schemeClr w14:val="tx1"/>
                                    </w14:solidFill>
                                  </w14:textFill>
                                </w:rPr>
                              </m:ctrlPr>
                            </m:e>
                            <m:sub>
                              <m:r>
                                <m:rPr/>
                                <w:rPr>
                                  <w:rFonts w:ascii="Cambria Math" w:hAnsi="Cambria Math" w:cs="Times New Roman"/>
                                  <w:color w:val="000000" w:themeColor="text1"/>
                                  <w:szCs w:val="24"/>
                                  <w:highlight w:val="none"/>
                                  <w14:textFill>
                                    <w14:solidFill>
                                      <w14:schemeClr w14:val="tx1"/>
                                    </w14:solidFill>
                                  </w14:textFill>
                                </w:rPr>
                                <m:t>T</m:t>
                              </m:r>
                              <m:ctrlPr>
                                <w:rPr>
                                  <w:rFonts w:ascii="Cambria Math" w:hAnsi="Cambria Math" w:cs="Times New Roman"/>
                                  <w:i/>
                                  <w:color w:val="000000" w:themeColor="text1"/>
                                  <w:szCs w:val="24"/>
                                  <w:highlight w:val="none"/>
                                  <w14:textFill>
                                    <w14:solidFill>
                                      <w14:schemeClr w14:val="tx1"/>
                                    </w14:solidFill>
                                  </w14:textFill>
                                </w:rPr>
                              </m:ctrlPr>
                            </m:sub>
                          </m:sSub>
                          <m:ctrlPr>
                            <w:rPr>
                              <w:rFonts w:ascii="Cambria Math" w:hAnsi="Cambria Math" w:cs="Times New Roman"/>
                              <w:i/>
                              <w:color w:val="000000" w:themeColor="text1"/>
                              <w:szCs w:val="24"/>
                              <w:highlight w:val="none"/>
                              <w14:textFill>
                                <w14:solidFill>
                                  <w14:schemeClr w14:val="tx1"/>
                                </w14:solidFill>
                              </w14:textFill>
                            </w:rPr>
                          </m:ctrlPr>
                        </m:e>
                      </m:rad>
                      <m:r>
                        <m:rPr/>
                        <w:rPr>
                          <w:rFonts w:ascii="Cambria Math" w:hAnsi="Cambria Math" w:cs="Times New Roman"/>
                          <w:color w:val="000000" w:themeColor="text1"/>
                          <w:szCs w:val="24"/>
                          <w:highlight w:val="none"/>
                          <w14:textFill>
                            <w14:solidFill>
                              <w14:schemeClr w14:val="tx1"/>
                            </w14:solidFill>
                          </w14:textFill>
                        </w:rPr>
                        <m:t>t</m:t>
                      </m:r>
                      <m:ctrlPr>
                        <w:rPr>
                          <w:rFonts w:ascii="Cambria Math" w:hAnsi="Cambria Math" w:cs="Times New Roman"/>
                          <w:i/>
                          <w:color w:val="000000" w:themeColor="text1"/>
                          <w:szCs w:val="24"/>
                          <w:highlight w:val="none"/>
                          <w14:textFill>
                            <w14:solidFill>
                              <w14:schemeClr w14:val="tx1"/>
                            </w14:solidFill>
                          </w14:textFill>
                        </w:rPr>
                      </m:ctrlPr>
                    </m:den>
                  </m:f>
                  <m:ctrlPr>
                    <w:rPr>
                      <w:rFonts w:ascii="Cambria Math" w:hAnsi="Cambria Math" w:cs="Times New Roman"/>
                      <w:i/>
                      <w:color w:val="000000" w:themeColor="text1"/>
                      <w:szCs w:val="24"/>
                      <w:highlight w:val="none"/>
                      <w14:textFill>
                        <w14:solidFill>
                          <w14:schemeClr w14:val="tx1"/>
                        </w14:solidFill>
                      </w14:textFill>
                    </w:rPr>
                  </m:ctrlPr>
                </m:e>
              </m:d>
              <m:ctrlPr>
                <w:rPr>
                  <w:rFonts w:ascii="Cambria Math" w:hAnsi="Cambria Math" w:cs="Times New Roman"/>
                  <w:i/>
                  <w:color w:val="000000" w:themeColor="text1"/>
                  <w:szCs w:val="24"/>
                  <w:highlight w:val="none"/>
                  <w14:textFill>
                    <w14:solidFill>
                      <w14:schemeClr w14:val="tx1"/>
                    </w14:solidFill>
                  </w14:textFill>
                </w:rPr>
              </m:ctrlPr>
            </m:e>
          </m:func>
        </m:oMath>
      </m:oMathPara>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从上式可以看出，当污染物排放量一定，排放时间一定时，同一浓度等值线为一椭圆。同时从该式可知，仅当右式大于0时，该式才有意义。</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本次预测所用模型需要的参数有：含水层厚度M；外泄污染物质量m</w:t>
      </w:r>
      <w:r>
        <w:rPr>
          <w:rFonts w:cs="Times New Roman"/>
          <w:color w:val="000000" w:themeColor="text1"/>
          <w:szCs w:val="24"/>
          <w:highlight w:val="none"/>
          <w:vertAlign w:val="subscript"/>
          <w14:textFill>
            <w14:solidFill>
              <w14:schemeClr w14:val="tx1"/>
            </w14:solidFill>
          </w14:textFill>
        </w:rPr>
        <w:t>M</w:t>
      </w:r>
      <w:r>
        <w:rPr>
          <w:rFonts w:cs="Times New Roman"/>
          <w:color w:val="000000" w:themeColor="text1"/>
          <w:szCs w:val="24"/>
          <w:highlight w:val="none"/>
          <w14:textFill>
            <w14:solidFill>
              <w14:schemeClr w14:val="tx1"/>
            </w14:solidFill>
          </w14:textFill>
        </w:rPr>
        <w:t>；岩层的有效孔隙度n；水流速度u；污染物纵向弥散系数D</w:t>
      </w:r>
      <w:r>
        <w:rPr>
          <w:rFonts w:cs="Times New Roman"/>
          <w:color w:val="000000" w:themeColor="text1"/>
          <w:szCs w:val="24"/>
          <w:highlight w:val="none"/>
          <w:vertAlign w:val="subscript"/>
          <w14:textFill>
            <w14:solidFill>
              <w14:schemeClr w14:val="tx1"/>
            </w14:solidFill>
          </w14:textFill>
        </w:rPr>
        <w:t>L</w:t>
      </w:r>
      <w:r>
        <w:rPr>
          <w:rFonts w:cs="Times New Roman"/>
          <w:color w:val="000000" w:themeColor="text1"/>
          <w:szCs w:val="24"/>
          <w:highlight w:val="none"/>
          <w14:textFill>
            <w14:solidFill>
              <w14:schemeClr w14:val="tx1"/>
            </w14:solidFill>
          </w14:textFill>
        </w:rPr>
        <w:t>；污染物横向弥散系数D</w:t>
      </w:r>
      <w:r>
        <w:rPr>
          <w:rFonts w:cs="Times New Roman"/>
          <w:color w:val="000000" w:themeColor="text1"/>
          <w:szCs w:val="24"/>
          <w:highlight w:val="none"/>
          <w:vertAlign w:val="subscript"/>
          <w14:textFill>
            <w14:solidFill>
              <w14:schemeClr w14:val="tx1"/>
            </w14:solidFill>
          </w14:textFill>
        </w:rPr>
        <w:t>T</w:t>
      </w:r>
      <w:r>
        <w:rPr>
          <w:rFonts w:cs="Times New Roman"/>
          <w:color w:val="000000" w:themeColor="text1"/>
          <w:szCs w:val="24"/>
          <w:highlight w:val="none"/>
          <w14:textFill>
            <w14:solidFill>
              <w14:schemeClr w14:val="tx1"/>
            </w14:solidFill>
          </w14:textFill>
        </w:rPr>
        <w:t>。这些参数主要由本次工作的调查资料以及类比区最新的勘察成果资料来确定。</w:t>
      </w:r>
    </w:p>
    <w:p>
      <w:pPr>
        <w:ind w:firstLine="482"/>
        <w:rPr>
          <w:rFonts w:cs="Times New Roman"/>
          <w:b/>
          <w:bCs/>
          <w:snapToGrid w:val="0"/>
          <w:color w:val="000000" w:themeColor="text1"/>
          <w:szCs w:val="24"/>
          <w:highlight w:val="none"/>
          <w14:textFill>
            <w14:solidFill>
              <w14:schemeClr w14:val="tx1"/>
            </w14:solidFill>
          </w14:textFill>
        </w:rPr>
      </w:pPr>
      <w:r>
        <w:rPr>
          <w:rFonts w:cs="Times New Roman"/>
          <w:b/>
          <w:bCs/>
          <w:snapToGrid w:val="0"/>
          <w:color w:val="000000" w:themeColor="text1"/>
          <w:szCs w:val="24"/>
          <w:highlight w:val="none"/>
          <w14:textFill>
            <w14:solidFill>
              <w14:schemeClr w14:val="tx1"/>
            </w14:solidFill>
          </w14:textFill>
        </w:rPr>
        <w:t>（2）模型参数选取</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含水层厚度M：本区域含水层厚度为20～30m，本次取30m。</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瞬时注入的示踪剂质量m</w:t>
      </w:r>
      <w:r>
        <w:rPr>
          <w:rFonts w:cs="Times New Roman"/>
          <w:color w:val="000000" w:themeColor="text1"/>
          <w:szCs w:val="24"/>
          <w:highlight w:val="none"/>
          <w:vertAlign w:val="subscript"/>
          <w14:textFill>
            <w14:solidFill>
              <w14:schemeClr w14:val="tx1"/>
            </w14:solidFill>
          </w14:textFill>
        </w:rPr>
        <w:t>M</w:t>
      </w:r>
      <w:r>
        <w:rPr>
          <w:rFonts w:cs="Times New Roman"/>
          <w:color w:val="000000" w:themeColor="text1"/>
          <w:szCs w:val="24"/>
          <w:highlight w:val="none"/>
          <w14:textFill>
            <w14:solidFill>
              <w14:schemeClr w14:val="tx1"/>
            </w14:solidFill>
          </w14:textFill>
        </w:rPr>
        <w:t>：项目在压裂过程井筒破裂发生渗透性漏失、放喷池泄漏，最大漏失量进行最不利计算，选取污染物特征因子石油类、COD</w:t>
      </w:r>
      <w:r>
        <w:rPr>
          <w:rFonts w:cs="Times New Roman"/>
          <w:color w:val="000000" w:themeColor="text1"/>
          <w:szCs w:val="24"/>
          <w:highlight w:val="none"/>
          <w:vertAlign w:val="subscript"/>
          <w14:textFill>
            <w14:solidFill>
              <w14:schemeClr w14:val="tx1"/>
            </w14:solidFill>
          </w14:textFill>
        </w:rPr>
        <w:t>Cr</w:t>
      </w:r>
      <w:r>
        <w:rPr>
          <w:rFonts w:cs="Times New Roman"/>
          <w:color w:val="000000" w:themeColor="text1"/>
          <w:szCs w:val="24"/>
          <w:highlight w:val="none"/>
          <w14:textFill>
            <w14:solidFill>
              <w14:schemeClr w14:val="tx1"/>
            </w14:solidFill>
          </w14:textFill>
        </w:rPr>
        <w:t>、氯化物。</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含水层的平均有效孔隙度n：地下水含水层岩性以紫红色泥岩、粉砂质泥岩与厚至块状细粒长石石英砂岩互层为主，参考弗里泽孔隙度与岩石粒度近似关系范围并适当修正，有效孔隙度取0.13。</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④</w:t>
      </w:r>
      <w:r>
        <w:rPr>
          <w:rFonts w:cs="Times New Roman"/>
          <w:color w:val="000000" w:themeColor="text1"/>
          <w:szCs w:val="24"/>
          <w:highlight w:val="none"/>
          <w14:textFill>
            <w14:solidFill>
              <w14:schemeClr w14:val="tx1"/>
            </w14:solidFill>
          </w14:textFill>
        </w:rPr>
        <w:t>水流速度u：评价区地下水含水层岩性为砂砾岩，本评价渗透系数取值0.133m/d，水力坡度</w:t>
      </w:r>
      <w:r>
        <w:rPr>
          <w:rFonts w:hint="eastAsia" w:cs="Times New Roman"/>
          <w:color w:val="000000" w:themeColor="text1"/>
          <w:szCs w:val="24"/>
          <w:highlight w:val="none"/>
          <w14:textFill>
            <w14:solidFill>
              <w14:schemeClr w14:val="tx1"/>
            </w14:solidFill>
          </w14:textFill>
        </w:rPr>
        <w:t>根据井场周围地形，</w:t>
      </w:r>
      <w:r>
        <w:rPr>
          <w:rFonts w:cs="Times New Roman"/>
          <w:color w:val="000000" w:themeColor="text1"/>
          <w:szCs w:val="24"/>
          <w:highlight w:val="none"/>
          <w14:textFill>
            <w14:solidFill>
              <w14:schemeClr w14:val="tx1"/>
            </w14:solidFill>
          </w14:textFill>
        </w:rPr>
        <w:t>约为0.21，因此地下水的渗流速度v=KI=0.0279m/d，水流速度取实际流速u=v/n=0.215m/d。</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⑤</w:t>
      </w:r>
      <w:r>
        <w:rPr>
          <w:rFonts w:cs="Times New Roman"/>
          <w:color w:val="000000" w:themeColor="text1"/>
          <w:szCs w:val="24"/>
          <w:highlight w:val="none"/>
          <w14:textFill>
            <w14:solidFill>
              <w14:schemeClr w14:val="tx1"/>
            </w14:solidFill>
          </w14:textFill>
        </w:rPr>
        <w:t>纵向x方向的弥散系数D</w:t>
      </w:r>
      <w:r>
        <w:rPr>
          <w:rFonts w:cs="Times New Roman"/>
          <w:color w:val="000000" w:themeColor="text1"/>
          <w:szCs w:val="24"/>
          <w:highlight w:val="none"/>
          <w:vertAlign w:val="subscript"/>
          <w14:textFill>
            <w14:solidFill>
              <w14:schemeClr w14:val="tx1"/>
            </w14:solidFill>
          </w14:textFill>
        </w:rPr>
        <w:t>L</w:t>
      </w:r>
      <w:r>
        <w:rPr>
          <w:rFonts w:cs="Times New Roman"/>
          <w:color w:val="000000" w:themeColor="text1"/>
          <w:szCs w:val="24"/>
          <w:highlight w:val="none"/>
          <w14:textFill>
            <w14:solidFill>
              <w14:schemeClr w14:val="tx1"/>
            </w14:solidFill>
          </w14:textFill>
        </w:rPr>
        <w:t>：参考Gelhar等人关于纵向弥散度与观测尺度关系的理论，根据本次污染场地的研究尺度，模型计算中纵向弥散度选用10.0m。由此计算评估区含水层中的纵向弥散系数：D</w:t>
      </w:r>
      <w:r>
        <w:rPr>
          <w:rFonts w:cs="Times New Roman"/>
          <w:color w:val="000000" w:themeColor="text1"/>
          <w:szCs w:val="24"/>
          <w:highlight w:val="none"/>
          <w:vertAlign w:val="subscript"/>
          <w14:textFill>
            <w14:solidFill>
              <w14:schemeClr w14:val="tx1"/>
            </w14:solidFill>
          </w14:textFill>
        </w:rPr>
        <w:t>L</w:t>
      </w:r>
      <w:r>
        <w:rPr>
          <w:rFonts w:cs="Times New Roman"/>
          <w:color w:val="000000" w:themeColor="text1"/>
          <w:szCs w:val="24"/>
          <w:highlight w:val="none"/>
          <w14:textFill>
            <w14:solidFill>
              <w14:schemeClr w14:val="tx1"/>
            </w14:solidFill>
          </w14:textFill>
        </w:rPr>
        <w:t>=α</w:t>
      </w:r>
      <w:r>
        <w:rPr>
          <w:rFonts w:cs="Times New Roman"/>
          <w:color w:val="000000" w:themeColor="text1"/>
          <w:szCs w:val="24"/>
          <w:highlight w:val="none"/>
          <w:vertAlign w:val="subscript"/>
          <w14:textFill>
            <w14:solidFill>
              <w14:schemeClr w14:val="tx1"/>
            </w14:solidFill>
          </w14:textFill>
        </w:rPr>
        <w:t>L</w:t>
      </w:r>
      <w:r>
        <w:rPr>
          <w:rFonts w:cs="Times New Roman"/>
          <w:color w:val="000000" w:themeColor="text1"/>
          <w:szCs w:val="24"/>
          <w:highlight w:val="none"/>
          <w14:textFill>
            <w14:solidFill>
              <w14:schemeClr w14:val="tx1"/>
            </w14:solidFill>
          </w14:textFill>
        </w:rPr>
        <w:t>×u=2.15m</w:t>
      </w:r>
      <w:r>
        <w:rPr>
          <w:rFonts w:cs="Times New Roman"/>
          <w:color w:val="000000" w:themeColor="text1"/>
          <w:szCs w:val="24"/>
          <w:highlight w:val="none"/>
          <w:vertAlign w:val="superscript"/>
          <w14:textFill>
            <w14:solidFill>
              <w14:schemeClr w14:val="tx1"/>
            </w14:solidFill>
          </w14:textFill>
        </w:rPr>
        <w:t>2</w:t>
      </w:r>
      <w:r>
        <w:rPr>
          <w:rFonts w:cs="Times New Roman"/>
          <w:color w:val="000000" w:themeColor="text1"/>
          <w:szCs w:val="24"/>
          <w:highlight w:val="none"/>
          <w14:textFill>
            <w14:solidFill>
              <w14:schemeClr w14:val="tx1"/>
            </w14:solidFill>
          </w14:textFill>
        </w:rPr>
        <w:t>/d。</w:t>
      </w:r>
    </w:p>
    <w:p>
      <w:pPr>
        <w:ind w:firstLine="480"/>
        <w:rPr>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⑥</w:t>
      </w:r>
      <w:r>
        <w:rPr>
          <w:rFonts w:cs="Times New Roman"/>
          <w:color w:val="000000" w:themeColor="text1"/>
          <w:szCs w:val="24"/>
          <w:highlight w:val="none"/>
          <w14:textFill>
            <w14:solidFill>
              <w14:schemeClr w14:val="tx1"/>
            </w14:solidFill>
          </w14:textFill>
        </w:rPr>
        <w:t>横向y方向的弥散系数D</w:t>
      </w:r>
      <w:r>
        <w:rPr>
          <w:rFonts w:cs="Times New Roman"/>
          <w:color w:val="000000" w:themeColor="text1"/>
          <w:szCs w:val="24"/>
          <w:highlight w:val="none"/>
          <w:vertAlign w:val="subscript"/>
          <w14:textFill>
            <w14:solidFill>
              <w14:schemeClr w14:val="tx1"/>
            </w14:solidFill>
          </w14:textFill>
        </w:rPr>
        <w:t>T</w:t>
      </w:r>
      <w:r>
        <w:rPr>
          <w:rFonts w:cs="Times New Roman"/>
          <w:color w:val="000000" w:themeColor="text1"/>
          <w:szCs w:val="24"/>
          <w:highlight w:val="none"/>
          <w14:textFill>
            <w14:solidFill>
              <w14:schemeClr w14:val="tx1"/>
            </w14:solidFill>
          </w14:textFill>
        </w:rPr>
        <w:t>：根据经验一般D</w:t>
      </w:r>
      <w:r>
        <w:rPr>
          <w:rFonts w:cs="Times New Roman"/>
          <w:color w:val="000000" w:themeColor="text1"/>
          <w:szCs w:val="24"/>
          <w:highlight w:val="none"/>
          <w:vertAlign w:val="subscript"/>
          <w14:textFill>
            <w14:solidFill>
              <w14:schemeClr w14:val="tx1"/>
            </w14:solidFill>
          </w14:textFill>
        </w:rPr>
        <w:t>T</w:t>
      </w:r>
      <w:r>
        <w:rPr>
          <w:rFonts w:cs="Times New Roman"/>
          <w:color w:val="000000" w:themeColor="text1"/>
          <w:szCs w:val="24"/>
          <w:highlight w:val="none"/>
          <w14:textFill>
            <w14:solidFill>
              <w14:schemeClr w14:val="tx1"/>
            </w14:solidFill>
          </w14:textFill>
        </w:rPr>
        <w:t>：D</w:t>
      </w:r>
      <w:r>
        <w:rPr>
          <w:rFonts w:cs="Times New Roman"/>
          <w:color w:val="000000" w:themeColor="text1"/>
          <w:szCs w:val="24"/>
          <w:highlight w:val="none"/>
          <w:vertAlign w:val="subscript"/>
          <w14:textFill>
            <w14:solidFill>
              <w14:schemeClr w14:val="tx1"/>
            </w14:solidFill>
          </w14:textFill>
        </w:rPr>
        <w:t>L</w:t>
      </w:r>
      <w:r>
        <w:rPr>
          <w:rFonts w:cs="Times New Roman"/>
          <w:color w:val="000000" w:themeColor="text1"/>
          <w:szCs w:val="24"/>
          <w:highlight w:val="none"/>
          <w14:textFill>
            <w14:solidFill>
              <w14:schemeClr w14:val="tx1"/>
            </w14:solidFill>
          </w14:textFill>
        </w:rPr>
        <w:t>=0.1，因此D</w:t>
      </w:r>
      <w:r>
        <w:rPr>
          <w:rFonts w:cs="Times New Roman"/>
          <w:color w:val="000000" w:themeColor="text1"/>
          <w:szCs w:val="24"/>
          <w:highlight w:val="none"/>
          <w:vertAlign w:val="subscript"/>
          <w14:textFill>
            <w14:solidFill>
              <w14:schemeClr w14:val="tx1"/>
            </w14:solidFill>
          </w14:textFill>
        </w:rPr>
        <w:t>T</w:t>
      </w:r>
      <w:r>
        <w:rPr>
          <w:rFonts w:cs="Times New Roman"/>
          <w:color w:val="000000" w:themeColor="text1"/>
          <w:szCs w:val="24"/>
          <w:highlight w:val="none"/>
          <w14:textFill>
            <w14:solidFill>
              <w14:schemeClr w14:val="tx1"/>
            </w14:solidFill>
          </w14:textFill>
        </w:rPr>
        <w:t>取值0.215m</w:t>
      </w:r>
      <w:r>
        <w:rPr>
          <w:rFonts w:cs="Times New Roman"/>
          <w:color w:val="000000" w:themeColor="text1"/>
          <w:szCs w:val="24"/>
          <w:highlight w:val="none"/>
          <w:vertAlign w:val="superscript"/>
          <w14:textFill>
            <w14:solidFill>
              <w14:schemeClr w14:val="tx1"/>
            </w14:solidFill>
          </w14:textFill>
        </w:rPr>
        <w:t>2</w:t>
      </w:r>
      <w:r>
        <w:rPr>
          <w:rFonts w:cs="Times New Roman"/>
          <w:color w:val="000000" w:themeColor="text1"/>
          <w:szCs w:val="24"/>
          <w:highlight w:val="none"/>
          <w14:textFill>
            <w14:solidFill>
              <w14:schemeClr w14:val="tx1"/>
            </w14:solidFill>
          </w14:textFill>
        </w:rPr>
        <w:t>/d</w:t>
      </w:r>
      <w:r>
        <w:rPr>
          <w:color w:val="000000" w:themeColor="text1"/>
          <w:szCs w:val="24"/>
          <w:highlight w:val="none"/>
          <w14:textFill>
            <w14:solidFill>
              <w14:schemeClr w14:val="tx1"/>
            </w14:solidFill>
          </w14:textFill>
        </w:rPr>
        <w:t>。</w:t>
      </w:r>
    </w:p>
    <w:p>
      <w:pPr>
        <w:pStyle w:val="21"/>
        <w:spacing w:before="0"/>
        <w:ind w:left="0" w:firstLine="480"/>
        <w:jc w:val="both"/>
        <w:rPr>
          <w:rFonts w:ascii="Times New Roman" w:hAnsi="Times New Roman" w:eastAsia="黑体"/>
          <w:bCs/>
          <w:color w:val="000000" w:themeColor="text1"/>
          <w:kern w:val="2"/>
          <w:highlight w:val="none"/>
          <w:lang w:eastAsia="zh-CN"/>
          <w14:textFill>
            <w14:solidFill>
              <w14:schemeClr w14:val="tx1"/>
            </w14:solidFill>
          </w14:textFill>
        </w:rPr>
      </w:pPr>
      <w:r>
        <w:rPr>
          <w:rFonts w:ascii="Times New Roman" w:hAnsi="Times New Roman" w:eastAsia="黑体"/>
          <w:bCs/>
          <w:color w:val="000000" w:themeColor="text1"/>
          <w:kern w:val="2"/>
          <w:highlight w:val="none"/>
          <w:lang w:eastAsia="zh-CN"/>
          <w14:textFill>
            <w14:solidFill>
              <w14:schemeClr w14:val="tx1"/>
            </w14:solidFill>
          </w14:textFill>
        </w:rPr>
        <w:t>3、影响预测</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（1）预测方法</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地下水水文地质条件相对简单，污染物排放对地下水流场无影响，且基本的水位地质参数在项目建设至服务期满的过程中变化不大，同时该项目的地下水环境影响评价较难采用类比和趋势外延等经验方法，因此本次评价采用解析法进行预测。</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污染物在地下水系统中的迁移转化过程十分复杂，本次污染物模拟预测过程不考虑污染物在含水层中的吸附、挥发、生物化学反应，模型中各项参数予以保守性考虑。由于污染物预测主要针对非正常状况下污染物运移情况，因此模型预测不考虑包气带对污染物的截留作用，假设污染物可以直接通过包气带进入地下水体，最大限度地考虑污染物对研究区水体的影响。</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地下水环境影响预测范围与调查评价范围一致，预测层位以潜水含水层为主。</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（2）预测时段</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地下水环境影响预测时段应选取可能产生地下水污染的关键时段，至少包括污染发生后100d、1000d，服务年限或能反应特征因子迁移规律的其他重要时间节点。本项目为油气开发井钻采项目，对地下水的影响主要在项目的施工期，生产运行和服务期满后两个阶段对地下水的影响极小。</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因此，根据《环境影响评价技术导则—地下水环境》（HJ610-2016）和项目施工期时长，将地下水环境影响预测时限定为100天、365天、1000天和3650天。</w:t>
      </w:r>
    </w:p>
    <w:p>
      <w:pPr>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（3）预测因子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根据《环境影响评价技术导则-地下水环境》（HJ610-2016），建设项目预测因子选取重点应包括：</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1）改、扩建项目已经排放的及将要产生的主要污染物；</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2）难降解、易生物蓄积、长期接触对人体和生物产生危害作用的污染物，应特别关注持久性有机污染物；</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3）国家或地方要求控制的污染物；</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4）反映地下水循环特征和水质成因类型的常规项目或超标项目。</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预测因子识别应对项目污染物进行分类后（重金属、持久性污染物和其他类别进行分类），对每一类中各项因子采用标准指数法进行排序，分别取标准指数最大的因子作为预测因子；如该项目属于改扩建项目，将选择技改后继续产生的特征因子，改扩建后新增加的特征因子作为预测因子；污染场地已经查明的主要污染物作为预测因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监测资料，本项目附近潜水含水层地下水水质良好，现状监测指标基本能满足《地下水质量标准》（GB14848-2017）中III类水质标准限值要求。基于本项目废水的水质特征，一方面考虑预测的可行性，同时考虑预测因子的代表性，并以各污染物最高浓度为源强进行预测，选择无机离子中等标污染负荷最大的氯离子，持久性污染物中等标污染负荷最大的COD</w:t>
      </w:r>
      <w:r>
        <w:rPr>
          <w:rFonts w:cs="Times New Roman"/>
          <w:bCs/>
          <w:color w:val="000000" w:themeColor="text1"/>
          <w:szCs w:val="24"/>
          <w:highlight w:val="none"/>
          <w:vertAlign w:val="subscript"/>
          <w14:textFill>
            <w14:solidFill>
              <w14:schemeClr w14:val="tx1"/>
            </w14:solidFill>
          </w14:textFill>
        </w:rPr>
        <w:t>Cr</w:t>
      </w:r>
      <w:r>
        <w:rPr>
          <w:rFonts w:cs="Times New Roman"/>
          <w:bCs/>
          <w:color w:val="000000" w:themeColor="text1"/>
          <w:szCs w:val="24"/>
          <w:highlight w:val="none"/>
          <w14:textFill>
            <w14:solidFill>
              <w14:schemeClr w14:val="tx1"/>
            </w14:solidFill>
          </w14:textFill>
        </w:rPr>
        <w:t>，特征污染因子石油类作为本次评价的预测因子。</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w:t>
      </w:r>
      <w:r>
        <w:rPr>
          <w:rFonts w:hint="eastAsia" w:cs="Times New Roman"/>
          <w:bCs/>
          <w:color w:val="000000" w:themeColor="text1"/>
          <w:szCs w:val="24"/>
          <w:highlight w:val="none"/>
          <w14:textFill>
            <w14:solidFill>
              <w14:schemeClr w14:val="tx1"/>
            </w14:solidFill>
          </w14:textFill>
        </w:rPr>
        <w:t>现场勘查</w:t>
      </w:r>
      <w:r>
        <w:rPr>
          <w:rFonts w:cs="Times New Roman"/>
          <w:bCs/>
          <w:color w:val="000000" w:themeColor="text1"/>
          <w:szCs w:val="24"/>
          <w:highlight w:val="none"/>
          <w14:textFill>
            <w14:solidFill>
              <w14:schemeClr w14:val="tx1"/>
            </w14:solidFill>
          </w14:textFill>
        </w:rPr>
        <w:t>本项目区域地下水自北东向南西径流，地下水评价范围内地下水流向下游及侧游无在用居民饮用水井分布，因此本次评价不对地下水水井开展预测。</w:t>
      </w:r>
    </w:p>
    <w:p>
      <w:pPr>
        <w:ind w:firstLine="482"/>
        <w:rPr>
          <w:rFonts w:cs="Times New Roman"/>
          <w:b/>
          <w:color w:val="000000" w:themeColor="text1"/>
          <w:szCs w:val="24"/>
          <w:highlight w:val="none"/>
          <w14:textFill>
            <w14:solidFill>
              <w14:schemeClr w14:val="tx1"/>
            </w14:solidFill>
          </w14:textFill>
        </w:rPr>
      </w:pPr>
      <w:bookmarkStart w:id="319" w:name="_Toc14702837"/>
      <w:r>
        <w:rPr>
          <w:rFonts w:cs="Times New Roman"/>
          <w:b/>
          <w:color w:val="000000" w:themeColor="text1"/>
          <w:szCs w:val="24"/>
          <w:highlight w:val="none"/>
          <w14:textFill>
            <w14:solidFill>
              <w14:schemeClr w14:val="tx1"/>
            </w14:solidFill>
          </w14:textFill>
        </w:rPr>
        <w:t>（4）预测结果</w:t>
      </w:r>
      <w:bookmarkEnd w:id="319"/>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次预测，各特征因子浓度超过标准限值即为超标，影响浓度定义为各指标的检出下限，当预测结果小于影响浓度（检出限或标准值的十分之一+背景值）时则视同对地下水环境几乎没有影响。背景值根据本次监测结果取最大值，其中COD</w:t>
      </w:r>
      <w:r>
        <w:rPr>
          <w:rFonts w:cs="Times New Roman"/>
          <w:color w:val="000000" w:themeColor="text1"/>
          <w:szCs w:val="24"/>
          <w:highlight w:val="none"/>
          <w:vertAlign w:val="subscript"/>
          <w14:textFill>
            <w14:solidFill>
              <w14:schemeClr w14:val="tx1"/>
            </w14:solidFill>
          </w14:textFill>
        </w:rPr>
        <w:t>Cr</w:t>
      </w:r>
      <w:r>
        <w:rPr>
          <w:rFonts w:cs="Times New Roman"/>
          <w:color w:val="000000" w:themeColor="text1"/>
          <w:szCs w:val="24"/>
          <w:highlight w:val="none"/>
          <w14:textFill>
            <w14:solidFill>
              <w14:schemeClr w14:val="tx1"/>
            </w14:solidFill>
          </w14:textFill>
        </w:rPr>
        <w:t>按照耗氧量指标取最大值的2倍约2*2.4=4.8mg/L，石油类指标</w:t>
      </w:r>
      <w:r>
        <w:rPr>
          <w:rFonts w:hint="eastAsia" w:cs="Times New Roman"/>
          <w:color w:val="000000" w:themeColor="text1"/>
          <w:szCs w:val="24"/>
          <w:highlight w:val="none"/>
          <w14:textFill>
            <w14:solidFill>
              <w14:schemeClr w14:val="tx1"/>
            </w14:solidFill>
          </w14:textFill>
        </w:rPr>
        <w:t>未检出，</w:t>
      </w:r>
      <w:r>
        <w:rPr>
          <w:rFonts w:cs="Times New Roman"/>
          <w:color w:val="000000" w:themeColor="text1"/>
          <w:szCs w:val="24"/>
          <w:highlight w:val="none"/>
          <w14:textFill>
            <w14:solidFill>
              <w14:schemeClr w14:val="tx1"/>
            </w14:solidFill>
          </w14:textFill>
        </w:rPr>
        <w:t>取值0mg/L，氯离子取值14.6mg/L。根据《地下水质量标准》（GB/T14848-2017）及项目执行的环保标准，该项目所在区域地下水属Ⅲ类水质，因此，Cl</w:t>
      </w:r>
      <w:r>
        <w:rPr>
          <w:rFonts w:cs="Times New Roman"/>
          <w:color w:val="000000" w:themeColor="text1"/>
          <w:szCs w:val="24"/>
          <w:highlight w:val="none"/>
          <w:vertAlign w:val="superscript"/>
          <w14:textFill>
            <w14:solidFill>
              <w14:schemeClr w14:val="tx1"/>
            </w14:solidFill>
          </w14:textFill>
        </w:rPr>
        <w:t>-</w:t>
      </w:r>
      <w:r>
        <w:rPr>
          <w:rFonts w:cs="Times New Roman"/>
          <w:color w:val="000000" w:themeColor="text1"/>
          <w:szCs w:val="24"/>
          <w:highlight w:val="none"/>
          <w14:textFill>
            <w14:solidFill>
              <w14:schemeClr w14:val="tx1"/>
            </w14:solidFill>
          </w14:textFill>
        </w:rPr>
        <w:t>标准限值参照《地下水质量标准》（GB/T14848-2017）Ⅲ类标准，为250mg/L；COD</w:t>
      </w:r>
      <w:r>
        <w:rPr>
          <w:rFonts w:cs="Times New Roman"/>
          <w:color w:val="000000" w:themeColor="text1"/>
          <w:szCs w:val="24"/>
          <w:highlight w:val="none"/>
          <w:vertAlign w:val="subscript"/>
          <w14:textFill>
            <w14:solidFill>
              <w14:schemeClr w14:val="tx1"/>
            </w14:solidFill>
          </w14:textFill>
        </w:rPr>
        <w:t>Cr</w:t>
      </w:r>
      <w:r>
        <w:rPr>
          <w:rFonts w:cs="Times New Roman"/>
          <w:color w:val="000000" w:themeColor="text1"/>
          <w:szCs w:val="24"/>
          <w:highlight w:val="none"/>
          <w14:textFill>
            <w14:solidFill>
              <w14:schemeClr w14:val="tx1"/>
            </w14:solidFill>
          </w14:textFill>
        </w:rPr>
        <w:t>和石油类标准限值参照《地表水环境质量标准GB3838-2002》Ⅲ类标准，分别为20mg/L、0.05mg/L；COD</w:t>
      </w:r>
      <w:r>
        <w:rPr>
          <w:rFonts w:cs="Times New Roman"/>
          <w:color w:val="000000" w:themeColor="text1"/>
          <w:szCs w:val="24"/>
          <w:highlight w:val="none"/>
          <w:vertAlign w:val="subscript"/>
          <w14:textFill>
            <w14:solidFill>
              <w14:schemeClr w14:val="tx1"/>
            </w14:solidFill>
          </w14:textFill>
        </w:rPr>
        <w:t>Cr</w:t>
      </w:r>
      <w:r>
        <w:rPr>
          <w:rFonts w:cs="Times New Roman"/>
          <w:color w:val="000000" w:themeColor="text1"/>
          <w:szCs w:val="24"/>
          <w:highlight w:val="none"/>
          <w14:textFill>
            <w14:solidFill>
              <w14:schemeClr w14:val="tx1"/>
            </w14:solidFill>
          </w14:textFill>
        </w:rPr>
        <w:t>影响浓度为6.8mg/L（标准值的十分之一+背景值），石油类影响浓度为0.05mg/L，Cl</w:t>
      </w:r>
      <w:r>
        <w:rPr>
          <w:rFonts w:cs="Times New Roman"/>
          <w:color w:val="000000" w:themeColor="text1"/>
          <w:szCs w:val="24"/>
          <w:highlight w:val="none"/>
          <w:vertAlign w:val="superscript"/>
          <w14:textFill>
            <w14:solidFill>
              <w14:schemeClr w14:val="tx1"/>
            </w14:solidFill>
          </w14:textFill>
        </w:rPr>
        <w:t>-</w:t>
      </w:r>
      <w:r>
        <w:rPr>
          <w:rFonts w:cs="Times New Roman"/>
          <w:color w:val="000000" w:themeColor="text1"/>
          <w:szCs w:val="24"/>
          <w:highlight w:val="none"/>
          <w14:textFill>
            <w14:solidFill>
              <w14:schemeClr w14:val="tx1"/>
            </w14:solidFill>
          </w14:textFill>
        </w:rPr>
        <w:t>影响浓度为39.6mg/L（标准值的十分之一+背景值），见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_Ref142858787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20" w:name="_Ref14285878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32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预测指标标准限值及影响浓度一览表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2056"/>
        <w:gridCol w:w="2055"/>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w:t>
            </w:r>
          </w:p>
        </w:tc>
        <w:tc>
          <w:tcPr>
            <w:tcW w:w="205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COD</w:t>
            </w:r>
            <w:r>
              <w:rPr>
                <w:b/>
                <w:bCs/>
                <w:color w:val="000000" w:themeColor="text1"/>
                <w:highlight w:val="none"/>
                <w:vertAlign w:val="subscript"/>
                <w14:textFill>
                  <w14:solidFill>
                    <w14:schemeClr w14:val="tx1"/>
                  </w14:solidFill>
                </w14:textFill>
              </w:rPr>
              <w:t>Cr</w:t>
            </w:r>
          </w:p>
        </w:tc>
        <w:tc>
          <w:tcPr>
            <w:tcW w:w="205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氯</w:t>
            </w:r>
            <w:r>
              <w:rPr>
                <w:rFonts w:hint="eastAsia"/>
                <w:b/>
                <w:bCs/>
                <w:color w:val="000000" w:themeColor="text1"/>
                <w:highlight w:val="none"/>
                <w14:textFill>
                  <w14:solidFill>
                    <w14:schemeClr w14:val="tx1"/>
                  </w14:solidFill>
                </w14:textFill>
              </w:rPr>
              <w:t>离子</w:t>
            </w:r>
          </w:p>
        </w:tc>
        <w:tc>
          <w:tcPr>
            <w:tcW w:w="205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背景值</w:t>
            </w:r>
          </w:p>
        </w:tc>
        <w:tc>
          <w:tcPr>
            <w:tcW w:w="205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4.8</w:t>
            </w:r>
          </w:p>
        </w:tc>
        <w:tc>
          <w:tcPr>
            <w:tcW w:w="20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14.6</w:t>
            </w:r>
          </w:p>
        </w:tc>
        <w:tc>
          <w:tcPr>
            <w:tcW w:w="20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标准限值（mg/L）</w:t>
            </w:r>
          </w:p>
        </w:tc>
        <w:tc>
          <w:tcPr>
            <w:tcW w:w="205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w:t>
            </w:r>
          </w:p>
        </w:tc>
        <w:tc>
          <w:tcPr>
            <w:tcW w:w="20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250</w:t>
            </w:r>
          </w:p>
        </w:tc>
        <w:tc>
          <w:tcPr>
            <w:tcW w:w="20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5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影响浓度（mg/L）</w:t>
            </w:r>
          </w:p>
        </w:tc>
        <w:tc>
          <w:tcPr>
            <w:tcW w:w="205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6.8</w:t>
            </w:r>
          </w:p>
        </w:tc>
        <w:tc>
          <w:tcPr>
            <w:tcW w:w="20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39.6</w:t>
            </w:r>
          </w:p>
        </w:tc>
        <w:tc>
          <w:tcPr>
            <w:tcW w:w="20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0.01</w:t>
            </w:r>
          </w:p>
        </w:tc>
      </w:tr>
    </w:tbl>
    <w:p>
      <w:pPr>
        <w:spacing w:before="120" w:beforeLines="5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1）放喷池泄漏</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地下水中COD</w:t>
      </w:r>
      <w:r>
        <w:rPr>
          <w:color w:val="000000" w:themeColor="text1"/>
          <w:highlight w:val="none"/>
          <w:vertAlign w:val="subscript"/>
          <w14:textFill>
            <w14:solidFill>
              <w14:schemeClr w14:val="tx1"/>
            </w14:solidFill>
          </w14:textFill>
        </w:rPr>
        <w:t>Cr</w:t>
      </w:r>
      <w:r>
        <w:rPr>
          <w:color w:val="000000" w:themeColor="text1"/>
          <w:highlight w:val="none"/>
          <w14:textFill>
            <w14:solidFill>
              <w14:schemeClr w14:val="tx1"/>
            </w14:solidFill>
          </w14:textFill>
        </w:rPr>
        <w:t>的超标及影响距离计算结果见表5.3-3及</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_Ref142860075 \h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放喷池泄漏地下水中</w:t>
      </w:r>
      <w:r>
        <w:rPr>
          <w:color w:val="000000" w:themeColor="text1"/>
          <w:highlight w:val="none"/>
          <w14:textFill>
            <w14:solidFill>
              <w14:schemeClr w14:val="tx1"/>
            </w14:solidFill>
          </w14:textFill>
        </w:rPr>
        <w:t>COD</w:t>
      </w:r>
      <w:r>
        <w:rPr>
          <w:color w:val="000000" w:themeColor="text1"/>
          <w:highlight w:val="none"/>
          <w:vertAlign w:val="subscript"/>
          <w14:textFill>
            <w14:solidFill>
              <w14:schemeClr w14:val="tx1"/>
            </w14:solidFill>
          </w14:textFill>
        </w:rPr>
        <w:t>Cr</w:t>
      </w:r>
      <w:r>
        <w:rPr>
          <w:color w:val="000000" w:themeColor="text1"/>
          <w:highlight w:val="none"/>
          <w14:textFill>
            <w14:solidFill>
              <w14:schemeClr w14:val="tx1"/>
            </w14:solidFill>
          </w14:textFill>
        </w:rPr>
        <w:t>超标及影响距离</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6"/>
        <w:gridCol w:w="1478"/>
        <w:gridCol w:w="1480"/>
        <w:gridCol w:w="1480"/>
        <w:gridCol w:w="1316"/>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污染时间</w:t>
            </w:r>
          </w:p>
        </w:tc>
        <w:tc>
          <w:tcPr>
            <w:tcW w:w="899"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中心点迁移距离（m）</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中心点处浓度（mg/L）</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叠加</w:t>
            </w:r>
            <w:r>
              <w:rPr>
                <w:rFonts w:hint="eastAsia"/>
                <w:b/>
                <w:bCs/>
                <w:color w:val="000000" w:themeColor="text1"/>
                <w:highlight w:val="none"/>
                <w14:textFill>
                  <w14:solidFill>
                    <w14:schemeClr w14:val="tx1"/>
                  </w14:solidFill>
                </w14:textFill>
              </w:rPr>
              <w:t>背景值</w:t>
            </w:r>
            <w:r>
              <w:rPr>
                <w:b/>
                <w:bCs/>
                <w:color w:val="000000" w:themeColor="text1"/>
                <w:highlight w:val="none"/>
                <w14:textFill>
                  <w14:solidFill>
                    <w14:schemeClr w14:val="tx1"/>
                  </w14:solidFill>
                </w14:textFill>
              </w:rPr>
              <w:t>后浓度（mg/L）</w:t>
            </w:r>
          </w:p>
        </w:tc>
        <w:tc>
          <w:tcPr>
            <w:tcW w:w="8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最远超标距离（m）</w:t>
            </w:r>
          </w:p>
        </w:tc>
        <w:tc>
          <w:tcPr>
            <w:tcW w:w="827"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100d</w:t>
            </w:r>
          </w:p>
        </w:tc>
        <w:tc>
          <w:tcPr>
            <w:tcW w:w="149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56.0</w:t>
            </w:r>
          </w:p>
        </w:tc>
        <w:tc>
          <w:tcPr>
            <w:tcW w:w="1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60.8</w:t>
            </w:r>
          </w:p>
        </w:tc>
        <w:tc>
          <w:tcPr>
            <w:tcW w:w="131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w:t>
            </w:r>
          </w:p>
        </w:tc>
        <w:tc>
          <w:tcPr>
            <w:tcW w:w="136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365d</w:t>
            </w:r>
          </w:p>
        </w:tc>
        <w:tc>
          <w:tcPr>
            <w:tcW w:w="149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15.3</w:t>
            </w:r>
          </w:p>
        </w:tc>
        <w:tc>
          <w:tcPr>
            <w:tcW w:w="1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20.1</w:t>
            </w:r>
          </w:p>
        </w:tc>
        <w:tc>
          <w:tcPr>
            <w:tcW w:w="131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84</w:t>
            </w:r>
          </w:p>
        </w:tc>
        <w:tc>
          <w:tcPr>
            <w:tcW w:w="136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1000d</w:t>
            </w:r>
          </w:p>
        </w:tc>
        <w:tc>
          <w:tcPr>
            <w:tcW w:w="149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5.60</w:t>
            </w:r>
          </w:p>
        </w:tc>
        <w:tc>
          <w:tcPr>
            <w:tcW w:w="1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10.4</w:t>
            </w:r>
          </w:p>
        </w:tc>
        <w:tc>
          <w:tcPr>
            <w:tcW w:w="131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36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3650d</w:t>
            </w:r>
          </w:p>
        </w:tc>
        <w:tc>
          <w:tcPr>
            <w:tcW w:w="149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1.53</w:t>
            </w:r>
          </w:p>
        </w:tc>
        <w:tc>
          <w:tcPr>
            <w:tcW w:w="149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6.33</w:t>
            </w:r>
          </w:p>
        </w:tc>
        <w:tc>
          <w:tcPr>
            <w:tcW w:w="131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36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r>
    </w:tbl>
    <w:tbl>
      <w:tblPr>
        <w:tblStyle w:val="55"/>
        <w:tblW w:w="84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29"/>
        <w:gridCol w:w="4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0" w:hRule="atLeast"/>
          <w:jc w:val="center"/>
        </w:trPr>
        <w:tc>
          <w:tcPr>
            <w:tcW w:w="4220" w:type="dxa"/>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drawing>
                <wp:inline distT="0" distB="0" distL="0" distR="0">
                  <wp:extent cx="2675255" cy="1637030"/>
                  <wp:effectExtent l="0" t="0" r="1270" b="1270"/>
                  <wp:docPr id="1807" name="图片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图片 1807"/>
                          <pic:cNvPicPr>
                            <a:picLocks noChangeAspect="1" noChangeArrowheads="1"/>
                          </pic:cNvPicPr>
                        </pic:nvPicPr>
                        <pic:blipFill>
                          <a:blip r:embed="rId70" cstate="print">
                            <a:extLst>
                              <a:ext uri="{28A0092B-C50C-407E-A947-70E740481C1C}">
                                <a14:useLocalDpi xmlns:a14="http://schemas.microsoft.com/office/drawing/2010/main" val="0"/>
                              </a:ext>
                            </a:extLst>
                          </a:blip>
                          <a:srcRect t="8852"/>
                          <a:stretch>
                            <a:fillRect/>
                          </a:stretch>
                        </pic:blipFill>
                        <pic:spPr>
                          <a:xfrm>
                            <a:off x="0" y="0"/>
                            <a:ext cx="2686079" cy="1643983"/>
                          </a:xfrm>
                          <a:prstGeom prst="rect">
                            <a:avLst/>
                          </a:prstGeom>
                          <a:noFill/>
                          <a:ln>
                            <a:noFill/>
                          </a:ln>
                        </pic:spPr>
                      </pic:pic>
                    </a:graphicData>
                  </a:graphic>
                </wp:inline>
              </w:drawing>
            </w:r>
          </w:p>
        </w:tc>
        <w:tc>
          <w:tcPr>
            <w:tcW w:w="4220" w:type="dxa"/>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drawing>
                <wp:inline distT="0" distB="0" distL="0" distR="0">
                  <wp:extent cx="2583815" cy="1592580"/>
                  <wp:effectExtent l="0" t="0" r="6985" b="7620"/>
                  <wp:docPr id="1809" name="图片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 name="图片 18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590450" cy="1596977"/>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22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100d</w:t>
            </w:r>
          </w:p>
        </w:tc>
        <w:tc>
          <w:tcPr>
            <w:tcW w:w="422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0" w:hRule="atLeast"/>
          <w:jc w:val="center"/>
        </w:trPr>
        <w:tc>
          <w:tcPr>
            <w:tcW w:w="4220" w:type="dxa"/>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drawing>
                <wp:inline distT="0" distB="0" distL="0" distR="0">
                  <wp:extent cx="2675890" cy="1663700"/>
                  <wp:effectExtent l="0" t="0" r="635" b="3175"/>
                  <wp:docPr id="1811" name="图片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 name="图片 18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682475" cy="1667912"/>
                          </a:xfrm>
                          <a:prstGeom prst="rect">
                            <a:avLst/>
                          </a:prstGeom>
                          <a:noFill/>
                          <a:ln>
                            <a:noFill/>
                          </a:ln>
                        </pic:spPr>
                      </pic:pic>
                    </a:graphicData>
                  </a:graphic>
                </wp:inline>
              </w:drawing>
            </w:r>
          </w:p>
        </w:tc>
        <w:tc>
          <w:tcPr>
            <w:tcW w:w="4220" w:type="dxa"/>
          </w:tcPr>
          <w:p>
            <w:pPr>
              <w:pStyle w:val="297"/>
              <w:rPr>
                <w:color w:val="000000" w:themeColor="text1"/>
                <w:highlight w:val="none"/>
                <w14:textFill>
                  <w14:solidFill>
                    <w14:schemeClr w14:val="tx1"/>
                  </w14:solidFill>
                </w14:textFill>
              </w:rPr>
            </w:pPr>
            <w:r>
              <w:rPr>
                <w:bCs/>
                <w:color w:val="000000" w:themeColor="text1"/>
                <w:szCs w:val="21"/>
                <w:highlight w:val="none"/>
                <w14:textFill>
                  <w14:solidFill>
                    <w14:schemeClr w14:val="tx1"/>
                  </w14:solidFill>
                </w14:textFill>
              </w:rPr>
              <w:drawing>
                <wp:inline distT="0" distB="0" distL="0" distR="0">
                  <wp:extent cx="2576195" cy="1546225"/>
                  <wp:effectExtent l="0" t="0" r="5080" b="6350"/>
                  <wp:docPr id="1812" name="图片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 name="图片 18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2586967" cy="155280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422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1000d</w:t>
            </w:r>
          </w:p>
        </w:tc>
        <w:tc>
          <w:tcPr>
            <w:tcW w:w="4220" w:type="dxa"/>
          </w:tcPr>
          <w:p>
            <w:pPr>
              <w:pStyle w:val="297"/>
              <w:keepNex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3650d</w:t>
            </w:r>
          </w:p>
        </w:tc>
      </w:tr>
    </w:tbl>
    <w:p>
      <w:pPr>
        <w:pStyle w:val="165"/>
        <w:rPr>
          <w:color w:val="000000" w:themeColor="text1"/>
          <w:highlight w:val="none"/>
          <w14:textFill>
            <w14:solidFill>
              <w14:schemeClr w14:val="tx1"/>
            </w14:solidFill>
          </w14:textFill>
        </w:rPr>
      </w:pPr>
      <w:bookmarkStart w:id="321" w:name="_Ref142860075"/>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321"/>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放喷池泄漏不同预测时间</w:t>
      </w:r>
      <w:r>
        <w:rPr>
          <w:color w:val="000000" w:themeColor="text1"/>
          <w:highlight w:val="none"/>
          <w14:textFill>
            <w14:solidFill>
              <w14:schemeClr w14:val="tx1"/>
            </w14:solidFill>
          </w14:textFill>
        </w:rPr>
        <w:t>COD</w:t>
      </w:r>
      <w:r>
        <w:rPr>
          <w:color w:val="000000" w:themeColor="text1"/>
          <w:highlight w:val="none"/>
          <w:vertAlign w:val="subscript"/>
          <w14:textFill>
            <w14:solidFill>
              <w14:schemeClr w14:val="tx1"/>
            </w14:solidFill>
          </w14:textFill>
        </w:rPr>
        <w:t>Cr</w:t>
      </w:r>
      <w:r>
        <w:rPr>
          <w:color w:val="000000" w:themeColor="text1"/>
          <w:highlight w:val="none"/>
          <w14:textFill>
            <w14:solidFill>
              <w14:schemeClr w14:val="tx1"/>
            </w14:solidFill>
          </w14:textFill>
        </w:rPr>
        <w:t>贡献值与距离浓度关系图</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地下水中石油类的超标及影响距离计算结果见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_Ref142858832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4</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及</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_Ref142860081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22" w:name="_Ref14285883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bookmarkEnd w:id="32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放喷池泄漏地下水中石油类超标及影响距离</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6"/>
        <w:gridCol w:w="1478"/>
        <w:gridCol w:w="1480"/>
        <w:gridCol w:w="1480"/>
        <w:gridCol w:w="1315"/>
        <w:gridCol w:w="1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67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污染时间</w:t>
            </w:r>
          </w:p>
        </w:tc>
        <w:tc>
          <w:tcPr>
            <w:tcW w:w="899"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中心点迁移距离（m）</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中心点处浓度（mg/L）</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叠加后浓度（mg/L）</w:t>
            </w:r>
          </w:p>
        </w:tc>
        <w:tc>
          <w:tcPr>
            <w:tcW w:w="8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最远超标距离（m）</w:t>
            </w:r>
          </w:p>
        </w:tc>
        <w:tc>
          <w:tcPr>
            <w:tcW w:w="82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73"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100d</w:t>
            </w:r>
          </w:p>
        </w:tc>
        <w:tc>
          <w:tcPr>
            <w:tcW w:w="149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498"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2.24</w:t>
            </w:r>
          </w:p>
        </w:tc>
        <w:tc>
          <w:tcPr>
            <w:tcW w:w="1480"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2.24</w:t>
            </w:r>
          </w:p>
        </w:tc>
        <w:tc>
          <w:tcPr>
            <w:tcW w:w="1315"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79</w:t>
            </w:r>
          </w:p>
        </w:tc>
        <w:tc>
          <w:tcPr>
            <w:tcW w:w="136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8" w:hRule="atLeast"/>
          <w:jc w:val="center"/>
        </w:trPr>
        <w:tc>
          <w:tcPr>
            <w:tcW w:w="673"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365d</w:t>
            </w:r>
          </w:p>
        </w:tc>
        <w:tc>
          <w:tcPr>
            <w:tcW w:w="149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498"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0.613</w:t>
            </w:r>
          </w:p>
        </w:tc>
        <w:tc>
          <w:tcPr>
            <w:tcW w:w="1480"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0.613</w:t>
            </w:r>
          </w:p>
        </w:tc>
        <w:tc>
          <w:tcPr>
            <w:tcW w:w="1315"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168</w:t>
            </w:r>
          </w:p>
        </w:tc>
        <w:tc>
          <w:tcPr>
            <w:tcW w:w="136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jc w:val="center"/>
        </w:trPr>
        <w:tc>
          <w:tcPr>
            <w:tcW w:w="673"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1000d</w:t>
            </w:r>
          </w:p>
        </w:tc>
        <w:tc>
          <w:tcPr>
            <w:tcW w:w="149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498"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0.224</w:t>
            </w:r>
          </w:p>
        </w:tc>
        <w:tc>
          <w:tcPr>
            <w:tcW w:w="1480"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0.224</w:t>
            </w:r>
          </w:p>
        </w:tc>
        <w:tc>
          <w:tcPr>
            <w:tcW w:w="1315"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329</w:t>
            </w:r>
          </w:p>
        </w:tc>
        <w:tc>
          <w:tcPr>
            <w:tcW w:w="136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8" w:hRule="atLeast"/>
          <w:jc w:val="center"/>
        </w:trPr>
        <w:tc>
          <w:tcPr>
            <w:tcW w:w="673"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3650d</w:t>
            </w:r>
          </w:p>
        </w:tc>
        <w:tc>
          <w:tcPr>
            <w:tcW w:w="149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498"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0.061</w:t>
            </w:r>
          </w:p>
        </w:tc>
        <w:tc>
          <w:tcPr>
            <w:tcW w:w="1480"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0.061</w:t>
            </w:r>
          </w:p>
        </w:tc>
        <w:tc>
          <w:tcPr>
            <w:tcW w:w="1315"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865</w:t>
            </w:r>
          </w:p>
        </w:tc>
        <w:tc>
          <w:tcPr>
            <w:tcW w:w="136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1024</w:t>
            </w:r>
          </w:p>
        </w:tc>
      </w:tr>
    </w:tbl>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95"/>
        <w:gridCol w:w="4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7140" cy="1597660"/>
                  <wp:effectExtent l="0" t="0" r="6985" b="2540"/>
                  <wp:docPr id="1813" name="图片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图片 18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534763" cy="1609315"/>
                          </a:xfrm>
                          <a:prstGeom prst="rect">
                            <a:avLst/>
                          </a:prstGeom>
                          <a:noFill/>
                          <a:ln>
                            <a:noFill/>
                          </a:ln>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734945" cy="1683385"/>
                  <wp:effectExtent l="0" t="0" r="8255" b="2540"/>
                  <wp:docPr id="1814" name="图片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图片 181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750455" cy="1692969"/>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100d</w:t>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416810" cy="1479550"/>
                  <wp:effectExtent l="0" t="0" r="2540" b="6350"/>
                  <wp:docPr id="1815" name="图片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 name="图片 18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433811" cy="1489867"/>
                          </a:xfrm>
                          <a:prstGeom prst="rect">
                            <a:avLst/>
                          </a:prstGeom>
                          <a:noFill/>
                          <a:ln>
                            <a:noFill/>
                          </a:ln>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52700" cy="1555750"/>
                  <wp:effectExtent l="0" t="0" r="0" b="6350"/>
                  <wp:docPr id="1817" name="图片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图片 18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552700" cy="15557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1000d</w:t>
            </w:r>
          </w:p>
        </w:tc>
        <w:tc>
          <w:tcPr>
            <w:tcW w:w="4150" w:type="dxa"/>
          </w:tcPr>
          <w:p>
            <w:pPr>
              <w:pStyle w:val="297"/>
              <w:keepNex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3650d</w:t>
            </w:r>
          </w:p>
        </w:tc>
      </w:tr>
    </w:tbl>
    <w:p>
      <w:pPr>
        <w:pStyle w:val="165"/>
        <w:rPr>
          <w:color w:val="000000" w:themeColor="text1"/>
          <w:highlight w:val="none"/>
          <w14:textFill>
            <w14:solidFill>
              <w14:schemeClr w14:val="tx1"/>
            </w14:solidFill>
          </w14:textFill>
        </w:rPr>
      </w:pPr>
      <w:bookmarkStart w:id="323" w:name="_Ref142860081"/>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32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放喷池泄漏不同预测时间石油类贡献值与距离浓度关系图</w:t>
      </w:r>
    </w:p>
    <w:p>
      <w:pPr>
        <w:ind w:firstLine="480"/>
        <w:rPr>
          <w:rFonts w:cs="Times New Roman"/>
          <w:color w:val="000000" w:themeColor="text1"/>
          <w:szCs w:val="24"/>
          <w:highlight w:val="none"/>
          <w14:textFill>
            <w14:solidFill>
              <w14:schemeClr w14:val="tx1"/>
            </w14:solidFill>
          </w14:textFill>
        </w:rPr>
      </w:pPr>
      <w:bookmarkStart w:id="324" w:name="_Toc449394636"/>
      <w:bookmarkStart w:id="325" w:name="_Toc449942877"/>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地下水中氯离子的超标及影响距离计算结果见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_Ref142858867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5</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及</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_Ref142860086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3</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26" w:name="_Ref14285886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bookmarkEnd w:id="32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放喷池泄漏地下水中氯离子超标及影响距离</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42"/>
        <w:gridCol w:w="1480"/>
        <w:gridCol w:w="1642"/>
        <w:gridCol w:w="1315"/>
        <w:gridCol w:w="1480"/>
        <w:gridCol w:w="1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jc w:val="center"/>
        </w:trPr>
        <w:tc>
          <w:tcPr>
            <w:tcW w:w="57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污染时间</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中心点迁移距离（m）</w:t>
            </w:r>
          </w:p>
        </w:tc>
        <w:tc>
          <w:tcPr>
            <w:tcW w:w="999"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中心点处浓度（mg/L）</w:t>
            </w:r>
          </w:p>
        </w:tc>
        <w:tc>
          <w:tcPr>
            <w:tcW w:w="8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叠加后浓度（mg/L）</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最远超标距离（m）</w:t>
            </w:r>
          </w:p>
        </w:tc>
        <w:tc>
          <w:tcPr>
            <w:tcW w:w="82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73"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100d</w:t>
            </w:r>
          </w:p>
        </w:tc>
        <w:tc>
          <w:tcPr>
            <w:tcW w:w="1506"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672"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44.8</w:t>
            </w:r>
          </w:p>
        </w:tc>
        <w:tc>
          <w:tcPr>
            <w:tcW w:w="1315"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59.4</w:t>
            </w:r>
          </w:p>
        </w:tc>
        <w:tc>
          <w:tcPr>
            <w:tcW w:w="1480"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6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573"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365d</w:t>
            </w:r>
          </w:p>
        </w:tc>
        <w:tc>
          <w:tcPr>
            <w:tcW w:w="1506"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672"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12.3</w:t>
            </w:r>
          </w:p>
        </w:tc>
        <w:tc>
          <w:tcPr>
            <w:tcW w:w="1315"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26.9</w:t>
            </w:r>
          </w:p>
        </w:tc>
        <w:tc>
          <w:tcPr>
            <w:tcW w:w="1480"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6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73"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1000d</w:t>
            </w:r>
          </w:p>
        </w:tc>
        <w:tc>
          <w:tcPr>
            <w:tcW w:w="1506"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672"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4.48</w:t>
            </w:r>
          </w:p>
        </w:tc>
        <w:tc>
          <w:tcPr>
            <w:tcW w:w="1315"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19.1</w:t>
            </w:r>
          </w:p>
        </w:tc>
        <w:tc>
          <w:tcPr>
            <w:tcW w:w="1480"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6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573"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3650d</w:t>
            </w:r>
          </w:p>
        </w:tc>
        <w:tc>
          <w:tcPr>
            <w:tcW w:w="1506"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672"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1.23</w:t>
            </w:r>
          </w:p>
        </w:tc>
        <w:tc>
          <w:tcPr>
            <w:tcW w:w="1315"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16.0</w:t>
            </w:r>
          </w:p>
        </w:tc>
        <w:tc>
          <w:tcPr>
            <w:tcW w:w="1480"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6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r>
    </w:tbl>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15"/>
        <w:gridCol w:w="4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382520" cy="1430655"/>
                  <wp:effectExtent l="0" t="0" r="8255" b="7620"/>
                  <wp:docPr id="1818" name="图片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图片 18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382520" cy="1430655"/>
                          </a:xfrm>
                          <a:prstGeom prst="rect">
                            <a:avLst/>
                          </a:prstGeom>
                          <a:noFill/>
                          <a:ln>
                            <a:noFill/>
                          </a:ln>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341880" cy="1421765"/>
                  <wp:effectExtent l="0" t="0" r="1270" b="6985"/>
                  <wp:docPr id="1819" name="图片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图片 181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2341880" cy="142176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100d</w:t>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350770" cy="1439545"/>
                  <wp:effectExtent l="0" t="0" r="1905" b="8255"/>
                  <wp:docPr id="1820" name="图片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图片 18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350770" cy="1439545"/>
                          </a:xfrm>
                          <a:prstGeom prst="rect">
                            <a:avLst/>
                          </a:prstGeom>
                          <a:noFill/>
                          <a:ln>
                            <a:noFill/>
                          </a:ln>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362200" cy="1443355"/>
                  <wp:effectExtent l="0" t="0" r="0" b="4445"/>
                  <wp:docPr id="1821" name="图片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 name="图片 18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362200" cy="14433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000d</w:t>
            </w:r>
          </w:p>
        </w:tc>
        <w:tc>
          <w:tcPr>
            <w:tcW w:w="4150" w:type="dxa"/>
          </w:tcPr>
          <w:p>
            <w:pPr>
              <w:pStyle w:val="297"/>
              <w:keepNex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3650d</w:t>
            </w:r>
          </w:p>
        </w:tc>
      </w:tr>
    </w:tbl>
    <w:p>
      <w:pPr>
        <w:pStyle w:val="165"/>
        <w:rPr>
          <w:color w:val="000000" w:themeColor="text1"/>
          <w:highlight w:val="none"/>
          <w14:textFill>
            <w14:solidFill>
              <w14:schemeClr w14:val="tx1"/>
            </w14:solidFill>
          </w14:textFill>
        </w:rPr>
      </w:pPr>
      <w:bookmarkStart w:id="327" w:name="_Ref142860086"/>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327"/>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放喷池泄漏不同预测时间氯离子贡献值与距离浓度关系图</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2）压裂过程中井筒破裂</w:t>
      </w:r>
    </w:p>
    <w:p>
      <w:pPr>
        <w:ind w:firstLine="480"/>
        <w:rPr>
          <w:rFonts w:cs="Times New Roman"/>
          <w:color w:val="000000" w:themeColor="text1"/>
          <w:szCs w:val="24"/>
          <w:highlight w:val="none"/>
          <w14:textFill>
            <w14:solidFill>
              <w14:schemeClr w14:val="tx1"/>
            </w14:solidFill>
          </w14:textFill>
        </w:rPr>
      </w:pPr>
      <w:bookmarkStart w:id="328" w:name="_Toc7285"/>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地下水中COD</w:t>
      </w:r>
      <w:r>
        <w:rPr>
          <w:rFonts w:cs="Times New Roman"/>
          <w:color w:val="000000" w:themeColor="text1"/>
          <w:szCs w:val="24"/>
          <w:highlight w:val="none"/>
          <w:vertAlign w:val="subscript"/>
          <w14:textFill>
            <w14:solidFill>
              <w14:schemeClr w14:val="tx1"/>
            </w14:solidFill>
          </w14:textFill>
        </w:rPr>
        <w:t>Cr</w:t>
      </w:r>
      <w:r>
        <w:rPr>
          <w:rFonts w:cs="Times New Roman"/>
          <w:color w:val="000000" w:themeColor="text1"/>
          <w:szCs w:val="24"/>
          <w:highlight w:val="none"/>
          <w14:textFill>
            <w14:solidFill>
              <w14:schemeClr w14:val="tx1"/>
            </w14:solidFill>
          </w14:textFill>
        </w:rPr>
        <w:t>的超标及影响距离计算结果见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_Ref142858891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6</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及</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_Ref142860091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4</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29" w:name="_Ref14285889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32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压裂过程中井筒破裂地下水中</w:t>
      </w:r>
      <w:r>
        <w:rPr>
          <w:color w:val="000000" w:themeColor="text1"/>
          <w:highlight w:val="none"/>
          <w14:textFill>
            <w14:solidFill>
              <w14:schemeClr w14:val="tx1"/>
            </w14:solidFill>
          </w14:textFill>
        </w:rPr>
        <w:t>COD</w:t>
      </w:r>
      <w:r>
        <w:rPr>
          <w:color w:val="000000" w:themeColor="text1"/>
          <w:highlight w:val="none"/>
          <w:vertAlign w:val="subscript"/>
          <w14:textFill>
            <w14:solidFill>
              <w14:schemeClr w14:val="tx1"/>
            </w14:solidFill>
          </w14:textFill>
        </w:rPr>
        <w:t>Cr</w:t>
      </w:r>
      <w:r>
        <w:rPr>
          <w:color w:val="000000" w:themeColor="text1"/>
          <w:highlight w:val="none"/>
          <w14:textFill>
            <w14:solidFill>
              <w14:schemeClr w14:val="tx1"/>
            </w14:solidFill>
          </w14:textFill>
        </w:rPr>
        <w:t>超标及影响距离</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05"/>
        <w:gridCol w:w="1479"/>
        <w:gridCol w:w="1481"/>
        <w:gridCol w:w="1481"/>
        <w:gridCol w:w="1314"/>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tblHeader/>
          <w:jc w:val="center"/>
        </w:trPr>
        <w:tc>
          <w:tcPr>
            <w:tcW w:w="672"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污染时间</w:t>
            </w:r>
          </w:p>
        </w:tc>
        <w:tc>
          <w:tcPr>
            <w:tcW w:w="899"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中心点迁移距离（m）</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中心点处浓度（mg/L）</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叠加后浓度（mg/L）</w:t>
            </w:r>
          </w:p>
        </w:tc>
        <w:tc>
          <w:tcPr>
            <w:tcW w:w="799"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最远超标距离（m）</w:t>
            </w:r>
          </w:p>
        </w:tc>
        <w:tc>
          <w:tcPr>
            <w:tcW w:w="827"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672"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100d</w:t>
            </w:r>
          </w:p>
        </w:tc>
        <w:tc>
          <w:tcPr>
            <w:tcW w:w="147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481"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34.51</w:t>
            </w:r>
          </w:p>
        </w:tc>
        <w:tc>
          <w:tcPr>
            <w:tcW w:w="1481"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39.31</w:t>
            </w:r>
          </w:p>
        </w:tc>
        <w:tc>
          <w:tcPr>
            <w:tcW w:w="1314"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49</w:t>
            </w:r>
          </w:p>
        </w:tc>
        <w:tc>
          <w:tcPr>
            <w:tcW w:w="1360"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672"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365d</w:t>
            </w:r>
          </w:p>
        </w:tc>
        <w:tc>
          <w:tcPr>
            <w:tcW w:w="147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481"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9.46</w:t>
            </w:r>
          </w:p>
        </w:tc>
        <w:tc>
          <w:tcPr>
            <w:tcW w:w="1481"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14.26</w:t>
            </w:r>
          </w:p>
        </w:tc>
        <w:tc>
          <w:tcPr>
            <w:tcW w:w="1314" w:type="dxa"/>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60" w:type="dxa"/>
            <w:vAlign w:val="center"/>
          </w:tcPr>
          <w:p>
            <w:pPr>
              <w:pStyle w:val="297"/>
              <w:rPr>
                <w:bCs/>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1</w:t>
            </w:r>
            <w:r>
              <w:rPr>
                <w:bCs/>
                <w:color w:val="000000" w:themeColor="text1"/>
                <w:highlight w:val="none"/>
                <w14:textFill>
                  <w14:solidFill>
                    <w14:schemeClr w14:val="tx1"/>
                  </w14:solidFill>
                </w14:textFill>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672"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1000d</w:t>
            </w:r>
          </w:p>
        </w:tc>
        <w:tc>
          <w:tcPr>
            <w:tcW w:w="147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481"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3.45</w:t>
            </w:r>
          </w:p>
        </w:tc>
        <w:tc>
          <w:tcPr>
            <w:tcW w:w="1481"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8.25</w:t>
            </w:r>
          </w:p>
        </w:tc>
        <w:tc>
          <w:tcPr>
            <w:tcW w:w="1314" w:type="dxa"/>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60"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672"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3650d</w:t>
            </w:r>
          </w:p>
        </w:tc>
        <w:tc>
          <w:tcPr>
            <w:tcW w:w="147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481"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0.95</w:t>
            </w:r>
          </w:p>
        </w:tc>
        <w:tc>
          <w:tcPr>
            <w:tcW w:w="1481" w:type="dxa"/>
            <w:vAlign w:val="center"/>
          </w:tcPr>
          <w:p>
            <w:pPr>
              <w:pStyle w:val="297"/>
              <w:rPr>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5</w:t>
            </w:r>
            <w:r>
              <w:rPr>
                <w:bCs/>
                <w:color w:val="000000" w:themeColor="text1"/>
                <w:highlight w:val="none"/>
                <w14:textFill>
                  <w14:solidFill>
                    <w14:schemeClr w14:val="tx1"/>
                  </w14:solidFill>
                </w14:textFill>
              </w:rPr>
              <w:t>.75</w:t>
            </w:r>
          </w:p>
        </w:tc>
        <w:tc>
          <w:tcPr>
            <w:tcW w:w="1314" w:type="dxa"/>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60"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r>
    </w:tbl>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1"/>
        <w:gridCol w:w="4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23365"/>
                  <wp:effectExtent l="0" t="0" r="4445" b="635"/>
                  <wp:docPr id="1254635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635962" name="图片 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520000" cy="1523524"/>
                          </a:xfrm>
                          <a:prstGeom prst="rect">
                            <a:avLst/>
                          </a:prstGeom>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22095"/>
                  <wp:effectExtent l="0" t="0" r="4445" b="1905"/>
                  <wp:docPr id="20818514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851430" name="图片 2"/>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520000" cy="152261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100d</w:t>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12570"/>
                  <wp:effectExtent l="0" t="0" r="4445" b="1905"/>
                  <wp:docPr id="4535225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22501" name="图片 3"/>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2520000" cy="1512910"/>
                          </a:xfrm>
                          <a:prstGeom prst="rect">
                            <a:avLst/>
                          </a:prstGeom>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494790"/>
                  <wp:effectExtent l="0" t="0" r="4445" b="635"/>
                  <wp:docPr id="7928962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96288" name="图片 4"/>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520000" cy="149532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1000d</w:t>
            </w:r>
          </w:p>
        </w:tc>
        <w:tc>
          <w:tcPr>
            <w:tcW w:w="4150" w:type="dxa"/>
          </w:tcPr>
          <w:p>
            <w:pPr>
              <w:pStyle w:val="297"/>
              <w:keepNex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3650d</w:t>
            </w:r>
          </w:p>
        </w:tc>
      </w:tr>
    </w:tbl>
    <w:p>
      <w:pPr>
        <w:pStyle w:val="165"/>
        <w:rPr>
          <w:color w:val="000000" w:themeColor="text1"/>
          <w:highlight w:val="none"/>
          <w14:textFill>
            <w14:solidFill>
              <w14:schemeClr w14:val="tx1"/>
            </w14:solidFill>
          </w14:textFill>
        </w:rPr>
      </w:pPr>
      <w:bookmarkStart w:id="330" w:name="_Ref142860091"/>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bookmarkEnd w:id="33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井筒破裂不同预测时间</w:t>
      </w:r>
      <w:r>
        <w:rPr>
          <w:color w:val="000000" w:themeColor="text1"/>
          <w:highlight w:val="none"/>
          <w14:textFill>
            <w14:solidFill>
              <w14:schemeClr w14:val="tx1"/>
            </w14:solidFill>
          </w14:textFill>
        </w:rPr>
        <w:t>COD</w:t>
      </w:r>
      <w:r>
        <w:rPr>
          <w:color w:val="000000" w:themeColor="text1"/>
          <w:highlight w:val="none"/>
          <w:vertAlign w:val="subscript"/>
          <w14:textFill>
            <w14:solidFill>
              <w14:schemeClr w14:val="tx1"/>
            </w14:solidFill>
          </w14:textFill>
        </w:rPr>
        <w:t>Cr</w:t>
      </w:r>
      <w:r>
        <w:rPr>
          <w:color w:val="000000" w:themeColor="text1"/>
          <w:highlight w:val="none"/>
          <w14:textFill>
            <w14:solidFill>
              <w14:schemeClr w14:val="tx1"/>
            </w14:solidFill>
          </w14:textFill>
        </w:rPr>
        <w:t>贡献值与距离浓度关系图</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地下水中石油类的超标及影响距离计算结果见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_Ref142858921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7</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及</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_Ref142860096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5</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31" w:name="_Ref14285892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bookmarkEnd w:id="331"/>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压裂过程中井筒破裂地下水中石油类超标及影响距离</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39"/>
        <w:gridCol w:w="1491"/>
        <w:gridCol w:w="1506"/>
        <w:gridCol w:w="1506"/>
        <w:gridCol w:w="1339"/>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jc w:val="center"/>
        </w:trPr>
        <w:tc>
          <w:tcPr>
            <w:tcW w:w="681"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污染时间</w:t>
            </w:r>
          </w:p>
        </w:tc>
        <w:tc>
          <w:tcPr>
            <w:tcW w:w="891"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中心点迁移距离（m）</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中心点处浓度（mg/L）</w:t>
            </w:r>
          </w:p>
        </w:tc>
        <w:tc>
          <w:tcPr>
            <w:tcW w:w="9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叠加后浓度（mg/L）</w:t>
            </w:r>
          </w:p>
        </w:tc>
        <w:tc>
          <w:tcPr>
            <w:tcW w:w="800"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最远超标距离（m）</w:t>
            </w:r>
          </w:p>
        </w:tc>
        <w:tc>
          <w:tcPr>
            <w:tcW w:w="82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9" w:hRule="atLeast"/>
          <w:jc w:val="center"/>
        </w:trPr>
        <w:tc>
          <w:tcPr>
            <w:tcW w:w="681"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100d</w:t>
            </w:r>
          </w:p>
        </w:tc>
        <w:tc>
          <w:tcPr>
            <w:tcW w:w="1491"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506"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1.38</w:t>
            </w:r>
          </w:p>
        </w:tc>
        <w:tc>
          <w:tcPr>
            <w:tcW w:w="1506"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1.38</w:t>
            </w:r>
          </w:p>
        </w:tc>
        <w:tc>
          <w:tcPr>
            <w:tcW w:w="133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75</w:t>
            </w:r>
          </w:p>
        </w:tc>
        <w:tc>
          <w:tcPr>
            <w:tcW w:w="1385"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681"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365d</w:t>
            </w:r>
          </w:p>
        </w:tc>
        <w:tc>
          <w:tcPr>
            <w:tcW w:w="1491"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506"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0.38</w:t>
            </w:r>
          </w:p>
        </w:tc>
        <w:tc>
          <w:tcPr>
            <w:tcW w:w="1506"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0.38</w:t>
            </w:r>
          </w:p>
        </w:tc>
        <w:tc>
          <w:tcPr>
            <w:tcW w:w="133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159</w:t>
            </w:r>
          </w:p>
        </w:tc>
        <w:tc>
          <w:tcPr>
            <w:tcW w:w="1385"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681"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1000d</w:t>
            </w:r>
          </w:p>
        </w:tc>
        <w:tc>
          <w:tcPr>
            <w:tcW w:w="1491"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506"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0.138</w:t>
            </w:r>
          </w:p>
        </w:tc>
        <w:tc>
          <w:tcPr>
            <w:tcW w:w="1506"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0.138</w:t>
            </w:r>
          </w:p>
        </w:tc>
        <w:tc>
          <w:tcPr>
            <w:tcW w:w="133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309</w:t>
            </w:r>
          </w:p>
        </w:tc>
        <w:tc>
          <w:tcPr>
            <w:tcW w:w="1385"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681"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3650d</w:t>
            </w:r>
          </w:p>
        </w:tc>
        <w:tc>
          <w:tcPr>
            <w:tcW w:w="1491"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506"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0.038</w:t>
            </w:r>
          </w:p>
        </w:tc>
        <w:tc>
          <w:tcPr>
            <w:tcW w:w="1506"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0.038</w:t>
            </w:r>
          </w:p>
        </w:tc>
        <w:tc>
          <w:tcPr>
            <w:tcW w:w="133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85"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990</w:t>
            </w:r>
          </w:p>
        </w:tc>
      </w:tr>
    </w:tbl>
    <w:p>
      <w:pPr>
        <w:pStyle w:val="95"/>
        <w:rPr>
          <w:rFonts w:eastAsia="黑体"/>
          <w:color w:val="000000" w:themeColor="text1"/>
          <w:sz w:val="10"/>
          <w:szCs w:val="10"/>
          <w:highlight w:val="none"/>
          <w14:textFill>
            <w14:solidFill>
              <w14:schemeClr w14:val="tx1"/>
            </w14:solidFill>
          </w14:textFill>
        </w:rPr>
      </w:pPr>
    </w:p>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1"/>
        <w:gridCol w:w="4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06855"/>
                  <wp:effectExtent l="0" t="0" r="4445" b="7620"/>
                  <wp:docPr id="11639230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23060" name="图片 5"/>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2520000" cy="1507451"/>
                          </a:xfrm>
                          <a:prstGeom prst="rect">
                            <a:avLst/>
                          </a:prstGeom>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11935"/>
                  <wp:effectExtent l="0" t="0" r="4445" b="2540"/>
                  <wp:docPr id="13225823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582382" name="图片 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2520000" cy="1512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100d</w:t>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16380"/>
                  <wp:effectExtent l="0" t="0" r="4445" b="7620"/>
                  <wp:docPr id="12443815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81567" name="图片 7"/>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2520000" cy="1516549"/>
                          </a:xfrm>
                          <a:prstGeom prst="rect">
                            <a:avLst/>
                          </a:prstGeom>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11935"/>
                  <wp:effectExtent l="0" t="0" r="4445" b="2540"/>
                  <wp:docPr id="8377062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06288" name="图片 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2520000" cy="1512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1000d</w:t>
            </w:r>
          </w:p>
        </w:tc>
        <w:tc>
          <w:tcPr>
            <w:tcW w:w="4150" w:type="dxa"/>
          </w:tcPr>
          <w:p>
            <w:pPr>
              <w:pStyle w:val="297"/>
              <w:keepNex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3650d</w:t>
            </w:r>
          </w:p>
        </w:tc>
      </w:tr>
    </w:tbl>
    <w:p>
      <w:pPr>
        <w:pStyle w:val="165"/>
        <w:rPr>
          <w:color w:val="000000" w:themeColor="text1"/>
          <w:highlight w:val="none"/>
          <w14:textFill>
            <w14:solidFill>
              <w14:schemeClr w14:val="tx1"/>
            </w14:solidFill>
          </w14:textFill>
        </w:rPr>
      </w:pPr>
      <w:bookmarkStart w:id="332" w:name="_Ref142860096"/>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bookmarkEnd w:id="33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压裂过程中井筒破裂不同预测时间石油类贡献值与距离浓度关系图</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地下水中氯离子的超标及影响距离计算结果见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_Ref142858950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8</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及</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_Ref142860101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6</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33" w:name="_Ref14285895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bookmarkEnd w:id="33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压裂过程中井筒破裂地下水中氯离子超标及影响距离</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60"/>
        <w:gridCol w:w="1509"/>
        <w:gridCol w:w="1509"/>
        <w:gridCol w:w="1509"/>
        <w:gridCol w:w="1342"/>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0" w:hRule="atLeast"/>
          <w:jc w:val="center"/>
        </w:trPr>
        <w:tc>
          <w:tcPr>
            <w:tcW w:w="58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污染时间</w:t>
            </w:r>
          </w:p>
        </w:tc>
        <w:tc>
          <w:tcPr>
            <w:tcW w:w="91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中心点迁移距离（m）</w:t>
            </w:r>
          </w:p>
        </w:tc>
        <w:tc>
          <w:tcPr>
            <w:tcW w:w="91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中心点处浓度（mg/L）</w:t>
            </w:r>
          </w:p>
        </w:tc>
        <w:tc>
          <w:tcPr>
            <w:tcW w:w="91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叠加后浓度（mg/L）</w:t>
            </w:r>
          </w:p>
        </w:tc>
        <w:tc>
          <w:tcPr>
            <w:tcW w:w="81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最远超标距离（m）</w:t>
            </w:r>
          </w:p>
        </w:tc>
        <w:tc>
          <w:tcPr>
            <w:tcW w:w="84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最远影响距离（m）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84"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100d</w:t>
            </w:r>
          </w:p>
        </w:tc>
        <w:tc>
          <w:tcPr>
            <w:tcW w:w="1509"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50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27.6</w:t>
            </w:r>
          </w:p>
        </w:tc>
        <w:tc>
          <w:tcPr>
            <w:tcW w:w="150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42.2</w:t>
            </w:r>
          </w:p>
        </w:tc>
        <w:tc>
          <w:tcPr>
            <w:tcW w:w="1342"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9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9" w:hRule="atLeast"/>
          <w:jc w:val="center"/>
        </w:trPr>
        <w:tc>
          <w:tcPr>
            <w:tcW w:w="584"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365d</w:t>
            </w:r>
          </w:p>
        </w:tc>
        <w:tc>
          <w:tcPr>
            <w:tcW w:w="1509"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50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7.56</w:t>
            </w:r>
          </w:p>
        </w:tc>
        <w:tc>
          <w:tcPr>
            <w:tcW w:w="150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22.16</w:t>
            </w:r>
          </w:p>
        </w:tc>
        <w:tc>
          <w:tcPr>
            <w:tcW w:w="1342"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9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jc w:val="center"/>
        </w:trPr>
        <w:tc>
          <w:tcPr>
            <w:tcW w:w="584"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1000d</w:t>
            </w:r>
          </w:p>
        </w:tc>
        <w:tc>
          <w:tcPr>
            <w:tcW w:w="1509"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w:t>
            </w:r>
          </w:p>
        </w:tc>
        <w:tc>
          <w:tcPr>
            <w:tcW w:w="150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2.76</w:t>
            </w:r>
          </w:p>
        </w:tc>
        <w:tc>
          <w:tcPr>
            <w:tcW w:w="150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17.3</w:t>
            </w:r>
          </w:p>
        </w:tc>
        <w:tc>
          <w:tcPr>
            <w:tcW w:w="1342"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9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8" w:hRule="atLeast"/>
          <w:jc w:val="center"/>
        </w:trPr>
        <w:tc>
          <w:tcPr>
            <w:tcW w:w="584" w:type="pct"/>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3650d</w:t>
            </w:r>
          </w:p>
        </w:tc>
        <w:tc>
          <w:tcPr>
            <w:tcW w:w="1509" w:type="dxa"/>
            <w:vAlign w:val="center"/>
          </w:tcPr>
          <w:p>
            <w:pPr>
              <w:pStyle w:val="297"/>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785</w:t>
            </w:r>
          </w:p>
        </w:tc>
        <w:tc>
          <w:tcPr>
            <w:tcW w:w="150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0.756</w:t>
            </w:r>
          </w:p>
        </w:tc>
        <w:tc>
          <w:tcPr>
            <w:tcW w:w="1509"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15.4</w:t>
            </w:r>
          </w:p>
        </w:tc>
        <w:tc>
          <w:tcPr>
            <w:tcW w:w="1342"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c>
          <w:tcPr>
            <w:tcW w:w="1391" w:type="dxa"/>
            <w:vAlign w:val="center"/>
          </w:tcPr>
          <w:p>
            <w:pPr>
              <w:pStyle w:val="297"/>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w:t>
            </w:r>
          </w:p>
        </w:tc>
      </w:tr>
    </w:tbl>
    <w:p>
      <w:pPr>
        <w:pStyle w:val="95"/>
        <w:rPr>
          <w:color w:val="000000" w:themeColor="text1"/>
          <w:sz w:val="10"/>
          <w:szCs w:val="10"/>
          <w:highlight w:val="none"/>
          <w14:textFill>
            <w14:solidFill>
              <w14:schemeClr w14:val="tx1"/>
            </w14:solidFill>
          </w14:textFill>
        </w:rPr>
      </w:pPr>
    </w:p>
    <w:tbl>
      <w:tblPr>
        <w:tblStyle w:val="55"/>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91"/>
        <w:gridCol w:w="4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24000"/>
                  <wp:effectExtent l="0" t="0" r="4445" b="0"/>
                  <wp:docPr id="6780585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58597" name="图片 9"/>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520000" cy="1524433"/>
                          </a:xfrm>
                          <a:prstGeom prst="rect">
                            <a:avLst/>
                          </a:prstGeom>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499870"/>
                  <wp:effectExtent l="0" t="0" r="4445" b="5080"/>
                  <wp:docPr id="3369957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95759" name="图片 10"/>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2520000" cy="150047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100d</w:t>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10030"/>
                  <wp:effectExtent l="0" t="0" r="4445" b="4445"/>
                  <wp:docPr id="2029027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2725" name="图片 11"/>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520000" cy="1510181"/>
                          </a:xfrm>
                          <a:prstGeom prst="rect">
                            <a:avLst/>
                          </a:prstGeom>
                        </pic:spPr>
                      </pic:pic>
                    </a:graphicData>
                  </a:graphic>
                </wp:inline>
              </w:drawing>
            </w:r>
          </w:p>
        </w:tc>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2519680" cy="1518920"/>
                  <wp:effectExtent l="0" t="0" r="4445" b="5080"/>
                  <wp:docPr id="9656234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23453" name="图片 12"/>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2520000" cy="1518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50"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1000d</w:t>
            </w:r>
          </w:p>
        </w:tc>
        <w:tc>
          <w:tcPr>
            <w:tcW w:w="4150" w:type="dxa"/>
          </w:tcPr>
          <w:p>
            <w:pPr>
              <w:pStyle w:val="297"/>
              <w:keepNex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3650d</w:t>
            </w:r>
          </w:p>
        </w:tc>
      </w:tr>
    </w:tbl>
    <w:p>
      <w:pPr>
        <w:pStyle w:val="165"/>
        <w:rPr>
          <w:color w:val="000000" w:themeColor="text1"/>
          <w:highlight w:val="none"/>
          <w14:textFill>
            <w14:solidFill>
              <w14:schemeClr w14:val="tx1"/>
            </w14:solidFill>
          </w14:textFill>
        </w:rPr>
      </w:pPr>
      <w:bookmarkStart w:id="334" w:name="_Ref142860101"/>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334"/>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井筒破裂不同预测时间氯离子贡献值与距离大小关系图</w:t>
      </w:r>
    </w:p>
    <w:p>
      <w:pPr>
        <w:ind w:firstLine="482"/>
        <w:rPr>
          <w:rFonts w:cs="Times New Roman"/>
          <w:b/>
          <w:bCs/>
          <w:color w:val="000000" w:themeColor="text1"/>
          <w:szCs w:val="24"/>
          <w:highlight w:val="none"/>
          <w14:textFill>
            <w14:solidFill>
              <w14:schemeClr w14:val="tx1"/>
            </w14:solidFill>
          </w14:textFill>
        </w:rPr>
      </w:pPr>
      <w:bookmarkStart w:id="335" w:name="_Toc78877615"/>
      <w:r>
        <w:rPr>
          <w:rFonts w:cs="Times New Roman"/>
          <w:b/>
          <w:bCs/>
          <w:color w:val="000000" w:themeColor="text1"/>
          <w:szCs w:val="24"/>
          <w:highlight w:val="none"/>
          <w14:textFill>
            <w14:solidFill>
              <w14:schemeClr w14:val="tx1"/>
            </w14:solidFill>
          </w14:textFill>
        </w:rPr>
        <w:t>（5）地下水影响评价</w:t>
      </w:r>
      <w:bookmarkEnd w:id="335"/>
    </w:p>
    <w:bookmarkEnd w:id="324"/>
    <w:bookmarkEnd w:id="325"/>
    <w:bookmarkEnd w:id="328"/>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1）放喷池池体破裂</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COD</w:t>
      </w:r>
      <w:r>
        <w:rPr>
          <w:rFonts w:cs="Times New Roman"/>
          <w:color w:val="000000" w:themeColor="text1"/>
          <w:szCs w:val="24"/>
          <w:highlight w:val="none"/>
          <w:vertAlign w:val="subscript"/>
          <w14:textFill>
            <w14:solidFill>
              <w14:schemeClr w14:val="tx1"/>
            </w14:solidFill>
          </w14:textFill>
        </w:rPr>
        <w:t>Cr</w:t>
      </w:r>
      <w:r>
        <w:rPr>
          <w:rFonts w:cs="Times New Roman"/>
          <w:color w:val="000000" w:themeColor="text1"/>
          <w:szCs w:val="24"/>
          <w:highlight w:val="none"/>
          <w14:textFill>
            <w14:solidFill>
              <w14:schemeClr w14:val="tx1"/>
            </w14:solidFill>
          </w14:textFill>
        </w:rPr>
        <w:t>在放喷池池体破裂365d时最远超标距离为下游84m，最高浓度为</w:t>
      </w:r>
      <w:r>
        <w:rPr>
          <w:rFonts w:cs="Times New Roman"/>
          <w:bCs/>
          <w:color w:val="000000" w:themeColor="text1"/>
          <w:szCs w:val="24"/>
          <w:highlight w:val="none"/>
          <w14:textFill>
            <w14:solidFill>
              <w14:schemeClr w14:val="tx1"/>
            </w14:solidFill>
          </w14:textFill>
        </w:rPr>
        <w:t>20.4</w:t>
      </w:r>
      <w:r>
        <w:rPr>
          <w:rFonts w:cs="Times New Roman"/>
          <w:color w:val="000000" w:themeColor="text1"/>
          <w:szCs w:val="24"/>
          <w:highlight w:val="none"/>
          <w14:textFill>
            <w14:solidFill>
              <w14:schemeClr w14:val="tx1"/>
            </w14:solidFill>
          </w14:textFill>
        </w:rPr>
        <w:t>mg/L（78.5m处），在1000d时，已无超标范围。</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石油类在放喷池池体破裂3650d时最远超标距离为下游865m，最高浓度为</w:t>
      </w:r>
      <w:r>
        <w:rPr>
          <w:rFonts w:cs="Times New Roman"/>
          <w:bCs/>
          <w:color w:val="000000" w:themeColor="text1"/>
          <w:szCs w:val="24"/>
          <w:highlight w:val="none"/>
          <w14:textFill>
            <w14:solidFill>
              <w14:schemeClr w14:val="tx1"/>
            </w14:solidFill>
          </w14:textFill>
        </w:rPr>
        <w:t>0.061</w:t>
      </w:r>
      <w:r>
        <w:rPr>
          <w:rFonts w:cs="Times New Roman"/>
          <w:color w:val="000000" w:themeColor="text1"/>
          <w:szCs w:val="24"/>
          <w:highlight w:val="none"/>
          <w14:textFill>
            <w14:solidFill>
              <w14:schemeClr w14:val="tx1"/>
            </w14:solidFill>
          </w14:textFill>
        </w:rPr>
        <w:t>mg/L（785m处）。</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氯化物在放喷池破裂整个工况下中心点处均未出现超标现象。</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2）压裂过程井筒破裂</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COD</w:t>
      </w:r>
      <w:r>
        <w:rPr>
          <w:rFonts w:cs="Times New Roman"/>
          <w:color w:val="000000" w:themeColor="text1"/>
          <w:szCs w:val="24"/>
          <w:highlight w:val="none"/>
          <w:vertAlign w:val="subscript"/>
          <w14:textFill>
            <w14:solidFill>
              <w14:schemeClr w14:val="tx1"/>
            </w14:solidFill>
          </w14:textFill>
        </w:rPr>
        <w:t>Cr</w:t>
      </w:r>
      <w:r>
        <w:rPr>
          <w:rFonts w:cs="Times New Roman"/>
          <w:color w:val="000000" w:themeColor="text1"/>
          <w:szCs w:val="24"/>
          <w:highlight w:val="none"/>
          <w14:textFill>
            <w14:solidFill>
              <w14:schemeClr w14:val="tx1"/>
            </w14:solidFill>
          </w14:textFill>
        </w:rPr>
        <w:t>在井筒破裂100d时最远超标距离为下游49m，最高浓度为</w:t>
      </w:r>
      <w:r>
        <w:rPr>
          <w:rFonts w:cs="Times New Roman"/>
          <w:bCs/>
          <w:color w:val="000000" w:themeColor="text1"/>
          <w:szCs w:val="24"/>
          <w:highlight w:val="none"/>
          <w14:textFill>
            <w14:solidFill>
              <w14:schemeClr w14:val="tx1"/>
            </w14:solidFill>
          </w14:textFill>
        </w:rPr>
        <w:t>39.31</w:t>
      </w:r>
      <w:r>
        <w:rPr>
          <w:rFonts w:cs="Times New Roman"/>
          <w:color w:val="000000" w:themeColor="text1"/>
          <w:szCs w:val="24"/>
          <w:highlight w:val="none"/>
          <w14:textFill>
            <w14:solidFill>
              <w14:schemeClr w14:val="tx1"/>
            </w14:solidFill>
          </w14:textFill>
        </w:rPr>
        <w:t>mg/L（21.5m处），在365d时，已无超标范围。</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石油类在放喷池池体破裂1000d时最远超标距离为下游309m，最高浓度为</w:t>
      </w:r>
      <w:r>
        <w:rPr>
          <w:rFonts w:cs="Times New Roman"/>
          <w:bCs/>
          <w:color w:val="000000" w:themeColor="text1"/>
          <w:szCs w:val="24"/>
          <w:highlight w:val="none"/>
          <w14:textFill>
            <w14:solidFill>
              <w14:schemeClr w14:val="tx1"/>
            </w14:solidFill>
          </w14:textFill>
        </w:rPr>
        <w:t>0.138</w:t>
      </w:r>
      <w:r>
        <w:rPr>
          <w:rFonts w:cs="Times New Roman"/>
          <w:color w:val="000000" w:themeColor="text1"/>
          <w:szCs w:val="24"/>
          <w:highlight w:val="none"/>
          <w14:textFill>
            <w14:solidFill>
              <w14:schemeClr w14:val="tx1"/>
            </w14:solidFill>
          </w14:textFill>
        </w:rPr>
        <w:t>mg/L（215m处）。</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氯化物在放喷池破裂整个工况下中心点处均未出现超标现象。</w:t>
      </w:r>
    </w:p>
    <w:p>
      <w:pPr>
        <w:ind w:firstLine="480"/>
        <w:rPr>
          <w:rFonts w:cs="Times New Roman"/>
          <w:color w:val="000000" w:themeColor="text1"/>
          <w:szCs w:val="24"/>
          <w:highlight w:val="none"/>
          <w14:textFill>
            <w14:solidFill>
              <w14:schemeClr w14:val="tx1"/>
            </w14:solidFill>
          </w14:textFill>
        </w:rPr>
      </w:pPr>
      <w:r>
        <w:rPr>
          <w:rFonts w:cs="Times New Roman"/>
          <w:snapToGrid w:val="0"/>
          <w:color w:val="000000" w:themeColor="text1"/>
          <w:szCs w:val="24"/>
          <w:highlight w:val="none"/>
          <w14:textFill>
            <w14:solidFill>
              <w14:schemeClr w14:val="tx1"/>
            </w14:solidFill>
          </w14:textFill>
        </w:rPr>
        <w:t>综上所述，不同预测情景对地下水保护目标的预测结果见</w:t>
      </w:r>
      <w:r>
        <w:rPr>
          <w:rFonts w:cs="Times New Roman"/>
          <w:snapToGrid w:val="0"/>
          <w:color w:val="000000" w:themeColor="text1"/>
          <w:szCs w:val="24"/>
          <w:highlight w:val="none"/>
          <w14:textFill>
            <w14:solidFill>
              <w14:schemeClr w14:val="tx1"/>
            </w14:solidFill>
          </w14:textFill>
        </w:rPr>
        <w:fldChar w:fldCharType="begin"/>
      </w:r>
      <w:r>
        <w:rPr>
          <w:rFonts w:cs="Times New Roman"/>
          <w:snapToGrid w:val="0"/>
          <w:color w:val="000000" w:themeColor="text1"/>
          <w:szCs w:val="24"/>
          <w:highlight w:val="none"/>
          <w14:textFill>
            <w14:solidFill>
              <w14:schemeClr w14:val="tx1"/>
            </w14:solidFill>
          </w14:textFill>
        </w:rPr>
        <w:instrText xml:space="preserve"> REF _Ref142858982 \h  \* MERGEFORMAT </w:instrText>
      </w:r>
      <w:r>
        <w:rPr>
          <w:rFonts w:cs="Times New Roman"/>
          <w:snapToGrid w:val="0"/>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9</w:t>
      </w:r>
      <w:r>
        <w:rPr>
          <w:rFonts w:cs="Times New Roman"/>
          <w:snapToGrid w:val="0"/>
          <w:color w:val="000000" w:themeColor="text1"/>
          <w:szCs w:val="24"/>
          <w:highlight w:val="none"/>
          <w14:textFill>
            <w14:solidFill>
              <w14:schemeClr w14:val="tx1"/>
            </w14:solidFill>
          </w14:textFill>
        </w:rPr>
        <w:fldChar w:fldCharType="end"/>
      </w:r>
      <w:r>
        <w:rPr>
          <w:rFonts w:cs="Times New Roman"/>
          <w:snapToGrid w:val="0"/>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36" w:name="_Ref142858982"/>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bookmarkEnd w:id="33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非正常状况对地下水保护目标的影响预测结果</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670"/>
        <w:gridCol w:w="1701"/>
        <w:gridCol w:w="1318"/>
        <w:gridCol w:w="3234"/>
        <w:gridCol w:w="1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92" w:hRule="atLeast"/>
          <w:jc w:val="center"/>
        </w:trPr>
        <w:tc>
          <w:tcPr>
            <w:tcW w:w="67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编号</w:t>
            </w:r>
          </w:p>
        </w:tc>
        <w:tc>
          <w:tcPr>
            <w:tcW w:w="170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非正常状况</w:t>
            </w:r>
          </w:p>
        </w:tc>
        <w:tc>
          <w:tcPr>
            <w:tcW w:w="131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方位</w:t>
            </w:r>
          </w:p>
        </w:tc>
        <w:tc>
          <w:tcPr>
            <w:tcW w:w="323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最大可能超标居民饮用水井</w:t>
            </w:r>
            <w:r>
              <w:rPr>
                <w:rFonts w:hint="eastAsia"/>
                <w:b/>
                <w:bCs/>
                <w:color w:val="000000" w:themeColor="text1"/>
                <w:highlight w:val="none"/>
                <w14:textFill>
                  <w14:solidFill>
                    <w14:schemeClr w14:val="tx1"/>
                  </w14:solidFill>
                </w14:textFill>
              </w:rPr>
              <w:t>（泉）</w:t>
            </w:r>
          </w:p>
        </w:tc>
        <w:tc>
          <w:tcPr>
            <w:tcW w:w="129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97" w:hRule="atLeast"/>
          <w:jc w:val="center"/>
        </w:trPr>
        <w:tc>
          <w:tcPr>
            <w:tcW w:w="6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7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压裂井筒破裂</w:t>
            </w:r>
          </w:p>
        </w:tc>
        <w:tc>
          <w:tcPr>
            <w:tcW w:w="1318"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西南侧</w:t>
            </w:r>
          </w:p>
        </w:tc>
        <w:tc>
          <w:tcPr>
            <w:tcW w:w="323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299"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按最不利估算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183" w:hRule="atLeast"/>
          <w:jc w:val="center"/>
        </w:trPr>
        <w:tc>
          <w:tcPr>
            <w:tcW w:w="6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7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放喷池泄漏</w:t>
            </w:r>
          </w:p>
        </w:tc>
        <w:tc>
          <w:tcPr>
            <w:tcW w:w="1318"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西南侧</w:t>
            </w:r>
          </w:p>
        </w:tc>
        <w:tc>
          <w:tcPr>
            <w:tcW w:w="323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1299" w:type="dxa"/>
            <w:vMerge w:val="continue"/>
            <w:vAlign w:val="center"/>
          </w:tcPr>
          <w:p>
            <w:pPr>
              <w:pStyle w:val="297"/>
              <w:rPr>
                <w:color w:val="000000" w:themeColor="text1"/>
                <w:highlight w:val="none"/>
                <w14:textFill>
                  <w14:solidFill>
                    <w14:schemeClr w14:val="tx1"/>
                  </w14:solidFill>
                </w14:textFill>
              </w:rPr>
            </w:pPr>
          </w:p>
        </w:tc>
      </w:tr>
    </w:tbl>
    <w:p>
      <w:pPr>
        <w:spacing w:before="120" w:beforeLines="50"/>
        <w:ind w:firstLine="480"/>
        <w:rPr>
          <w:rFonts w:cs="Times New Roman"/>
          <w:color w:val="000000" w:themeColor="text1"/>
          <w:szCs w:val="24"/>
          <w:highlight w:val="none"/>
          <w14:textFill>
            <w14:solidFill>
              <w14:schemeClr w14:val="tx1"/>
            </w14:solidFill>
          </w14:textFill>
        </w:rPr>
      </w:pPr>
      <w:bookmarkStart w:id="337" w:name="_Toc10566"/>
      <w:r>
        <w:rPr>
          <w:rFonts w:cs="Times New Roman"/>
          <w:color w:val="000000" w:themeColor="text1"/>
          <w:szCs w:val="24"/>
          <w:highlight w:val="none"/>
          <w14:textFill>
            <w14:solidFill>
              <w14:schemeClr w14:val="tx1"/>
            </w14:solidFill>
          </w14:textFill>
        </w:rPr>
        <w:t>本项目发生事故后会对地下水流向下游的居民</w:t>
      </w:r>
      <w:r>
        <w:rPr>
          <w:rFonts w:hint="eastAsia" w:cs="Times New Roman"/>
          <w:color w:val="000000" w:themeColor="text1"/>
          <w:szCs w:val="24"/>
          <w:highlight w:val="none"/>
          <w14:textFill>
            <w14:solidFill>
              <w14:schemeClr w14:val="tx1"/>
            </w14:solidFill>
          </w14:textFill>
        </w:rPr>
        <w:t>泉点取水口</w:t>
      </w:r>
      <w:r>
        <w:rPr>
          <w:rFonts w:cs="Times New Roman"/>
          <w:color w:val="000000" w:themeColor="text1"/>
          <w:szCs w:val="24"/>
          <w:highlight w:val="none"/>
          <w14:textFill>
            <w14:solidFill>
              <w14:schemeClr w14:val="tx1"/>
            </w14:solidFill>
          </w14:textFill>
        </w:rPr>
        <w:t>造成污染影响，最大可能超标居民泉点取水口5</w:t>
      </w:r>
      <w:r>
        <w:rPr>
          <w:rFonts w:hint="eastAsia" w:cs="Times New Roman"/>
          <w:color w:val="000000" w:themeColor="text1"/>
          <w:szCs w:val="24"/>
          <w:highlight w:val="none"/>
          <w14:textFill>
            <w14:solidFill>
              <w14:schemeClr w14:val="tx1"/>
            </w14:solidFill>
          </w14:textFill>
        </w:rPr>
        <w:t>个</w:t>
      </w:r>
      <w:r>
        <w:rPr>
          <w:rFonts w:cs="Times New Roman"/>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由于项目所在区域水文地质条件简单，为潜水含水层，地下水径流速度一般，含水层有效孔隙度小，污染物扩散速度较慢，发生事故时可利用下游民井监控，因此可以有足够的时间来处理，控制污染影响范围。在此需要说明的是，根据中石化川东北地区多年来压裂测试情况，由于井筒质量和固井质量较好，井筒破裂的情况还未发生过，压裂过程处于全程监控，实际上发生井筒破裂的情况微乎其微。同时压裂在目的层进行，浅层套管破裂的可能性远远小于深层套管破裂，浅层含水层经过了多次固井，含水层以下有多层封隔层，压返液因深层井筒破裂进入浅层含水层是很难发生的；池体修建均采用高标准要求，防渗达到设计要求，发生垮塌泄漏的可能性非常小，因此由于井筒破裂事故和池体渗漏造成的地下水不利影响是极难发生的。</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根据项目井场布置和周边</w:t>
      </w:r>
      <w:r>
        <w:rPr>
          <w:rFonts w:hint="eastAsia" w:cs="Times New Roman"/>
          <w:color w:val="000000" w:themeColor="text1"/>
          <w:szCs w:val="24"/>
          <w:highlight w:val="none"/>
          <w14:textFill>
            <w14:solidFill>
              <w14:schemeClr w14:val="tx1"/>
            </w14:solidFill>
          </w14:textFill>
        </w:rPr>
        <w:t>泉点取水口</w:t>
      </w:r>
      <w:r>
        <w:rPr>
          <w:rFonts w:cs="Times New Roman"/>
          <w:color w:val="000000" w:themeColor="text1"/>
          <w:szCs w:val="24"/>
          <w:highlight w:val="none"/>
          <w14:textFill>
            <w14:solidFill>
              <w14:schemeClr w14:val="tx1"/>
            </w14:solidFill>
          </w14:textFill>
        </w:rPr>
        <w:t>分布情况，本项目在井筒破裂和</w:t>
      </w:r>
      <w:r>
        <w:rPr>
          <w:rFonts w:hint="eastAsia" w:cs="Times New Roman"/>
          <w:color w:val="000000" w:themeColor="text1"/>
          <w:szCs w:val="24"/>
          <w:highlight w:val="none"/>
          <w14:textFill>
            <w14:solidFill>
              <w14:schemeClr w14:val="tx1"/>
            </w14:solidFill>
          </w14:textFill>
        </w:rPr>
        <w:t>放喷</w:t>
      </w:r>
      <w:r>
        <w:rPr>
          <w:rFonts w:cs="Times New Roman"/>
          <w:color w:val="000000" w:themeColor="text1"/>
          <w:szCs w:val="24"/>
          <w:highlight w:val="none"/>
          <w14:textFill>
            <w14:solidFill>
              <w14:schemeClr w14:val="tx1"/>
            </w14:solidFill>
          </w14:textFill>
        </w:rPr>
        <w:t>池风险泄漏初期除小范围地区地下水水质超标外，超标范围较小，超标范围内约5户居民</w:t>
      </w:r>
      <w:r>
        <w:rPr>
          <w:rFonts w:hint="eastAsia" w:cs="Times New Roman"/>
          <w:color w:val="000000" w:themeColor="text1"/>
          <w:szCs w:val="24"/>
          <w:highlight w:val="none"/>
          <w14:textFill>
            <w14:solidFill>
              <w14:schemeClr w14:val="tx1"/>
            </w14:solidFill>
          </w14:textFill>
        </w:rPr>
        <w:t>泉点取水口</w:t>
      </w:r>
      <w:r>
        <w:rPr>
          <w:rFonts w:cs="Times New Roman"/>
          <w:color w:val="000000" w:themeColor="text1"/>
          <w:szCs w:val="24"/>
          <w:highlight w:val="none"/>
          <w14:textFill>
            <w14:solidFill>
              <w14:schemeClr w14:val="tx1"/>
            </w14:solidFill>
          </w14:textFill>
        </w:rPr>
        <w:t>分布，超标范围内无集中式饮用水源取水点，其余地区地下水水质均满足《地下水质量标准》（GB/T14848-2017）中的Ⅲ类标准，随着时间的推移，污染物在整个评价范围内超标现象逐渐消失。</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鉴于模拟的两种情况的污染物超标范围会随着时间的增加逐渐扩大。本环评建议：在钻井作业中加强生产管理，严密监控压裂液及放喷池的运行状况，发现井管破裂后应立即停止压裂作业并启动应急预案，按要求在下游设置的监控泉点取水口加密监控，采取有效措施控制污染物扩散范围，降低环境影响。同时建议建设单位在施工期应加强与</w:t>
      </w:r>
      <w:r>
        <w:rPr>
          <w:rFonts w:hint="eastAsia" w:cs="Times New Roman"/>
          <w:color w:val="000000" w:themeColor="text1"/>
          <w:szCs w:val="24"/>
          <w:highlight w:val="none"/>
          <w14:textFill>
            <w14:solidFill>
              <w14:schemeClr w14:val="tx1"/>
            </w14:solidFill>
          </w14:textFill>
        </w:rPr>
        <w:t>周边居民的</w:t>
      </w:r>
      <w:r>
        <w:rPr>
          <w:rFonts w:cs="Times New Roman"/>
          <w:color w:val="000000" w:themeColor="text1"/>
          <w:szCs w:val="24"/>
          <w:highlight w:val="none"/>
          <w14:textFill>
            <w14:solidFill>
              <w14:schemeClr w14:val="tx1"/>
            </w14:solidFill>
          </w14:textFill>
        </w:rPr>
        <w:t>的沟通联系，及时了解</w:t>
      </w:r>
      <w:r>
        <w:rPr>
          <w:rFonts w:hint="eastAsia" w:cs="Times New Roman"/>
          <w:color w:val="000000" w:themeColor="text1"/>
          <w:szCs w:val="24"/>
          <w:highlight w:val="none"/>
          <w14:textFill>
            <w14:solidFill>
              <w14:schemeClr w14:val="tx1"/>
            </w14:solidFill>
          </w14:textFill>
        </w:rPr>
        <w:t>周边泉水水</w:t>
      </w:r>
      <w:r>
        <w:rPr>
          <w:rFonts w:cs="Times New Roman"/>
          <w:color w:val="000000" w:themeColor="text1"/>
          <w:szCs w:val="24"/>
          <w:highlight w:val="none"/>
          <w14:textFill>
            <w14:solidFill>
              <w14:schemeClr w14:val="tx1"/>
            </w14:solidFill>
          </w14:textFill>
        </w:rPr>
        <w:t>质的变化情况，若发生改变应及时查明原因，确保与本项目的施工无关，并可协助主管部门采取相应保护措施。</w:t>
      </w:r>
    </w:p>
    <w:p>
      <w:pPr>
        <w:autoSpaceDE w:val="0"/>
        <w:autoSpaceDN w:val="0"/>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在对下游居民泉点取水口加强监控后，项目建设不会对周围居民泉点取水口产生不利影响，也不会对地下水环境造成明显不利影响，项目建设对地下水的影响是可接受的。</w:t>
      </w:r>
    </w:p>
    <w:bookmarkEnd w:id="337"/>
    <w:p>
      <w:pPr>
        <w:ind w:firstLine="480"/>
        <w:rPr>
          <w:rFonts w:eastAsia="黑体" w:cs="Times New Roman"/>
          <w:color w:val="000000" w:themeColor="text1"/>
          <w:szCs w:val="24"/>
          <w:highlight w:val="none"/>
          <w14:textFill>
            <w14:solidFill>
              <w14:schemeClr w14:val="tx1"/>
            </w14:solidFill>
          </w14:textFill>
        </w:rPr>
      </w:pPr>
      <w:bookmarkStart w:id="338" w:name="_Toc78877616"/>
      <w:r>
        <w:rPr>
          <w:rFonts w:eastAsia="黑体" w:cs="Times New Roman"/>
          <w:color w:val="000000" w:themeColor="text1"/>
          <w:szCs w:val="24"/>
          <w:highlight w:val="none"/>
          <w14:textFill>
            <w14:solidFill>
              <w14:schemeClr w14:val="tx1"/>
            </w14:solidFill>
          </w14:textFill>
        </w:rPr>
        <w:t>4、试采期地下水影响预测分析</w:t>
      </w:r>
      <w:bookmarkEnd w:id="338"/>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本项目为油气试采项目，对地下水的影响主要在项目的施工期，试采阶段对地下水的影响极小。</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试采期无生产固废产生和堆放；</w:t>
      </w:r>
      <w:r>
        <w:rPr>
          <w:rFonts w:hint="eastAsia" w:cs="Times New Roman"/>
          <w:color w:val="000000" w:themeColor="text1"/>
          <w:szCs w:val="24"/>
          <w:highlight w:val="none"/>
          <w14:textFill>
            <w14:solidFill>
              <w14:schemeClr w14:val="tx1"/>
            </w14:solidFill>
          </w14:textFill>
        </w:rPr>
        <w:t>采出水</w:t>
      </w:r>
      <w:r>
        <w:rPr>
          <w:rFonts w:cs="Times New Roman"/>
          <w:color w:val="000000" w:themeColor="text1"/>
          <w:szCs w:val="24"/>
          <w:highlight w:val="none"/>
          <w14:textFill>
            <w14:solidFill>
              <w14:schemeClr w14:val="tx1"/>
            </w14:solidFill>
          </w14:textFill>
        </w:rPr>
        <w:t>暂存于</w:t>
      </w:r>
      <w:r>
        <w:rPr>
          <w:rFonts w:hint="eastAsia" w:cs="Times New Roman"/>
          <w:color w:val="000000" w:themeColor="text1"/>
          <w:szCs w:val="24"/>
          <w:highlight w:val="none"/>
          <w:lang w:eastAsia="zh-CN"/>
          <w14:textFill>
            <w14:solidFill>
              <w14:schemeClr w14:val="tx1"/>
            </w14:solidFill>
          </w14:textFill>
        </w:rPr>
        <w:t>酸液缓冲罐</w:t>
      </w:r>
      <w:r>
        <w:rPr>
          <w:rFonts w:cs="Times New Roman"/>
          <w:color w:val="000000" w:themeColor="text1"/>
          <w:szCs w:val="24"/>
          <w:highlight w:val="none"/>
          <w14:textFill>
            <w14:solidFill>
              <w14:schemeClr w14:val="tx1"/>
            </w14:solidFill>
          </w14:textFill>
        </w:rPr>
        <w:t>，</w:t>
      </w:r>
      <w:r>
        <w:rPr>
          <w:rFonts w:hint="eastAsia"/>
          <w:color w:val="000000" w:themeColor="text1"/>
          <w:highlight w:val="none"/>
          <w14:textFill>
            <w14:solidFill>
              <w14:schemeClr w14:val="tx1"/>
            </w14:solidFill>
          </w14:textFill>
        </w:rPr>
        <w:t>然后</w:t>
      </w:r>
      <w:r>
        <w:rPr>
          <w:rFonts w:cs="Times New Roman"/>
          <w:color w:val="000000" w:themeColor="text1"/>
          <w:szCs w:val="24"/>
          <w:highlight w:val="none"/>
          <w14:textFill>
            <w14:solidFill>
              <w14:schemeClr w14:val="tx1"/>
            </w14:solidFill>
          </w14:textFill>
        </w:rPr>
        <w:t>密闭罐车拉运至</w:t>
      </w:r>
      <w:r>
        <w:rPr>
          <w:rFonts w:hint="eastAsia" w:cs="Times New Roman"/>
          <w:color w:val="000000" w:themeColor="text1"/>
          <w:szCs w:val="24"/>
          <w:highlight w:val="none"/>
          <w14:textFill>
            <w14:solidFill>
              <w14:schemeClr w14:val="tx1"/>
            </w14:solidFill>
          </w14:textFill>
        </w:rPr>
        <w:t>赵家坝污水处理站</w:t>
      </w:r>
      <w:r>
        <w:rPr>
          <w:rFonts w:cs="Times New Roman"/>
          <w:color w:val="000000" w:themeColor="text1"/>
          <w:szCs w:val="24"/>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管输至</w:t>
      </w:r>
      <w:r>
        <w:rPr>
          <w:rFonts w:hint="eastAsia" w:cs="Times New Roman"/>
          <w:color w:val="000000" w:themeColor="text1"/>
          <w:szCs w:val="24"/>
          <w:highlight w:val="none"/>
          <w14:textFill>
            <w14:solidFill>
              <w14:schemeClr w14:val="tx1"/>
            </w14:solidFill>
          </w14:textFill>
        </w:rPr>
        <w:t>普光3井回注站</w:t>
      </w:r>
      <w:r>
        <w:rPr>
          <w:rFonts w:cs="Times New Roman"/>
          <w:color w:val="000000" w:themeColor="text1"/>
          <w:szCs w:val="24"/>
          <w:highlight w:val="none"/>
          <w14:textFill>
            <w14:solidFill>
              <w14:schemeClr w14:val="tx1"/>
            </w14:solidFill>
          </w14:textFill>
        </w:rPr>
        <w:t>回注，不外排。试采期工作人员生活污水经站场化粪池处理后定期由密闭罐车拉运至周边生活污水处理厂处理；除此之外，无其他废水产生。</w:t>
      </w:r>
      <w:r>
        <w:rPr>
          <w:rFonts w:hint="eastAsia" w:cs="Times New Roman"/>
          <w:color w:val="000000" w:themeColor="text1"/>
          <w:szCs w:val="24"/>
          <w:highlight w:val="none"/>
          <w:lang w:eastAsia="zh-CN"/>
          <w14:textFill>
            <w14:solidFill>
              <w14:schemeClr w14:val="tx1"/>
            </w14:solidFill>
          </w14:textFill>
        </w:rPr>
        <w:t>酸液缓冲罐</w:t>
      </w:r>
      <w:r>
        <w:rPr>
          <w:rFonts w:cs="Times New Roman"/>
          <w:color w:val="000000" w:themeColor="text1"/>
          <w:szCs w:val="24"/>
          <w:highlight w:val="none"/>
          <w14:textFill>
            <w14:solidFill>
              <w14:schemeClr w14:val="tx1"/>
            </w14:solidFill>
          </w14:textFill>
        </w:rPr>
        <w:t>采取了围堰并重点防渗，</w:t>
      </w:r>
      <w:r>
        <w:rPr>
          <w:rFonts w:hint="eastAsia" w:cs="Times New Roman"/>
          <w:color w:val="000000" w:themeColor="text1"/>
          <w:szCs w:val="24"/>
          <w:highlight w:val="none"/>
          <w:lang w:eastAsia="zh-CN"/>
          <w14:textFill>
            <w14:solidFill>
              <w14:schemeClr w14:val="tx1"/>
            </w14:solidFill>
          </w14:textFill>
        </w:rPr>
        <w:t>酸液缓冲罐</w:t>
      </w:r>
      <w:r>
        <w:rPr>
          <w:rFonts w:cs="Times New Roman"/>
          <w:color w:val="000000" w:themeColor="text1"/>
          <w:szCs w:val="24"/>
          <w:highlight w:val="none"/>
          <w14:textFill>
            <w14:solidFill>
              <w14:schemeClr w14:val="tx1"/>
            </w14:solidFill>
          </w14:textFill>
        </w:rPr>
        <w:t>暂存地层水及时转运，污水发生泄漏进入地下水环境可能性基本</w:t>
      </w:r>
      <w:r>
        <w:rPr>
          <w:rFonts w:hint="eastAsia" w:cs="Times New Roman"/>
          <w:color w:val="000000" w:themeColor="text1"/>
          <w:szCs w:val="24"/>
          <w:highlight w:val="none"/>
          <w:lang w:val="en-US" w:eastAsia="zh-CN"/>
          <w14:textFill>
            <w14:solidFill>
              <w14:schemeClr w14:val="tx1"/>
            </w14:solidFill>
          </w14:textFill>
        </w:rPr>
        <w:t>较小</w:t>
      </w:r>
      <w:r>
        <w:rPr>
          <w:rFonts w:hint="eastAsia" w:cs="Times New Roman"/>
          <w:color w:val="000000" w:themeColor="text1"/>
          <w:szCs w:val="24"/>
          <w:highlight w:val="none"/>
          <w14:textFill>
            <w14:solidFill>
              <w14:schemeClr w14:val="tx1"/>
            </w14:solidFill>
          </w14:textFill>
        </w:rPr>
        <w:t>。输气管线（气水混输）采用</w:t>
      </w:r>
      <w:r>
        <w:rPr>
          <w:rFonts w:hint="eastAsia"/>
          <w:color w:val="000000" w:themeColor="text1"/>
          <w:szCs w:val="20"/>
          <w:highlight w:val="none"/>
          <w14:textFill>
            <w14:solidFill>
              <w14:schemeClr w14:val="tx1"/>
            </w14:solidFill>
          </w14:textFill>
        </w:rPr>
        <w:t>柔性复合双层高压输送管，管线地面辐射，管输压力小，同时管线占地区进行了压实处理，有效提高了包气带防污性能，输水管线设置了泄漏检测装置与截断系统联控，发生泄漏后能及时发现处理，因此管道输送采出水难以泄漏并进入地下水环境，因此</w:t>
      </w:r>
      <w:r>
        <w:rPr>
          <w:rFonts w:cs="Times New Roman"/>
          <w:color w:val="000000" w:themeColor="text1"/>
          <w:szCs w:val="24"/>
          <w:highlight w:val="none"/>
          <w14:textFill>
            <w14:solidFill>
              <w14:schemeClr w14:val="tx1"/>
            </w14:solidFill>
          </w14:textFill>
        </w:rPr>
        <w:t>在加强对监控井在试采期内例行监测后，试采期不会对地下水环境造成不利影响。</w:t>
      </w:r>
    </w:p>
    <w:p>
      <w:pPr>
        <w:ind w:firstLine="480"/>
        <w:rPr>
          <w:rFonts w:eastAsia="黑体" w:cs="Times New Roman"/>
          <w:color w:val="000000" w:themeColor="text1"/>
          <w:szCs w:val="24"/>
          <w:highlight w:val="none"/>
          <w14:textFill>
            <w14:solidFill>
              <w14:schemeClr w14:val="tx1"/>
            </w14:solidFill>
          </w14:textFill>
        </w:rPr>
      </w:pPr>
      <w:r>
        <w:rPr>
          <w:rFonts w:eastAsia="黑体" w:cs="Times New Roman"/>
          <w:color w:val="000000" w:themeColor="text1"/>
          <w:szCs w:val="24"/>
          <w:highlight w:val="none"/>
          <w14:textFill>
            <w14:solidFill>
              <w14:schemeClr w14:val="tx1"/>
            </w14:solidFill>
          </w14:textFill>
        </w:rPr>
        <w:t>5、</w:t>
      </w:r>
      <w:r>
        <w:rPr>
          <w:rFonts w:hint="eastAsia" w:eastAsia="黑体" w:cs="Times New Roman"/>
          <w:color w:val="000000" w:themeColor="text1"/>
          <w:szCs w:val="24"/>
          <w:highlight w:val="none"/>
          <w14:textFill>
            <w14:solidFill>
              <w14:schemeClr w14:val="tx1"/>
            </w14:solidFill>
          </w14:textFill>
        </w:rPr>
        <w:t>项目完工及试采结束</w:t>
      </w:r>
      <w:r>
        <w:rPr>
          <w:rFonts w:eastAsia="黑体" w:cs="Times New Roman"/>
          <w:color w:val="000000" w:themeColor="text1"/>
          <w:szCs w:val="24"/>
          <w:highlight w:val="none"/>
          <w14:textFill>
            <w14:solidFill>
              <w14:schemeClr w14:val="tx1"/>
            </w14:solidFill>
          </w14:textFill>
        </w:rPr>
        <w:t>后地下水环境影响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项目</w:t>
      </w:r>
      <w:r>
        <w:rPr>
          <w:rFonts w:hint="eastAsia" w:cs="Times New Roman"/>
          <w:color w:val="000000" w:themeColor="text1"/>
          <w:highlight w:val="none"/>
          <w14:textFill>
            <w14:solidFill>
              <w14:schemeClr w14:val="tx1"/>
            </w14:solidFill>
          </w14:textFill>
        </w:rPr>
        <w:t>完工及试采结束</w:t>
      </w:r>
      <w:r>
        <w:rPr>
          <w:rFonts w:cs="Times New Roman"/>
          <w:color w:val="000000" w:themeColor="text1"/>
          <w:highlight w:val="none"/>
          <w14:textFill>
            <w14:solidFill>
              <w14:schemeClr w14:val="tx1"/>
            </w14:solidFill>
          </w14:textFill>
        </w:rPr>
        <w:t>后</w:t>
      </w:r>
      <w:r>
        <w:rPr>
          <w:rFonts w:cs="Times New Roman"/>
          <w:color w:val="000000" w:themeColor="text1"/>
          <w:szCs w:val="24"/>
          <w:highlight w:val="none"/>
          <w14:textFill>
            <w14:solidFill>
              <w14:schemeClr w14:val="tx1"/>
            </w14:solidFill>
          </w14:textFill>
        </w:rPr>
        <w:t>进行站场拆除、封井和生态恢复，对井场进行无害化治理，产生少量建筑垃圾及时转运至当地政府</w:t>
      </w:r>
      <w:r>
        <w:rPr>
          <w:rFonts w:hint="eastAsia" w:cs="Times New Roman"/>
          <w:color w:val="000000" w:themeColor="text1"/>
          <w:szCs w:val="24"/>
          <w:highlight w:val="none"/>
          <w14:textFill>
            <w14:solidFill>
              <w14:schemeClr w14:val="tx1"/>
            </w14:solidFill>
          </w14:textFill>
        </w:rPr>
        <w:t>指定地点</w:t>
      </w:r>
      <w:r>
        <w:rPr>
          <w:rFonts w:cs="Times New Roman"/>
          <w:color w:val="000000" w:themeColor="text1"/>
          <w:szCs w:val="24"/>
          <w:highlight w:val="none"/>
          <w14:textFill>
            <w14:solidFill>
              <w14:schemeClr w14:val="tx1"/>
            </w14:solidFill>
          </w14:textFill>
        </w:rPr>
        <w:t>处理，避开雨季对固废的淋滤，</w:t>
      </w:r>
      <w:r>
        <w:rPr>
          <w:rFonts w:hint="eastAsia" w:cs="Times New Roman"/>
          <w:color w:val="000000" w:themeColor="text1"/>
          <w:highlight w:val="none"/>
          <w14:textFill>
            <w14:solidFill>
              <w14:schemeClr w14:val="tx1"/>
            </w14:solidFill>
          </w14:textFill>
        </w:rPr>
        <w:t>项目完工及试采结束</w:t>
      </w:r>
      <w:r>
        <w:rPr>
          <w:rFonts w:cs="Times New Roman"/>
          <w:color w:val="000000" w:themeColor="text1"/>
          <w:highlight w:val="none"/>
          <w14:textFill>
            <w14:solidFill>
              <w14:schemeClr w14:val="tx1"/>
            </w14:solidFill>
          </w14:textFill>
        </w:rPr>
        <w:t>后</w:t>
      </w:r>
      <w:r>
        <w:rPr>
          <w:rFonts w:cs="Times New Roman"/>
          <w:color w:val="000000" w:themeColor="text1"/>
          <w:szCs w:val="24"/>
          <w:highlight w:val="none"/>
          <w14:textFill>
            <w14:solidFill>
              <w14:schemeClr w14:val="tx1"/>
            </w14:solidFill>
          </w14:textFill>
        </w:rPr>
        <w:t>对地下水环境影响很有限，对地下水环境的影响是可接受的。</w:t>
      </w:r>
    </w:p>
    <w:p>
      <w:pPr>
        <w:ind w:firstLine="480"/>
        <w:rPr>
          <w:rFonts w:eastAsia="黑体" w:cs="Times New Roman"/>
          <w:color w:val="000000" w:themeColor="text1"/>
          <w:szCs w:val="24"/>
          <w:highlight w:val="none"/>
          <w14:textFill>
            <w14:solidFill>
              <w14:schemeClr w14:val="tx1"/>
            </w14:solidFill>
          </w14:textFill>
        </w:rPr>
      </w:pPr>
      <w:bookmarkStart w:id="339" w:name="_Toc78877617"/>
      <w:r>
        <w:rPr>
          <w:rFonts w:eastAsia="黑体" w:cs="Times New Roman"/>
          <w:color w:val="000000" w:themeColor="text1"/>
          <w:szCs w:val="24"/>
          <w:highlight w:val="none"/>
          <w14:textFill>
            <w14:solidFill>
              <w14:schemeClr w14:val="tx1"/>
            </w14:solidFill>
          </w14:textFill>
        </w:rPr>
        <w:t>6、地下水环境影响预测小结</w:t>
      </w:r>
      <w:bookmarkEnd w:id="339"/>
    </w:p>
    <w:p>
      <w:pPr>
        <w:ind w:firstLine="480"/>
        <w:rPr>
          <w:rFonts w:cs="Times New Roman"/>
          <w:bCs/>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根据项目外环境关系，本项目在井筒破裂和放喷池风险泄漏初期小范围地区地下水水质超标，</w:t>
      </w:r>
      <w:r>
        <w:rPr>
          <w:rFonts w:cs="Times New Roman"/>
          <w:color w:val="000000" w:themeColor="text1"/>
          <w:szCs w:val="24"/>
          <w:highlight w:val="none"/>
          <w:lang w:bidi="ar"/>
          <w14:textFill>
            <w14:solidFill>
              <w14:schemeClr w14:val="tx1"/>
            </w14:solidFill>
          </w14:textFill>
        </w:rPr>
        <w:t>放喷池泄漏时最大可能超标范围（下游</w:t>
      </w:r>
      <w:r>
        <w:rPr>
          <w:rFonts w:hint="eastAsia" w:cs="Times New Roman"/>
          <w:color w:val="000000" w:themeColor="text1"/>
          <w:szCs w:val="24"/>
          <w:highlight w:val="none"/>
          <w:lang w:bidi="ar"/>
          <w14:textFill>
            <w14:solidFill>
              <w14:schemeClr w14:val="tx1"/>
            </w14:solidFill>
          </w14:textFill>
        </w:rPr>
        <w:t>865</w:t>
      </w:r>
      <w:r>
        <w:rPr>
          <w:rFonts w:cs="Times New Roman"/>
          <w:color w:val="000000" w:themeColor="text1"/>
          <w:szCs w:val="24"/>
          <w:highlight w:val="none"/>
          <w:lang w:bidi="ar"/>
          <w14:textFill>
            <w14:solidFill>
              <w14:schemeClr w14:val="tx1"/>
            </w14:solidFill>
          </w14:textFill>
        </w:rPr>
        <w:t>m）内有居民饮用泉水点共</w:t>
      </w:r>
      <w:r>
        <w:rPr>
          <w:rFonts w:hint="eastAsia" w:cs="Times New Roman"/>
          <w:color w:val="000000" w:themeColor="text1"/>
          <w:szCs w:val="24"/>
          <w:highlight w:val="none"/>
          <w:lang w:bidi="ar"/>
          <w14:textFill>
            <w14:solidFill>
              <w14:schemeClr w14:val="tx1"/>
            </w14:solidFill>
          </w14:textFill>
        </w:rPr>
        <w:t>5</w:t>
      </w:r>
      <w:r>
        <w:rPr>
          <w:rFonts w:cs="Times New Roman"/>
          <w:color w:val="000000" w:themeColor="text1"/>
          <w:szCs w:val="24"/>
          <w:highlight w:val="none"/>
          <w:lang w:bidi="ar"/>
          <w14:textFill>
            <w14:solidFill>
              <w14:schemeClr w14:val="tx1"/>
            </w14:solidFill>
          </w14:textFill>
        </w:rPr>
        <w:t>处，超标因子为石油类；压裂井筒破裂时最大可能范围（下游</w:t>
      </w:r>
      <w:r>
        <w:rPr>
          <w:rFonts w:hint="eastAsia" w:cs="Times New Roman"/>
          <w:color w:val="000000" w:themeColor="text1"/>
          <w:szCs w:val="24"/>
          <w:highlight w:val="none"/>
          <w:lang w:bidi="ar"/>
          <w14:textFill>
            <w14:solidFill>
              <w14:schemeClr w14:val="tx1"/>
            </w14:solidFill>
          </w14:textFill>
        </w:rPr>
        <w:t>309</w:t>
      </w:r>
      <w:r>
        <w:rPr>
          <w:rFonts w:cs="Times New Roman"/>
          <w:color w:val="000000" w:themeColor="text1"/>
          <w:szCs w:val="24"/>
          <w:highlight w:val="none"/>
          <w:lang w:bidi="ar"/>
          <w14:textFill>
            <w14:solidFill>
              <w14:schemeClr w14:val="tx1"/>
            </w14:solidFill>
          </w14:textFill>
        </w:rPr>
        <w:t>m）内有居民饮用泉水点共</w:t>
      </w:r>
      <w:r>
        <w:rPr>
          <w:rFonts w:hint="eastAsia" w:cs="Times New Roman"/>
          <w:color w:val="000000" w:themeColor="text1"/>
          <w:szCs w:val="24"/>
          <w:highlight w:val="none"/>
          <w:lang w:bidi="ar"/>
          <w14:textFill>
            <w14:solidFill>
              <w14:schemeClr w14:val="tx1"/>
            </w14:solidFill>
          </w14:textFill>
        </w:rPr>
        <w:t>5</w:t>
      </w:r>
      <w:r>
        <w:rPr>
          <w:rFonts w:cs="Times New Roman"/>
          <w:color w:val="000000" w:themeColor="text1"/>
          <w:szCs w:val="24"/>
          <w:highlight w:val="none"/>
          <w:lang w:bidi="ar"/>
          <w14:textFill>
            <w14:solidFill>
              <w14:schemeClr w14:val="tx1"/>
            </w14:solidFill>
          </w14:textFill>
        </w:rPr>
        <w:t>处，超标因子为石油类</w:t>
      </w:r>
      <w:r>
        <w:rPr>
          <w:rFonts w:cs="Times New Roman"/>
          <w:color w:val="000000" w:themeColor="text1"/>
          <w:szCs w:val="24"/>
          <w:highlight w:val="none"/>
          <w14:textFill>
            <w14:solidFill>
              <w14:schemeClr w14:val="tx1"/>
            </w14:solidFill>
          </w14:textFill>
        </w:rPr>
        <w:t>。在对下游居民水井加强监控后，项目建设不会对周围居民水井产生不利影响，也不会对地下水环境造成明显不利影响，项目建设对地下水的影响是可接受的。</w:t>
      </w:r>
    </w:p>
    <w:p>
      <w:pPr>
        <w:pStyle w:val="2"/>
        <w:spacing w:before="480" w:beforeLines="200" w:after="0" w:line="480" w:lineRule="auto"/>
        <w:ind w:firstLine="480"/>
        <w:rPr>
          <w:rFonts w:eastAsiaTheme="minorEastAsia"/>
          <w:color w:val="000000" w:themeColor="text1"/>
          <w:sz w:val="24"/>
          <w:szCs w:val="24"/>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bookmarkStart w:id="340" w:name="第六章__环境保护措施及其可行性论证"/>
      <w:bookmarkEnd w:id="340"/>
      <w:bookmarkStart w:id="341" w:name="_bookmark31"/>
      <w:bookmarkEnd w:id="341"/>
    </w:p>
    <w:p>
      <w:pPr>
        <w:pStyle w:val="2"/>
        <w:rPr>
          <w:b/>
          <w:color w:val="000000" w:themeColor="text1"/>
          <w:highlight w:val="none"/>
          <w:lang w:eastAsia="zh-CN"/>
          <w14:textFill>
            <w14:solidFill>
              <w14:schemeClr w14:val="tx1"/>
            </w14:solidFill>
          </w14:textFill>
        </w:rPr>
      </w:pPr>
      <w:bookmarkStart w:id="342" w:name="_Toc26840"/>
      <w:r>
        <w:rPr>
          <w:color w:val="000000" w:themeColor="text1"/>
          <w:highlight w:val="none"/>
          <w:lang w:eastAsia="zh-CN"/>
          <w14:textFill>
            <w14:solidFill>
              <w14:schemeClr w14:val="tx1"/>
            </w14:solidFill>
          </w14:textFill>
        </w:rPr>
        <w:t>环境风险分析</w:t>
      </w:r>
      <w:bookmarkEnd w:id="342"/>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环境风险评价是分析和预测该项目在钻井、压裂测试过程中存在的潜在危险、有害因素，该项目在建设期间可能发生的突发性事件或事故（不包括</w:t>
      </w:r>
      <w:r>
        <w:rPr>
          <w:rFonts w:hint="eastAsia" w:ascii="Times New Roman" w:hAnsi="Times New Roman"/>
          <w:bCs/>
          <w:color w:val="000000" w:themeColor="text1"/>
          <w:kern w:val="2"/>
          <w:highlight w:val="none"/>
          <w:lang w:eastAsia="zh-CN"/>
          <w14:textFill>
            <w14:solidFill>
              <w14:schemeClr w14:val="tx1"/>
            </w14:solidFill>
          </w14:textFill>
        </w:rPr>
        <w:t>人</w:t>
      </w:r>
      <w:r>
        <w:rPr>
          <w:rFonts w:ascii="Times New Roman" w:hAnsi="Times New Roman"/>
          <w:bCs/>
          <w:color w:val="000000" w:themeColor="text1"/>
          <w:kern w:val="2"/>
          <w:highlight w:val="none"/>
          <w:lang w:eastAsia="zh-CN"/>
          <w14:textFill>
            <w14:solidFill>
              <w14:schemeClr w14:val="tx1"/>
            </w14:solidFill>
          </w14:textFill>
        </w:rPr>
        <w:t>为破坏或自然灾害），引起平台内可燃气体、液体泄漏，所造成的人身安全、环境影响的损害程度，提出合理可行的防范、应急与减缓措施，以使建设项目事故率、损失和环境风险影响达到可接受水平。</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根据《建设项目环境风险评价技术导则》（HJ169-2018）导则要求，本次环境风险评价关注点为环境风险事故状态下对厂（场）界外环境的影响，同时关注生产放喷池泄漏等对当地耕地、水体的环境风险影响。</w:t>
      </w:r>
    </w:p>
    <w:p>
      <w:pPr>
        <w:pStyle w:val="3"/>
        <w:spacing w:before="0" w:beforeLines="0"/>
        <w:rPr>
          <w:color w:val="000000" w:themeColor="text1"/>
          <w:highlight w:val="none"/>
          <w:lang w:eastAsia="zh-CN"/>
          <w14:textFill>
            <w14:solidFill>
              <w14:schemeClr w14:val="tx1"/>
            </w14:solidFill>
          </w14:textFill>
        </w:rPr>
      </w:pPr>
      <w:bookmarkStart w:id="343" w:name="5.3.1评价依据"/>
      <w:bookmarkEnd w:id="343"/>
      <w:bookmarkStart w:id="344" w:name="_Toc28251"/>
      <w:r>
        <w:rPr>
          <w:color w:val="000000" w:themeColor="text1"/>
          <w:highlight w:val="none"/>
          <w:lang w:eastAsia="zh-CN"/>
          <w14:textFill>
            <w14:solidFill>
              <w14:schemeClr w14:val="tx1"/>
            </w14:solidFill>
          </w14:textFill>
        </w:rPr>
        <w:t>评价依据</w:t>
      </w:r>
      <w:bookmarkEnd w:id="344"/>
    </w:p>
    <w:p>
      <w:pPr>
        <w:pStyle w:val="4"/>
        <w:spacing w:before="0" w:beforeLines="0"/>
        <w:ind w:firstLine="480"/>
        <w:rPr>
          <w:b/>
          <w:color w:val="000000" w:themeColor="text1"/>
          <w:highlight w:val="none"/>
          <w:lang w:eastAsia="zh-CN"/>
          <w14:textFill>
            <w14:solidFill>
              <w14:schemeClr w14:val="tx1"/>
            </w14:solidFill>
          </w14:textFill>
        </w:rPr>
      </w:pPr>
      <w:bookmarkStart w:id="345" w:name="_Toc120173171"/>
      <w:r>
        <w:rPr>
          <w:color w:val="000000" w:themeColor="text1"/>
          <w:highlight w:val="none"/>
          <w:lang w:eastAsia="zh-CN"/>
          <w14:textFill>
            <w14:solidFill>
              <w14:schemeClr w14:val="tx1"/>
            </w14:solidFill>
          </w14:textFill>
        </w:rPr>
        <w:t>风险调查</w:t>
      </w:r>
      <w:bookmarkEnd w:id="345"/>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根据《危险化学品重大危险源辨识》（GB18218-2018）的有关规定，本项目试采的天然气含硫，因此，项目涉及的主要危险物质主要包括CH</w:t>
      </w:r>
      <w:r>
        <w:rPr>
          <w:rFonts w:ascii="Times New Roman" w:hAnsi="Times New Roman"/>
          <w:bCs/>
          <w:color w:val="000000" w:themeColor="text1"/>
          <w:kern w:val="2"/>
          <w:highlight w:val="none"/>
          <w:vertAlign w:val="sub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、H</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w:t>
      </w:r>
      <w:r>
        <w:rPr>
          <w:rFonts w:hint="eastAsia" w:ascii="Times New Roman" w:hAnsi="Times New Roman"/>
          <w:bCs/>
          <w:color w:val="000000" w:themeColor="text1"/>
          <w:kern w:val="2"/>
          <w:highlight w:val="none"/>
          <w:lang w:eastAsia="zh-CN"/>
          <w14:textFill>
            <w14:solidFill>
              <w14:schemeClr w14:val="tx1"/>
            </w14:solidFill>
          </w14:textFill>
        </w:rPr>
        <w:t>盐酸、</w:t>
      </w:r>
      <w:r>
        <w:rPr>
          <w:rFonts w:ascii="Times New Roman" w:hAnsi="Times New Roman"/>
          <w:bCs/>
          <w:color w:val="000000" w:themeColor="text1"/>
          <w:kern w:val="2"/>
          <w:highlight w:val="none"/>
          <w:lang w:eastAsia="zh-CN"/>
          <w14:textFill>
            <w14:solidFill>
              <w14:schemeClr w14:val="tx1"/>
            </w14:solidFill>
          </w14:textFill>
        </w:rPr>
        <w:t>停电等紧急情况下使用柴油发电机所需的易燃物质柴油以及生产过程中产生的废油</w:t>
      </w:r>
      <w:r>
        <w:rPr>
          <w:rFonts w:hint="eastAsia" w:ascii="Times New Roman" w:hAnsi="Times New Roman"/>
          <w:bCs/>
          <w:color w:val="000000" w:themeColor="text1"/>
          <w:kern w:val="2"/>
          <w:highlight w:val="none"/>
          <w:lang w:eastAsia="zh-CN"/>
          <w14:textFill>
            <w14:solidFill>
              <w14:schemeClr w14:val="tx1"/>
            </w14:solidFill>
          </w14:textFill>
        </w:rPr>
        <w:t>、若三开采用***钻井液（若三开钻遇特地层，则采用油基钻井液）则还有白油和油基泥浆</w:t>
      </w:r>
      <w:r>
        <w:rPr>
          <w:rFonts w:ascii="Times New Roman" w:hAnsi="Times New Roman"/>
          <w:bCs/>
          <w:color w:val="000000" w:themeColor="text1"/>
          <w:kern w:val="2"/>
          <w:highlight w:val="none"/>
          <w:lang w:eastAsia="zh-CN"/>
          <w14:textFill>
            <w14:solidFill>
              <w14:schemeClr w14:val="tx1"/>
            </w14:solidFill>
          </w14:textFill>
        </w:rPr>
        <w:t>，存在发生火灾、泄露、爆炸等突发性风险事故的可能性。</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根据工艺生产特点，该项目钻井过程中使用主要原、辅材料有泥浆、加重剂、固井水泥、添加剂、堵漏剂、试采的天然气、柴油发电机用柴油</w:t>
      </w:r>
      <w:r>
        <w:rPr>
          <w:rFonts w:hint="eastAsia" w:ascii="Times New Roman" w:hAnsi="Times New Roman"/>
          <w:bCs/>
          <w:color w:val="000000" w:themeColor="text1"/>
          <w:kern w:val="2"/>
          <w:highlight w:val="none"/>
          <w:lang w:eastAsia="zh-CN"/>
          <w14:textFill>
            <w14:solidFill>
              <w14:schemeClr w14:val="tx1"/>
            </w14:solidFill>
          </w14:textFill>
        </w:rPr>
        <w:t>、白油（四开采用油基钻井）</w:t>
      </w:r>
      <w:r>
        <w:rPr>
          <w:rFonts w:ascii="Times New Roman" w:hAnsi="Times New Roman"/>
          <w:bCs/>
          <w:color w:val="000000" w:themeColor="text1"/>
          <w:kern w:val="2"/>
          <w:highlight w:val="none"/>
          <w:lang w:eastAsia="zh-CN"/>
          <w14:textFill>
            <w14:solidFill>
              <w14:schemeClr w14:val="tx1"/>
            </w14:solidFill>
          </w14:textFill>
        </w:rPr>
        <w:t>，井站试采期由工艺系统分离产生的气田水、试采的天然气。</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钻井过程中</w:t>
      </w:r>
      <w:r>
        <w:rPr>
          <w:rFonts w:hint="eastAsia" w:ascii="Times New Roman" w:hAnsi="Times New Roman"/>
          <w:bCs/>
          <w:color w:val="000000" w:themeColor="text1"/>
          <w:kern w:val="2"/>
          <w:highlight w:val="none"/>
          <w:lang w:eastAsia="zh-CN"/>
          <w14:textFill>
            <w14:solidFill>
              <w14:schemeClr w14:val="tx1"/>
            </w14:solidFill>
          </w14:textFill>
        </w:rPr>
        <w:t>每口井</w:t>
      </w:r>
      <w:r>
        <w:rPr>
          <w:rFonts w:ascii="Times New Roman" w:hAnsi="Times New Roman"/>
          <w:bCs/>
          <w:color w:val="000000" w:themeColor="text1"/>
          <w:kern w:val="2"/>
          <w:highlight w:val="none"/>
          <w:lang w:eastAsia="zh-CN"/>
          <w14:textFill>
            <w14:solidFill>
              <w14:schemeClr w14:val="tx1"/>
            </w14:solidFill>
          </w14:textFill>
        </w:rPr>
        <w:t>设置了自动、手动和电子共3套点火装置，根据《石油天然气钻井井控技术规范》（GB/T31033-2014）等井控技术规范，发生井喷后可保证在15min内实施井口点火，故钻井施工现场风险事故泄漏的甲烷和硫化氢泄漏量按15min计。根据项目可研报告可知，</w:t>
      </w:r>
      <w:r>
        <w:rPr>
          <w:rFonts w:ascii="Times New Roman" w:hAnsi="Times New Roman"/>
          <w:color w:val="000000" w:themeColor="text1"/>
          <w:highlight w:val="none"/>
          <w:lang w:eastAsia="zh-CN"/>
          <w14:textFill>
            <w14:solidFill>
              <w14:schemeClr w14:val="tx1"/>
            </w14:solidFill>
          </w14:textFill>
        </w:rPr>
        <w:t>基于普光气田在</w:t>
      </w:r>
      <w:r>
        <w:rPr>
          <w:rFonts w:hint="eastAsia" w:ascii="Times New Roman" w:hAnsi="Times New Roman"/>
          <w:color w:val="000000" w:themeColor="text1"/>
          <w:highlight w:val="none"/>
          <w:lang w:eastAsia="zh-CN"/>
          <w14:textFill>
            <w14:solidFill>
              <w14:schemeClr w14:val="tx1"/>
            </w14:solidFill>
          </w14:textFill>
        </w:rPr>
        <w:t>***</w:t>
      </w:r>
      <w:r>
        <w:rPr>
          <w:rFonts w:ascii="Times New Roman" w:hAnsi="Times New Roman"/>
          <w:color w:val="000000" w:themeColor="text1"/>
          <w:highlight w:val="none"/>
          <w:lang w:eastAsia="zh-CN"/>
          <w14:textFill>
            <w14:solidFill>
              <w14:schemeClr w14:val="tx1"/>
            </w14:solidFill>
          </w14:textFill>
        </w:rPr>
        <w:t>及老君4投产试气资料，本次风险事故情形考虑为酸压前发生风险事故，且评价考虑两口井不同时测试，因此风险评价</w:t>
      </w:r>
      <w:r>
        <w:rPr>
          <w:rFonts w:ascii="Times New Roman" w:hAnsi="Times New Roman"/>
          <w:bCs/>
          <w:color w:val="000000" w:themeColor="text1"/>
          <w:kern w:val="2"/>
          <w:highlight w:val="none"/>
          <w:lang w:eastAsia="zh-CN"/>
          <w14:textFill>
            <w14:solidFill>
              <w14:schemeClr w14:val="tx1"/>
            </w14:solidFill>
          </w14:textFill>
        </w:rPr>
        <w:t>按单井最大</w:t>
      </w:r>
      <w:r>
        <w:rPr>
          <w:rFonts w:hint="eastAsia" w:ascii="Times New Roman" w:hAnsi="Times New Roman"/>
          <w:bCs/>
          <w:color w:val="000000" w:themeColor="text1"/>
          <w:kern w:val="2"/>
          <w:highlight w:val="none"/>
          <w:lang w:eastAsia="zh-CN"/>
          <w14:textFill>
            <w14:solidFill>
              <w14:schemeClr w14:val="tx1"/>
            </w14:solidFill>
          </w14:textFill>
        </w:rPr>
        <w:t>的</w:t>
      </w:r>
      <w:r>
        <w:rPr>
          <w:rFonts w:ascii="Times New Roman" w:hAnsi="Times New Roman"/>
          <w:color w:val="000000" w:themeColor="text1"/>
          <w:highlight w:val="none"/>
          <w:lang w:eastAsia="zh-CN"/>
          <w14:textFill>
            <w14:solidFill>
              <w14:schemeClr w14:val="tx1"/>
            </w14:solidFill>
          </w14:textFill>
        </w:rPr>
        <w:t>大湾408-</w:t>
      </w:r>
      <w:r>
        <w:rPr>
          <w:rFonts w:hint="eastAsia" w:ascii="Times New Roman" w:hAnsi="Times New Roman"/>
          <w:color w:val="000000" w:themeColor="text1"/>
          <w:highlight w:val="none"/>
          <w:lang w:eastAsia="zh-CN"/>
          <w14:textFill>
            <w14:solidFill>
              <w14:schemeClr w14:val="tx1"/>
            </w14:solidFill>
          </w14:textFill>
        </w:rPr>
        <w:t>3</w:t>
      </w:r>
      <w:r>
        <w:rPr>
          <w:rFonts w:ascii="Times New Roman" w:hAnsi="Times New Roman"/>
          <w:color w:val="000000" w:themeColor="text1"/>
          <w:highlight w:val="none"/>
          <w:lang w:eastAsia="zh-CN"/>
          <w14:textFill>
            <w14:solidFill>
              <w14:schemeClr w14:val="tx1"/>
            </w14:solidFill>
          </w14:textFill>
        </w:rPr>
        <w:t>井的酸化压裂前无阻流量</w:t>
      </w:r>
      <w:r>
        <w:rPr>
          <w:rFonts w:hint="eastAsia" w:ascii="Times New Roman" w:hAnsi="Times New Roman"/>
          <w:color w:val="000000" w:themeColor="text1"/>
          <w:highlight w:val="none"/>
          <w:lang w:eastAsia="zh-CN"/>
          <w14:textFill>
            <w14:solidFill>
              <w14:schemeClr w14:val="tx1"/>
            </w14:solidFill>
          </w14:textFill>
        </w:rPr>
        <w:t>15</w:t>
      </w:r>
      <w:r>
        <w:rPr>
          <w:rFonts w:ascii="Times New Roman" w:hAnsi="Times New Roman"/>
          <w:color w:val="000000" w:themeColor="text1"/>
          <w:highlight w:val="none"/>
          <w:lang w:eastAsia="zh-CN"/>
          <w14:textFill>
            <w14:solidFill>
              <w14:schemeClr w14:val="tx1"/>
            </w14:solidFill>
          </w14:textFill>
        </w:rPr>
        <w:t>0×10</w:t>
      </w:r>
      <w:r>
        <w:rPr>
          <w:rFonts w:ascii="Times New Roman" w:hAnsi="Times New Roman"/>
          <w:color w:val="000000" w:themeColor="text1"/>
          <w:highlight w:val="none"/>
          <w:vertAlign w:val="superscript"/>
          <w:lang w:eastAsia="zh-CN"/>
          <w14:textFill>
            <w14:solidFill>
              <w14:schemeClr w14:val="tx1"/>
            </w14:solidFill>
          </w14:textFill>
        </w:rPr>
        <w:t>4</w:t>
      </w:r>
      <w:r>
        <w:rPr>
          <w:rFonts w:ascii="Times New Roman" w:hAnsi="Times New Roman"/>
          <w:color w:val="000000" w:themeColor="text1"/>
          <w:highlight w:val="none"/>
          <w:lang w:eastAsia="zh-CN"/>
          <w14:textFill>
            <w14:solidFill>
              <w14:schemeClr w14:val="tx1"/>
            </w14:solidFill>
          </w14:textFill>
        </w:rPr>
        <w:t>m</w:t>
      </w:r>
      <w:r>
        <w:rPr>
          <w:rFonts w:ascii="Times New Roman" w:hAnsi="Times New Roman"/>
          <w:color w:val="000000" w:themeColor="text1"/>
          <w:highlight w:val="none"/>
          <w:vertAlign w:val="superscript"/>
          <w:lang w:eastAsia="zh-CN"/>
          <w14:textFill>
            <w14:solidFill>
              <w14:schemeClr w14:val="tx1"/>
            </w14:solidFill>
          </w14:textFill>
        </w:rPr>
        <w:t>3</w:t>
      </w:r>
      <w:r>
        <w:rPr>
          <w:rFonts w:ascii="Times New Roman" w:hAnsi="Times New Roman"/>
          <w:color w:val="000000" w:themeColor="text1"/>
          <w:highlight w:val="none"/>
          <w:lang w:eastAsia="zh-CN"/>
          <w14:textFill>
            <w14:solidFill>
              <w14:schemeClr w14:val="tx1"/>
            </w14:solidFill>
          </w14:textFill>
        </w:rPr>
        <w:t>/d进行核算</w:t>
      </w:r>
      <w:r>
        <w:rPr>
          <w:rFonts w:ascii="Times New Roman" w:hAnsi="Times New Roman"/>
          <w:bCs/>
          <w:color w:val="000000" w:themeColor="text1"/>
          <w:kern w:val="2"/>
          <w:highlight w:val="none"/>
          <w:lang w:eastAsia="zh-CN"/>
          <w14:textFill>
            <w14:solidFill>
              <w14:schemeClr w14:val="tx1"/>
            </w14:solidFill>
          </w14:textFill>
        </w:rPr>
        <w:t>。15min井喷天然气量为</w:t>
      </w:r>
      <w:r>
        <w:rPr>
          <w:rFonts w:hint="eastAsia" w:ascii="Times New Roman" w:hAnsi="Times New Roman"/>
          <w:bCs/>
          <w:color w:val="000000" w:themeColor="text1"/>
          <w:kern w:val="2"/>
          <w:highlight w:val="none"/>
          <w:lang w:eastAsia="zh-CN"/>
          <w14:textFill>
            <w14:solidFill>
              <w14:schemeClr w14:val="tx1"/>
            </w14:solidFill>
          </w14:textFill>
        </w:rPr>
        <w:t>15625</w:t>
      </w:r>
      <w:r>
        <w:rPr>
          <w:rFonts w:ascii="Times New Roman" w:hAnsi="Times New Roman"/>
          <w:bCs/>
          <w:color w:val="000000" w:themeColor="text1"/>
          <w:kern w:val="2"/>
          <w:highlight w:val="none"/>
          <w:lang w:eastAsia="zh-CN"/>
          <w14:textFill>
            <w14:solidFill>
              <w14:schemeClr w14:val="tx1"/>
            </w14:solidFill>
          </w14:textFill>
        </w:rPr>
        <w:t>m</w:t>
      </w:r>
      <w:r>
        <w:rPr>
          <w:rFonts w:ascii="Times New Roman" w:hAnsi="Times New Roman"/>
          <w:bCs/>
          <w:color w:val="000000" w:themeColor="text1"/>
          <w:kern w:val="2"/>
          <w:highlight w:val="none"/>
          <w:vertAlign w:val="superscript"/>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t>。CH</w:t>
      </w:r>
      <w:r>
        <w:rPr>
          <w:rFonts w:ascii="Times New Roman" w:hAnsi="Times New Roman"/>
          <w:bCs/>
          <w:color w:val="000000" w:themeColor="text1"/>
          <w:kern w:val="2"/>
          <w:highlight w:val="none"/>
          <w:vertAlign w:val="sub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含量为</w:t>
      </w:r>
      <w:r>
        <w:rPr>
          <w:rFonts w:hint="eastAsia" w:ascii="Times New Roman" w:hAnsi="Times New Roman"/>
          <w:bCs/>
          <w:color w:val="000000" w:themeColor="text1"/>
          <w:kern w:val="2"/>
          <w:highlight w:val="none"/>
          <w:lang w:eastAsia="zh-CN"/>
          <w14:textFill>
            <w14:solidFill>
              <w14:schemeClr w14:val="tx1"/>
            </w14:solidFill>
          </w14:textFill>
        </w:rPr>
        <w:t>73.02</w:t>
      </w:r>
      <w:r>
        <w:rPr>
          <w:rFonts w:ascii="Times New Roman" w:hAnsi="Times New Roman"/>
          <w:bCs/>
          <w:color w:val="000000" w:themeColor="text1"/>
          <w:kern w:val="2"/>
          <w:highlight w:val="none"/>
          <w:lang w:eastAsia="zh-CN"/>
          <w14:textFill>
            <w14:solidFill>
              <w14:schemeClr w14:val="tx1"/>
            </w14:solidFill>
          </w14:textFill>
        </w:rPr>
        <w:t>mol％</w:t>
      </w:r>
      <w:r>
        <w:rPr>
          <w:rFonts w:hint="eastAsia" w:ascii="Times New Roman" w:hAnsi="Times New Roman"/>
          <w:bCs/>
          <w:color w:val="000000" w:themeColor="text1"/>
          <w:kern w:val="2"/>
          <w:highlight w:val="none"/>
          <w:lang w:eastAsia="zh-CN"/>
          <w14:textFill>
            <w14:solidFill>
              <w14:schemeClr w14:val="tx1"/>
            </w14:solidFill>
          </w14:textFill>
        </w:rPr>
        <w:t>，H</w:t>
      </w:r>
      <w:r>
        <w:rPr>
          <w:rFonts w:hint="eastAsia" w:ascii="Times New Roman" w:hAnsi="Times New Roman"/>
          <w:bCs/>
          <w:color w:val="000000" w:themeColor="text1"/>
          <w:kern w:val="2"/>
          <w:highlight w:val="none"/>
          <w:vertAlign w:val="subscript"/>
          <w:lang w:eastAsia="zh-CN"/>
          <w14:textFill>
            <w14:solidFill>
              <w14:schemeClr w14:val="tx1"/>
            </w14:solidFill>
          </w14:textFill>
        </w:rPr>
        <w:t>2</w:t>
      </w:r>
      <w:r>
        <w:rPr>
          <w:rFonts w:hint="eastAsia" w:ascii="Times New Roman" w:hAnsi="Times New Roman"/>
          <w:bCs/>
          <w:color w:val="000000" w:themeColor="text1"/>
          <w:kern w:val="2"/>
          <w:highlight w:val="none"/>
          <w:lang w:eastAsia="zh-CN"/>
          <w14:textFill>
            <w14:solidFill>
              <w14:schemeClr w14:val="tx1"/>
            </w14:solidFill>
          </w14:textFill>
        </w:rPr>
        <w:t>S含量为17.04</w:t>
      </w:r>
      <w:r>
        <w:rPr>
          <w:rFonts w:ascii="Times New Roman" w:hAnsi="Times New Roman"/>
          <w:bCs/>
          <w:color w:val="000000" w:themeColor="text1"/>
          <w:kern w:val="2"/>
          <w:highlight w:val="none"/>
          <w:lang w:eastAsia="zh-CN"/>
          <w14:textFill>
            <w14:solidFill>
              <w14:schemeClr w14:val="tx1"/>
            </w14:solidFill>
          </w14:textFill>
        </w:rPr>
        <w:t>mol％，即CH</w:t>
      </w:r>
      <w:r>
        <w:rPr>
          <w:rFonts w:ascii="Times New Roman" w:hAnsi="Times New Roman"/>
          <w:bCs/>
          <w:color w:val="000000" w:themeColor="text1"/>
          <w:kern w:val="2"/>
          <w:highlight w:val="none"/>
          <w:vertAlign w:val="sub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含量为</w:t>
      </w:r>
      <w:r>
        <w:rPr>
          <w:rFonts w:hint="eastAsia" w:ascii="Times New Roman" w:hAnsi="Times New Roman"/>
          <w:bCs/>
          <w:color w:val="000000" w:themeColor="text1"/>
          <w:kern w:val="2"/>
          <w:highlight w:val="none"/>
          <w:lang w:eastAsia="zh-CN"/>
          <w14:textFill>
            <w14:solidFill>
              <w14:schemeClr w14:val="tx1"/>
            </w14:solidFill>
          </w14:textFill>
        </w:rPr>
        <w:t>521571</w:t>
      </w:r>
      <w:r>
        <w:rPr>
          <w:rFonts w:ascii="Times New Roman" w:hAnsi="Times New Roman"/>
          <w:bCs/>
          <w:color w:val="000000" w:themeColor="text1"/>
          <w:kern w:val="2"/>
          <w:highlight w:val="none"/>
          <w:lang w:eastAsia="zh-CN"/>
          <w14:textFill>
            <w14:solidFill>
              <w14:schemeClr w14:val="tx1"/>
            </w14:solidFill>
          </w14:textFill>
        </w:rPr>
        <w:t>mg/m</w:t>
      </w:r>
      <w:r>
        <w:rPr>
          <w:rFonts w:ascii="Times New Roman" w:hAnsi="Times New Roman"/>
          <w:bCs/>
          <w:color w:val="000000" w:themeColor="text1"/>
          <w:kern w:val="2"/>
          <w:highlight w:val="none"/>
          <w:vertAlign w:val="superscript"/>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t>，</w:t>
      </w:r>
      <w:r>
        <w:rPr>
          <w:rFonts w:hint="eastAsia" w:ascii="Times New Roman" w:hAnsi="Times New Roman"/>
          <w:bCs/>
          <w:color w:val="000000" w:themeColor="text1"/>
          <w:kern w:val="2"/>
          <w:highlight w:val="none"/>
          <w:lang w:eastAsia="zh-CN"/>
          <w14:textFill>
            <w14:solidFill>
              <w14:schemeClr w14:val="tx1"/>
            </w14:solidFill>
          </w14:textFill>
        </w:rPr>
        <w:t>H</w:t>
      </w:r>
      <w:r>
        <w:rPr>
          <w:rFonts w:hint="eastAsia" w:ascii="Times New Roman" w:hAnsi="Times New Roman"/>
          <w:bCs/>
          <w:color w:val="000000" w:themeColor="text1"/>
          <w:kern w:val="2"/>
          <w:highlight w:val="none"/>
          <w:vertAlign w:val="subscript"/>
          <w:lang w:eastAsia="zh-CN"/>
          <w14:textFill>
            <w14:solidFill>
              <w14:schemeClr w14:val="tx1"/>
            </w14:solidFill>
          </w14:textFill>
        </w:rPr>
        <w:t>2</w:t>
      </w:r>
      <w:r>
        <w:rPr>
          <w:rFonts w:hint="eastAsia" w:ascii="Times New Roman" w:hAnsi="Times New Roman"/>
          <w:bCs/>
          <w:color w:val="000000" w:themeColor="text1"/>
          <w:kern w:val="2"/>
          <w:highlight w:val="none"/>
          <w:lang w:eastAsia="zh-CN"/>
          <w14:textFill>
            <w14:solidFill>
              <w14:schemeClr w14:val="tx1"/>
            </w14:solidFill>
          </w14:textFill>
        </w:rPr>
        <w:t>S含量为258642</w:t>
      </w:r>
      <w:r>
        <w:rPr>
          <w:rFonts w:ascii="Times New Roman" w:hAnsi="Times New Roman"/>
          <w:bCs/>
          <w:color w:val="000000" w:themeColor="text1"/>
          <w:kern w:val="2"/>
          <w:highlight w:val="none"/>
          <w:lang w:eastAsia="zh-CN"/>
          <w14:textFill>
            <w14:solidFill>
              <w14:schemeClr w14:val="tx1"/>
            </w14:solidFill>
          </w14:textFill>
        </w:rPr>
        <w:t>mg/m</w:t>
      </w:r>
      <w:r>
        <w:rPr>
          <w:rFonts w:ascii="Times New Roman" w:hAnsi="Times New Roman"/>
          <w:bCs/>
          <w:color w:val="000000" w:themeColor="text1"/>
          <w:kern w:val="2"/>
          <w:highlight w:val="none"/>
          <w:vertAlign w:val="superscript"/>
          <w:lang w:eastAsia="zh-CN"/>
          <w14:textFill>
            <w14:solidFill>
              <w14:schemeClr w14:val="tx1"/>
            </w14:solidFill>
          </w14:textFill>
        </w:rPr>
        <w:t>3</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15min井喷CH</w:t>
      </w:r>
      <w:r>
        <w:rPr>
          <w:rFonts w:ascii="Times New Roman" w:hAnsi="Times New Roman"/>
          <w:bCs/>
          <w:color w:val="000000" w:themeColor="text1"/>
          <w:kern w:val="2"/>
          <w:highlight w:val="none"/>
          <w:vertAlign w:val="sub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量为</w:t>
      </w:r>
      <w:r>
        <w:rPr>
          <w:rFonts w:hint="eastAsia" w:ascii="Times New Roman" w:hAnsi="Times New Roman"/>
          <w:bCs/>
          <w:color w:val="000000" w:themeColor="text1"/>
          <w:kern w:val="2"/>
          <w:highlight w:val="none"/>
          <w:lang w:eastAsia="zh-CN"/>
          <w14:textFill>
            <w14:solidFill>
              <w14:schemeClr w14:val="tx1"/>
            </w14:solidFill>
          </w14:textFill>
        </w:rPr>
        <w:t>8.15t，H</w:t>
      </w:r>
      <w:r>
        <w:rPr>
          <w:rFonts w:hint="eastAsia" w:ascii="Times New Roman" w:hAnsi="Times New Roman"/>
          <w:bCs/>
          <w:color w:val="000000" w:themeColor="text1"/>
          <w:kern w:val="2"/>
          <w:highlight w:val="none"/>
          <w:vertAlign w:val="subscript"/>
          <w:lang w:eastAsia="zh-CN"/>
          <w14:textFill>
            <w14:solidFill>
              <w14:schemeClr w14:val="tx1"/>
            </w14:solidFill>
          </w14:textFill>
        </w:rPr>
        <w:t>2</w:t>
      </w:r>
      <w:r>
        <w:rPr>
          <w:rFonts w:hint="eastAsia" w:ascii="Times New Roman" w:hAnsi="Times New Roman"/>
          <w:bCs/>
          <w:color w:val="000000" w:themeColor="text1"/>
          <w:kern w:val="2"/>
          <w:highlight w:val="none"/>
          <w:lang w:eastAsia="zh-CN"/>
          <w14:textFill>
            <w14:solidFill>
              <w14:schemeClr w14:val="tx1"/>
            </w14:solidFill>
          </w14:textFill>
        </w:rPr>
        <w:t>S量为4.04t。</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本项目涉及危险物质数量及分布情况见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_Ref142859000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color w:val="000000" w:themeColor="text1"/>
          <w:highlight w:val="none"/>
          <w:lang w:eastAsia="zh-CN"/>
          <w14:textFill>
            <w14:solidFill>
              <w14:schemeClr w14:val="tx1"/>
            </w14:solidFill>
          </w14:textFill>
        </w:rPr>
        <w:t>表</w:t>
      </w:r>
      <w:r>
        <w:rPr>
          <w:rFonts w:ascii="Times New Roman" w:hAnsi="Times New Roman"/>
          <w:color w:val="000000" w:themeColor="text1"/>
          <w:highlight w:val="none"/>
          <w:lang w:eastAsia="zh-CN"/>
          <w14:textFill>
            <w14:solidFill>
              <w14:schemeClr w14:val="tx1"/>
            </w14:solidFill>
          </w14:textFill>
        </w:rPr>
        <w:t>6.1</w:t>
      </w:r>
      <w:r>
        <w:rPr>
          <w:rFonts w:ascii="Times New Roman" w:hAnsi="Times New Roman"/>
          <w:color w:val="000000" w:themeColor="text1"/>
          <w:highlight w:val="none"/>
          <w:lang w:eastAsia="zh-CN"/>
          <w14:textFill>
            <w14:solidFill>
              <w14:schemeClr w14:val="tx1"/>
            </w14:solidFill>
          </w14:textFill>
        </w:rPr>
        <w:noBreakHyphen/>
      </w:r>
      <w:r>
        <w:rPr>
          <w:rFonts w:ascii="Times New Roman" w:hAnsi="Times New Roman"/>
          <w:color w:val="000000" w:themeColor="text1"/>
          <w:highlight w:val="none"/>
          <w:lang w:eastAsia="zh-CN"/>
          <w14:textFill>
            <w14:solidFill>
              <w14:schemeClr w14:val="tx1"/>
            </w14:solidFill>
          </w14:textFill>
        </w:rPr>
        <w:t>1</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46" w:name="_Ref14285900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34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本项目涉及危险物质数量及分布情况表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06"/>
        <w:gridCol w:w="1167"/>
        <w:gridCol w:w="1621"/>
        <w:gridCol w:w="1418"/>
        <w:gridCol w:w="3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60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序号</w:t>
            </w:r>
          </w:p>
        </w:tc>
        <w:tc>
          <w:tcPr>
            <w:tcW w:w="116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时段</w:t>
            </w:r>
          </w:p>
        </w:tc>
        <w:tc>
          <w:tcPr>
            <w:tcW w:w="162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物质</w:t>
            </w:r>
          </w:p>
        </w:tc>
        <w:tc>
          <w:tcPr>
            <w:tcW w:w="141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最大存在量</w:t>
            </w:r>
          </w:p>
        </w:tc>
        <w:tc>
          <w:tcPr>
            <w:tcW w:w="341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分布位置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p>
        </w:tc>
        <w:tc>
          <w:tcPr>
            <w:tcW w:w="1167"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施工期（钻井工程）</w:t>
            </w: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水基泥浆、固井水泥及添加剂</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spacing w:val="-3"/>
                <w:szCs w:val="21"/>
                <w:highlight w:val="none"/>
                <w14:textFill>
                  <w14:solidFill>
                    <w14:schemeClr w14:val="tx1"/>
                  </w14:solidFill>
                </w14:textFill>
              </w:rPr>
              <w:t>约350m</w:t>
            </w:r>
            <w:r>
              <w:rPr>
                <w:color w:val="000000" w:themeColor="text1"/>
                <w:spacing w:val="-3"/>
                <w:szCs w:val="21"/>
                <w:highlight w:val="none"/>
                <w:vertAlign w:val="superscript"/>
                <w14:textFill>
                  <w14:solidFill>
                    <w14:schemeClr w14:val="tx1"/>
                  </w14:solidFill>
                </w14:textFill>
              </w:rPr>
              <w:t>3</w:t>
            </w:r>
          </w:p>
        </w:tc>
        <w:tc>
          <w:tcPr>
            <w:tcW w:w="341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泥浆循环系统、泥浆不落地工艺区，重浆罐、泥浆材料区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钻井废水</w:t>
            </w:r>
          </w:p>
        </w:tc>
        <w:tc>
          <w:tcPr>
            <w:tcW w:w="1418" w:type="dxa"/>
            <w:vAlign w:val="center"/>
          </w:tcPr>
          <w:p>
            <w:pPr>
              <w:pStyle w:val="297"/>
              <w:rPr>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160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341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泥浆不落地装置区</w:t>
            </w:r>
            <w:r>
              <w:rPr>
                <w:color w:val="000000" w:themeColor="text1"/>
                <w:highlight w:val="none"/>
                <w14:textFill>
                  <w14:solidFill>
                    <w14:schemeClr w14:val="tx1"/>
                  </w14:solidFill>
                </w14:textFill>
              </w:rPr>
              <w:t>废水罐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16t</w:t>
            </w:r>
          </w:p>
        </w:tc>
        <w:tc>
          <w:tcPr>
            <w:tcW w:w="341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废油</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0.085t</w:t>
            </w:r>
          </w:p>
        </w:tc>
        <w:tc>
          <w:tcPr>
            <w:tcW w:w="341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泥浆不落地装置</w:t>
            </w:r>
            <w:r>
              <w:rPr>
                <w:color w:val="000000" w:themeColor="text1"/>
                <w:highlight w:val="none"/>
                <w14:textFill>
                  <w14:solidFill>
                    <w14:schemeClr w14:val="tx1"/>
                  </w14:solidFill>
                </w14:textFill>
              </w:rPr>
              <w:t>区</w:t>
            </w:r>
            <w:r>
              <w:rPr>
                <w:rFonts w:hint="eastAsia"/>
                <w:color w:val="000000" w:themeColor="text1"/>
                <w:highlight w:val="none"/>
                <w14:textFill>
                  <w14:solidFill>
                    <w14:schemeClr w14:val="tx1"/>
                  </w14:solidFill>
                </w14:textFill>
              </w:rPr>
              <w:t>（4个25L油桶暂存）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白油</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采用油基钻井时</w:t>
            </w:r>
            <w:r>
              <w:rPr>
                <w:color w:val="000000" w:themeColor="text1"/>
                <w:highlight w:val="none"/>
                <w14:textFill>
                  <w14:solidFill>
                    <w14:schemeClr w14:val="tx1"/>
                  </w14:solidFill>
                </w14:textFill>
              </w:rPr>
              <w:t>）</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40</w:t>
            </w:r>
            <w:r>
              <w:rPr>
                <w:rFonts w:hint="eastAsia"/>
                <w:color w:val="000000" w:themeColor="text1"/>
                <w:highlight w:val="none"/>
                <w14:textFill>
                  <w14:solidFill>
                    <w14:schemeClr w14:val="tx1"/>
                  </w14:solidFill>
                </w14:textFill>
              </w:rPr>
              <w:t>t</w:t>
            </w:r>
          </w:p>
        </w:tc>
        <w:tc>
          <w:tcPr>
            <w:tcW w:w="341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油桶区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油基泥浆（采用油基钻井时）</w:t>
            </w:r>
          </w:p>
        </w:tc>
        <w:tc>
          <w:tcPr>
            <w:tcW w:w="1418"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约300t</w:t>
            </w:r>
          </w:p>
        </w:tc>
        <w:tc>
          <w:tcPr>
            <w:tcW w:w="341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泥浆循环系统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w:t>
            </w:r>
          </w:p>
        </w:tc>
        <w:tc>
          <w:tcPr>
            <w:tcW w:w="1418"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8.15</w:t>
            </w:r>
            <w:r>
              <w:rPr>
                <w:color w:val="000000" w:themeColor="text1"/>
                <w:highlight w:val="none"/>
                <w14:textFill>
                  <w14:solidFill>
                    <w14:schemeClr w14:val="tx1"/>
                  </w14:solidFill>
                </w14:textFill>
              </w:rPr>
              <w:t>t</w:t>
            </w:r>
          </w:p>
        </w:tc>
        <w:tc>
          <w:tcPr>
            <w:tcW w:w="341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单井井喷失控（按井喷15min计算）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硫化氢</w:t>
            </w:r>
          </w:p>
        </w:tc>
        <w:tc>
          <w:tcPr>
            <w:tcW w:w="1418"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4.04</w:t>
            </w:r>
          </w:p>
        </w:tc>
        <w:tc>
          <w:tcPr>
            <w:tcW w:w="341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单井井喷失控（按井喷15min计算）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p>
        </w:tc>
        <w:tc>
          <w:tcPr>
            <w:tcW w:w="1167"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r>
              <w:rPr>
                <w:rFonts w:hint="eastAsia"/>
                <w:color w:val="000000" w:themeColor="text1"/>
                <w:highlight w:val="none"/>
                <w14:textFill>
                  <w14:solidFill>
                    <w14:schemeClr w14:val="tx1"/>
                  </w14:solidFill>
                </w14:textFill>
              </w:rPr>
              <w:t>储层改造</w:t>
            </w:r>
            <w:r>
              <w:rPr>
                <w:color w:val="000000" w:themeColor="text1"/>
                <w:highlight w:val="none"/>
                <w14:textFill>
                  <w14:solidFill>
                    <w14:schemeClr w14:val="tx1"/>
                  </w14:solidFill>
                </w14:textFill>
              </w:rPr>
              <w:t>）</w:t>
            </w:r>
          </w:p>
        </w:tc>
        <w:tc>
          <w:tcPr>
            <w:tcW w:w="1621"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压裂液（含压裂反排液）</w:t>
            </w:r>
          </w:p>
        </w:tc>
        <w:tc>
          <w:tcPr>
            <w:tcW w:w="1418" w:type="dxa"/>
            <w:vMerge w:val="restar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3410"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放喷池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3410"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606"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3410"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16t</w:t>
            </w:r>
          </w:p>
        </w:tc>
        <w:tc>
          <w:tcPr>
            <w:tcW w:w="341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柴油罐区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3</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盐酸</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4.5t</w:t>
            </w:r>
          </w:p>
        </w:tc>
        <w:tc>
          <w:tcPr>
            <w:tcW w:w="341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盐酸罐车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w:t>
            </w:r>
          </w:p>
        </w:tc>
        <w:tc>
          <w:tcPr>
            <w:tcW w:w="1167"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（站内）</w:t>
            </w: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t</w:t>
            </w:r>
          </w:p>
        </w:tc>
        <w:tc>
          <w:tcPr>
            <w:tcW w:w="341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井口和站场工艺设备、管线（按500m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硫化氢</w:t>
            </w:r>
          </w:p>
        </w:tc>
        <w:tc>
          <w:tcPr>
            <w:tcW w:w="1418"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0.13t</w:t>
            </w:r>
          </w:p>
        </w:tc>
        <w:tc>
          <w:tcPr>
            <w:tcW w:w="341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井口和站场工艺设备、管线（按500m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6</w:t>
            </w:r>
          </w:p>
        </w:tc>
        <w:tc>
          <w:tcPr>
            <w:tcW w:w="1167"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（集输管线）</w:t>
            </w: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004</w:t>
            </w:r>
            <w:r>
              <w:rPr>
                <w:color w:val="000000" w:themeColor="text1"/>
                <w:highlight w:val="none"/>
                <w14:textFill>
                  <w14:solidFill>
                    <w14:schemeClr w14:val="tx1"/>
                  </w14:solidFill>
                </w14:textFill>
              </w:rPr>
              <w:t>t</w:t>
            </w:r>
          </w:p>
        </w:tc>
        <w:tc>
          <w:tcPr>
            <w:tcW w:w="3410" w:type="dxa"/>
            <w:vMerge w:val="restar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集输管线（</w:t>
            </w:r>
            <w:r>
              <w:rPr>
                <w:color w:val="000000" w:themeColor="text1"/>
                <w:highlight w:val="none"/>
                <w14:textFill>
                  <w14:solidFill>
                    <w14:schemeClr w14:val="tx1"/>
                  </w14:solidFill>
                </w14:textFill>
              </w:rPr>
              <w:t>按</w:t>
            </w:r>
            <w:r>
              <w:rPr>
                <w:rFonts w:hint="eastAsia"/>
                <w:color w:val="000000" w:themeColor="text1"/>
                <w:highlight w:val="none"/>
                <w14:textFill>
                  <w14:solidFill>
                    <w14:schemeClr w14:val="tx1"/>
                  </w14:solidFill>
                </w14:textFill>
              </w:rPr>
              <w:t>0.2km</w:t>
            </w:r>
            <w:r>
              <w:rPr>
                <w:color w:val="000000" w:themeColor="text1"/>
                <w:highlight w:val="none"/>
                <w14:textFill>
                  <w14:solidFill>
                    <w14:schemeClr w14:val="tx1"/>
                  </w14:solidFill>
                </w14:textFill>
              </w:rPr>
              <w:t>计</w:t>
            </w:r>
            <w:r>
              <w:rPr>
                <w:rFonts w:hint="eastAsia"/>
                <w:color w:val="000000" w:themeColor="text1"/>
                <w:highlight w:val="none"/>
                <w14:textFill>
                  <w14:solidFill>
                    <w14:schemeClr w14:val="tx1"/>
                  </w14:solidFill>
                </w14:textFill>
              </w:rPr>
              <w:t>，输气压力12.5MPa计算）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硫化氢</w:t>
            </w:r>
          </w:p>
        </w:tc>
        <w:tc>
          <w:tcPr>
            <w:tcW w:w="1418"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0.002t</w:t>
            </w:r>
          </w:p>
        </w:tc>
        <w:tc>
          <w:tcPr>
            <w:tcW w:w="3410" w:type="dxa"/>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0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w:t>
            </w:r>
          </w:p>
        </w:tc>
        <w:tc>
          <w:tcPr>
            <w:tcW w:w="1167" w:type="dxa"/>
            <w:vMerge w:val="continue"/>
            <w:vAlign w:val="center"/>
          </w:tcPr>
          <w:p>
            <w:pPr>
              <w:pStyle w:val="297"/>
              <w:rPr>
                <w:color w:val="000000" w:themeColor="text1"/>
                <w:highlight w:val="none"/>
                <w14:textFill>
                  <w14:solidFill>
                    <w14:schemeClr w14:val="tx1"/>
                  </w14:solidFill>
                </w14:textFill>
              </w:rPr>
            </w:pPr>
          </w:p>
        </w:tc>
        <w:tc>
          <w:tcPr>
            <w:tcW w:w="1621"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采出水</w:t>
            </w:r>
          </w:p>
        </w:tc>
        <w:tc>
          <w:tcPr>
            <w:tcW w:w="1418"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341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集输管线（按0.2km</w:t>
            </w:r>
            <w:r>
              <w:rPr>
                <w:color w:val="000000" w:themeColor="text1"/>
                <w:highlight w:val="none"/>
                <w14:textFill>
                  <w14:solidFill>
                    <w14:schemeClr w14:val="tx1"/>
                  </w14:solidFill>
                </w14:textFill>
              </w:rPr>
              <w:t>计</w:t>
            </w:r>
            <w:r>
              <w:rPr>
                <w:rFonts w:hint="eastAsia"/>
                <w:color w:val="000000" w:themeColor="text1"/>
                <w:highlight w:val="none"/>
                <w14:textFill>
                  <w14:solidFill>
                    <w14:schemeClr w14:val="tx1"/>
                  </w14:solidFill>
                </w14:textFill>
              </w:rPr>
              <w:t>）</w:t>
            </w:r>
          </w:p>
        </w:tc>
      </w:tr>
    </w:tbl>
    <w:p>
      <w:pPr>
        <w:pStyle w:val="21"/>
        <w:spacing w:before="120" w:beforeLines="5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本项目涉及的危险物质物理化学特性及毒理性如下：</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（1）水基泥浆、固井水泥及添加剂危险性分析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泥浆为水基泥浆，以粘土（主要用膨润土）、水作为基础配浆材料，加入各种有机和无机材料形成的</w:t>
      </w:r>
      <w:r>
        <w:rPr>
          <w:rFonts w:hint="eastAsia" w:ascii="Times New Roman" w:hAnsi="Times New Roman"/>
          <w:bCs/>
          <w:color w:val="000000" w:themeColor="text1"/>
          <w:kern w:val="2"/>
          <w:highlight w:val="none"/>
          <w:lang w:eastAsia="zh-CN"/>
          <w14:textFill>
            <w14:solidFill>
              <w14:schemeClr w14:val="tx1"/>
            </w14:solidFill>
          </w14:textFill>
        </w:rPr>
        <w:t>多种成分</w:t>
      </w:r>
      <w:r>
        <w:rPr>
          <w:rFonts w:ascii="Times New Roman" w:hAnsi="Times New Roman"/>
          <w:bCs/>
          <w:color w:val="000000" w:themeColor="text1"/>
          <w:kern w:val="2"/>
          <w:highlight w:val="none"/>
          <w:lang w:eastAsia="zh-CN"/>
          <w14:textFill>
            <w14:solidFill>
              <w14:schemeClr w14:val="tx1"/>
            </w14:solidFill>
          </w14:textFill>
        </w:rPr>
        <w:t>和相态共存的悬浮液，主要添加成分有聚合物、氯化钠、羧甲基纤维素（CMC）、木质硫酸盐、盐抑制剂以及改性石棉、石墨粉、烧碱等20多种化学品。膨润土的主要成分是蒙脱石。泥浆中影响环境的主要成分是有机物类、无机盐类、烧碱等配浆和加重材料中的杂质，本项目采用的泥浆不含重金属及其他有毒物质，呈碱性。水泥及添加剂主要为微硅水泥及重晶石添加剂，不含易燃、易爆、有毒物质。</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（2）钻井废水危险性分析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钻井废水主要呈现出pH值偏高，属碱性废水，含较高的COD和色度，具有一定的腐蚀性。</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（3）压裂液危险性分析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压裂液主要成分为清水，主要添加成分为稀盐酸、胶凝剂、缓蚀剂、铁稳剂、助排剂、NaOH、多功能增效剂、瓜胶等。本项目采用的压裂液不含有重金属和其他有毒物质，呈酸性，影响环境的主要成分是有机物类、无机盐类。</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（4）</w:t>
      </w:r>
      <w:r>
        <w:rPr>
          <w:rFonts w:hint="eastAsia" w:ascii="Times New Roman" w:hAnsi="Times New Roman"/>
          <w:b/>
          <w:color w:val="000000" w:themeColor="text1"/>
          <w:kern w:val="2"/>
          <w:highlight w:val="none"/>
          <w:lang w:eastAsia="zh-CN"/>
          <w14:textFill>
            <w14:solidFill>
              <w14:schemeClr w14:val="tx1"/>
            </w14:solidFill>
          </w14:textFill>
        </w:rPr>
        <w:t>采出水</w:t>
      </w:r>
      <w:r>
        <w:rPr>
          <w:rFonts w:ascii="Times New Roman" w:hAnsi="Times New Roman"/>
          <w:b/>
          <w:color w:val="000000" w:themeColor="text1"/>
          <w:kern w:val="2"/>
          <w:highlight w:val="none"/>
          <w:lang w:eastAsia="zh-CN"/>
          <w14:textFill>
            <w14:solidFill>
              <w14:schemeClr w14:val="tx1"/>
            </w14:solidFill>
          </w14:textFill>
        </w:rPr>
        <w:t>危险性分析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ascii="Times New Roman" w:hAnsi="Times New Roman"/>
          <w:bCs/>
          <w:color w:val="000000" w:themeColor="text1"/>
          <w:kern w:val="2"/>
          <w:highlight w:val="none"/>
          <w:lang w:eastAsia="zh-CN"/>
          <w14:textFill>
            <w14:solidFill>
              <w14:schemeClr w14:val="tx1"/>
            </w14:solidFill>
          </w14:textFill>
        </w:rPr>
        <w:t>采出水</w:t>
      </w:r>
      <w:r>
        <w:rPr>
          <w:rFonts w:ascii="Times New Roman" w:hAnsi="Times New Roman"/>
          <w:bCs/>
          <w:color w:val="000000" w:themeColor="text1"/>
          <w:kern w:val="2"/>
          <w:highlight w:val="none"/>
          <w:lang w:eastAsia="zh-CN"/>
          <w14:textFill>
            <w14:solidFill>
              <w14:schemeClr w14:val="tx1"/>
            </w14:solidFill>
          </w14:textFill>
        </w:rPr>
        <w:t>中的主要污染物成分为石油类、COD、Cl</w:t>
      </w:r>
      <w:r>
        <w:rPr>
          <w:rFonts w:ascii="Times New Roman" w:hAnsi="Times New Roman"/>
          <w:bCs/>
          <w:color w:val="000000" w:themeColor="text1"/>
          <w:kern w:val="2"/>
          <w:highlight w:val="none"/>
          <w:vertAlign w:val="superscript"/>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。结合工程项目的实际情况，</w:t>
      </w:r>
      <w:r>
        <w:rPr>
          <w:rFonts w:hint="eastAsia" w:ascii="Times New Roman" w:hAnsi="Times New Roman"/>
          <w:bCs/>
          <w:color w:val="000000" w:themeColor="text1"/>
          <w:kern w:val="2"/>
          <w:highlight w:val="none"/>
          <w:lang w:eastAsia="zh-CN"/>
          <w14:textFill>
            <w14:solidFill>
              <w14:schemeClr w14:val="tx1"/>
            </w14:solidFill>
          </w14:textFill>
        </w:rPr>
        <w:t>采出水</w:t>
      </w:r>
      <w:r>
        <w:rPr>
          <w:rFonts w:ascii="Times New Roman" w:hAnsi="Times New Roman"/>
          <w:bCs/>
          <w:color w:val="000000" w:themeColor="text1"/>
          <w:kern w:val="2"/>
          <w:highlight w:val="none"/>
          <w:lang w:eastAsia="zh-CN"/>
          <w14:textFill>
            <w14:solidFill>
              <w14:schemeClr w14:val="tx1"/>
            </w14:solidFill>
          </w14:textFill>
        </w:rPr>
        <w:t>泄漏后会对地表水、地下水和土壤产生一定危害。</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（5）甲烷危险性分析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从地层中试采出的天然气属易燃、易爆物质，极易在通常环境中引起燃烧和爆炸，主要烃</w:t>
      </w:r>
      <w:r>
        <w:rPr>
          <w:rFonts w:hint="eastAsia" w:ascii="Times New Roman" w:hAnsi="Times New Roman"/>
          <w:bCs/>
          <w:color w:val="000000" w:themeColor="text1"/>
          <w:kern w:val="2"/>
          <w:highlight w:val="none"/>
          <w:lang w:eastAsia="zh-CN"/>
          <w14:textFill>
            <w14:solidFill>
              <w14:schemeClr w14:val="tx1"/>
            </w14:solidFill>
          </w14:textFill>
        </w:rPr>
        <w:t>组分的</w:t>
      </w:r>
      <w:r>
        <w:rPr>
          <w:rFonts w:ascii="Times New Roman" w:hAnsi="Times New Roman"/>
          <w:bCs/>
          <w:color w:val="000000" w:themeColor="text1"/>
          <w:kern w:val="2"/>
          <w:highlight w:val="none"/>
          <w:lang w:eastAsia="zh-CN"/>
          <w14:textFill>
            <w14:solidFill>
              <w14:schemeClr w14:val="tx1"/>
            </w14:solidFill>
          </w14:textFill>
        </w:rPr>
        <w:t>甲烷属于《化学品分类和危险性公示通则》（GB13690-2009）中的气相爆炸物质，泄漏在环境中与空气混合后易达到爆炸极限，此时若遇火或静电可能引起燃烧和爆炸。其爆炸极限范围为5%～15%（体积比）。当空气中甲烷浓度达到10%时，就使人感到氧气不足；当空气中甲烷浓度达25%～30%时，可引起头痛、头晕、注意力不集中，呼吸和心跳加速、精细动作障碍等；当空气中甲烷浓度达30%以上时可能会因缺氧窒息、昏迷等。《石油天然气工程设计防火规范》</w:t>
      </w:r>
      <w:r>
        <w:rPr>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GB50183-2015</w:t>
      </w:r>
      <w:r>
        <w:rPr>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将使用或产生甲烷（CH</w:t>
      </w:r>
      <w:r>
        <w:rPr>
          <w:rFonts w:ascii="Times New Roman" w:hAnsi="Times New Roman"/>
          <w:bCs/>
          <w:color w:val="000000" w:themeColor="text1"/>
          <w:kern w:val="2"/>
          <w:highlight w:val="none"/>
          <w:vertAlign w:val="sub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）的生产列为甲类火灾危险性生产。甲烷的危险、有害特性详见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_Ref142859020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表</w:t>
      </w:r>
      <w:r>
        <w:rPr>
          <w:rFonts w:ascii="Times New Roman" w:hAnsi="Times New Roman"/>
          <w:bCs/>
          <w:color w:val="000000" w:themeColor="text1"/>
          <w:kern w:val="2"/>
          <w:highlight w:val="none"/>
          <w:lang w:eastAsia="zh-CN"/>
          <w14:textFill>
            <w14:solidFill>
              <w14:schemeClr w14:val="tx1"/>
            </w14:solidFill>
          </w14:textFill>
        </w:rPr>
        <w:t>6.1</w:t>
      </w:r>
      <w:r>
        <w:rPr>
          <w:rFonts w:ascii="Times New Roman" w:hAnsi="Times New Roman"/>
          <w:bCs/>
          <w:color w:val="000000" w:themeColor="text1"/>
          <w:kern w:val="2"/>
          <w:highlight w:val="none"/>
          <w:lang w:eastAsia="zh-CN"/>
          <w14:textFill>
            <w14:solidFill>
              <w14:schemeClr w14:val="tx1"/>
            </w14:solidFill>
          </w14:textFill>
        </w:rPr>
        <w:noBreakHyphen/>
      </w:r>
      <w:r>
        <w:rPr>
          <w:rFonts w:ascii="Times New Roman" w:hAnsi="Times New Roman"/>
          <w:bCs/>
          <w:color w:val="000000" w:themeColor="text1"/>
          <w:kern w:val="2"/>
          <w:highlight w:val="none"/>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47" w:name="_Ref14285902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347"/>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甲烷危险、有害特性表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91"/>
        <w:gridCol w:w="1581"/>
        <w:gridCol w:w="1702"/>
        <w:gridCol w:w="1848"/>
        <w:gridCol w:w="97"/>
        <w:gridCol w:w="2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标识</w:t>
            </w:r>
          </w:p>
        </w:tc>
        <w:tc>
          <w:tcPr>
            <w:tcW w:w="158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中文名</w:t>
            </w:r>
          </w:p>
        </w:tc>
        <w:tc>
          <w:tcPr>
            <w:tcW w:w="170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甲烷</w:t>
            </w:r>
          </w:p>
        </w:tc>
        <w:tc>
          <w:tcPr>
            <w:tcW w:w="1848"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英文名</w:t>
            </w:r>
          </w:p>
        </w:tc>
        <w:tc>
          <w:tcPr>
            <w:tcW w:w="2300" w:type="dxa"/>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Methane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化学式</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CH</w:t>
            </w:r>
            <w:r>
              <w:rPr>
                <w:color w:val="000000" w:themeColor="text1"/>
                <w:highlight w:val="none"/>
                <w:vertAlign w:val="subscript"/>
                <w14:textFill>
                  <w14:solidFill>
                    <w14:schemeClr w14:val="tx1"/>
                  </w14:solidFill>
                </w14:textFill>
              </w:rPr>
              <w:t>4</w:t>
            </w:r>
          </w:p>
        </w:tc>
        <w:tc>
          <w:tcPr>
            <w:tcW w:w="18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分子量</w:t>
            </w:r>
          </w:p>
        </w:tc>
        <w:tc>
          <w:tcPr>
            <w:tcW w:w="2300"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ICSC编号</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0291</w:t>
            </w:r>
          </w:p>
        </w:tc>
        <w:tc>
          <w:tcPr>
            <w:tcW w:w="18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IMDG规则页码</w:t>
            </w:r>
          </w:p>
        </w:tc>
        <w:tc>
          <w:tcPr>
            <w:tcW w:w="2300"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CAS号</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74-82-8</w:t>
            </w:r>
          </w:p>
        </w:tc>
        <w:tc>
          <w:tcPr>
            <w:tcW w:w="18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RTECS号</w:t>
            </w:r>
          </w:p>
        </w:tc>
        <w:tc>
          <w:tcPr>
            <w:tcW w:w="2300"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PA1490000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UN编号</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1971</w:t>
            </w:r>
          </w:p>
        </w:tc>
        <w:tc>
          <w:tcPr>
            <w:tcW w:w="18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危险货物编号</w:t>
            </w:r>
          </w:p>
        </w:tc>
        <w:tc>
          <w:tcPr>
            <w:tcW w:w="2300"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EC编号</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601-001-00-4</w:t>
            </w:r>
          </w:p>
        </w:tc>
        <w:tc>
          <w:tcPr>
            <w:tcW w:w="1848" w:type="dxa"/>
            <w:vAlign w:val="center"/>
          </w:tcPr>
          <w:p>
            <w:pPr>
              <w:pStyle w:val="297"/>
              <w:rPr>
                <w:color w:val="000000" w:themeColor="text1"/>
                <w:highlight w:val="none"/>
                <w14:textFill>
                  <w14:solidFill>
                    <w14:schemeClr w14:val="tx1"/>
                  </w14:solidFill>
                </w14:textFill>
              </w:rPr>
            </w:pPr>
          </w:p>
        </w:tc>
        <w:tc>
          <w:tcPr>
            <w:tcW w:w="2300" w:type="dxa"/>
            <w:gridSpan w:val="2"/>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理化</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性质</w:t>
            </w: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外观与性状</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溶解性</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微溶于水，溶于乙醇、乙醚.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主要用途</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用作燃料和用于炭黑、氢、乙炔、甲醛等的制造。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熔点（℃）</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-182.5</w:t>
            </w:r>
          </w:p>
        </w:tc>
        <w:tc>
          <w:tcPr>
            <w:tcW w:w="1945"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相对密度（水=1）</w:t>
            </w:r>
          </w:p>
        </w:tc>
        <w:tc>
          <w:tcPr>
            <w:tcW w:w="220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0.42/-164℃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沸点（℃）</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-161.5</w:t>
            </w:r>
          </w:p>
        </w:tc>
        <w:tc>
          <w:tcPr>
            <w:tcW w:w="1945"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相对密度（空气=1）</w:t>
            </w:r>
          </w:p>
        </w:tc>
        <w:tc>
          <w:tcPr>
            <w:tcW w:w="220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饱和蒸汽压（kpa）</w:t>
            </w:r>
          </w:p>
        </w:tc>
        <w:tc>
          <w:tcPr>
            <w:tcW w:w="3647"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53.32</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-168.8℃</w:t>
            </w:r>
            <w:r>
              <w:rPr>
                <w:rFonts w:hint="eastAsia"/>
                <w:color w:val="000000" w:themeColor="text1"/>
                <w:highlight w:val="none"/>
                <w14:textFill>
                  <w14:solidFill>
                    <w14:schemeClr w14:val="tx1"/>
                  </w14:solidFill>
                </w14:textFill>
              </w:rPr>
              <w:t>)</w:t>
            </w:r>
          </w:p>
        </w:tc>
        <w:tc>
          <w:tcPr>
            <w:tcW w:w="2203" w:type="dxa"/>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临界温度（℃）</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-82.6</w:t>
            </w:r>
          </w:p>
        </w:tc>
        <w:tc>
          <w:tcPr>
            <w:tcW w:w="1945"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临界压力（Mpa）</w:t>
            </w:r>
          </w:p>
        </w:tc>
        <w:tc>
          <w:tcPr>
            <w:tcW w:w="220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燃烧热（KJ/mol）</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889.5</w:t>
            </w:r>
          </w:p>
        </w:tc>
        <w:tc>
          <w:tcPr>
            <w:tcW w:w="1945"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最小引燃能量（mJ）</w:t>
            </w:r>
          </w:p>
        </w:tc>
        <w:tc>
          <w:tcPr>
            <w:tcW w:w="220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毒性</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及健</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康危</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害</w:t>
            </w:r>
          </w:p>
        </w:tc>
        <w:tc>
          <w:tcPr>
            <w:tcW w:w="1581"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接触限值</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中国MAC</w:t>
            </w:r>
          </w:p>
        </w:tc>
        <w:tc>
          <w:tcPr>
            <w:tcW w:w="4148"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未制定标准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color w:val="000000" w:themeColor="text1"/>
                <w:highlight w:val="none"/>
                <w14:textFill>
                  <w14:solidFill>
                    <w14:schemeClr w14:val="tx1"/>
                  </w14:solidFill>
                </w14:textFill>
              </w:rPr>
            </w:pPr>
          </w:p>
        </w:tc>
        <w:tc>
          <w:tcPr>
            <w:tcW w:w="1581" w:type="dxa"/>
            <w:vMerge w:val="continue"/>
            <w:vAlign w:val="center"/>
          </w:tcPr>
          <w:p>
            <w:pPr>
              <w:pStyle w:val="297"/>
              <w:rPr>
                <w:color w:val="000000" w:themeColor="text1"/>
                <w:highlight w:val="none"/>
                <w14:textFill>
                  <w14:solidFill>
                    <w14:schemeClr w14:val="tx1"/>
                  </w14:solidFill>
                </w14:textFill>
              </w:rPr>
            </w:pP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前苏联MAC</w:t>
            </w:r>
          </w:p>
        </w:tc>
        <w:tc>
          <w:tcPr>
            <w:tcW w:w="4148"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300mg/m</w:t>
            </w:r>
            <w:r>
              <w:rPr>
                <w:color w:val="000000" w:themeColor="text1"/>
                <w:highlight w:val="none"/>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color w:val="000000" w:themeColor="text1"/>
                <w:highlight w:val="none"/>
                <w14:textFill>
                  <w14:solidFill>
                    <w14:schemeClr w14:val="tx1"/>
                  </w14:solidFill>
                </w14:textFill>
              </w:rPr>
            </w:pPr>
          </w:p>
        </w:tc>
        <w:tc>
          <w:tcPr>
            <w:tcW w:w="1581" w:type="dxa"/>
            <w:vMerge w:val="continue"/>
            <w:vAlign w:val="center"/>
          </w:tcPr>
          <w:p>
            <w:pPr>
              <w:pStyle w:val="297"/>
              <w:rPr>
                <w:color w:val="000000" w:themeColor="text1"/>
                <w:highlight w:val="none"/>
                <w14:textFill>
                  <w14:solidFill>
                    <w14:schemeClr w14:val="tx1"/>
                  </w14:solidFill>
                </w14:textFill>
              </w:rPr>
            </w:pP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美国TWA</w:t>
            </w:r>
          </w:p>
        </w:tc>
        <w:tc>
          <w:tcPr>
            <w:tcW w:w="4148"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ACGIH窒息性气体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color w:val="000000" w:themeColor="text1"/>
                <w:highlight w:val="none"/>
                <w14:textFill>
                  <w14:solidFill>
                    <w14:schemeClr w14:val="tx1"/>
                  </w14:solidFill>
                </w14:textFill>
              </w:rPr>
            </w:pPr>
          </w:p>
        </w:tc>
        <w:tc>
          <w:tcPr>
            <w:tcW w:w="1581" w:type="dxa"/>
            <w:vMerge w:val="continue"/>
            <w:vAlign w:val="center"/>
          </w:tcPr>
          <w:p>
            <w:pPr>
              <w:pStyle w:val="297"/>
              <w:rPr>
                <w:color w:val="000000" w:themeColor="text1"/>
                <w:highlight w:val="none"/>
                <w14:textFill>
                  <w14:solidFill>
                    <w14:schemeClr w14:val="tx1"/>
                  </w14:solidFill>
                </w14:textFill>
              </w:rPr>
            </w:pP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美国STEL</w:t>
            </w:r>
          </w:p>
        </w:tc>
        <w:tc>
          <w:tcPr>
            <w:tcW w:w="4148"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未制定标准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侵入途径</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健康危害</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1、当空气中甲烷浓度达</w:t>
            </w:r>
            <w:r>
              <w:rPr>
                <w:rFonts w:hint="eastAsia"/>
                <w:color w:val="000000" w:themeColor="text1"/>
                <w:highlight w:val="none"/>
                <w14:textFill>
                  <w14:solidFill>
                    <w14:schemeClr w14:val="tx1"/>
                  </w14:solidFill>
                </w14:textFill>
              </w:rPr>
              <w:t>25%～30%</w:t>
            </w:r>
            <w:r>
              <w:rPr>
                <w:color w:val="000000" w:themeColor="text1"/>
                <w:highlight w:val="none"/>
                <w14:textFill>
                  <w14:solidFill>
                    <w14:schemeClr w14:val="tx1"/>
                  </w14:solidFill>
                </w14:textFill>
              </w:rPr>
              <w:t>时，可引起头痛、头晕、乏力、注意力不集中、呼吸和心跳加速、精细动作障碍等；</w:t>
            </w:r>
          </w:p>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2、当空气中甲烷浓度更高时，可能使人出现窒息、昏迷等。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燃烧</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爆炸</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危险</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性</w:t>
            </w: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燃烧性</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易燃</w:t>
            </w:r>
          </w:p>
        </w:tc>
        <w:tc>
          <w:tcPr>
            <w:tcW w:w="1945"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建规火险等级</w:t>
            </w:r>
          </w:p>
        </w:tc>
        <w:tc>
          <w:tcPr>
            <w:tcW w:w="220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闪点（℃）</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-188</w:t>
            </w:r>
          </w:p>
        </w:tc>
        <w:tc>
          <w:tcPr>
            <w:tcW w:w="1945"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爆炸下限（v%）</w:t>
            </w:r>
          </w:p>
        </w:tc>
        <w:tc>
          <w:tcPr>
            <w:tcW w:w="220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自然温度（℃）</w:t>
            </w:r>
          </w:p>
        </w:tc>
        <w:tc>
          <w:tcPr>
            <w:tcW w:w="170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538</w:t>
            </w:r>
          </w:p>
        </w:tc>
        <w:tc>
          <w:tcPr>
            <w:tcW w:w="1945"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爆炸上限（v%）</w:t>
            </w:r>
          </w:p>
        </w:tc>
        <w:tc>
          <w:tcPr>
            <w:tcW w:w="220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危险特性</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1、甲烷与空气混合能形成爆炸性混合物，当在爆炸极限范围内遇明火、高热能时引起燃烧爆炸。2、甲烷与氟、氯等能发生剧烈的化学反应。3、甲烷若遇高热，容器内压增大，有开裂和爆炸的危险。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稳定性</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聚合危害</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不会出现聚合危害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禁忌物</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强氧化剂，如氟、氯等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灭火方法</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1、立即切断气源。2、若不能立即切断气源，则不允许熄灭正在燃烧的气体。3、喷水冷却容器，如果可能应将容器从火场移至空旷处。4、采用雾状水、泡沫灭火器和二氧化碳灭火器等。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包装</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储运</w:t>
            </w: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危险性类别</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第2.1类（UN类别）易燃气体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危险货物包装标志</w:t>
            </w:r>
          </w:p>
        </w:tc>
        <w:tc>
          <w:tcPr>
            <w:tcW w:w="5850"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包装</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储运</w:t>
            </w: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储运注意事项</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储存于阴凉、通风的储存间内，且储存间内温度不宜超过30℃，储存间内的照明、通风设施应采用防爆型，开关设置于储存间外。2、罐储时，要有防火防爆措施，若为露天储罐夏季应有降温措施。3、储存间和储罐附近应配备相应品种和数量的消防器材。4、远离火种、热源，禁止使用易产生火花的机械设备和工具。5、防止阳光直射。6、与氧气、压缩空气、卤素（氟、氯、溴）等分开存放，切忌混储混运。7、验收时应注意品名，注意验瓶日期，先进储存的先发用。8、搬运时轻装轻卸，防止钢瓶及附件破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急救</w:t>
            </w: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皮肤接触</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若有冻伤，就医治疗。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b/>
                <w:bCs/>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吸入</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1、迅速脱离现场至空气新鲜处。2、注意保暖，呼吸困难时给输氧。3、呼吸及心跳停止者立即进行人工呼吸和心脏按压术，并就医治疗。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防护</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措施</w:t>
            </w: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工程控制</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全面通风。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呼吸系统防护</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一般不需要特殊防护，高浓度环境中，可</w:t>
            </w:r>
            <w:r>
              <w:rPr>
                <w:rFonts w:hint="eastAsia"/>
                <w:color w:val="000000" w:themeColor="text1"/>
                <w:highlight w:val="none"/>
                <w14:textFill>
                  <w14:solidFill>
                    <w14:schemeClr w14:val="tx1"/>
                  </w14:solidFill>
                </w14:textFill>
              </w:rPr>
              <w:t>佩戴</w:t>
            </w:r>
            <w:r>
              <w:rPr>
                <w:color w:val="000000" w:themeColor="text1"/>
                <w:highlight w:val="none"/>
                <w14:textFill>
                  <w14:solidFill>
                    <w14:schemeClr w14:val="tx1"/>
                  </w14:solidFill>
                </w14:textFill>
              </w:rPr>
              <w:t>供气式呼吸器。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眼睛防护</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一般不需要特殊防护，高浓度接触时可戴安全防护眼镜。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手防护</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一般不需要特殊防护，高浓度接触可戴防护手套。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Merge w:val="continue"/>
            <w:vAlign w:val="center"/>
          </w:tcPr>
          <w:p>
            <w:pPr>
              <w:pStyle w:val="297"/>
              <w:rPr>
                <w:color w:val="000000" w:themeColor="text1"/>
                <w:highlight w:val="none"/>
                <w14:textFill>
                  <w14:solidFill>
                    <w14:schemeClr w14:val="tx1"/>
                  </w14:solidFill>
                </w14:textFill>
              </w:rPr>
            </w:pPr>
          </w:p>
        </w:tc>
        <w:tc>
          <w:tcPr>
            <w:tcW w:w="15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其它</w:t>
            </w:r>
          </w:p>
        </w:tc>
        <w:tc>
          <w:tcPr>
            <w:tcW w:w="5850"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1、工作现场严禁吸烟；2、避免长期反复接触；</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3、进入罐区或其它高浓度区作业时须有人监护。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79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泄露</w:t>
            </w:r>
          </w:p>
          <w:p>
            <w:pPr>
              <w:pStyle w:val="297"/>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处理</w:t>
            </w:r>
          </w:p>
        </w:tc>
        <w:tc>
          <w:tcPr>
            <w:tcW w:w="7431" w:type="dxa"/>
            <w:gridSpan w:val="5"/>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1、切断气源，喷雾状水稀释、降温，抽排（室内）或强力通风（室外）。2、切断火源，迅速撤离</w:t>
            </w:r>
            <w:r>
              <w:rPr>
                <w:bCs/>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污染区人员至上风处，并隔离直至气体散尽。3、应急处理人员应戴自给式呼吸器，穿一般消防防护服。4、如有可能，应将漏出气用排风机送至空旷地方或装设适当喷头烧掉；也可以将漏气的容器移至空旷处，注意通风。5、漏气容器不能再用，且要经过技术处理以清除可能剩下的</w:t>
            </w:r>
            <w:r>
              <w:rPr>
                <w:rFonts w:hint="eastAsia"/>
                <w:color w:val="000000" w:themeColor="text1"/>
                <w:highlight w:val="none"/>
                <w14:textFill>
                  <w14:solidFill>
                    <w14:schemeClr w14:val="tx1"/>
                  </w14:solidFill>
                </w14:textFill>
              </w:rPr>
              <w:t>气体</w:t>
            </w:r>
            <w:r>
              <w:rPr>
                <w:color w:val="000000" w:themeColor="text1"/>
                <w:highlight w:val="none"/>
                <w14:textFill>
                  <w14:solidFill>
                    <w14:schemeClr w14:val="tx1"/>
                  </w14:solidFill>
                </w14:textFill>
              </w:rPr>
              <w:t>。</w:t>
            </w:r>
          </w:p>
        </w:tc>
      </w:tr>
    </w:tbl>
    <w:p>
      <w:pPr>
        <w:pStyle w:val="21"/>
        <w:spacing w:before="120" w:beforeLines="5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（6）硫化氢危险性分析</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本工程天然气为含硫气，可能对环境造成危害的物质为硫化氢。硫化氢为强烈的神经性毒物，对粘膜有强烈的刺激作用。硫化氢对人的生理影响及危害见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_Ref142859037 \h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和</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REF _Ref142859063 \h</w:instrText>
      </w:r>
      <w:r>
        <w:rPr>
          <w:color w:val="000000" w:themeColor="text1"/>
          <w:highlight w:val="none"/>
          <w14:textFill>
            <w14:solidFill>
              <w14:schemeClr w14:val="tx1"/>
            </w14:solidFill>
          </w14:textFill>
        </w:rPr>
        <w:instrText xml:space="preserve">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48" w:name="_Ref142859037"/>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348"/>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硫化氢物化性质表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5"/>
        <w:gridCol w:w="1278"/>
        <w:gridCol w:w="2130"/>
        <w:gridCol w:w="1992"/>
        <w:gridCol w:w="17"/>
        <w:gridCol w:w="181"/>
        <w:gridCol w:w="2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标识</w:t>
            </w: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中文名</w:t>
            </w:r>
          </w:p>
        </w:tc>
        <w:tc>
          <w:tcPr>
            <w:tcW w:w="12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硫化氢</w:t>
            </w:r>
          </w:p>
        </w:tc>
        <w:tc>
          <w:tcPr>
            <w:tcW w:w="119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英文名</w:t>
            </w:r>
          </w:p>
        </w:tc>
        <w:tc>
          <w:tcPr>
            <w:tcW w:w="1414" w:type="pct"/>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Hydrogen Sulfide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分子式</w:t>
            </w:r>
          </w:p>
        </w:tc>
        <w:tc>
          <w:tcPr>
            <w:tcW w:w="12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w:t>
            </w:r>
          </w:p>
        </w:tc>
        <w:tc>
          <w:tcPr>
            <w:tcW w:w="1207"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危险货物：UN编号</w:t>
            </w:r>
          </w:p>
        </w:tc>
        <w:tc>
          <w:tcPr>
            <w:tcW w:w="1404"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21006</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沸点</w:t>
            </w:r>
          </w:p>
        </w:tc>
        <w:tc>
          <w:tcPr>
            <w:tcW w:w="12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-60.4℃</w:t>
            </w:r>
          </w:p>
        </w:tc>
        <w:tc>
          <w:tcPr>
            <w:tcW w:w="1207"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临界温度</w:t>
            </w:r>
          </w:p>
        </w:tc>
        <w:tc>
          <w:tcPr>
            <w:tcW w:w="1404"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w:t>
            </w:r>
          </w:p>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（水=1）</w:t>
            </w:r>
          </w:p>
        </w:tc>
        <w:tc>
          <w:tcPr>
            <w:tcW w:w="12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207"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w:t>
            </w:r>
          </w:p>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（空气=1）</w:t>
            </w:r>
          </w:p>
        </w:tc>
        <w:tc>
          <w:tcPr>
            <w:tcW w:w="1404" w:type="pct"/>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外观性状</w:t>
            </w:r>
          </w:p>
        </w:tc>
        <w:tc>
          <w:tcPr>
            <w:tcW w:w="3892" w:type="pct"/>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无色、有恶臭的气体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溶解性</w:t>
            </w:r>
          </w:p>
        </w:tc>
        <w:tc>
          <w:tcPr>
            <w:tcW w:w="3892" w:type="pct"/>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溶于水、乙醇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4660" w:type="pct"/>
            <w:gridSpan w:val="6"/>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外观与性状：无色无臭气体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危险性参数</w:t>
            </w: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闪点</w:t>
            </w:r>
          </w:p>
        </w:tc>
        <w:tc>
          <w:tcPr>
            <w:tcW w:w="12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316" w:type="pct"/>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爆炸上限</w:t>
            </w:r>
          </w:p>
        </w:tc>
        <w:tc>
          <w:tcPr>
            <w:tcW w:w="129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46%</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V/V</w:t>
            </w: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引燃温度</w:t>
            </w:r>
          </w:p>
        </w:tc>
        <w:tc>
          <w:tcPr>
            <w:tcW w:w="128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260℃</w:t>
            </w:r>
          </w:p>
        </w:tc>
        <w:tc>
          <w:tcPr>
            <w:tcW w:w="1316" w:type="pct"/>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爆炸下限</w:t>
            </w:r>
          </w:p>
        </w:tc>
        <w:tc>
          <w:tcPr>
            <w:tcW w:w="1295"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V/V</w:t>
            </w: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危险特性</w:t>
            </w:r>
          </w:p>
        </w:tc>
        <w:tc>
          <w:tcPr>
            <w:tcW w:w="3892" w:type="pct"/>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易燃，与空气混合能形成爆炸性混合物，遇明火、高热能引起燃烧爆炸。与浓硝酸、发烟硝酸或其它强氧化剂剧烈反应，发生爆炸。气体比空气重，能在较低处扩散到相当远的地方，遇火源会着火</w:t>
            </w:r>
            <w:r>
              <w:rPr>
                <w:rFonts w:hint="eastAsia"/>
                <w:color w:val="000000" w:themeColor="text1"/>
                <w:highlight w:val="none"/>
                <w14:textFill>
                  <w14:solidFill>
                    <w14:schemeClr w14:val="tx1"/>
                  </w14:solidFill>
                </w14:textFill>
              </w:rPr>
              <w:t>自</w:t>
            </w:r>
            <w:r>
              <w:rPr>
                <w:color w:val="000000" w:themeColor="text1"/>
                <w:highlight w:val="none"/>
                <w14:textFill>
                  <w14:solidFill>
                    <w14:schemeClr w14:val="tx1"/>
                  </w14:solidFill>
                </w14:textFill>
              </w:rPr>
              <w:t>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燃烧产物</w:t>
            </w:r>
          </w:p>
        </w:tc>
        <w:tc>
          <w:tcPr>
            <w:tcW w:w="3892" w:type="pct"/>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二氧化硫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灭火</w:t>
            </w: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灭火剂</w:t>
            </w:r>
          </w:p>
        </w:tc>
        <w:tc>
          <w:tcPr>
            <w:tcW w:w="3892" w:type="pct"/>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雾状水、抗溶性泡沫、干粉。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灭火方法</w:t>
            </w:r>
          </w:p>
        </w:tc>
        <w:tc>
          <w:tcPr>
            <w:tcW w:w="3892" w:type="pct"/>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消防人员必须穿全身防火防毒服，在上风向灭火。切断气源。若不能切断气源，则不允许熄灭泄漏处的火焰。喷水冷却容器，可能的话将容器从火场移至空旷处。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毒性及健康危害</w:t>
            </w:r>
          </w:p>
        </w:tc>
        <w:tc>
          <w:tcPr>
            <w:tcW w:w="768" w:type="pct"/>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毒性</w:t>
            </w:r>
          </w:p>
        </w:tc>
        <w:tc>
          <w:tcPr>
            <w:tcW w:w="3892" w:type="pct"/>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LC50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618mg/m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（大鼠吸入）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b/>
                <w:bCs/>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健康危害</w:t>
            </w:r>
          </w:p>
        </w:tc>
        <w:tc>
          <w:tcPr>
            <w:tcW w:w="3892" w:type="pct"/>
            <w:gridSpan w:val="5"/>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品是强烈的神经毒物，对粘膜有强烈刺激作用。急性中毒：短期内吸入高浓度硫化氢后出现流泪、眼痛、眼内异物感、畏光、视物模糊、流涕、咽喉部灼热感、咳嗽、胸闷、头痛、头晕、乏力、意识模糊等。部分患者可有心肌损害。重者可出现脑水肿、肺水肿。极高浓度（1000m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以上）时可在数秒钟内突然昏迷，呼吸和心跳骤停，发生闪电型死亡。高浓度接触眼结膜发生水肿和角膜溃疡。长期低浓度接触，引起神经衰弱综合征和植物神经功能紊乱。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应急处理处置方法</w:t>
            </w: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泄漏应急处理</w:t>
            </w:r>
          </w:p>
        </w:tc>
        <w:tc>
          <w:tcPr>
            <w:tcW w:w="3892" w:type="pct"/>
            <w:gridSpan w:val="5"/>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迅速撤离泄漏污染区人员至上风处，并立即进行隔离，小泄漏时隔离150m，大泄漏时隔离300m，严格限制出入。切断火源。建议应急处理人员戴自给正压式呼吸器，穿防静电工作服。从上风处进入现场。尽可能切断泄漏源。合理通风，加速扩散。喷雾状水稀释、溶解。构筑围堤或挖坑收容产生的大量废水。如有可能，将残余气或漏出气用排风机送至水洗塔或与塔相连的通风橱内。或使其通过三氯化铁水溶液，管路装止回装置以防溶液吸回。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眼睛接触</w:t>
            </w:r>
          </w:p>
        </w:tc>
        <w:tc>
          <w:tcPr>
            <w:tcW w:w="3892" w:type="pct"/>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立即提起眼睑，用大量流动清水或生理盐水彻底冲洗至少15分钟。就医。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 w:hRule="atLeast"/>
          <w:jc w:val="center"/>
        </w:trPr>
        <w:tc>
          <w:tcPr>
            <w:tcW w:w="340" w:type="pct"/>
            <w:vMerge w:val="continue"/>
            <w:vAlign w:val="center"/>
          </w:tcPr>
          <w:p>
            <w:pPr>
              <w:pStyle w:val="297"/>
              <w:rPr>
                <w:color w:val="000000" w:themeColor="text1"/>
                <w:highlight w:val="none"/>
                <w14:textFill>
                  <w14:solidFill>
                    <w14:schemeClr w14:val="tx1"/>
                  </w14:solidFill>
                </w14:textFill>
              </w:rPr>
            </w:pPr>
          </w:p>
        </w:tc>
        <w:tc>
          <w:tcPr>
            <w:tcW w:w="76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吸入</w:t>
            </w:r>
          </w:p>
        </w:tc>
        <w:tc>
          <w:tcPr>
            <w:tcW w:w="3892" w:type="pct"/>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迅速脱离现场至空气新鲜处。保持呼吸道通畅。如呼吸困难，给输氧。如呼吸停止，立即进行人工呼吸。就医。</w:t>
            </w:r>
          </w:p>
        </w:tc>
      </w:tr>
    </w:tbl>
    <w:p>
      <w:pPr>
        <w:pStyle w:val="203"/>
        <w:spacing w:before="120"/>
        <w:rPr>
          <w:color w:val="000000" w:themeColor="text1"/>
          <w:highlight w:val="none"/>
          <w14:textFill>
            <w14:solidFill>
              <w14:schemeClr w14:val="tx1"/>
            </w14:solidFill>
          </w14:textFill>
        </w:rPr>
      </w:pPr>
      <w:bookmarkStart w:id="349" w:name="_Ref14285906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bookmarkEnd w:id="34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硫化氢对人的生理影响及危害</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527"/>
        <w:gridCol w:w="3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空气中H</w:t>
            </w:r>
            <w:r>
              <w:rPr>
                <w:b/>
                <w:bCs/>
                <w:color w:val="000000" w:themeColor="text1"/>
                <w:highlight w:val="none"/>
                <w:vertAlign w:val="subscript"/>
                <w14:textFill>
                  <w14:solidFill>
                    <w14:schemeClr w14:val="tx1"/>
                  </w14:solidFill>
                </w14:textFill>
              </w:rPr>
              <w:t>2</w:t>
            </w:r>
            <w:r>
              <w:rPr>
                <w:b/>
                <w:bCs/>
                <w:color w:val="000000" w:themeColor="text1"/>
                <w:highlight w:val="none"/>
                <w14:textFill>
                  <w14:solidFill>
                    <w14:schemeClr w14:val="tx1"/>
                  </w14:solidFill>
                </w14:textFill>
              </w:rPr>
              <w:t>S浓度（mg/m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1482"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接触时间</w:t>
            </w:r>
          </w:p>
        </w:tc>
        <w:tc>
          <w:tcPr>
            <w:tcW w:w="1851"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生理影响及危害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0.04</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感到臭味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0.5</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感到明显臭味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有强烈臭味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有不快感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刺激眼睛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45</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强烈刺激粘膜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150</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刺激呼吸道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300</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15min</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嗅觉麻痹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暴露时间长有中毒症状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450</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1h</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引起亚急性中毒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375</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525</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8h</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有生命危险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525</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600</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4h</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有生命危险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900</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30min</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引起致命性中毒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1500</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引起呼吸道麻痹、有生命危险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2250</w:t>
            </w:r>
          </w:p>
        </w:tc>
        <w:tc>
          <w:tcPr>
            <w:tcW w:w="148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数分钟</w:t>
            </w:r>
          </w:p>
        </w:tc>
        <w:tc>
          <w:tcPr>
            <w:tcW w:w="1851"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死亡</w:t>
            </w:r>
          </w:p>
        </w:tc>
      </w:tr>
    </w:tbl>
    <w:p>
      <w:pPr>
        <w:pStyle w:val="21"/>
        <w:spacing w:before="120" w:beforeLines="5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w:t>
      </w:r>
      <w:r>
        <w:rPr>
          <w:rFonts w:hint="eastAsia" w:ascii="Times New Roman" w:hAnsi="Times New Roman"/>
          <w:b/>
          <w:color w:val="000000" w:themeColor="text1"/>
          <w:kern w:val="2"/>
          <w:highlight w:val="none"/>
          <w:lang w:eastAsia="zh-CN"/>
          <w14:textFill>
            <w14:solidFill>
              <w14:schemeClr w14:val="tx1"/>
            </w14:solidFill>
          </w14:textFill>
        </w:rPr>
        <w:t>7</w:t>
      </w:r>
      <w:r>
        <w:rPr>
          <w:rFonts w:ascii="Times New Roman" w:hAnsi="Times New Roman"/>
          <w:b/>
          <w:color w:val="000000" w:themeColor="text1"/>
          <w:kern w:val="2"/>
          <w:highlight w:val="none"/>
          <w:lang w:eastAsia="zh-CN"/>
          <w14:textFill>
            <w14:solidFill>
              <w14:schemeClr w14:val="tx1"/>
            </w14:solidFill>
          </w14:textFill>
        </w:rPr>
        <w:t>）柴油危险性分析</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钻井及井下作业过程中使用柴油机作为钻井作业现场电力和动力输出，柴油具有可燃性，其物理化学特性见</w:t>
      </w:r>
      <w:r>
        <w:rPr>
          <w:rFonts w:cs="Times New Roman"/>
          <w:color w:val="000000" w:themeColor="text1"/>
          <w:kern w:val="0"/>
          <w:szCs w:val="20"/>
          <w:highlight w:val="none"/>
          <w14:textFill>
            <w14:solidFill>
              <w14:schemeClr w14:val="tx1"/>
            </w14:solidFill>
          </w14:textFill>
        </w:rPr>
        <w:fldChar w:fldCharType="begin"/>
      </w:r>
      <w:r>
        <w:rPr>
          <w:rFonts w:cs="Times New Roman"/>
          <w:color w:val="000000" w:themeColor="text1"/>
          <w:kern w:val="0"/>
          <w:szCs w:val="20"/>
          <w:highlight w:val="none"/>
          <w14:textFill>
            <w14:solidFill>
              <w14:schemeClr w14:val="tx1"/>
            </w14:solidFill>
          </w14:textFill>
        </w:rPr>
        <w:instrText xml:space="preserve"> REF _Ref142859071 \h  \* MERGEFORMAT </w:instrText>
      </w:r>
      <w:r>
        <w:rPr>
          <w:rFonts w:cs="Times New Roman"/>
          <w:color w:val="000000" w:themeColor="text1"/>
          <w:kern w:val="0"/>
          <w:szCs w:val="20"/>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5</w:t>
      </w:r>
      <w:r>
        <w:rPr>
          <w:rFonts w:cs="Times New Roman"/>
          <w:color w:val="000000" w:themeColor="text1"/>
          <w:kern w:val="0"/>
          <w:szCs w:val="20"/>
          <w:highlight w:val="none"/>
          <w14:textFill>
            <w14:solidFill>
              <w14:schemeClr w14:val="tx1"/>
            </w14:solidFill>
          </w14:textFill>
        </w:rPr>
        <w:fldChar w:fldCharType="end"/>
      </w:r>
      <w:r>
        <w:rPr>
          <w:rFonts w:cs="Times New Roman"/>
          <w:color w:val="000000" w:themeColor="text1"/>
          <w:kern w:val="0"/>
          <w:szCs w:val="20"/>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50" w:name="_Ref14285907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35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柴油特性表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1"/>
        <w:gridCol w:w="1948"/>
        <w:gridCol w:w="1883"/>
        <w:gridCol w:w="2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第一部分危险性概述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危险性类别</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第3.3类高闪点易燃液体。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侵入途径</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吸入、食入、经皮肤吸收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健康危害</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皮肤接触柴油可引起接触性皮炎、油性痤疮，吸入可引起吸入性肺炎。能经胎盘进入胎儿血中。柴油废气可引起眼、鼻</w:t>
            </w:r>
            <w:r>
              <w:rPr>
                <w:rFonts w:hint="eastAsia"/>
                <w:color w:val="000000" w:themeColor="text1"/>
                <w:highlight w:val="none"/>
                <w14:textFill>
                  <w14:solidFill>
                    <w14:schemeClr w14:val="tx1"/>
                  </w14:solidFill>
                </w14:textFill>
              </w:rPr>
              <w:t>刺激征</w:t>
            </w:r>
            <w:r>
              <w:rPr>
                <w:color w:val="000000" w:themeColor="text1"/>
                <w:highlight w:val="none"/>
                <w14:textFill>
                  <w14:solidFill>
                    <w14:schemeClr w14:val="tx1"/>
                  </w14:solidFill>
                </w14:textFill>
              </w:rPr>
              <w:t>状，头痛。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第二部分急救措施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皮肤接触</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脱去污染的衣着，用肥皂和大量清水清洗污染皮肤。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眼睛接触</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立即翻开上下眼睑，用流动清水冲洗，至少15min。就医。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吸入</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脱离现场。脱去污染的衣着，至空气新鲜处，就医。防治吸入性肺炎。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误服</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误服者饮牛奶或植物油，洗胃并灌肠，就医。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第三部分消防措施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危险特性</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遇明火、高热或与氧化剂接触，有引起燃烧爆炸的危险。若遇高热，容器内压增大，有开裂和爆炸的危险。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有害燃烧产物</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一氧化碳、二氧化碳。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灭火方法灭火剂</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泡沫、二氧化碳、干粉、砂土。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第四部分</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应急处理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应急处理</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切断火源。应急处理人员戴好防毒面具，穿化学防护服。在确保安全情况下堵漏。用活性炭或其他惰性材料吸收，然后收集运到空旷处焚烧。如大量</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，利用围堤收容，然后收集、转移、回收或无害处理后废弃。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第五部分操作处置与储存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储存注意事项</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储存于阴凉、通风仓间内。远离火种、热源。保持容器密封。应与氧化剂分开存放。桶装堆垛不可过大，应留墙距、顶距、柱距及必要的防火检查走道。罐储时要有防火防爆技术措施。禁止使用易产生火花的机械设备和工具。充装要控制流速，注意防止静电积聚。搬运时轻装轻卸，防止包装及容器损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第六部分接触控制/个体防护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工程控制</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密闭操作，注意通风。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眼睛防护</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必要时戴安全防护眼镜。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呼吸系统防护</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一般不需特殊防护，但建议特殊情况下，佩戴供气式呼吸器。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身体防护</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穿工作服。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手防护</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必要时戴防护手套。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其他防护</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工作现场严禁吸烟。避免长期反复接触。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第七部分理化特性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外观及性状</w:t>
            </w:r>
          </w:p>
        </w:tc>
        <w:tc>
          <w:tcPr>
            <w:tcW w:w="1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粘性棕色液体。</w:t>
            </w:r>
          </w:p>
        </w:tc>
        <w:tc>
          <w:tcPr>
            <w:tcW w:w="188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闪点（℃）</w:t>
            </w:r>
          </w:p>
        </w:tc>
        <w:tc>
          <w:tcPr>
            <w:tcW w:w="25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w:t>
            </w:r>
          </w:p>
        </w:tc>
        <w:tc>
          <w:tcPr>
            <w:tcW w:w="1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0.87～0.9（水=1）</w:t>
            </w:r>
          </w:p>
        </w:tc>
        <w:tc>
          <w:tcPr>
            <w:tcW w:w="188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爆炸下限（V%）</w:t>
            </w:r>
          </w:p>
        </w:tc>
        <w:tc>
          <w:tcPr>
            <w:tcW w:w="25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相对密度</w:t>
            </w:r>
          </w:p>
        </w:tc>
        <w:tc>
          <w:tcPr>
            <w:tcW w:w="1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3.5（空气=1）</w:t>
            </w:r>
          </w:p>
        </w:tc>
        <w:tc>
          <w:tcPr>
            <w:tcW w:w="188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爆炸上限（V%）</w:t>
            </w:r>
          </w:p>
        </w:tc>
        <w:tc>
          <w:tcPr>
            <w:tcW w:w="25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引燃温度（℃）</w:t>
            </w:r>
          </w:p>
        </w:tc>
        <w:tc>
          <w:tcPr>
            <w:tcW w:w="1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257</w:t>
            </w:r>
          </w:p>
        </w:tc>
        <w:tc>
          <w:tcPr>
            <w:tcW w:w="188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用途</w:t>
            </w:r>
          </w:p>
        </w:tc>
        <w:tc>
          <w:tcPr>
            <w:tcW w:w="25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用作柴油机的燃料。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溶解性</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不溶于水，易溶于苯、二硫化碳、醇，易溶于脂肪。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222"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第八部分稳定性及化学活性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稳定性</w:t>
            </w:r>
          </w:p>
        </w:tc>
        <w:tc>
          <w:tcPr>
            <w:tcW w:w="1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稳定</w:t>
            </w:r>
          </w:p>
        </w:tc>
        <w:tc>
          <w:tcPr>
            <w:tcW w:w="188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避免接触的条件</w:t>
            </w:r>
          </w:p>
        </w:tc>
        <w:tc>
          <w:tcPr>
            <w:tcW w:w="25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明火、高热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禁配物</w:t>
            </w:r>
          </w:p>
        </w:tc>
        <w:tc>
          <w:tcPr>
            <w:tcW w:w="194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强氧化剂、卤素</w:t>
            </w:r>
          </w:p>
        </w:tc>
        <w:tc>
          <w:tcPr>
            <w:tcW w:w="1883"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聚合危害</w:t>
            </w:r>
          </w:p>
        </w:tc>
        <w:tc>
          <w:tcPr>
            <w:tcW w:w="25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不能出现。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82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分解产物</w:t>
            </w:r>
          </w:p>
        </w:tc>
        <w:tc>
          <w:tcPr>
            <w:tcW w:w="6401"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一氧化碳、二氧化碳。</w:t>
            </w:r>
          </w:p>
        </w:tc>
      </w:tr>
    </w:tbl>
    <w:p>
      <w:pPr>
        <w:widowControl/>
        <w:spacing w:before="120" w:beforeLines="50"/>
        <w:ind w:firstLine="482"/>
        <w:rPr>
          <w:rFonts w:cs="Times New Roman"/>
          <w:b/>
          <w:color w:val="000000" w:themeColor="text1"/>
          <w:szCs w:val="24"/>
          <w:highlight w:val="none"/>
          <w14:textFill>
            <w14:solidFill>
              <w14:schemeClr w14:val="tx1"/>
            </w14:solidFill>
          </w14:textFill>
        </w:rPr>
      </w:pPr>
      <w:r>
        <w:rPr>
          <w:rFonts w:cs="Times New Roman"/>
          <w:b/>
          <w:color w:val="000000" w:themeColor="text1"/>
          <w:szCs w:val="24"/>
          <w:highlight w:val="none"/>
          <w14:textFill>
            <w14:solidFill>
              <w14:schemeClr w14:val="tx1"/>
            </w14:solidFill>
          </w14:textFill>
        </w:rPr>
        <w:t>（</w:t>
      </w:r>
      <w:r>
        <w:rPr>
          <w:rFonts w:hint="eastAsia" w:cs="Times New Roman"/>
          <w:b/>
          <w:color w:val="000000" w:themeColor="text1"/>
          <w:szCs w:val="24"/>
          <w:highlight w:val="none"/>
          <w14:textFill>
            <w14:solidFill>
              <w14:schemeClr w14:val="tx1"/>
            </w14:solidFill>
          </w14:textFill>
        </w:rPr>
        <w:t>8</w:t>
      </w:r>
      <w:r>
        <w:rPr>
          <w:rFonts w:cs="Times New Roman"/>
          <w:b/>
          <w:color w:val="000000" w:themeColor="text1"/>
          <w:szCs w:val="24"/>
          <w:highlight w:val="none"/>
          <w14:textFill>
            <w14:solidFill>
              <w14:schemeClr w14:val="tx1"/>
            </w14:solidFill>
          </w14:textFill>
        </w:rPr>
        <w:t>）白油危险性分析</w:t>
      </w:r>
    </w:p>
    <w:p>
      <w:pPr>
        <w:ind w:firstLine="480"/>
        <w:rPr>
          <w:rFonts w:cs="Times New Roman"/>
          <w:color w:val="000000" w:themeColor="text1"/>
          <w:kern w:val="0"/>
          <w:szCs w:val="20"/>
          <w:highlight w:val="none"/>
          <w14:textFill>
            <w14:solidFill>
              <w14:schemeClr w14:val="tx1"/>
            </w14:solidFill>
          </w14:textFill>
        </w:rPr>
      </w:pPr>
      <w:r>
        <w:rPr>
          <w:rFonts w:cs="Times New Roman"/>
          <w:color w:val="000000" w:themeColor="text1"/>
          <w:kern w:val="0"/>
          <w:szCs w:val="20"/>
          <w:highlight w:val="none"/>
          <w14:textFill>
            <w14:solidFill>
              <w14:schemeClr w14:val="tx1"/>
            </w14:solidFill>
          </w14:textFill>
        </w:rPr>
        <w:t>白油为石油分馏的高沸馏分，不在现场储存，仅在紧急情况下临时调用，其物理化学特性见</w:t>
      </w:r>
      <w:r>
        <w:rPr>
          <w:rFonts w:cs="Times New Roman"/>
          <w:color w:val="000000" w:themeColor="text1"/>
          <w:kern w:val="0"/>
          <w:szCs w:val="20"/>
          <w:highlight w:val="none"/>
          <w14:textFill>
            <w14:solidFill>
              <w14:schemeClr w14:val="tx1"/>
            </w14:solidFill>
          </w14:textFill>
        </w:rPr>
        <w:fldChar w:fldCharType="begin"/>
      </w:r>
      <w:r>
        <w:rPr>
          <w:rFonts w:cs="Times New Roman"/>
          <w:color w:val="000000" w:themeColor="text1"/>
          <w:kern w:val="0"/>
          <w:szCs w:val="20"/>
          <w:highlight w:val="none"/>
          <w14:textFill>
            <w14:solidFill>
              <w14:schemeClr w14:val="tx1"/>
            </w14:solidFill>
          </w14:textFill>
        </w:rPr>
        <w:instrText xml:space="preserve"> REF _Ref2096 \h </w:instrText>
      </w:r>
      <w:r>
        <w:rPr>
          <w:rFonts w:cs="Times New Roman"/>
          <w:color w:val="000000" w:themeColor="text1"/>
          <w:kern w:val="0"/>
          <w:szCs w:val="20"/>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6.1</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t>4</w:t>
      </w:r>
      <w:r>
        <w:rPr>
          <w:rFonts w:cs="Times New Roman"/>
          <w:color w:val="000000" w:themeColor="text1"/>
          <w:kern w:val="0"/>
          <w:szCs w:val="20"/>
          <w:highlight w:val="none"/>
          <w14:textFill>
            <w14:solidFill>
              <w14:schemeClr w14:val="tx1"/>
            </w14:solidFill>
          </w14:textFill>
        </w:rPr>
        <w:fldChar w:fldCharType="end"/>
      </w:r>
      <w:r>
        <w:rPr>
          <w:rFonts w:cs="Times New Roman"/>
          <w:color w:val="000000" w:themeColor="text1"/>
          <w:kern w:val="0"/>
          <w:szCs w:val="20"/>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51" w:name="_Ref2096"/>
      <w:r>
        <w:rPr>
          <w:rFonts w:hint="eastAsia"/>
          <w:color w:val="000000" w:themeColor="text1"/>
          <w:highlight w:val="none"/>
          <w14:textFill>
            <w14:solidFill>
              <w14:schemeClr w14:val="tx1"/>
            </w14:solidFill>
          </w14:textFill>
        </w:rPr>
        <w:t>表</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6.1</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SEQ 表 \* ARABIC \s 2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4</w:t>
      </w:r>
      <w:r>
        <w:rPr>
          <w:rFonts w:hint="eastAsia"/>
          <w:color w:val="000000" w:themeColor="text1"/>
          <w:highlight w:val="none"/>
          <w14:textFill>
            <w14:solidFill>
              <w14:schemeClr w14:val="tx1"/>
            </w14:solidFill>
          </w14:textFill>
        </w:rPr>
        <w:fldChar w:fldCharType="end"/>
      </w:r>
      <w:bookmarkEnd w:id="351"/>
      <w:r>
        <w:rPr>
          <w:rFonts w:hint="eastAsia"/>
          <w:color w:val="000000" w:themeColor="text1"/>
          <w:highlight w:val="none"/>
          <w14:textFill>
            <w14:solidFill>
              <w14:schemeClr w14:val="tx1"/>
            </w14:solidFill>
          </w14:textFill>
        </w:rPr>
        <w:t xml:space="preserve"> 白油特性表</w:t>
      </w:r>
    </w:p>
    <w:tbl>
      <w:tblPr>
        <w:tblStyle w:val="92"/>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0"/>
        <w:gridCol w:w="913"/>
        <w:gridCol w:w="422"/>
        <w:gridCol w:w="1729"/>
        <w:gridCol w:w="651"/>
        <w:gridCol w:w="842"/>
        <w:gridCol w:w="138"/>
        <w:gridCol w:w="95"/>
        <w:gridCol w:w="2004"/>
        <w:gridCol w:w="423"/>
        <w:gridCol w:w="5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标识</w:t>
            </w: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中文名</w:t>
            </w:r>
          </w:p>
        </w:tc>
        <w:tc>
          <w:tcPr>
            <w:tcW w:w="3360" w:type="dxa"/>
            <w:gridSpan w:val="4"/>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白油</w:t>
            </w:r>
          </w:p>
        </w:tc>
        <w:tc>
          <w:tcPr>
            <w:tcW w:w="2099"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危货及UN编号</w:t>
            </w:r>
          </w:p>
        </w:tc>
        <w:tc>
          <w:tcPr>
            <w:tcW w:w="928"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主要成分</w:t>
            </w:r>
          </w:p>
        </w:tc>
        <w:tc>
          <w:tcPr>
            <w:tcW w:w="3360" w:type="dxa"/>
            <w:gridSpan w:val="4"/>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C16～C31的正异构烷烃的混合物</w:t>
            </w:r>
          </w:p>
        </w:tc>
        <w:tc>
          <w:tcPr>
            <w:tcW w:w="2099"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分子量</w:t>
            </w:r>
          </w:p>
        </w:tc>
        <w:tc>
          <w:tcPr>
            <w:tcW w:w="928"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250</w:t>
            </w:r>
            <w:r>
              <w:rPr>
                <w:rFonts w:hint="eastAsia" w:cs="Times New Roman"/>
                <w:iCs/>
                <w:color w:val="000000" w:themeColor="text1"/>
                <w:sz w:val="21"/>
                <w:szCs w:val="24"/>
                <w:highlight w:val="none"/>
                <w:lang w:eastAsia="en-US"/>
                <w14:textFill>
                  <w14:solidFill>
                    <w14:schemeClr w14:val="tx1"/>
                  </w14:solidFill>
                </w14:textFill>
              </w:rPr>
              <w:t>~</w:t>
            </w:r>
            <w:r>
              <w:rPr>
                <w:rFonts w:cs="Times New Roman"/>
                <w:iCs/>
                <w:color w:val="000000" w:themeColor="text1"/>
                <w:sz w:val="21"/>
                <w:szCs w:val="24"/>
                <w:highlight w:val="none"/>
                <w:lang w:eastAsia="en-US"/>
                <w14:textFill>
                  <w14:solidFill>
                    <w14:schemeClr w14:val="tx1"/>
                  </w14:solidFill>
                </w14:textFill>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理化特性</w:t>
            </w: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相对密度（水=1）</w:t>
            </w:r>
          </w:p>
        </w:tc>
        <w:tc>
          <w:tcPr>
            <w:tcW w:w="3360" w:type="dxa"/>
            <w:gridSpan w:val="4"/>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0.831</w:t>
            </w:r>
            <w:r>
              <w:rPr>
                <w:rFonts w:hint="eastAsia" w:cs="Times New Roman"/>
                <w:iCs/>
                <w:color w:val="000000" w:themeColor="text1"/>
                <w:sz w:val="21"/>
                <w:szCs w:val="24"/>
                <w:highlight w:val="none"/>
                <w:lang w:eastAsia="en-US"/>
                <w14:textFill>
                  <w14:solidFill>
                    <w14:schemeClr w14:val="tx1"/>
                  </w14:solidFill>
                </w14:textFill>
              </w:rPr>
              <w:t>~</w:t>
            </w:r>
            <w:r>
              <w:rPr>
                <w:rFonts w:cs="Times New Roman"/>
                <w:iCs/>
                <w:color w:val="000000" w:themeColor="text1"/>
                <w:sz w:val="21"/>
                <w:szCs w:val="24"/>
                <w:highlight w:val="none"/>
                <w:lang w:eastAsia="en-US"/>
                <w14:textFill>
                  <w14:solidFill>
                    <w14:schemeClr w14:val="tx1"/>
                  </w14:solidFill>
                </w14:textFill>
              </w:rPr>
              <w:t>0.883</w:t>
            </w:r>
          </w:p>
        </w:tc>
        <w:tc>
          <w:tcPr>
            <w:tcW w:w="2099"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相对密度（空气=1）</w:t>
            </w:r>
          </w:p>
        </w:tc>
        <w:tc>
          <w:tcPr>
            <w:tcW w:w="928"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外观与性状</w:t>
            </w:r>
          </w:p>
        </w:tc>
        <w:tc>
          <w:tcPr>
            <w:tcW w:w="6387" w:type="dxa"/>
            <w:gridSpan w:val="8"/>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无色透明油状液体，无臭味，具有润滑性。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溶解性</w:t>
            </w:r>
          </w:p>
        </w:tc>
        <w:tc>
          <w:tcPr>
            <w:tcW w:w="6387" w:type="dxa"/>
            <w:gridSpan w:val="8"/>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不溶于水和乙醇。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沸点，℃</w:t>
            </w:r>
          </w:p>
        </w:tc>
        <w:tc>
          <w:tcPr>
            <w:tcW w:w="1729"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1726" w:type="dxa"/>
            <w:gridSpan w:val="4"/>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熔点，℃</w:t>
            </w:r>
          </w:p>
        </w:tc>
        <w:tc>
          <w:tcPr>
            <w:tcW w:w="2932" w:type="dxa"/>
            <w:gridSpan w:val="3"/>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燃爆特性</w:t>
            </w: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闪点，℃</w:t>
            </w:r>
          </w:p>
        </w:tc>
        <w:tc>
          <w:tcPr>
            <w:tcW w:w="1729"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≥130℃</w:t>
            </w:r>
          </w:p>
        </w:tc>
        <w:tc>
          <w:tcPr>
            <w:tcW w:w="3730" w:type="dxa"/>
            <w:gridSpan w:val="5"/>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爆炸极限，%(V/V)</w:t>
            </w:r>
          </w:p>
        </w:tc>
        <w:tc>
          <w:tcPr>
            <w:tcW w:w="928"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引燃温度，℃</w:t>
            </w:r>
          </w:p>
        </w:tc>
        <w:tc>
          <w:tcPr>
            <w:tcW w:w="1729"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3730" w:type="dxa"/>
            <w:gridSpan w:val="5"/>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临界压力，MPa</w:t>
            </w:r>
          </w:p>
        </w:tc>
        <w:tc>
          <w:tcPr>
            <w:tcW w:w="928"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火灾危险类别</w:t>
            </w:r>
          </w:p>
        </w:tc>
        <w:tc>
          <w:tcPr>
            <w:tcW w:w="1729"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3730" w:type="dxa"/>
            <w:gridSpan w:val="5"/>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爆炸危险组别/类别</w:t>
            </w:r>
          </w:p>
        </w:tc>
        <w:tc>
          <w:tcPr>
            <w:tcW w:w="928"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危险特性</w:t>
            </w:r>
          </w:p>
        </w:tc>
        <w:tc>
          <w:tcPr>
            <w:tcW w:w="6387" w:type="dxa"/>
            <w:gridSpan w:val="8"/>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温度过高热、明火或与氧化剂接触，均有引燃危险。容器内压增大有 开裂或爆炸危险。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1335" w:type="dxa"/>
            <w:gridSpan w:val="2"/>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灭火方法</w:t>
            </w:r>
          </w:p>
        </w:tc>
        <w:tc>
          <w:tcPr>
            <w:tcW w:w="6387" w:type="dxa"/>
            <w:gridSpan w:val="8"/>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灭火剂：二氧化碳﹑干化学粉末、泡沫、砂、泥土或水雾</w:t>
            </w:r>
            <w:r>
              <w:rPr>
                <w:rFonts w:hint="eastAsia" w:cs="Times New Roman"/>
                <w:iCs/>
                <w:color w:val="000000" w:themeColor="text1"/>
                <w:sz w:val="21"/>
                <w:szCs w:val="24"/>
                <w:highlight w:val="none"/>
                <w:lang w:eastAsia="en-US"/>
                <w14:textFill>
                  <w14:solidFill>
                    <w14:schemeClr w14:val="tx1"/>
                  </w14:solidFill>
                </w14:textFill>
              </w:rPr>
              <w:t>（</w:t>
            </w:r>
            <w:r>
              <w:rPr>
                <w:rFonts w:cs="Times New Roman"/>
                <w:iCs/>
                <w:color w:val="000000" w:themeColor="text1"/>
                <w:sz w:val="21"/>
                <w:szCs w:val="24"/>
                <w:highlight w:val="none"/>
                <w:lang w:eastAsia="en-US"/>
                <w14:textFill>
                  <w14:solidFill>
                    <w14:schemeClr w14:val="tx1"/>
                  </w14:solidFill>
                </w14:textFill>
              </w:rPr>
              <w:t>不可用水 喷射</w:t>
            </w:r>
            <w:r>
              <w:rPr>
                <w:rFonts w:hint="eastAsia" w:cs="Times New Roman"/>
                <w:iCs/>
                <w:color w:val="000000" w:themeColor="text1"/>
                <w:sz w:val="21"/>
                <w:szCs w:val="24"/>
                <w:highlight w:val="none"/>
                <w:lang w:eastAsia="en-US"/>
                <w14:textFill>
                  <w14:solidFill>
                    <w14:schemeClr w14:val="tx1"/>
                  </w14:solidFill>
                </w14:textFill>
              </w:rPr>
              <w:t>）</w:t>
            </w:r>
            <w:r>
              <w:rPr>
                <w:rFonts w:cs="Times New Roman"/>
                <w:iCs/>
                <w:color w:val="000000" w:themeColor="text1"/>
                <w:sz w:val="21"/>
                <w:szCs w:val="24"/>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restart"/>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毒性及健康危害</w:t>
            </w:r>
          </w:p>
        </w:tc>
        <w:tc>
          <w:tcPr>
            <w:tcW w:w="913"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急性毒性</w:t>
            </w:r>
          </w:p>
        </w:tc>
        <w:tc>
          <w:tcPr>
            <w:tcW w:w="2802" w:type="dxa"/>
            <w:gridSpan w:val="3"/>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LD50(mg/kg</w:t>
            </w:r>
            <w:r>
              <w:rPr>
                <w:rFonts w:hint="eastAsia" w:cs="Times New Roman"/>
                <w:iCs/>
                <w:color w:val="000000" w:themeColor="text1"/>
                <w:sz w:val="21"/>
                <w:szCs w:val="24"/>
                <w:highlight w:val="none"/>
                <w:lang w:eastAsia="en-US"/>
                <w14:textFill>
                  <w14:solidFill>
                    <w14:schemeClr w14:val="tx1"/>
                  </w14:solidFill>
                </w14:textFill>
              </w:rPr>
              <w:t>，</w:t>
            </w:r>
            <w:r>
              <w:rPr>
                <w:rFonts w:cs="Times New Roman"/>
                <w:iCs/>
                <w:color w:val="000000" w:themeColor="text1"/>
                <w:sz w:val="21"/>
                <w:szCs w:val="24"/>
                <w:highlight w:val="none"/>
                <w:lang w:eastAsia="en-US"/>
                <w14:textFill>
                  <w14:solidFill>
                    <w14:schemeClr w14:val="tx1"/>
                  </w14:solidFill>
                </w14:textFill>
              </w:rPr>
              <w:t>大鼠经口</w:t>
            </w:r>
            <w:r>
              <w:rPr>
                <w:rFonts w:hint="eastAsia" w:cs="Times New Roman"/>
                <w:iCs/>
                <w:color w:val="000000" w:themeColor="text1"/>
                <w:sz w:val="21"/>
                <w:szCs w:val="24"/>
                <w:highlight w:val="none"/>
                <w:lang w:eastAsia="en-US"/>
                <w14:textFill>
                  <w14:solidFill>
                    <w14:schemeClr w14:val="tx1"/>
                  </w14:solidFill>
                </w14:textFill>
              </w:rPr>
              <w:t>)</w:t>
            </w:r>
          </w:p>
        </w:tc>
        <w:tc>
          <w:tcPr>
            <w:tcW w:w="842"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w:t>
            </w:r>
          </w:p>
        </w:tc>
        <w:tc>
          <w:tcPr>
            <w:tcW w:w="2660" w:type="dxa"/>
            <w:gridSpan w:val="4"/>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LC50（mg/m</w:t>
            </w:r>
            <w:r>
              <w:rPr>
                <w:rFonts w:cs="Times New Roman"/>
                <w:iCs/>
                <w:color w:val="000000" w:themeColor="text1"/>
                <w:sz w:val="21"/>
                <w:szCs w:val="24"/>
                <w:highlight w:val="none"/>
                <w:vertAlign w:val="superscript"/>
                <w:lang w:eastAsia="en-US"/>
                <w14:textFill>
                  <w14:solidFill>
                    <w14:schemeClr w14:val="tx1"/>
                  </w14:solidFill>
                </w14:textFill>
              </w:rPr>
              <w:t>3</w:t>
            </w:r>
            <w:r>
              <w:rPr>
                <w:rFonts w:cs="Times New Roman"/>
                <w:iCs/>
                <w:color w:val="000000" w:themeColor="text1"/>
                <w:sz w:val="21"/>
                <w:szCs w:val="24"/>
                <w:highlight w:val="none"/>
                <w:lang w:eastAsia="en-US"/>
                <w14:textFill>
                  <w14:solidFill>
                    <w14:schemeClr w14:val="tx1"/>
                  </w14:solidFill>
                </w14:textFill>
              </w:rPr>
              <w:t>，大鼠吸入）</w:t>
            </w:r>
          </w:p>
        </w:tc>
        <w:tc>
          <w:tcPr>
            <w:tcW w:w="505"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913"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健康危害</w:t>
            </w:r>
          </w:p>
        </w:tc>
        <w:tc>
          <w:tcPr>
            <w:tcW w:w="6809" w:type="dxa"/>
            <w:gridSpan w:val="9"/>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吸入：吸入大量挥发气体会感觉眩晕。</w:t>
            </w:r>
            <w:r>
              <w:rPr>
                <w:rFonts w:cs="Times New Roman"/>
                <w:iCs/>
                <w:color w:val="000000" w:themeColor="text1"/>
                <w:sz w:val="21"/>
                <w:szCs w:val="24"/>
                <w:highlight w:val="none"/>
                <w:lang w:eastAsia="en-US"/>
                <w14:textFill>
                  <w14:solidFill>
                    <w14:schemeClr w14:val="tx1"/>
                  </w14:solidFill>
                </w14:textFill>
              </w:rPr>
              <w:tab/>
            </w:r>
            <w:r>
              <w:rPr>
                <w:rFonts w:cs="Times New Roman"/>
                <w:iCs/>
                <w:color w:val="000000" w:themeColor="text1"/>
                <w:sz w:val="21"/>
                <w:szCs w:val="24"/>
                <w:highlight w:val="none"/>
                <w:lang w:eastAsia="en-US"/>
                <w14:textFill>
                  <w14:solidFill>
                    <w14:schemeClr w14:val="tx1"/>
                  </w14:solidFill>
                </w14:textFill>
              </w:rPr>
              <w:t>眼接触：有刺激感，损伤视力。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913"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操作注意事项</w:t>
            </w:r>
          </w:p>
        </w:tc>
        <w:tc>
          <w:tcPr>
            <w:tcW w:w="6809" w:type="dxa"/>
            <w:gridSpan w:val="9"/>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密闭操作，全面通风。操作人员必须经过专门培训，严格遵守操作规程。远离火种、热源，工作场所严禁吸烟。使用防爆型的通风系统和设备。防止气体泄漏到工作场所空气中。避免与氧化剂接触。在传送过程中，容器必须接地和跨接，防止产生静电。搬运时轻装轻卸，防止容器及附件破损。配备相应品种和数量的消防器材及泄漏应急处理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Merge w:val="continue"/>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p>
        </w:tc>
        <w:tc>
          <w:tcPr>
            <w:tcW w:w="913"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急救措施</w:t>
            </w:r>
          </w:p>
        </w:tc>
        <w:tc>
          <w:tcPr>
            <w:tcW w:w="6809" w:type="dxa"/>
            <w:gridSpan w:val="9"/>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皮肤接触：建议使用脂枪加脂，如意外注射使皮肤受伤，应送医治疗。眼接触：张开眼皮，以洁净清水冲洗，如刺激持续，建议看医生。食入：用清水洗胃稀释，毋须诱发呕吐，如大量入肚确感不适，需立即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泄漏应急处理</w:t>
            </w:r>
          </w:p>
        </w:tc>
        <w:tc>
          <w:tcPr>
            <w:tcW w:w="7722" w:type="dxa"/>
            <w:gridSpan w:val="10"/>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迅速撤离泄漏污染区人员至上风处，并进行隔离，严格限制出入。切断火源，防止火花产生，除处理备油人员外，从速撤离现场，避免吸入油雾；小量泄漏：用砂泥土或木屑，吸收溢出的油，然后移至安全地点。根据有关法例处理，后以大量水冲洗被沾污的地方；大量泄漏：以砂或泥土截溢油蔓延，防止溢油流入下水道。如有可能，将溢油以槽罐截起，随后处理，或按“小量泄漏”方法处理。漏气容器要妥善处理，修复、检验后再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储运</w:t>
            </w:r>
          </w:p>
        </w:tc>
        <w:tc>
          <w:tcPr>
            <w:tcW w:w="7722" w:type="dxa"/>
            <w:gridSpan w:val="10"/>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储存于阴凉、通风的库房。远离火种、热源。库温不宜超过30℃。应与氧化剂等分开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 w:type="dxa"/>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注意事项</w:t>
            </w:r>
          </w:p>
        </w:tc>
        <w:tc>
          <w:tcPr>
            <w:tcW w:w="7722" w:type="dxa"/>
            <w:gridSpan w:val="10"/>
            <w:vAlign w:val="center"/>
          </w:tcPr>
          <w:p>
            <w:pPr>
              <w:widowControl/>
              <w:spacing w:line="240" w:lineRule="auto"/>
              <w:ind w:firstLine="0" w:firstLineChars="0"/>
              <w:jc w:val="center"/>
              <w:textAlignment w:val="center"/>
              <w:rPr>
                <w:rFonts w:cs="Times New Roman"/>
                <w:iCs/>
                <w:color w:val="000000" w:themeColor="text1"/>
                <w:sz w:val="21"/>
                <w:szCs w:val="24"/>
                <w:highlight w:val="none"/>
                <w:lang w:eastAsia="en-US"/>
                <w14:textFill>
                  <w14:solidFill>
                    <w14:schemeClr w14:val="tx1"/>
                  </w14:solidFill>
                </w14:textFill>
              </w:rPr>
            </w:pPr>
            <w:r>
              <w:rPr>
                <w:rFonts w:cs="Times New Roman"/>
                <w:iCs/>
                <w:color w:val="000000" w:themeColor="text1"/>
                <w:sz w:val="21"/>
                <w:szCs w:val="24"/>
                <w:highlight w:val="none"/>
                <w:lang w:eastAsia="en-US"/>
                <w14:textFill>
                  <w14:solidFill>
                    <w14:schemeClr w14:val="tx1"/>
                  </w14:solidFill>
                </w14:textFill>
              </w:rPr>
              <w:t>存放，切忌混储。采用防爆型照明、通风设施。禁止使用易产生火花的机械设备和工具。储区应备有泄漏应急处理设备。储存容器必须加盖密封，减少挥发量；避免日光照射，置于低处放置；使用：轻拿轻放，使用者戴手套。特殊注意事项：避免过多接触，工作完毕后沐浴更衣。运输时运输车辆应配备相应品种和数量的消防器材。装运该物品的车辆排气管必须配备阻火装置，禁止使用易产生火花的机械设备和工具装卸。严禁与氧化剂等混装混运。夏季应早晚运输，防止日光</w:t>
            </w:r>
            <w:r>
              <w:rPr>
                <w:rFonts w:hint="eastAsia" w:cs="Times New Roman"/>
                <w:iCs/>
                <w:color w:val="000000" w:themeColor="text1"/>
                <w:sz w:val="21"/>
                <w:szCs w:val="24"/>
                <w:highlight w:val="none"/>
                <w:lang w:eastAsia="en-US"/>
                <w14:textFill>
                  <w14:solidFill>
                    <w14:schemeClr w14:val="tx1"/>
                  </w14:solidFill>
                </w14:textFill>
              </w:rPr>
              <w:t>暴晒</w:t>
            </w:r>
            <w:r>
              <w:rPr>
                <w:rFonts w:cs="Times New Roman"/>
                <w:iCs/>
                <w:color w:val="000000" w:themeColor="text1"/>
                <w:sz w:val="21"/>
                <w:szCs w:val="24"/>
                <w:highlight w:val="none"/>
                <w:lang w:eastAsia="en-US"/>
                <w14:textFill>
                  <w14:solidFill>
                    <w14:schemeClr w14:val="tx1"/>
                  </w14:solidFill>
                </w14:textFill>
              </w:rPr>
              <w:t>。中途停留时应远离火种、热源。</w:t>
            </w:r>
          </w:p>
        </w:tc>
      </w:tr>
    </w:tbl>
    <w:p>
      <w:pPr>
        <w:spacing w:before="120" w:beforeLines="50"/>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w:t>
      </w:r>
      <w:r>
        <w:rPr>
          <w:rFonts w:hint="eastAsia" w:cs="Times New Roman"/>
          <w:b/>
          <w:bCs/>
          <w:color w:val="000000" w:themeColor="text1"/>
          <w:szCs w:val="24"/>
          <w:highlight w:val="none"/>
          <w14:textFill>
            <w14:solidFill>
              <w14:schemeClr w14:val="tx1"/>
            </w14:solidFill>
          </w14:textFill>
        </w:rPr>
        <w:t>9</w:t>
      </w:r>
      <w:r>
        <w:rPr>
          <w:rFonts w:cs="Times New Roman"/>
          <w:b/>
          <w:bCs/>
          <w:color w:val="000000" w:themeColor="text1"/>
          <w:szCs w:val="24"/>
          <w:highlight w:val="none"/>
          <w14:textFill>
            <w14:solidFill>
              <w14:schemeClr w14:val="tx1"/>
            </w14:solidFill>
          </w14:textFill>
        </w:rPr>
        <w:t>）压裂前置酸（主要成分为7%的稀盐酸）</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盐酸，化学式为HCl，是氯化氢水溶液，相对密度1.187。熔点：114.8℃。沸点：84.9℃。易溶于水，有强烈的腐蚀性，能腐蚀金属，对动植物纤维和人体肌肤均有腐蚀作用。浓盐酸在空气中发烟，触及氨蒸气会生成白色云雾。氯化氢气体对动植物有害。盐酸是极强的无机酸，高浓度对人体有极度伤害，具有刺激性气味，能和很多金属</w:t>
      </w:r>
      <w:r>
        <w:rPr>
          <w:rFonts w:hint="eastAsia" w:cs="Times New Roman"/>
          <w:color w:val="000000" w:themeColor="text1"/>
          <w:szCs w:val="24"/>
          <w:highlight w:val="none"/>
          <w14:textFill>
            <w14:solidFill>
              <w14:schemeClr w14:val="tx1"/>
            </w14:solidFill>
          </w14:textFill>
        </w:rPr>
        <w:t>发生反应</w:t>
      </w:r>
      <w:r>
        <w:rPr>
          <w:rFonts w:cs="Times New Roman"/>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健康危害：接触其蒸气或烟雾，可引起急性中毒：出现眼结膜炎，鼻及口腔</w:t>
      </w:r>
      <w:r>
        <w:rPr>
          <w:rFonts w:hint="eastAsia" w:cs="Times New Roman"/>
          <w:color w:val="000000" w:themeColor="text1"/>
          <w:szCs w:val="24"/>
          <w:highlight w:val="none"/>
          <w14:textFill>
            <w14:solidFill>
              <w14:schemeClr w14:val="tx1"/>
            </w14:solidFill>
          </w14:textFill>
        </w:rPr>
        <w:t>黏膜</w:t>
      </w:r>
      <w:r>
        <w:rPr>
          <w:rFonts w:cs="Times New Roman"/>
          <w:color w:val="000000" w:themeColor="text1"/>
          <w:szCs w:val="24"/>
          <w:highlight w:val="none"/>
          <w14:textFill>
            <w14:solidFill>
              <w14:schemeClr w14:val="tx1"/>
            </w14:solidFill>
          </w14:textFill>
        </w:rPr>
        <w:t>有烧灼感，鼻出血、齿龈出血，气管炎等。误服可引起消化道灼伤、溃疡形成，有可能引起胃穿孔、腹膜炎等。眼和皮肤接触可致灼伤。</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危险特性：易燃，具刺激性。遇明火、高热源或与氧化剂接触，有引起燃烧爆炸的危险。若遇高热，容器内压增大，有开裂和爆炸的危险。</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慢性影响：长期接触，引起慢性鼻炎、慢性支气管炎、牙齿酸蚀症及皮肤损害。</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环境危害：对环境有危害，对水体和土壤可造成污染。</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燃爆危险：该品不燃。具强腐蚀性、强刺激性，可致人体灼伤。</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盐酸属于危险化学品和易制毒化学品，根据《危险化学品管理条例》和《易制毒化学品管理条例》，本项目使用盐酸前应落实使用盐酸具体责任单位，并在当地公安机关备案。</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w:t>
      </w:r>
      <w:r>
        <w:rPr>
          <w:rFonts w:hint="eastAsia" w:cs="Times New Roman"/>
          <w:b/>
          <w:bCs/>
          <w:color w:val="000000" w:themeColor="text1"/>
          <w:szCs w:val="24"/>
          <w:highlight w:val="none"/>
          <w14:textFill>
            <w14:solidFill>
              <w14:schemeClr w14:val="tx1"/>
            </w14:solidFill>
          </w14:textFill>
        </w:rPr>
        <w:t>10</w:t>
      </w:r>
      <w:r>
        <w:rPr>
          <w:rFonts w:cs="Times New Roman"/>
          <w:b/>
          <w:bCs/>
          <w:color w:val="000000" w:themeColor="text1"/>
          <w:szCs w:val="24"/>
          <w:highlight w:val="none"/>
          <w14:textFill>
            <w14:solidFill>
              <w14:schemeClr w14:val="tx1"/>
            </w14:solidFill>
          </w14:textFill>
        </w:rPr>
        <w:t>）油基泥浆及油基岩屑</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w:t>
      </w:r>
      <w:r>
        <w:rPr>
          <w:rFonts w:hint="eastAsia" w:cs="Times New Roman"/>
          <w:color w:val="000000" w:themeColor="text1"/>
          <w:szCs w:val="24"/>
          <w:highlight w:val="none"/>
          <w14:textFill>
            <w14:solidFill>
              <w14:schemeClr w14:val="tx1"/>
            </w14:solidFill>
          </w14:textFill>
        </w:rPr>
        <w:t>三开采用</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钻井液（若三开钻遇特地层，则采用油基钻井液）</w:t>
      </w:r>
      <w:r>
        <w:rPr>
          <w:rFonts w:cs="Times New Roman"/>
          <w:color w:val="000000" w:themeColor="text1"/>
          <w:szCs w:val="24"/>
          <w:highlight w:val="none"/>
          <w14:textFill>
            <w14:solidFill>
              <w14:schemeClr w14:val="tx1"/>
            </w14:solidFill>
          </w14:textFill>
        </w:rPr>
        <w:t>液钻井，油基钻井液是以油为分散介质组成的泥浆，油基泥浆的成分主要为白油、1%～2%有机土、4%～5%主乳化剂、3%～4%辅乳化剂、2%～4%润湿剂、2%～5%生石灰、氯化钙溶液</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25%～30%</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4%～5%降滤失剂、3%～5%封堵剂、1%～2%流型调节剂、1%～3%除硫剂、加重剂（按密度需要）等。危险性主要表现在油性物质的可燃性。油基泥浆现场不储存，油基泥浆和油基岩屑主要危险成分白油为无色透明油状液体，两者的危险性均远低于油类物质，其中油基岩屑相比于油基泥浆其含油率更低。通过加强管理，及时转运处置后其环境风险事故影响很小。</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w:t>
      </w:r>
      <w:r>
        <w:rPr>
          <w:rFonts w:hint="eastAsia" w:cs="Times New Roman"/>
          <w:b/>
          <w:bCs/>
          <w:color w:val="000000" w:themeColor="text1"/>
          <w:szCs w:val="24"/>
          <w:highlight w:val="none"/>
          <w14:textFill>
            <w14:solidFill>
              <w14:schemeClr w14:val="tx1"/>
            </w14:solidFill>
          </w14:textFill>
        </w:rPr>
        <w:t>1</w:t>
      </w:r>
      <w:r>
        <w:rPr>
          <w:rFonts w:cs="Times New Roman"/>
          <w:b/>
          <w:bCs/>
          <w:color w:val="000000" w:themeColor="text1"/>
          <w:szCs w:val="24"/>
          <w:highlight w:val="none"/>
          <w14:textFill>
            <w14:solidFill>
              <w14:schemeClr w14:val="tx1"/>
            </w14:solidFill>
          </w14:textFill>
        </w:rPr>
        <w:t>）废油</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项目钻井使用设备过程中，或多或少会产生一些废油，主要是设备润滑、保养产生的废机油。废油主要分布于油桶里面，其特性和润滑油差不多。废油对眼睛、皮肤、</w:t>
      </w:r>
      <w:r>
        <w:rPr>
          <w:rFonts w:hint="eastAsia" w:cs="Times New Roman"/>
          <w:bCs/>
          <w:color w:val="000000" w:themeColor="text1"/>
          <w:szCs w:val="24"/>
          <w:highlight w:val="none"/>
          <w14:textFill>
            <w14:solidFill>
              <w14:schemeClr w14:val="tx1"/>
            </w14:solidFill>
          </w14:textFill>
        </w:rPr>
        <w:t>黏膜</w:t>
      </w:r>
      <w:r>
        <w:rPr>
          <w:rFonts w:cs="Times New Roman"/>
          <w:bCs/>
          <w:color w:val="000000" w:themeColor="text1"/>
          <w:szCs w:val="24"/>
          <w:highlight w:val="none"/>
          <w14:textFill>
            <w14:solidFill>
              <w14:schemeClr w14:val="tx1"/>
            </w14:solidFill>
          </w14:textFill>
        </w:rPr>
        <w:t>和上呼吸道具有刺激作用。吸入后，可引起喉、支气管的火症、水肿、痉挛、化学性肺炎或肺水肿。接触后可引起燃灼感、咳嗽、喘息、气短、头痛、恶心和呕吐等。皮肤接触可发生接触性皮炎及油疹，可致急性肾脏损害，吸入其雾滴或液体呛入可引起吸入性肺炎。结合工程项目的实际情况，主要危害为废油</w:t>
      </w:r>
      <w:r>
        <w:rPr>
          <w:rFonts w:hint="eastAsia" w:cs="Times New Roman"/>
          <w:bCs/>
          <w:color w:val="000000" w:themeColor="text1"/>
          <w:szCs w:val="24"/>
          <w:highlight w:val="none"/>
          <w14:textFill>
            <w14:solidFill>
              <w14:schemeClr w14:val="tx1"/>
            </w14:solidFill>
          </w14:textFill>
        </w:rPr>
        <w:t>泄漏</w:t>
      </w:r>
      <w:r>
        <w:rPr>
          <w:rFonts w:cs="Times New Roman"/>
          <w:bCs/>
          <w:color w:val="000000" w:themeColor="text1"/>
          <w:szCs w:val="24"/>
          <w:highlight w:val="none"/>
          <w14:textFill>
            <w14:solidFill>
              <w14:schemeClr w14:val="tx1"/>
            </w14:solidFill>
          </w14:textFill>
        </w:rPr>
        <w:t>后地表水、地下水和土壤的影响。</w:t>
      </w:r>
    </w:p>
    <w:p>
      <w:pPr>
        <w:pStyle w:val="4"/>
        <w:spacing w:before="0" w:beforeLines="0"/>
        <w:ind w:firstLine="480"/>
        <w:rPr>
          <w:b/>
          <w:color w:val="000000" w:themeColor="text1"/>
          <w:highlight w:val="none"/>
          <w:lang w:eastAsia="zh-CN"/>
          <w14:textFill>
            <w14:solidFill>
              <w14:schemeClr w14:val="tx1"/>
            </w14:solidFill>
          </w14:textFill>
        </w:rPr>
      </w:pPr>
      <w:bookmarkStart w:id="352" w:name="_Toc120173172"/>
      <w:r>
        <w:rPr>
          <w:color w:val="000000" w:themeColor="text1"/>
          <w:highlight w:val="none"/>
          <w:lang w:eastAsia="zh-CN"/>
          <w14:textFill>
            <w14:solidFill>
              <w14:schemeClr w14:val="tx1"/>
            </w14:solidFill>
          </w14:textFill>
        </w:rPr>
        <w:t>环境风险潜势初判</w:t>
      </w:r>
      <w:bookmarkEnd w:id="352"/>
    </w:p>
    <w:p>
      <w:pPr>
        <w:ind w:firstLine="480"/>
        <w:rPr>
          <w:rFonts w:cs="Times New Roman"/>
          <w:bCs/>
          <w:color w:val="000000" w:themeColor="text1"/>
          <w:szCs w:val="24"/>
          <w:highlight w:val="none"/>
          <w:lang w:val="zh-CN"/>
          <w14:textFill>
            <w14:solidFill>
              <w14:schemeClr w14:val="tx1"/>
            </w14:solidFill>
          </w14:textFill>
        </w:rPr>
      </w:pPr>
      <w:r>
        <w:rPr>
          <w:rFonts w:cs="Times New Roman"/>
          <w:bCs/>
          <w:color w:val="000000" w:themeColor="text1"/>
          <w:szCs w:val="24"/>
          <w:highlight w:val="none"/>
          <w:lang w:val="zh-CN"/>
          <w14:textFill>
            <w14:solidFill>
              <w14:schemeClr w14:val="tx1"/>
            </w14:solidFill>
          </w14:textFill>
        </w:rPr>
        <w:t>（1）危险物质数量与临界量的比值（Q）</w:t>
      </w:r>
    </w:p>
    <w:p>
      <w:pPr>
        <w:pStyle w:val="296"/>
        <w:rPr>
          <w:color w:val="000000" w:themeColor="text1"/>
          <w:highlight w:val="none"/>
          <w:lang w:val="zh-CN"/>
          <w14:textFill>
            <w14:solidFill>
              <w14:schemeClr w14:val="tx1"/>
            </w14:solidFill>
          </w14:textFill>
        </w:rPr>
      </w:pPr>
      <w:r>
        <w:rPr>
          <w:color w:val="000000" w:themeColor="text1"/>
          <w:highlight w:val="none"/>
          <w:lang w:val="zh-CN"/>
          <w14:textFill>
            <w14:solidFill>
              <w14:schemeClr w14:val="tx1"/>
            </w14:solidFill>
          </w14:textFill>
        </w:rPr>
        <w:t>建设项目环境风险潜势划分为Ⅰ、Ⅱ、Ⅲ、Ⅳ、Ⅳ+级。根据建设项目设计的物质和工艺系数的危险性及其所在地的敏感程度，结合事故情形下环境影响途径，对建设项目潜在环境危害程度进行概化分析，</w:t>
      </w:r>
      <w:r>
        <w:rPr>
          <w:rFonts w:ascii="Times New Roman" w:cs="Times New Roman"/>
          <w:bCs/>
          <w:color w:val="000000" w:themeColor="text1"/>
          <w:kern w:val="2"/>
          <w:szCs w:val="24"/>
          <w:highlight w:val="none"/>
          <w:shd w:val="clear" w:color="auto" w:fill="auto"/>
          <w:lang w:val="zh-CN"/>
          <w14:textFill>
            <w14:solidFill>
              <w14:schemeClr w14:val="tx1"/>
            </w14:solidFill>
          </w14:textFill>
        </w:rPr>
        <w:t>按照</w:t>
      </w:r>
      <w:r>
        <w:rPr>
          <w:rFonts w:hint="eastAsia" w:ascii="Times New Roman" w:cs="Times New Roman"/>
          <w:bCs/>
          <w:color w:val="000000" w:themeColor="text1"/>
          <w:kern w:val="2"/>
          <w:szCs w:val="24"/>
          <w:highlight w:val="none"/>
          <w:shd w:val="clear" w:color="auto" w:fill="auto"/>
          <w:lang w:val="zh-CN"/>
          <w14:textFill>
            <w14:solidFill>
              <w14:schemeClr w14:val="tx1"/>
            </w14:solidFill>
          </w14:textFill>
        </w:rPr>
        <w:fldChar w:fldCharType="begin"/>
      </w:r>
      <w:r>
        <w:rPr>
          <w:rFonts w:hint="eastAsia" w:ascii="Times New Roman" w:cs="Times New Roman"/>
          <w:bCs/>
          <w:color w:val="000000" w:themeColor="text1"/>
          <w:kern w:val="2"/>
          <w:szCs w:val="24"/>
          <w:highlight w:val="none"/>
          <w:shd w:val="clear" w:color="auto" w:fill="auto"/>
          <w:lang w:val="zh-CN"/>
          <w14:textFill>
            <w14:solidFill>
              <w14:schemeClr w14:val="tx1"/>
            </w14:solidFill>
          </w14:textFill>
        </w:rPr>
        <w:instrText xml:space="preserve"> REF _Ref2279 \h </w:instrText>
      </w:r>
      <w:r>
        <w:rPr>
          <w:rFonts w:hint="eastAsia" w:ascii="Times New Roman" w:cs="Times New Roman"/>
          <w:bCs/>
          <w:color w:val="000000" w:themeColor="text1"/>
          <w:kern w:val="2"/>
          <w:szCs w:val="24"/>
          <w:highlight w:val="none"/>
          <w:shd w:val="clear" w:color="auto" w:fill="auto"/>
          <w:lang w:val="zh-CN"/>
          <w14:textFill>
            <w14:solidFill>
              <w14:schemeClr w14:val="tx1"/>
            </w14:solidFill>
          </w14:textFill>
        </w:rPr>
        <w:fldChar w:fldCharType="separate"/>
      </w:r>
      <w:r>
        <w:rPr>
          <w:rFonts w:hint="eastAsia" w:ascii="Times New Roman" w:cs="Times New Roman"/>
          <w:bCs/>
          <w:color w:val="000000" w:themeColor="text1"/>
          <w:kern w:val="2"/>
          <w:szCs w:val="24"/>
          <w:highlight w:val="none"/>
          <w:shd w:val="clear" w:color="auto" w:fill="auto"/>
          <w14:textFill>
            <w14:solidFill>
              <w14:schemeClr w14:val="tx1"/>
            </w14:solidFill>
          </w14:textFill>
        </w:rPr>
        <w:t>表</w:t>
      </w:r>
      <w:r>
        <w:rPr>
          <w:rFonts w:hint="eastAsia" w:ascii="Times New Roman" w:cs="Times New Roman"/>
          <w:bCs/>
          <w:color w:val="000000" w:themeColor="text1"/>
          <w:kern w:val="2"/>
          <w:szCs w:val="24"/>
          <w:highlight w:val="none"/>
          <w:shd w:val="clear" w:color="auto" w:fill="auto"/>
          <w14:textFill>
            <w14:solidFill>
              <w14:schemeClr w14:val="tx1"/>
            </w14:solidFill>
          </w14:textFill>
        </w:rPr>
        <w:fldChar w:fldCharType="begin"/>
      </w:r>
      <w:r>
        <w:rPr>
          <w:rFonts w:hint="eastAsia" w:ascii="Times New Roman" w:cs="Times New Roman"/>
          <w:bCs/>
          <w:color w:val="000000" w:themeColor="text1"/>
          <w:kern w:val="2"/>
          <w:szCs w:val="24"/>
          <w:highlight w:val="none"/>
          <w:shd w:val="clear" w:color="auto" w:fill="auto"/>
          <w14:textFill>
            <w14:solidFill>
              <w14:schemeClr w14:val="tx1"/>
            </w14:solidFill>
          </w14:textFill>
        </w:rPr>
        <w:instrText xml:space="preserve"> STYLEREF 2 \s </w:instrText>
      </w:r>
      <w:r>
        <w:rPr>
          <w:rFonts w:hint="eastAsia" w:ascii="Times New Roman" w:cs="Times New Roman"/>
          <w:bCs/>
          <w:color w:val="000000" w:themeColor="text1"/>
          <w:kern w:val="2"/>
          <w:szCs w:val="24"/>
          <w:highlight w:val="none"/>
          <w:shd w:val="clear" w:color="auto" w:fill="auto"/>
          <w14:textFill>
            <w14:solidFill>
              <w14:schemeClr w14:val="tx1"/>
            </w14:solidFill>
          </w14:textFill>
        </w:rPr>
        <w:fldChar w:fldCharType="separate"/>
      </w:r>
      <w:r>
        <w:rPr>
          <w:rFonts w:hint="eastAsia" w:ascii="Times New Roman" w:cs="Times New Roman"/>
          <w:bCs/>
          <w:color w:val="000000" w:themeColor="text1"/>
          <w:kern w:val="2"/>
          <w:szCs w:val="24"/>
          <w:highlight w:val="none"/>
          <w:shd w:val="clear" w:color="auto" w:fill="auto"/>
          <w14:textFill>
            <w14:solidFill>
              <w14:schemeClr w14:val="tx1"/>
            </w14:solidFill>
          </w14:textFill>
        </w:rPr>
        <w:t>6.1</w:t>
      </w:r>
      <w:r>
        <w:rPr>
          <w:rFonts w:hint="eastAsia" w:ascii="Times New Roman" w:cs="Times New Roman"/>
          <w:bCs/>
          <w:color w:val="000000" w:themeColor="text1"/>
          <w:kern w:val="2"/>
          <w:szCs w:val="24"/>
          <w:highlight w:val="none"/>
          <w:shd w:val="clear" w:color="auto" w:fill="auto"/>
          <w14:textFill>
            <w14:solidFill>
              <w14:schemeClr w14:val="tx1"/>
            </w14:solidFill>
          </w14:textFill>
        </w:rPr>
        <w:fldChar w:fldCharType="end"/>
      </w:r>
      <w:r>
        <w:rPr>
          <w:rFonts w:hint="eastAsia" w:ascii="Times New Roman" w:cs="Times New Roman"/>
          <w:bCs/>
          <w:color w:val="000000" w:themeColor="text1"/>
          <w:kern w:val="2"/>
          <w:szCs w:val="24"/>
          <w:highlight w:val="none"/>
          <w:shd w:val="clear" w:color="auto" w:fill="auto"/>
          <w14:textFill>
            <w14:solidFill>
              <w14:schemeClr w14:val="tx1"/>
            </w14:solidFill>
          </w14:textFill>
        </w:rPr>
        <w:noBreakHyphen/>
      </w:r>
      <w:r>
        <w:rPr>
          <w:rFonts w:hint="eastAsia" w:ascii="Times New Roman" w:cs="Times New Roman"/>
          <w:bCs/>
          <w:color w:val="000000" w:themeColor="text1"/>
          <w:kern w:val="2"/>
          <w:szCs w:val="24"/>
          <w:highlight w:val="none"/>
          <w:shd w:val="clear" w:color="auto" w:fill="auto"/>
          <w14:textFill>
            <w14:solidFill>
              <w14:schemeClr w14:val="tx1"/>
            </w14:solidFill>
          </w14:textFill>
        </w:rPr>
        <w:t>5</w:t>
      </w:r>
      <w:r>
        <w:rPr>
          <w:rFonts w:hint="eastAsia" w:ascii="Times New Roman" w:cs="Times New Roman"/>
          <w:bCs/>
          <w:color w:val="000000" w:themeColor="text1"/>
          <w:kern w:val="2"/>
          <w:szCs w:val="24"/>
          <w:highlight w:val="none"/>
          <w:shd w:val="clear" w:color="auto" w:fill="auto"/>
          <w:lang w:val="zh-CN"/>
          <w14:textFill>
            <w14:solidFill>
              <w14:schemeClr w14:val="tx1"/>
            </w14:solidFill>
          </w14:textFill>
        </w:rPr>
        <w:fldChar w:fldCharType="end"/>
      </w:r>
      <w:r>
        <w:rPr>
          <w:rFonts w:ascii="Times New Roman" w:cs="Times New Roman"/>
          <w:bCs/>
          <w:color w:val="000000" w:themeColor="text1"/>
          <w:kern w:val="2"/>
          <w:szCs w:val="24"/>
          <w:highlight w:val="none"/>
          <w:shd w:val="clear" w:color="auto" w:fill="auto"/>
          <w:lang w:val="zh-CN"/>
          <w14:textFill>
            <w14:solidFill>
              <w14:schemeClr w14:val="tx1"/>
            </w14:solidFill>
          </w14:textFill>
        </w:rPr>
        <w:t>确定环境</w:t>
      </w:r>
      <w:r>
        <w:rPr>
          <w:color w:val="000000" w:themeColor="text1"/>
          <w:highlight w:val="none"/>
          <w:lang w:val="zh-CN"/>
          <w14:textFill>
            <w14:solidFill>
              <w14:schemeClr w14:val="tx1"/>
            </w14:solidFill>
          </w14:textFill>
        </w:rPr>
        <w:t>风险潜势。</w:t>
      </w:r>
    </w:p>
    <w:p>
      <w:pPr>
        <w:pStyle w:val="203"/>
        <w:spacing w:before="120"/>
        <w:rPr>
          <w:color w:val="000000" w:themeColor="text1"/>
          <w:highlight w:val="none"/>
          <w:lang w:val="zh-CN"/>
          <w14:textFill>
            <w14:solidFill>
              <w14:schemeClr w14:val="tx1"/>
            </w14:solidFill>
          </w14:textFill>
        </w:rPr>
      </w:pPr>
      <w:bookmarkStart w:id="353" w:name="_Ref2279"/>
      <w:r>
        <w:rPr>
          <w:rFonts w:hint="eastAsia"/>
          <w:color w:val="000000" w:themeColor="text1"/>
          <w:highlight w:val="none"/>
          <w14:textFill>
            <w14:solidFill>
              <w14:schemeClr w14:val="tx1"/>
            </w14:solidFill>
          </w14:textFill>
        </w:rPr>
        <w:t>表</w:t>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STYLEREF 2 \s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6.1</w: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noBreakHyphen/>
      </w: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SEQ 表 \* ARABIC \s 2 </w:instrText>
      </w:r>
      <w:r>
        <w:rPr>
          <w:rFonts w:hint="eastAsia"/>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rFonts w:hint="eastAsia"/>
          <w:color w:val="000000" w:themeColor="text1"/>
          <w:highlight w:val="none"/>
          <w14:textFill>
            <w14:solidFill>
              <w14:schemeClr w14:val="tx1"/>
            </w14:solidFill>
          </w14:textFill>
        </w:rPr>
        <w:fldChar w:fldCharType="end"/>
      </w:r>
      <w:bookmarkEnd w:id="353"/>
      <w:r>
        <w:rPr>
          <w:rFonts w:hint="eastAsia"/>
          <w:color w:val="000000" w:themeColor="text1"/>
          <w:highlight w:val="none"/>
          <w:lang w:val="zh-CN"/>
          <w14:textFill>
            <w14:solidFill>
              <w14:schemeClr w14:val="tx1"/>
            </w14:solidFill>
          </w14:textFill>
        </w:rPr>
        <w:t xml:space="preserve">  建设项目环境风险潜势划分</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2388"/>
        <w:gridCol w:w="1458"/>
        <w:gridCol w:w="1458"/>
        <w:gridCol w:w="1458"/>
        <w:gridCol w:w="14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2388" w:type="dxa"/>
            <w:vMerge w:val="restart"/>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环境敏感程度（E）</w:t>
            </w:r>
          </w:p>
        </w:tc>
        <w:tc>
          <w:tcPr>
            <w:tcW w:w="5832" w:type="dxa"/>
            <w:gridSpan w:val="4"/>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2388" w:type="dxa"/>
            <w:vMerge w:val="continue"/>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极高危害（P1）</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高度危害（P2）</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中度危害（P3）</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238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环境高度敏感区（E1）</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Ⅳ+</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Ⅳ</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Ⅲ</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238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环境中度敏感区（E2）</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Ⅳ</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Ⅲ</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Ⅲ</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238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环境低度敏感区（E3）</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Ⅲ</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Ⅲ</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Ⅱ</w:t>
            </w:r>
          </w:p>
        </w:tc>
        <w:tc>
          <w:tcPr>
            <w:tcW w:w="145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8220" w:type="dxa"/>
            <w:gridSpan w:val="5"/>
            <w:tcBorders>
              <w:top w:val="single" w:color="auto" w:sz="4" w:space="0"/>
              <w:left w:val="single" w:color="auto" w:sz="4" w:space="0"/>
              <w:bottom w:val="single" w:color="auto" w:sz="4" w:space="0"/>
              <w:right w:val="single" w:color="auto" w:sz="4" w:space="0"/>
            </w:tcBorders>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注：Ⅳ+为极高环境风险。</w:t>
            </w:r>
          </w:p>
        </w:tc>
      </w:tr>
    </w:tbl>
    <w:p>
      <w:pPr>
        <w:spacing w:before="120" w:beforeLines="50"/>
        <w:ind w:firstLine="480"/>
        <w:rPr>
          <w:rFonts w:cs="Times New Roman"/>
          <w:bCs/>
          <w:color w:val="000000" w:themeColor="text1"/>
          <w:szCs w:val="24"/>
          <w:highlight w:val="none"/>
          <w:lang w:val="zh-CN"/>
          <w14:textFill>
            <w14:solidFill>
              <w14:schemeClr w14:val="tx1"/>
            </w14:solidFill>
          </w14:textFill>
        </w:rPr>
      </w:pPr>
      <w:r>
        <w:rPr>
          <w:rFonts w:cs="Times New Roman"/>
          <w:bCs/>
          <w:color w:val="000000" w:themeColor="text1"/>
          <w:szCs w:val="24"/>
          <w:highlight w:val="none"/>
          <w:lang w:val="zh-CN"/>
          <w14:textFill>
            <w14:solidFill>
              <w14:schemeClr w14:val="tx1"/>
            </w14:solidFill>
          </w14:textFill>
        </w:rPr>
        <w:t>分析建设项目生产、使用、储存过程中涉及的有毒有害、易燃易爆物质，参见HJ 169-2018中附录B确定危险物质的临界量，并参照附录C进行判定。</w:t>
      </w:r>
    </w:p>
    <w:p>
      <w:pPr>
        <w:ind w:firstLine="480"/>
        <w:rPr>
          <w:rFonts w:cs="Times New Roman"/>
          <w:bCs/>
          <w:color w:val="000000" w:themeColor="text1"/>
          <w:szCs w:val="24"/>
          <w:highlight w:val="none"/>
          <w:lang w:val="zh-CN"/>
          <w14:textFill>
            <w14:solidFill>
              <w14:schemeClr w14:val="tx1"/>
            </w14:solidFill>
          </w14:textFill>
        </w:rPr>
      </w:pPr>
      <w:r>
        <w:rPr>
          <w:rFonts w:hint="eastAsia" w:ascii="宋体" w:hAnsi="宋体" w:cs="宋体"/>
          <w:bCs/>
          <w:color w:val="000000" w:themeColor="text1"/>
          <w:szCs w:val="24"/>
          <w:highlight w:val="none"/>
          <w:lang w:val="zh-CN"/>
          <w14:textFill>
            <w14:solidFill>
              <w14:schemeClr w14:val="tx1"/>
            </w14:solidFill>
          </w14:textFill>
        </w:rPr>
        <w:t>①</w:t>
      </w:r>
      <w:r>
        <w:rPr>
          <w:rFonts w:cs="Times New Roman"/>
          <w:bCs/>
          <w:color w:val="000000" w:themeColor="text1"/>
          <w:szCs w:val="24"/>
          <w:highlight w:val="none"/>
          <w:lang w:val="zh-CN"/>
          <w14:textFill>
            <w14:solidFill>
              <w14:schemeClr w14:val="tx1"/>
            </w14:solidFill>
          </w14:textFill>
        </w:rPr>
        <w:t>当企业只涉及一种风险物质时，该物质的数量与其临界量比值，即为Q。</w:t>
      </w:r>
    </w:p>
    <w:p>
      <w:pPr>
        <w:ind w:firstLine="480"/>
        <w:rPr>
          <w:rFonts w:cs="Times New Roman"/>
          <w:bCs/>
          <w:color w:val="000000" w:themeColor="text1"/>
          <w:szCs w:val="24"/>
          <w:highlight w:val="none"/>
          <w:lang w:val="zh-CN"/>
          <w14:textFill>
            <w14:solidFill>
              <w14:schemeClr w14:val="tx1"/>
            </w14:solidFill>
          </w14:textFill>
        </w:rPr>
      </w:pPr>
      <w:r>
        <w:rPr>
          <w:rFonts w:hint="eastAsia" w:ascii="宋体" w:hAnsi="宋体" w:cs="宋体"/>
          <w:bCs/>
          <w:color w:val="000000" w:themeColor="text1"/>
          <w:szCs w:val="24"/>
          <w:highlight w:val="none"/>
          <w:lang w:val="zh-CN"/>
          <w14:textFill>
            <w14:solidFill>
              <w14:schemeClr w14:val="tx1"/>
            </w14:solidFill>
          </w14:textFill>
        </w:rPr>
        <w:t>②</w:t>
      </w:r>
      <w:r>
        <w:rPr>
          <w:rFonts w:cs="Times New Roman"/>
          <w:bCs/>
          <w:color w:val="000000" w:themeColor="text1"/>
          <w:szCs w:val="24"/>
          <w:highlight w:val="none"/>
          <w:lang w:val="zh-CN"/>
          <w14:textFill>
            <w14:solidFill>
              <w14:schemeClr w14:val="tx1"/>
            </w14:solidFill>
          </w14:textFill>
        </w:rPr>
        <w:t>当企业存在多种风险物质时，则按下式计算：</w:t>
      </w:r>
    </w:p>
    <w:p>
      <w:pPr>
        <w:pStyle w:val="559"/>
        <w:ind w:firstLine="480"/>
        <w:jc w:val="center"/>
        <w:rPr>
          <w:rFonts w:ascii="Times New Roman"/>
          <w:bCs/>
          <w:color w:val="000000" w:themeColor="text1"/>
          <w:szCs w:val="24"/>
          <w:highlight w:val="none"/>
          <w:vertAlign w:val="subscript"/>
          <w14:textFill>
            <w14:solidFill>
              <w14:schemeClr w14:val="tx1"/>
            </w14:solidFill>
          </w14:textFill>
        </w:rPr>
      </w:pPr>
      <w:r>
        <w:rPr>
          <w:rFonts w:ascii="Times New Roman"/>
          <w:bCs/>
          <w:color w:val="000000" w:themeColor="text1"/>
          <w:szCs w:val="24"/>
          <w:highlight w:val="none"/>
          <w14:textFill>
            <w14:solidFill>
              <w14:schemeClr w14:val="tx1"/>
            </w14:solidFill>
          </w14:textFill>
        </w:rPr>
        <w:t>Q=q</w:t>
      </w:r>
      <w:r>
        <w:rPr>
          <w:rFonts w:ascii="Times New Roman"/>
          <w:bCs/>
          <w:color w:val="000000" w:themeColor="text1"/>
          <w:szCs w:val="24"/>
          <w:highlight w:val="none"/>
          <w:vertAlign w:val="subscript"/>
          <w14:textFill>
            <w14:solidFill>
              <w14:schemeClr w14:val="tx1"/>
            </w14:solidFill>
          </w14:textFill>
        </w:rPr>
        <w:t>1</w:t>
      </w:r>
      <w:r>
        <w:rPr>
          <w:rFonts w:ascii="Times New Roman"/>
          <w:bCs/>
          <w:color w:val="000000" w:themeColor="text1"/>
          <w:szCs w:val="24"/>
          <w:highlight w:val="none"/>
          <w14:textFill>
            <w14:solidFill>
              <w14:schemeClr w14:val="tx1"/>
            </w14:solidFill>
          </w14:textFill>
        </w:rPr>
        <w:t>/Q</w:t>
      </w:r>
      <w:r>
        <w:rPr>
          <w:rFonts w:ascii="Times New Roman"/>
          <w:bCs/>
          <w:color w:val="000000" w:themeColor="text1"/>
          <w:szCs w:val="24"/>
          <w:highlight w:val="none"/>
          <w:vertAlign w:val="subscript"/>
          <w14:textFill>
            <w14:solidFill>
              <w14:schemeClr w14:val="tx1"/>
            </w14:solidFill>
          </w14:textFill>
        </w:rPr>
        <w:t>1</w:t>
      </w:r>
      <w:r>
        <w:rPr>
          <w:rFonts w:ascii="Times New Roman"/>
          <w:bCs/>
          <w:color w:val="000000" w:themeColor="text1"/>
          <w:szCs w:val="24"/>
          <w:highlight w:val="none"/>
          <w14:textFill>
            <w14:solidFill>
              <w14:schemeClr w14:val="tx1"/>
            </w14:solidFill>
          </w14:textFill>
        </w:rPr>
        <w:t>+q</w:t>
      </w:r>
      <w:r>
        <w:rPr>
          <w:rFonts w:ascii="Times New Roman"/>
          <w:bCs/>
          <w:color w:val="000000" w:themeColor="text1"/>
          <w:szCs w:val="24"/>
          <w:highlight w:val="none"/>
          <w:vertAlign w:val="subscript"/>
          <w14:textFill>
            <w14:solidFill>
              <w14:schemeClr w14:val="tx1"/>
            </w14:solidFill>
          </w14:textFill>
        </w:rPr>
        <w:t>2</w:t>
      </w:r>
      <w:r>
        <w:rPr>
          <w:rFonts w:ascii="Times New Roman"/>
          <w:bCs/>
          <w:color w:val="000000" w:themeColor="text1"/>
          <w:szCs w:val="24"/>
          <w:highlight w:val="none"/>
          <w14:textFill>
            <w14:solidFill>
              <w14:schemeClr w14:val="tx1"/>
            </w14:solidFill>
          </w14:textFill>
        </w:rPr>
        <w:t>/Q</w:t>
      </w:r>
      <w:r>
        <w:rPr>
          <w:rFonts w:ascii="Times New Roman"/>
          <w:bCs/>
          <w:color w:val="000000" w:themeColor="text1"/>
          <w:szCs w:val="24"/>
          <w:highlight w:val="none"/>
          <w:vertAlign w:val="subscript"/>
          <w14:textFill>
            <w14:solidFill>
              <w14:schemeClr w14:val="tx1"/>
            </w14:solidFill>
          </w14:textFill>
        </w:rPr>
        <w:t>2</w:t>
      </w:r>
      <w:r>
        <w:rPr>
          <w:rFonts w:ascii="Times New Roman"/>
          <w:bCs/>
          <w:color w:val="000000" w:themeColor="text1"/>
          <w:szCs w:val="24"/>
          <w:highlight w:val="none"/>
          <w14:textFill>
            <w14:solidFill>
              <w14:schemeClr w14:val="tx1"/>
            </w14:solidFill>
          </w14:textFill>
        </w:rPr>
        <w:t>+</w:t>
      </w:r>
      <w:r>
        <w:rPr>
          <w:rFonts w:ascii="Times New Roman"/>
          <w:bCs/>
          <w:color w:val="000000" w:themeColor="text1"/>
          <w:spacing w:val="-4"/>
          <w:szCs w:val="24"/>
          <w:highlight w:val="none"/>
          <w14:textFill>
            <w14:solidFill>
              <w14:schemeClr w14:val="tx1"/>
            </w14:solidFill>
          </w14:textFill>
        </w:rPr>
        <w:t>...</w:t>
      </w:r>
      <w:r>
        <w:rPr>
          <w:rFonts w:ascii="Times New Roman"/>
          <w:bCs/>
          <w:color w:val="000000" w:themeColor="text1"/>
          <w:szCs w:val="24"/>
          <w:highlight w:val="none"/>
          <w14:textFill>
            <w14:solidFill>
              <w14:schemeClr w14:val="tx1"/>
            </w14:solidFill>
          </w14:textFill>
        </w:rPr>
        <w:t>+q</w:t>
      </w:r>
      <w:r>
        <w:rPr>
          <w:rFonts w:ascii="Times New Roman"/>
          <w:bCs/>
          <w:color w:val="000000" w:themeColor="text1"/>
          <w:szCs w:val="24"/>
          <w:highlight w:val="none"/>
          <w:vertAlign w:val="subscript"/>
          <w14:textFill>
            <w14:solidFill>
              <w14:schemeClr w14:val="tx1"/>
            </w14:solidFill>
          </w14:textFill>
        </w:rPr>
        <w:t>n</w:t>
      </w:r>
      <w:r>
        <w:rPr>
          <w:rFonts w:ascii="Times New Roman"/>
          <w:bCs/>
          <w:color w:val="000000" w:themeColor="text1"/>
          <w:szCs w:val="24"/>
          <w:highlight w:val="none"/>
          <w14:textFill>
            <w14:solidFill>
              <w14:schemeClr w14:val="tx1"/>
            </w14:solidFill>
          </w14:textFill>
        </w:rPr>
        <w:t>/Q</w:t>
      </w:r>
      <w:r>
        <w:rPr>
          <w:rFonts w:ascii="Times New Roman"/>
          <w:bCs/>
          <w:color w:val="000000" w:themeColor="text1"/>
          <w:szCs w:val="24"/>
          <w:highlight w:val="none"/>
          <w:vertAlign w:val="subscript"/>
          <w14:textFill>
            <w14:solidFill>
              <w14:schemeClr w14:val="tx1"/>
            </w14:solidFill>
          </w14:textFill>
        </w:rPr>
        <w:t>n</w:t>
      </w:r>
    </w:p>
    <w:p>
      <w:pPr>
        <w:pStyle w:val="559"/>
        <w:ind w:firstLine="464"/>
        <w:rPr>
          <w:rFonts w:ascii="Times New Roman"/>
          <w:bCs/>
          <w:color w:val="000000" w:themeColor="text1"/>
          <w:spacing w:val="-4"/>
          <w:szCs w:val="24"/>
          <w:highlight w:val="none"/>
          <w14:textFill>
            <w14:solidFill>
              <w14:schemeClr w14:val="tx1"/>
            </w14:solidFill>
          </w14:textFill>
        </w:rPr>
      </w:pPr>
      <w:r>
        <w:rPr>
          <w:rFonts w:ascii="Times New Roman"/>
          <w:bCs/>
          <w:color w:val="000000" w:themeColor="text1"/>
          <w:spacing w:val="-4"/>
          <w:szCs w:val="24"/>
          <w:highlight w:val="none"/>
          <w14:textFill>
            <w14:solidFill>
              <w14:schemeClr w14:val="tx1"/>
            </w14:solidFill>
          </w14:textFill>
        </w:rPr>
        <w:t>式中：q</w:t>
      </w:r>
      <w:r>
        <w:rPr>
          <w:rFonts w:ascii="Times New Roman"/>
          <w:bCs/>
          <w:color w:val="000000" w:themeColor="text1"/>
          <w:spacing w:val="-4"/>
          <w:szCs w:val="24"/>
          <w:highlight w:val="none"/>
          <w:vertAlign w:val="subscript"/>
          <w14:textFill>
            <w14:solidFill>
              <w14:schemeClr w14:val="tx1"/>
            </w14:solidFill>
          </w14:textFill>
        </w:rPr>
        <w:t>1</w:t>
      </w:r>
      <w:r>
        <w:rPr>
          <w:rFonts w:ascii="Times New Roman"/>
          <w:bCs/>
          <w:color w:val="000000" w:themeColor="text1"/>
          <w:spacing w:val="-4"/>
          <w:szCs w:val="24"/>
          <w:highlight w:val="none"/>
          <w14:textFill>
            <w14:solidFill>
              <w14:schemeClr w14:val="tx1"/>
            </w14:solidFill>
          </w14:textFill>
        </w:rPr>
        <w:t>，q</w:t>
      </w:r>
      <w:r>
        <w:rPr>
          <w:rFonts w:ascii="Times New Roman"/>
          <w:bCs/>
          <w:color w:val="000000" w:themeColor="text1"/>
          <w:spacing w:val="-4"/>
          <w:szCs w:val="24"/>
          <w:highlight w:val="none"/>
          <w:vertAlign w:val="subscript"/>
          <w14:textFill>
            <w14:solidFill>
              <w14:schemeClr w14:val="tx1"/>
            </w14:solidFill>
          </w14:textFill>
        </w:rPr>
        <w:t>2</w:t>
      </w:r>
      <w:r>
        <w:rPr>
          <w:rFonts w:ascii="Times New Roman"/>
          <w:bCs/>
          <w:color w:val="000000" w:themeColor="text1"/>
          <w:spacing w:val="-4"/>
          <w:szCs w:val="24"/>
          <w:highlight w:val="none"/>
          <w14:textFill>
            <w14:solidFill>
              <w14:schemeClr w14:val="tx1"/>
            </w14:solidFill>
          </w14:textFill>
        </w:rPr>
        <w:t>，...，q</w:t>
      </w:r>
      <w:r>
        <w:rPr>
          <w:rFonts w:ascii="Times New Roman"/>
          <w:bCs/>
          <w:color w:val="000000" w:themeColor="text1"/>
          <w:spacing w:val="-4"/>
          <w:szCs w:val="24"/>
          <w:highlight w:val="none"/>
          <w:vertAlign w:val="subscript"/>
          <w14:textFill>
            <w14:solidFill>
              <w14:schemeClr w14:val="tx1"/>
            </w14:solidFill>
          </w14:textFill>
        </w:rPr>
        <w:t>n</w:t>
      </w:r>
      <w:r>
        <w:rPr>
          <w:rFonts w:ascii="Times New Roman"/>
          <w:bCs/>
          <w:color w:val="000000" w:themeColor="text1"/>
          <w:spacing w:val="-4"/>
          <w:szCs w:val="24"/>
          <w:highlight w:val="none"/>
          <w14:textFill>
            <w14:solidFill>
              <w14:schemeClr w14:val="tx1"/>
            </w14:solidFill>
          </w14:textFill>
        </w:rPr>
        <w:t>——每种风险物质的存在量，t；</w:t>
      </w:r>
    </w:p>
    <w:p>
      <w:pPr>
        <w:pStyle w:val="559"/>
        <w:ind w:firstLine="1080" w:firstLineChars="450"/>
        <w:rPr>
          <w:rFonts w:ascii="Times New Roman"/>
          <w:bCs/>
          <w:color w:val="000000" w:themeColor="text1"/>
          <w:szCs w:val="24"/>
          <w:highlight w:val="none"/>
          <w14:textFill>
            <w14:solidFill>
              <w14:schemeClr w14:val="tx1"/>
            </w14:solidFill>
          </w14:textFill>
        </w:rPr>
      </w:pPr>
      <w:r>
        <w:rPr>
          <w:rFonts w:ascii="Times New Roman"/>
          <w:bCs/>
          <w:color w:val="000000" w:themeColor="text1"/>
          <w:szCs w:val="24"/>
          <w:highlight w:val="none"/>
          <w14:textFill>
            <w14:solidFill>
              <w14:schemeClr w14:val="tx1"/>
            </w14:solidFill>
          </w14:textFill>
        </w:rPr>
        <w:t>Q</w:t>
      </w:r>
      <w:r>
        <w:rPr>
          <w:rFonts w:ascii="Times New Roman"/>
          <w:bCs/>
          <w:color w:val="000000" w:themeColor="text1"/>
          <w:szCs w:val="24"/>
          <w:highlight w:val="none"/>
          <w:vertAlign w:val="subscript"/>
          <w14:textFill>
            <w14:solidFill>
              <w14:schemeClr w14:val="tx1"/>
            </w14:solidFill>
          </w14:textFill>
        </w:rPr>
        <w:t>1</w:t>
      </w:r>
      <w:r>
        <w:rPr>
          <w:rFonts w:ascii="Times New Roman"/>
          <w:bCs/>
          <w:color w:val="000000" w:themeColor="text1"/>
          <w:szCs w:val="24"/>
          <w:highlight w:val="none"/>
          <w14:textFill>
            <w14:solidFill>
              <w14:schemeClr w14:val="tx1"/>
            </w14:solidFill>
          </w14:textFill>
        </w:rPr>
        <w:t>，Q</w:t>
      </w:r>
      <w:r>
        <w:rPr>
          <w:rFonts w:ascii="Times New Roman"/>
          <w:bCs/>
          <w:color w:val="000000" w:themeColor="text1"/>
          <w:szCs w:val="24"/>
          <w:highlight w:val="none"/>
          <w:vertAlign w:val="subscript"/>
          <w14:textFill>
            <w14:solidFill>
              <w14:schemeClr w14:val="tx1"/>
            </w14:solidFill>
          </w14:textFill>
        </w:rPr>
        <w:t>2</w:t>
      </w:r>
      <w:r>
        <w:rPr>
          <w:rFonts w:ascii="Times New Roman"/>
          <w:bCs/>
          <w:color w:val="000000" w:themeColor="text1"/>
          <w:szCs w:val="24"/>
          <w:highlight w:val="none"/>
          <w14:textFill>
            <w14:solidFill>
              <w14:schemeClr w14:val="tx1"/>
            </w14:solidFill>
          </w14:textFill>
        </w:rPr>
        <w:t>，...，Q</w:t>
      </w:r>
      <w:r>
        <w:rPr>
          <w:rFonts w:ascii="Times New Roman"/>
          <w:bCs/>
          <w:color w:val="000000" w:themeColor="text1"/>
          <w:szCs w:val="24"/>
          <w:highlight w:val="none"/>
          <w:vertAlign w:val="subscript"/>
          <w14:textFill>
            <w14:solidFill>
              <w14:schemeClr w14:val="tx1"/>
            </w14:solidFill>
          </w14:textFill>
        </w:rPr>
        <w:t>n</w:t>
      </w:r>
      <w:r>
        <w:rPr>
          <w:rFonts w:ascii="Times New Roman"/>
          <w:bCs/>
          <w:color w:val="000000" w:themeColor="text1"/>
          <w:szCs w:val="24"/>
          <w:highlight w:val="none"/>
          <w14:textFill>
            <w14:solidFill>
              <w14:schemeClr w14:val="tx1"/>
            </w14:solidFill>
          </w14:textFill>
        </w:rPr>
        <w:t>——每种风险物质的临界量，t。</w:t>
      </w:r>
    </w:p>
    <w:p>
      <w:pPr>
        <w:pStyle w:val="559"/>
        <w:ind w:firstLine="480"/>
        <w:rPr>
          <w:rFonts w:ascii="Times New Roman"/>
          <w:bCs/>
          <w:snapToGrid w:val="0"/>
          <w:color w:val="000000" w:themeColor="text1"/>
          <w:szCs w:val="24"/>
          <w:highlight w:val="none"/>
          <w14:textFill>
            <w14:solidFill>
              <w14:schemeClr w14:val="tx1"/>
            </w14:solidFill>
          </w14:textFill>
        </w:rPr>
      </w:pPr>
      <w:r>
        <w:rPr>
          <w:rFonts w:ascii="Times New Roman"/>
          <w:bCs/>
          <w:snapToGrid w:val="0"/>
          <w:color w:val="000000" w:themeColor="text1"/>
          <w:szCs w:val="24"/>
          <w:highlight w:val="none"/>
          <w14:textFill>
            <w14:solidFill>
              <w14:schemeClr w14:val="tx1"/>
            </w14:solidFill>
          </w14:textFill>
        </w:rPr>
        <w:t>当Q＜1时，本项目环境风险潜势为Ⅰ级。</w:t>
      </w:r>
    </w:p>
    <w:p>
      <w:pPr>
        <w:ind w:firstLine="480"/>
        <w:rPr>
          <w:rFonts w:cs="Times New Roman"/>
          <w:bCs/>
          <w:color w:val="000000" w:themeColor="text1"/>
          <w:szCs w:val="24"/>
          <w:highlight w:val="none"/>
          <w:lang w:val="zh-CN"/>
          <w14:textFill>
            <w14:solidFill>
              <w14:schemeClr w14:val="tx1"/>
            </w14:solidFill>
          </w14:textFill>
        </w:rPr>
      </w:pPr>
      <w:r>
        <w:rPr>
          <w:rFonts w:cs="Times New Roman"/>
          <w:bCs/>
          <w:color w:val="000000" w:themeColor="text1"/>
          <w:szCs w:val="24"/>
          <w:highlight w:val="none"/>
          <w:lang w:val="zh-CN"/>
          <w14:textFill>
            <w14:solidFill>
              <w14:schemeClr w14:val="tx1"/>
            </w14:solidFill>
          </w14:textFill>
        </w:rPr>
        <w:t>当Q≥1时，将Q值划分为：（1）1≤Q＜10；（2）10≤Q＜100；（3）Q≥100。</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根据《建设项目环境风险评价技术导则》（HJ/T169-2018），本项目天然气所含的甲烷、硫化氢、</w:t>
      </w:r>
      <w:r>
        <w:rPr>
          <w:rFonts w:hint="eastAsia" w:cs="Times New Roman"/>
          <w:bCs/>
          <w:color w:val="000000" w:themeColor="text1"/>
          <w:szCs w:val="24"/>
          <w:highlight w:val="none"/>
          <w14:textFill>
            <w14:solidFill>
              <w14:schemeClr w14:val="tx1"/>
            </w14:solidFill>
          </w14:textFill>
        </w:rPr>
        <w:t>盐酸、</w:t>
      </w:r>
      <w:r>
        <w:rPr>
          <w:rFonts w:cs="Times New Roman"/>
          <w:bCs/>
          <w:color w:val="000000" w:themeColor="text1"/>
          <w:szCs w:val="24"/>
          <w:highlight w:val="none"/>
          <w14:textFill>
            <w14:solidFill>
              <w14:schemeClr w14:val="tx1"/>
            </w14:solidFill>
          </w14:textFill>
        </w:rPr>
        <w:t>柴油和废油等油类物质属于附录B.1突发环境事件风险物质，甲烷临界量为10t、硫化氢临界量为2.5t、</w:t>
      </w:r>
      <w:r>
        <w:rPr>
          <w:rFonts w:hint="eastAsia" w:cs="Times New Roman"/>
          <w:bCs/>
          <w:color w:val="000000" w:themeColor="text1"/>
          <w:szCs w:val="24"/>
          <w:highlight w:val="none"/>
          <w14:textFill>
            <w14:solidFill>
              <w14:schemeClr w14:val="tx1"/>
            </w14:solidFill>
          </w14:textFill>
        </w:rPr>
        <w:t>盐酸临界量为7</w:t>
      </w:r>
      <w:r>
        <w:rPr>
          <w:rFonts w:cs="Times New Roman"/>
          <w:bCs/>
          <w:color w:val="000000" w:themeColor="text1"/>
          <w:szCs w:val="24"/>
          <w:highlight w:val="none"/>
          <w14:textFill>
            <w14:solidFill>
              <w14:schemeClr w14:val="tx1"/>
            </w14:solidFill>
          </w14:textFill>
        </w:rPr>
        <w:t>.5</w:t>
      </w:r>
      <w:r>
        <w:rPr>
          <w:rFonts w:hint="eastAsia" w:cs="Times New Roman"/>
          <w:bCs/>
          <w:color w:val="000000" w:themeColor="text1"/>
          <w:szCs w:val="24"/>
          <w:highlight w:val="none"/>
          <w14:textFill>
            <w14:solidFill>
              <w14:schemeClr w14:val="tx1"/>
            </w14:solidFill>
          </w14:textFill>
        </w:rPr>
        <w:t>t、</w:t>
      </w:r>
      <w:r>
        <w:rPr>
          <w:rFonts w:cs="Times New Roman"/>
          <w:bCs/>
          <w:color w:val="000000" w:themeColor="text1"/>
          <w:szCs w:val="24"/>
          <w:highlight w:val="none"/>
          <w14:textFill>
            <w14:solidFill>
              <w14:schemeClr w14:val="tx1"/>
            </w14:solidFill>
          </w14:textFill>
        </w:rPr>
        <w:t>柴油</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废油</w:t>
      </w:r>
      <w:r>
        <w:rPr>
          <w:rFonts w:hint="eastAsia" w:cs="Times New Roman"/>
          <w:bCs/>
          <w:color w:val="000000" w:themeColor="text1"/>
          <w:szCs w:val="24"/>
          <w:highlight w:val="none"/>
          <w14:textFill>
            <w14:solidFill>
              <w14:schemeClr w14:val="tx1"/>
            </w14:solidFill>
          </w14:textFill>
        </w:rPr>
        <w:t>、白油、油基泥浆</w:t>
      </w:r>
      <w:r>
        <w:rPr>
          <w:rFonts w:cs="Times New Roman"/>
          <w:bCs/>
          <w:color w:val="000000" w:themeColor="text1"/>
          <w:szCs w:val="24"/>
          <w:highlight w:val="none"/>
          <w14:textFill>
            <w14:solidFill>
              <w14:schemeClr w14:val="tx1"/>
            </w14:solidFill>
          </w14:textFill>
        </w:rPr>
        <w:t>等油类物质临界量为2500t。</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本项目大气环境危险物质主要</w:t>
      </w:r>
      <w:r>
        <w:rPr>
          <w:rFonts w:hint="eastAsia" w:cs="Times New Roman"/>
          <w:bCs/>
          <w:color w:val="000000" w:themeColor="text1"/>
          <w:szCs w:val="24"/>
          <w:highlight w:val="none"/>
          <w:lang w:eastAsia="zh-CN"/>
          <w14:textFill>
            <w14:solidFill>
              <w14:schemeClr w14:val="tx1"/>
            </w14:solidFill>
          </w14:textFill>
        </w:rPr>
        <w:t>涉及</w:t>
      </w:r>
      <w:r>
        <w:rPr>
          <w:rFonts w:cs="Times New Roman"/>
          <w:bCs/>
          <w:color w:val="000000" w:themeColor="text1"/>
          <w:szCs w:val="24"/>
          <w:highlight w:val="none"/>
          <w14:textFill>
            <w14:solidFill>
              <w14:schemeClr w14:val="tx1"/>
            </w14:solidFill>
          </w14:textFill>
        </w:rPr>
        <w:t>甲烷（CH</w:t>
      </w:r>
      <w:r>
        <w:rPr>
          <w:rFonts w:cs="Times New Roman"/>
          <w:bCs/>
          <w:color w:val="000000" w:themeColor="text1"/>
          <w:szCs w:val="24"/>
          <w:highlight w:val="none"/>
          <w:vertAlign w:val="subscript"/>
          <w14:textFill>
            <w14:solidFill>
              <w14:schemeClr w14:val="tx1"/>
            </w14:solidFill>
          </w14:textFill>
        </w:rPr>
        <w:t>4</w:t>
      </w:r>
      <w:r>
        <w:rPr>
          <w:rFonts w:cs="Times New Roman"/>
          <w:bCs/>
          <w:color w:val="000000" w:themeColor="text1"/>
          <w:szCs w:val="24"/>
          <w:highlight w:val="none"/>
          <w14:textFill>
            <w14:solidFill>
              <w14:schemeClr w14:val="tx1"/>
            </w14:solidFill>
          </w14:textFill>
        </w:rPr>
        <w:t>）、硫化氢和油类（柴油、废油）三类物质。根据周边其他勘探井情况，本项目</w:t>
      </w:r>
      <w:r>
        <w:rPr>
          <w:rFonts w:hint="eastAsia" w:cs="Times New Roman"/>
          <w:bCs/>
          <w:color w:val="000000" w:themeColor="text1"/>
          <w:szCs w:val="24"/>
          <w:highlight w:val="none"/>
          <w14:textFill>
            <w14:solidFill>
              <w14:schemeClr w14:val="tx1"/>
            </w14:solidFill>
          </w14:textFill>
        </w:rPr>
        <w:t>无阻流</w:t>
      </w:r>
      <w:r>
        <w:rPr>
          <w:rFonts w:cs="Times New Roman"/>
          <w:bCs/>
          <w:color w:val="000000" w:themeColor="text1"/>
          <w:szCs w:val="24"/>
          <w:highlight w:val="none"/>
          <w14:textFill>
            <w14:solidFill>
              <w14:schemeClr w14:val="tx1"/>
            </w14:solidFill>
          </w14:textFill>
        </w:rPr>
        <w:t>量为</w:t>
      </w:r>
      <w:r>
        <w:rPr>
          <w:rFonts w:hint="eastAsia" w:cs="Times New Roman"/>
          <w:bCs/>
          <w:color w:val="000000" w:themeColor="text1"/>
          <w:szCs w:val="24"/>
          <w:highlight w:val="none"/>
          <w14:textFill>
            <w14:solidFill>
              <w14:schemeClr w14:val="tx1"/>
            </w14:solidFill>
          </w14:textFill>
        </w:rPr>
        <w:t>15</w:t>
      </w:r>
      <w:r>
        <w:rPr>
          <w:rFonts w:cs="Times New Roman"/>
          <w:bCs/>
          <w:color w:val="000000" w:themeColor="text1"/>
          <w:szCs w:val="24"/>
          <w:highlight w:val="none"/>
          <w14:textFill>
            <w14:solidFill>
              <w14:schemeClr w14:val="tx1"/>
            </w14:solidFill>
          </w14:textFill>
        </w:rPr>
        <w:t>0×10</w:t>
      </w:r>
      <w:r>
        <w:rPr>
          <w:rFonts w:cs="Times New Roman"/>
          <w:bCs/>
          <w:color w:val="000000" w:themeColor="text1"/>
          <w:szCs w:val="24"/>
          <w:highlight w:val="none"/>
          <w:vertAlign w:val="superscript"/>
          <w14:textFill>
            <w14:solidFill>
              <w14:schemeClr w14:val="tx1"/>
            </w14:solidFill>
          </w14:textFill>
        </w:rPr>
        <w:t>4</w:t>
      </w:r>
      <w:r>
        <w:rPr>
          <w:rFonts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/d。按照环境风险管理规定，事故状态下在不超过15min内对井场可燃气体实施点火应急处置作业。</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施工期：</w:t>
      </w:r>
      <w:bookmarkStart w:id="354" w:name="_Hlk149209123"/>
      <w:r>
        <w:rPr>
          <w:rFonts w:cs="Times New Roman"/>
          <w:color w:val="000000" w:themeColor="text1"/>
          <w:szCs w:val="24"/>
          <w:highlight w:val="none"/>
          <w14:textFill>
            <w14:solidFill>
              <w14:schemeClr w14:val="tx1"/>
            </w14:solidFill>
          </w14:textFill>
        </w:rPr>
        <w:t>根据前文计算，本项目事故时CH</w:t>
      </w:r>
      <w:r>
        <w:rPr>
          <w:rFonts w:cs="Times New Roman"/>
          <w:color w:val="000000" w:themeColor="text1"/>
          <w:szCs w:val="24"/>
          <w:highlight w:val="none"/>
          <w:vertAlign w:val="subscript"/>
          <w14:textFill>
            <w14:solidFill>
              <w14:schemeClr w14:val="tx1"/>
            </w14:solidFill>
          </w14:textFill>
        </w:rPr>
        <w:t>4</w:t>
      </w:r>
      <w:r>
        <w:rPr>
          <w:rFonts w:cs="Times New Roman"/>
          <w:color w:val="000000" w:themeColor="text1"/>
          <w:szCs w:val="24"/>
          <w:highlight w:val="none"/>
          <w14:textFill>
            <w14:solidFill>
              <w14:schemeClr w14:val="tx1"/>
            </w14:solidFill>
          </w14:textFill>
        </w:rPr>
        <w:t>泄露总量为</w:t>
      </w:r>
      <w:r>
        <w:rPr>
          <w:rFonts w:hint="eastAsia" w:cs="Times New Roman"/>
          <w:color w:val="000000" w:themeColor="text1"/>
          <w:szCs w:val="24"/>
          <w:highlight w:val="none"/>
          <w14:textFill>
            <w14:solidFill>
              <w14:schemeClr w14:val="tx1"/>
            </w14:solidFill>
          </w14:textFill>
        </w:rPr>
        <w:t>8.15</w:t>
      </w:r>
      <w:r>
        <w:rPr>
          <w:rFonts w:cs="Times New Roman"/>
          <w:color w:val="000000" w:themeColor="text1"/>
          <w:szCs w:val="24"/>
          <w:highlight w:val="none"/>
          <w14:textFill>
            <w14:solidFill>
              <w14:schemeClr w14:val="tx1"/>
            </w14:solidFill>
          </w14:textFill>
        </w:rPr>
        <w:t>t，小于其临界量10t；</w:t>
      </w:r>
      <w:r>
        <w:rPr>
          <w:rFonts w:cs="Times New Roman"/>
          <w:bCs/>
          <w:color w:val="000000" w:themeColor="text1"/>
          <w:szCs w:val="24"/>
          <w:highlight w:val="none"/>
          <w14:textFill>
            <w14:solidFill>
              <w14:schemeClr w14:val="tx1"/>
            </w14:solidFill>
          </w14:textFill>
        </w:rPr>
        <w:t>H</w:t>
      </w:r>
      <w:r>
        <w:rPr>
          <w:rFonts w:cs="Times New Roman"/>
          <w:bCs/>
          <w:color w:val="000000" w:themeColor="text1"/>
          <w:szCs w:val="24"/>
          <w:highlight w:val="none"/>
          <w:vertAlign w:val="sub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S</w:t>
      </w:r>
      <w:r>
        <w:rPr>
          <w:rFonts w:cs="Times New Roman"/>
          <w:color w:val="000000" w:themeColor="text1"/>
          <w:szCs w:val="24"/>
          <w:highlight w:val="none"/>
          <w14:textFill>
            <w14:solidFill>
              <w14:schemeClr w14:val="tx1"/>
            </w14:solidFill>
          </w14:textFill>
        </w:rPr>
        <w:t>泄露总量为</w:t>
      </w:r>
      <w:r>
        <w:rPr>
          <w:rFonts w:hint="eastAsia" w:cs="Times New Roman"/>
          <w:color w:val="000000" w:themeColor="text1"/>
          <w:szCs w:val="24"/>
          <w:highlight w:val="none"/>
          <w14:textFill>
            <w14:solidFill>
              <w14:schemeClr w14:val="tx1"/>
            </w14:solidFill>
          </w14:textFill>
        </w:rPr>
        <w:t>4.04</w:t>
      </w:r>
      <w:r>
        <w:rPr>
          <w:rFonts w:cs="Times New Roman"/>
          <w:color w:val="000000" w:themeColor="text1"/>
          <w:szCs w:val="24"/>
          <w:highlight w:val="none"/>
          <w14:textFill>
            <w14:solidFill>
              <w14:schemeClr w14:val="tx1"/>
            </w14:solidFill>
          </w14:textFill>
        </w:rPr>
        <w:t>t，</w:t>
      </w:r>
      <w:r>
        <w:rPr>
          <w:rFonts w:hint="eastAsia" w:cs="Times New Roman"/>
          <w:color w:val="000000" w:themeColor="text1"/>
          <w:szCs w:val="24"/>
          <w:highlight w:val="none"/>
          <w14:textFill>
            <w14:solidFill>
              <w14:schemeClr w14:val="tx1"/>
            </w14:solidFill>
          </w14:textFill>
        </w:rPr>
        <w:t>大</w:t>
      </w:r>
      <w:r>
        <w:rPr>
          <w:rFonts w:cs="Times New Roman"/>
          <w:color w:val="000000" w:themeColor="text1"/>
          <w:szCs w:val="24"/>
          <w:highlight w:val="none"/>
          <w14:textFill>
            <w14:solidFill>
              <w14:schemeClr w14:val="tx1"/>
            </w14:solidFill>
          </w14:textFill>
        </w:rPr>
        <w:t>于其临界量2.5t。钻井阶段现场柴油储存、使用量最大为16t；废油产生量约0.7m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，现场采取4个容积为25L的废油收集桶，废油随时回用，废油最大存在量为0.1m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，废油密度约0.85，故废油量最大为0.085t，因此共计油类16.085t，远小于油类物质临界量为2500t。</w:t>
      </w:r>
      <w:r>
        <w:rPr>
          <w:rFonts w:hint="eastAsia" w:cs="Times New Roman"/>
          <w:color w:val="000000" w:themeColor="text1"/>
          <w:szCs w:val="24"/>
          <w:highlight w:val="none"/>
          <w14:textFill>
            <w14:solidFill>
              <w14:schemeClr w14:val="tx1"/>
            </w14:solidFill>
          </w14:textFill>
        </w:rPr>
        <w:t>油基钻井泥浆，其环境风险主要表现在油基钻井液泄漏环境风险，其在钻井过程中最大循环量约300t；此外，油基钻井液的主要成分白油的最大暂存量约40t</w:t>
      </w:r>
      <w:r>
        <w:rPr>
          <w:rFonts w:cs="Times New Roman"/>
          <w:color w:val="000000" w:themeColor="text1"/>
          <w:szCs w:val="24"/>
          <w:highlight w:val="none"/>
          <w14:textFill>
            <w14:solidFill>
              <w14:schemeClr w14:val="tx1"/>
            </w14:solidFill>
          </w14:textFill>
        </w:rPr>
        <w:t>。</w:t>
      </w:r>
      <w:bookmarkEnd w:id="354"/>
    </w:p>
    <w:p>
      <w:pPr>
        <w:ind w:firstLine="468" w:firstLineChars="195"/>
        <w:rPr>
          <w:rFonts w:cs="Times New Roman"/>
          <w:color w:val="000000" w:themeColor="text1"/>
          <w:highlight w:val="none"/>
          <w14:textFill>
            <w14:solidFill>
              <w14:schemeClr w14:val="tx1"/>
            </w14:solidFill>
          </w14:textFill>
        </w:rPr>
      </w:pPr>
      <w:bookmarkStart w:id="355" w:name="_Hlk149209152"/>
      <w:r>
        <w:rPr>
          <w:rFonts w:cs="Times New Roman"/>
          <w:color w:val="000000" w:themeColor="text1"/>
          <w:highlight w:val="none"/>
          <w14:textFill>
            <w14:solidFill>
              <w14:schemeClr w14:val="tx1"/>
            </w14:solidFill>
          </w14:textFill>
        </w:rPr>
        <w:t>酸化压裂使用稀盐酸由玻璃钢罐车专业运输车辆拉运至现场使用，每批次约20m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。井场内不再设置储罐暂存，根据预估使用量，分批次运输至井场。现场最大贮存量不超20m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。本项目酸化使用酸液为7%的稀盐酸，根据《企业突发环境</w:t>
      </w:r>
      <w:r>
        <w:rPr>
          <w:rFonts w:hint="eastAsia" w:cs="Times New Roman"/>
          <w:color w:val="000000" w:themeColor="text1"/>
          <w:highlight w:val="none"/>
          <w14:textFill>
            <w14:solidFill>
              <w14:schemeClr w14:val="tx1"/>
            </w14:solidFill>
          </w14:textFill>
        </w:rPr>
        <w:t>事件</w:t>
      </w:r>
      <w:r>
        <w:rPr>
          <w:rFonts w:cs="Times New Roman"/>
          <w:color w:val="000000" w:themeColor="text1"/>
          <w:highlight w:val="none"/>
          <w14:textFill>
            <w14:solidFill>
              <w14:schemeClr w14:val="tx1"/>
            </w14:solidFill>
          </w14:textFill>
        </w:rPr>
        <w:t>风险分级》（HJ941-2018）中提出</w:t>
      </w:r>
      <w:r>
        <w:rPr>
          <w:rFonts w:hint="eastAsia" w:ascii="宋体" w:hAnsi="宋体" w:cs="宋体"/>
          <w:color w:val="000000" w:themeColor="text1"/>
          <w:highlight w:val="none"/>
          <w14:textFill>
            <w14:solidFill>
              <w14:schemeClr w14:val="tx1"/>
            </w14:solidFill>
          </w14:textFill>
        </w:rPr>
        <w:t>“混合或稀释的风险物质按其组分比例折算成纯物质”</w:t>
      </w:r>
      <w:r>
        <w:rPr>
          <w:rFonts w:cs="Times New Roman"/>
          <w:color w:val="000000" w:themeColor="text1"/>
          <w:highlight w:val="none"/>
          <w14:textFill>
            <w14:solidFill>
              <w14:schemeClr w14:val="tx1"/>
            </w14:solidFill>
          </w14:textFill>
        </w:rPr>
        <w:t>的原则折算成37%浓度盐酸，同时查表盐酸在37%、温度25℃情况下密度为1.1899t/m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，可计算本项目折算成（37%）盐酸风险物质最大在线量为4.5t。</w:t>
      </w:r>
    </w:p>
    <w:bookmarkEnd w:id="355"/>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试采期</w:t>
      </w:r>
      <w:r>
        <w:rPr>
          <w:rFonts w:hint="eastAsia" w:cs="Times New Roman"/>
          <w:color w:val="000000" w:themeColor="text1"/>
          <w:szCs w:val="24"/>
          <w:highlight w:val="none"/>
          <w14:textFill>
            <w14:solidFill>
              <w14:schemeClr w14:val="tx1"/>
            </w14:solidFill>
          </w14:textFill>
        </w:rPr>
        <w:t>站内</w:t>
      </w:r>
      <w:r>
        <w:rPr>
          <w:rFonts w:cs="Times New Roman"/>
          <w:color w:val="000000" w:themeColor="text1"/>
          <w:szCs w:val="24"/>
          <w:highlight w:val="none"/>
          <w14:textFill>
            <w14:solidFill>
              <w14:schemeClr w14:val="tx1"/>
            </w14:solidFill>
          </w14:textFill>
        </w:rPr>
        <w:t>：类比川东北地区类似井站经验数据，</w:t>
      </w:r>
      <w:r>
        <w:rPr>
          <w:rFonts w:hint="eastAsia" w:cs="Times New Roman"/>
          <w:color w:val="000000" w:themeColor="text1"/>
          <w:szCs w:val="24"/>
          <w:highlight w:val="none"/>
          <w14:textFill>
            <w14:solidFill>
              <w14:schemeClr w14:val="tx1"/>
            </w14:solidFill>
          </w14:textFill>
        </w:rPr>
        <w:t>试采</w:t>
      </w:r>
      <w:r>
        <w:rPr>
          <w:rFonts w:cs="Times New Roman"/>
          <w:color w:val="000000" w:themeColor="text1"/>
          <w:szCs w:val="24"/>
          <w:highlight w:val="none"/>
          <w14:textFill>
            <w14:solidFill>
              <w14:schemeClr w14:val="tx1"/>
            </w14:solidFill>
          </w14:textFill>
        </w:rPr>
        <w:t>站场工艺设备及管道内天然气在发生事故后可通过截断阀控制，试采期采气设备、管线内单井天然气量约</w:t>
      </w:r>
      <w:r>
        <w:rPr>
          <w:rFonts w:hint="eastAsia" w:cs="Times New Roman"/>
          <w:color w:val="000000" w:themeColor="text1"/>
          <w:szCs w:val="24"/>
          <w:highlight w:val="none"/>
          <w14:textFill>
            <w14:solidFill>
              <w14:schemeClr w14:val="tx1"/>
            </w14:solidFill>
          </w14:textFill>
        </w:rPr>
        <w:t>5</w:t>
      </w:r>
      <w:r>
        <w:rPr>
          <w:rFonts w:cs="Times New Roman"/>
          <w:color w:val="000000" w:themeColor="text1"/>
          <w:szCs w:val="24"/>
          <w:highlight w:val="none"/>
          <w14:textFill>
            <w14:solidFill>
              <w14:schemeClr w14:val="tx1"/>
            </w14:solidFill>
          </w14:textFill>
        </w:rPr>
        <w:t>00m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，其中甲烷在线量为0.</w:t>
      </w:r>
      <w:r>
        <w:rPr>
          <w:rFonts w:hint="eastAsia" w:cs="Times New Roman"/>
          <w:color w:val="000000" w:themeColor="text1"/>
          <w:szCs w:val="24"/>
          <w:highlight w:val="none"/>
          <w14:textFill>
            <w14:solidFill>
              <w14:schemeClr w14:val="tx1"/>
            </w14:solidFill>
          </w14:textFill>
        </w:rPr>
        <w:t>26</w:t>
      </w:r>
      <w:r>
        <w:rPr>
          <w:rFonts w:cs="Times New Roman"/>
          <w:color w:val="000000" w:themeColor="text1"/>
          <w:szCs w:val="24"/>
          <w:highlight w:val="none"/>
          <w14:textFill>
            <w14:solidFill>
              <w14:schemeClr w14:val="tx1"/>
            </w14:solidFill>
          </w14:textFill>
        </w:rPr>
        <w:t>t，小于其临界量10t；硫化氢在线量为0.</w:t>
      </w:r>
      <w:r>
        <w:rPr>
          <w:rFonts w:hint="eastAsia" w:cs="Times New Roman"/>
          <w:color w:val="000000" w:themeColor="text1"/>
          <w:szCs w:val="24"/>
          <w:highlight w:val="none"/>
          <w14:textFill>
            <w14:solidFill>
              <w14:schemeClr w14:val="tx1"/>
            </w14:solidFill>
          </w14:textFill>
        </w:rPr>
        <w:t>13</w:t>
      </w:r>
      <w:r>
        <w:rPr>
          <w:rFonts w:cs="Times New Roman"/>
          <w:color w:val="000000" w:themeColor="text1"/>
          <w:szCs w:val="24"/>
          <w:highlight w:val="none"/>
          <w14:textFill>
            <w14:solidFill>
              <w14:schemeClr w14:val="tx1"/>
            </w14:solidFill>
          </w14:textFill>
        </w:rPr>
        <w:t>t，小于其临界量10t</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试采期</w:t>
      </w:r>
      <w:r>
        <w:rPr>
          <w:rFonts w:hint="eastAsia" w:cs="Times New Roman"/>
          <w:color w:val="000000" w:themeColor="text1"/>
          <w:szCs w:val="24"/>
          <w:highlight w:val="none"/>
          <w14:textFill>
            <w14:solidFill>
              <w14:schemeClr w14:val="tx1"/>
            </w14:solidFill>
          </w14:textFill>
        </w:rPr>
        <w:t>集输管线</w:t>
      </w:r>
      <w:r>
        <w:rPr>
          <w:rFonts w:hint="eastAsia"/>
          <w:color w:val="000000" w:themeColor="text1"/>
          <w:szCs w:val="20"/>
          <w:highlight w:val="none"/>
          <w14:textFill>
            <w14:solidFill>
              <w14:schemeClr w14:val="tx1"/>
            </w14:solidFill>
          </w14:textFill>
        </w:rPr>
        <w:t>约0.2km长，管道内径为65mm，管道容积约0.6m</w:t>
      </w:r>
      <w:r>
        <w:rPr>
          <w:rFonts w:hint="eastAsia"/>
          <w:color w:val="000000" w:themeColor="text1"/>
          <w:szCs w:val="20"/>
          <w:highlight w:val="none"/>
          <w:vertAlign w:val="superscript"/>
          <w14:textFill>
            <w14:solidFill>
              <w14:schemeClr w14:val="tx1"/>
            </w14:solidFill>
          </w14:textFill>
        </w:rPr>
        <w:t>3</w:t>
      </w:r>
      <w:r>
        <w:rPr>
          <w:rFonts w:hint="eastAsia"/>
          <w:color w:val="000000" w:themeColor="text1"/>
          <w:szCs w:val="20"/>
          <w:highlight w:val="none"/>
          <w14:textFill>
            <w14:solidFill>
              <w14:schemeClr w14:val="tx1"/>
            </w14:solidFill>
          </w14:textFill>
        </w:rPr>
        <w:t>，输气压力12.5MPa计算，</w:t>
      </w:r>
      <w:r>
        <w:rPr>
          <w:color w:val="000000" w:themeColor="text1"/>
          <w:highlight w:val="none"/>
          <w14:textFill>
            <w14:solidFill>
              <w14:schemeClr w14:val="tx1"/>
            </w14:solidFill>
          </w14:textFill>
        </w:rPr>
        <w:t>根据计算可知，该段管线内甲烷在线量为</w:t>
      </w:r>
      <w:r>
        <w:rPr>
          <w:rFonts w:hint="eastAsia"/>
          <w:bCs/>
          <w:color w:val="000000" w:themeColor="text1"/>
          <w:highlight w:val="none"/>
          <w14:textFill>
            <w14:solidFill>
              <w14:schemeClr w14:val="tx1"/>
            </w14:solidFill>
          </w14:textFill>
        </w:rPr>
        <w:t>0.002t，</w:t>
      </w:r>
      <w:r>
        <w:rPr>
          <w:color w:val="000000" w:themeColor="text1"/>
          <w:highlight w:val="none"/>
          <w14:textFill>
            <w14:solidFill>
              <w14:schemeClr w14:val="tx1"/>
            </w14:solidFill>
          </w14:textFill>
        </w:rPr>
        <w:t>小于其临界量10t</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在线量为</w:t>
      </w:r>
      <w:r>
        <w:rPr>
          <w:rFonts w:hint="eastAsia"/>
          <w:bCs/>
          <w:color w:val="000000" w:themeColor="text1"/>
          <w:highlight w:val="none"/>
          <w14:textFill>
            <w14:solidFill>
              <w14:schemeClr w14:val="tx1"/>
            </w14:solidFill>
          </w14:textFill>
        </w:rPr>
        <w:t>0.004t</w:t>
      </w:r>
      <w:r>
        <w:rPr>
          <w:bCs/>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小于其临界量</w:t>
      </w:r>
      <w:r>
        <w:rPr>
          <w:rFonts w:hint="eastAsia"/>
          <w:color w:val="000000" w:themeColor="text1"/>
          <w:highlight w:val="none"/>
          <w14:textFill>
            <w14:solidFill>
              <w14:schemeClr w14:val="tx1"/>
            </w14:solidFill>
          </w14:textFill>
        </w:rPr>
        <w:t>2.5</w:t>
      </w:r>
      <w:r>
        <w:rPr>
          <w:color w:val="000000" w:themeColor="text1"/>
          <w:highlight w:val="none"/>
          <w14:textFill>
            <w14:solidFill>
              <w14:schemeClr w14:val="tx1"/>
            </w14:solidFill>
          </w14:textFill>
        </w:rPr>
        <w:t>t</w:t>
      </w:r>
      <w:r>
        <w:rPr>
          <w:rFonts w:hint="eastAsia"/>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表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本项目环境风险物质数量与临界量的比值Q统计表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2"/>
        <w:gridCol w:w="892"/>
        <w:gridCol w:w="1101"/>
        <w:gridCol w:w="1599"/>
        <w:gridCol w:w="1538"/>
        <w:gridCol w:w="10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restart"/>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钻井</w:t>
            </w:r>
            <w:r>
              <w:rPr>
                <w:color w:val="000000" w:themeColor="text1"/>
                <w:szCs w:val="21"/>
                <w:highlight w:val="none"/>
                <w14:textFill>
                  <w14:solidFill>
                    <w14:schemeClr w14:val="tx1"/>
                  </w14:solidFill>
                </w14:textFill>
              </w:rPr>
              <w:t>施工</w:t>
            </w:r>
            <w:r>
              <w:rPr>
                <w:rFonts w:hint="eastAsia"/>
                <w:color w:val="000000" w:themeColor="text1"/>
                <w:szCs w:val="21"/>
                <w:highlight w:val="none"/>
                <w14:textFill>
                  <w14:solidFill>
                    <w14:schemeClr w14:val="tx1"/>
                  </w14:solidFill>
                </w14:textFill>
              </w:rPr>
              <w:t>阶段</w:t>
            </w:r>
          </w:p>
        </w:tc>
        <w:tc>
          <w:tcPr>
            <w:tcW w:w="855"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序号</w:t>
            </w:r>
          </w:p>
        </w:tc>
        <w:tc>
          <w:tcPr>
            <w:tcW w:w="0" w:type="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物质</w:t>
            </w:r>
          </w:p>
        </w:tc>
        <w:tc>
          <w:tcPr>
            <w:tcW w:w="0" w:type="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q</w:t>
            </w:r>
            <w:r>
              <w:rPr>
                <w:b/>
                <w:bCs/>
                <w:color w:val="000000" w:themeColor="text1"/>
                <w:szCs w:val="21"/>
                <w:highlight w:val="none"/>
                <w:vertAlign w:val="subscript"/>
                <w14:textFill>
                  <w14:solidFill>
                    <w14:schemeClr w14:val="tx1"/>
                  </w14:solidFill>
                </w14:textFill>
              </w:rPr>
              <w:t>n</w:t>
            </w:r>
            <w:r>
              <w:rPr>
                <w:b/>
                <w:bCs/>
                <w:color w:val="000000" w:themeColor="text1"/>
                <w:szCs w:val="21"/>
                <w:highlight w:val="none"/>
                <w14:textFill>
                  <w14:solidFill>
                    <w14:schemeClr w14:val="tx1"/>
                  </w14:solidFill>
                </w14:textFill>
              </w:rPr>
              <w:t>，储存量，t</w:t>
            </w:r>
          </w:p>
        </w:tc>
        <w:tc>
          <w:tcPr>
            <w:tcW w:w="0" w:type="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Q</w:t>
            </w:r>
            <w:r>
              <w:rPr>
                <w:b/>
                <w:bCs/>
                <w:color w:val="000000" w:themeColor="text1"/>
                <w:szCs w:val="21"/>
                <w:highlight w:val="none"/>
                <w:vertAlign w:val="subscript"/>
                <w14:textFill>
                  <w14:solidFill>
                    <w14:schemeClr w14:val="tx1"/>
                  </w14:solidFill>
                </w14:textFill>
              </w:rPr>
              <w:t>n，</w:t>
            </w:r>
            <w:r>
              <w:rPr>
                <w:b/>
                <w:bCs/>
                <w:color w:val="000000" w:themeColor="text1"/>
                <w:szCs w:val="21"/>
                <w:highlight w:val="none"/>
                <w14:textFill>
                  <w14:solidFill>
                    <w14:schemeClr w14:val="tx1"/>
                  </w14:solidFill>
                </w14:textFill>
              </w:rPr>
              <w:t>临界量，t</w:t>
            </w:r>
          </w:p>
        </w:tc>
        <w:tc>
          <w:tcPr>
            <w:tcW w:w="1058" w:type="dxa"/>
            <w:vAlign w:val="bottom"/>
          </w:tcPr>
          <w:p>
            <w:pPr>
              <w:widowControl/>
              <w:ind w:firstLine="0" w:firstLineChars="0"/>
              <w:jc w:val="center"/>
              <w:textAlignment w:val="bottom"/>
              <w:rPr>
                <w:b/>
                <w:bCs/>
                <w:color w:val="000000" w:themeColor="text1"/>
                <w:sz w:val="21"/>
                <w:szCs w:val="21"/>
                <w:highlight w:val="none"/>
                <w14:textFill>
                  <w14:solidFill>
                    <w14:schemeClr w14:val="tx1"/>
                  </w14:solidFill>
                </w14:textFill>
              </w:rPr>
            </w:pPr>
            <w:r>
              <w:rPr>
                <w:rFonts w:eastAsia="等线" w:cs="Times New Roman"/>
                <w:b/>
                <w:bCs/>
                <w:color w:val="000000" w:themeColor="text1"/>
                <w:kern w:val="0"/>
                <w:sz w:val="21"/>
                <w:szCs w:val="21"/>
                <w:highlight w:val="none"/>
                <w:lang w:bidi="ar"/>
                <w14:textFill>
                  <w14:solidFill>
                    <w14:schemeClr w14:val="tx1"/>
                  </w14:solidFill>
                </w14:textFill>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甲烷</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8.15</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硫化氢</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4.04</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柴油</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16</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500</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废油</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w:t>
            </w:r>
            <w:r>
              <w:rPr>
                <w:color w:val="000000" w:themeColor="text1"/>
                <w:szCs w:val="21"/>
                <w:highlight w:val="none"/>
                <w14:textFill>
                  <w14:solidFill>
                    <w14:schemeClr w14:val="tx1"/>
                  </w14:solidFill>
                </w14:textFill>
              </w:rPr>
              <w:t>.085</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2500</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0.000034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白油</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40</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2500</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油基泥浆</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300</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2500</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5130" w:type="dxa"/>
            <w:gridSpan w:val="4"/>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合计</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2.573434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restar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储层改造阶段</w:t>
            </w:r>
          </w:p>
        </w:tc>
        <w:tc>
          <w:tcPr>
            <w:tcW w:w="855"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序号</w:t>
            </w:r>
          </w:p>
        </w:tc>
        <w:tc>
          <w:tcPr>
            <w:tcW w:w="0" w:type="auto"/>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物质</w:t>
            </w:r>
          </w:p>
        </w:tc>
        <w:tc>
          <w:tcPr>
            <w:tcW w:w="0" w:type="auto"/>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q</w:t>
            </w:r>
            <w:r>
              <w:rPr>
                <w:b/>
                <w:bCs/>
                <w:color w:val="000000" w:themeColor="text1"/>
                <w:szCs w:val="21"/>
                <w:highlight w:val="none"/>
                <w:vertAlign w:val="subscript"/>
                <w14:textFill>
                  <w14:solidFill>
                    <w14:schemeClr w14:val="tx1"/>
                  </w14:solidFill>
                </w14:textFill>
              </w:rPr>
              <w:t>n</w:t>
            </w:r>
            <w:r>
              <w:rPr>
                <w:b/>
                <w:bCs/>
                <w:color w:val="000000" w:themeColor="text1"/>
                <w:szCs w:val="21"/>
                <w:highlight w:val="none"/>
                <w14:textFill>
                  <w14:solidFill>
                    <w14:schemeClr w14:val="tx1"/>
                  </w14:solidFill>
                </w14:textFill>
              </w:rPr>
              <w:t>，储存量，t</w:t>
            </w:r>
          </w:p>
        </w:tc>
        <w:tc>
          <w:tcPr>
            <w:tcW w:w="0" w:type="auto"/>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Q</w:t>
            </w:r>
            <w:r>
              <w:rPr>
                <w:b/>
                <w:bCs/>
                <w:color w:val="000000" w:themeColor="text1"/>
                <w:szCs w:val="21"/>
                <w:highlight w:val="none"/>
                <w:vertAlign w:val="subscript"/>
                <w14:textFill>
                  <w14:solidFill>
                    <w14:schemeClr w14:val="tx1"/>
                  </w14:solidFill>
                </w14:textFill>
              </w:rPr>
              <w:t>n，</w:t>
            </w:r>
            <w:r>
              <w:rPr>
                <w:b/>
                <w:bCs/>
                <w:color w:val="000000" w:themeColor="text1"/>
                <w:szCs w:val="21"/>
                <w:highlight w:val="none"/>
                <w14:textFill>
                  <w14:solidFill>
                    <w14:schemeClr w14:val="tx1"/>
                  </w14:solidFill>
                </w14:textFill>
              </w:rPr>
              <w:t>临界量，t</w:t>
            </w:r>
          </w:p>
        </w:tc>
        <w:tc>
          <w:tcPr>
            <w:tcW w:w="1058" w:type="dxa"/>
            <w:shd w:val="clear" w:color="auto" w:fill="auto"/>
            <w:vAlign w:val="bottom"/>
          </w:tcPr>
          <w:p>
            <w:pPr>
              <w:widowControl/>
              <w:ind w:firstLine="0" w:firstLineChars="0"/>
              <w:jc w:val="center"/>
              <w:textAlignment w:val="bottom"/>
              <w:rPr>
                <w:b/>
                <w:bCs/>
                <w:color w:val="000000" w:themeColor="text1"/>
                <w:sz w:val="21"/>
                <w:szCs w:val="21"/>
                <w:highlight w:val="none"/>
                <w14:textFill>
                  <w14:solidFill>
                    <w14:schemeClr w14:val="tx1"/>
                  </w14:solidFill>
                </w14:textFill>
              </w:rPr>
            </w:pPr>
            <w:r>
              <w:rPr>
                <w:rFonts w:eastAsia="等线" w:cs="Times New Roman"/>
                <w:b/>
                <w:bCs/>
                <w:color w:val="000000" w:themeColor="text1"/>
                <w:kern w:val="0"/>
                <w:sz w:val="21"/>
                <w:szCs w:val="21"/>
                <w:highlight w:val="none"/>
                <w:lang w:bidi="ar"/>
                <w14:textFill>
                  <w14:solidFill>
                    <w14:schemeClr w14:val="tx1"/>
                  </w14:solidFill>
                </w14:textFill>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0" w:type="auto"/>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盐酸</w:t>
            </w:r>
          </w:p>
        </w:tc>
        <w:tc>
          <w:tcPr>
            <w:tcW w:w="0" w:type="auto"/>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4.5</w:t>
            </w:r>
          </w:p>
        </w:tc>
        <w:tc>
          <w:tcPr>
            <w:tcW w:w="0" w:type="auto"/>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7.5</w:t>
            </w:r>
          </w:p>
        </w:tc>
        <w:tc>
          <w:tcPr>
            <w:tcW w:w="1058" w:type="dxa"/>
            <w:shd w:val="clear" w:color="auto" w:fill="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柴油</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16</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2500</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5130" w:type="dxa"/>
            <w:gridSpan w:val="4"/>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合计</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0.6064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restar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试采期</w:t>
            </w:r>
            <w:r>
              <w:rPr>
                <w:rFonts w:hint="eastAsia"/>
                <w:color w:val="000000" w:themeColor="text1"/>
                <w:szCs w:val="21"/>
                <w:highlight w:val="none"/>
                <w14:textFill>
                  <w14:solidFill>
                    <w14:schemeClr w14:val="tx1"/>
                  </w14:solidFill>
                </w14:textFill>
              </w:rPr>
              <w:t>（站内）</w:t>
            </w:r>
          </w:p>
        </w:tc>
        <w:tc>
          <w:tcPr>
            <w:tcW w:w="855"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序号</w:t>
            </w:r>
          </w:p>
        </w:tc>
        <w:tc>
          <w:tcPr>
            <w:tcW w:w="0" w:type="auto"/>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物质</w:t>
            </w:r>
          </w:p>
        </w:tc>
        <w:tc>
          <w:tcPr>
            <w:tcW w:w="0" w:type="auto"/>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q</w:t>
            </w:r>
            <w:r>
              <w:rPr>
                <w:b/>
                <w:bCs/>
                <w:color w:val="000000" w:themeColor="text1"/>
                <w:szCs w:val="21"/>
                <w:highlight w:val="none"/>
                <w:vertAlign w:val="subscript"/>
                <w14:textFill>
                  <w14:solidFill>
                    <w14:schemeClr w14:val="tx1"/>
                  </w14:solidFill>
                </w14:textFill>
              </w:rPr>
              <w:t>n</w:t>
            </w:r>
            <w:r>
              <w:rPr>
                <w:b/>
                <w:bCs/>
                <w:color w:val="000000" w:themeColor="text1"/>
                <w:szCs w:val="21"/>
                <w:highlight w:val="none"/>
                <w14:textFill>
                  <w14:solidFill>
                    <w14:schemeClr w14:val="tx1"/>
                  </w14:solidFill>
                </w14:textFill>
              </w:rPr>
              <w:t>，储存量，t</w:t>
            </w:r>
          </w:p>
        </w:tc>
        <w:tc>
          <w:tcPr>
            <w:tcW w:w="0" w:type="auto"/>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Q</w:t>
            </w:r>
            <w:r>
              <w:rPr>
                <w:b/>
                <w:bCs/>
                <w:color w:val="000000" w:themeColor="text1"/>
                <w:szCs w:val="21"/>
                <w:highlight w:val="none"/>
                <w:vertAlign w:val="subscript"/>
                <w14:textFill>
                  <w14:solidFill>
                    <w14:schemeClr w14:val="tx1"/>
                  </w14:solidFill>
                </w14:textFill>
              </w:rPr>
              <w:t>n，</w:t>
            </w:r>
            <w:r>
              <w:rPr>
                <w:b/>
                <w:bCs/>
                <w:color w:val="000000" w:themeColor="text1"/>
                <w:szCs w:val="21"/>
                <w:highlight w:val="none"/>
                <w14:textFill>
                  <w14:solidFill>
                    <w14:schemeClr w14:val="tx1"/>
                  </w14:solidFill>
                </w14:textFill>
              </w:rPr>
              <w:t>临界量，t</w:t>
            </w:r>
          </w:p>
        </w:tc>
        <w:tc>
          <w:tcPr>
            <w:tcW w:w="1058" w:type="dxa"/>
            <w:shd w:val="clear" w:color="auto" w:fill="auto"/>
            <w:vAlign w:val="bottom"/>
          </w:tcPr>
          <w:p>
            <w:pPr>
              <w:widowControl/>
              <w:ind w:firstLine="0" w:firstLineChars="0"/>
              <w:jc w:val="center"/>
              <w:textAlignment w:val="bottom"/>
              <w:rPr>
                <w:b/>
                <w:bCs/>
                <w:color w:val="000000" w:themeColor="text1"/>
                <w:sz w:val="21"/>
                <w:szCs w:val="21"/>
                <w:highlight w:val="none"/>
                <w14:textFill>
                  <w14:solidFill>
                    <w14:schemeClr w14:val="tx1"/>
                  </w14:solidFill>
                </w14:textFill>
              </w:rPr>
            </w:pPr>
            <w:r>
              <w:rPr>
                <w:rFonts w:eastAsia="等线" w:cs="Times New Roman"/>
                <w:b/>
                <w:bCs/>
                <w:color w:val="000000" w:themeColor="text1"/>
                <w:kern w:val="0"/>
                <w:sz w:val="21"/>
                <w:szCs w:val="21"/>
                <w:highlight w:val="none"/>
                <w:lang w:bidi="ar"/>
                <w14:textFill>
                  <w14:solidFill>
                    <w14:schemeClr w14:val="tx1"/>
                  </w14:solidFill>
                </w14:textFill>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甲烷</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0.2</w:t>
            </w:r>
            <w:r>
              <w:rPr>
                <w:rFonts w:hint="eastAsia"/>
                <w:color w:val="000000" w:themeColor="text1"/>
                <w:szCs w:val="21"/>
                <w:highlight w:val="none"/>
                <w14:textFill>
                  <w14:solidFill>
                    <w14:schemeClr w14:val="tx1"/>
                  </w14:solidFill>
                </w14:textFill>
              </w:rPr>
              <w:t>6</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硫化氢</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0.13</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5130" w:type="dxa"/>
            <w:gridSpan w:val="4"/>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合计</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restar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试采期</w:t>
            </w:r>
            <w:r>
              <w:rPr>
                <w:rFonts w:hint="eastAsia"/>
                <w:color w:val="000000" w:themeColor="text1"/>
                <w:szCs w:val="21"/>
                <w:highlight w:val="none"/>
                <w14:textFill>
                  <w14:solidFill>
                    <w14:schemeClr w14:val="tx1"/>
                  </w14:solidFill>
                </w14:textFill>
              </w:rPr>
              <w:t>（集输管线）</w:t>
            </w:r>
          </w:p>
        </w:tc>
        <w:tc>
          <w:tcPr>
            <w:tcW w:w="855" w:type="dxa"/>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序号</w:t>
            </w:r>
          </w:p>
        </w:tc>
        <w:tc>
          <w:tcPr>
            <w:tcW w:w="0" w:type="auto"/>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物质</w:t>
            </w:r>
          </w:p>
        </w:tc>
        <w:tc>
          <w:tcPr>
            <w:tcW w:w="0" w:type="auto"/>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q</w:t>
            </w:r>
            <w:r>
              <w:rPr>
                <w:b/>
                <w:bCs/>
                <w:color w:val="000000" w:themeColor="text1"/>
                <w:szCs w:val="21"/>
                <w:highlight w:val="none"/>
                <w:vertAlign w:val="subscript"/>
                <w14:textFill>
                  <w14:solidFill>
                    <w14:schemeClr w14:val="tx1"/>
                  </w14:solidFill>
                </w14:textFill>
              </w:rPr>
              <w:t>n</w:t>
            </w:r>
            <w:r>
              <w:rPr>
                <w:b/>
                <w:bCs/>
                <w:color w:val="000000" w:themeColor="text1"/>
                <w:szCs w:val="21"/>
                <w:highlight w:val="none"/>
                <w14:textFill>
                  <w14:solidFill>
                    <w14:schemeClr w14:val="tx1"/>
                  </w14:solidFill>
                </w14:textFill>
              </w:rPr>
              <w:t>，储存量，t</w:t>
            </w:r>
          </w:p>
        </w:tc>
        <w:tc>
          <w:tcPr>
            <w:tcW w:w="0" w:type="auto"/>
            <w:shd w:val="clear" w:color="auto" w:fill="auto"/>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Q</w:t>
            </w:r>
            <w:r>
              <w:rPr>
                <w:b/>
                <w:bCs/>
                <w:color w:val="000000" w:themeColor="text1"/>
                <w:szCs w:val="21"/>
                <w:highlight w:val="none"/>
                <w:vertAlign w:val="subscript"/>
                <w14:textFill>
                  <w14:solidFill>
                    <w14:schemeClr w14:val="tx1"/>
                  </w14:solidFill>
                </w14:textFill>
              </w:rPr>
              <w:t>n，</w:t>
            </w:r>
            <w:r>
              <w:rPr>
                <w:b/>
                <w:bCs/>
                <w:color w:val="000000" w:themeColor="text1"/>
                <w:szCs w:val="21"/>
                <w:highlight w:val="none"/>
                <w14:textFill>
                  <w14:solidFill>
                    <w14:schemeClr w14:val="tx1"/>
                  </w14:solidFill>
                </w14:textFill>
              </w:rPr>
              <w:t>临界量，t</w:t>
            </w:r>
          </w:p>
        </w:tc>
        <w:tc>
          <w:tcPr>
            <w:tcW w:w="1058" w:type="dxa"/>
            <w:shd w:val="clear" w:color="auto" w:fill="auto"/>
            <w:vAlign w:val="bottom"/>
          </w:tcPr>
          <w:p>
            <w:pPr>
              <w:widowControl/>
              <w:ind w:firstLine="0" w:firstLineChars="0"/>
              <w:jc w:val="center"/>
              <w:textAlignment w:val="bottom"/>
              <w:rPr>
                <w:b/>
                <w:bCs/>
                <w:color w:val="000000" w:themeColor="text1"/>
                <w:sz w:val="21"/>
                <w:szCs w:val="21"/>
                <w:highlight w:val="none"/>
                <w14:textFill>
                  <w14:solidFill>
                    <w14:schemeClr w14:val="tx1"/>
                  </w14:solidFill>
                </w14:textFill>
              </w:rPr>
            </w:pPr>
            <w:r>
              <w:rPr>
                <w:rFonts w:eastAsia="等线" w:cs="Times New Roman"/>
                <w:b/>
                <w:bCs/>
                <w:color w:val="000000" w:themeColor="text1"/>
                <w:kern w:val="0"/>
                <w:sz w:val="21"/>
                <w:szCs w:val="21"/>
                <w:highlight w:val="none"/>
                <w:lang w:bidi="ar"/>
                <w14:textFill>
                  <w14:solidFill>
                    <w14:schemeClr w14:val="tx1"/>
                  </w14:solidFill>
                </w14:textFill>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甲烷</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w:t>
            </w:r>
            <w:r>
              <w:rPr>
                <w:rFonts w:hint="eastAsia"/>
                <w:color w:val="000000" w:themeColor="text1"/>
                <w:szCs w:val="21"/>
                <w:highlight w:val="none"/>
                <w14:textFill>
                  <w14:solidFill>
                    <w14:schemeClr w14:val="tx1"/>
                  </w14:solidFill>
                </w14:textFill>
              </w:rPr>
              <w:t>.004</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855"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0" w:type="auto"/>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硫化氢</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0.002</w:t>
            </w:r>
          </w:p>
        </w:tc>
        <w:tc>
          <w:tcPr>
            <w:tcW w:w="0" w:type="auto"/>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32" w:type="dxa"/>
            <w:vMerge w:val="continue"/>
            <w:vAlign w:val="center"/>
          </w:tcPr>
          <w:p>
            <w:pPr>
              <w:pStyle w:val="297"/>
              <w:rPr>
                <w:color w:val="000000" w:themeColor="text1"/>
                <w:szCs w:val="21"/>
                <w:highlight w:val="none"/>
                <w14:textFill>
                  <w14:solidFill>
                    <w14:schemeClr w14:val="tx1"/>
                  </w14:solidFill>
                </w14:textFill>
              </w:rPr>
            </w:pPr>
          </w:p>
        </w:tc>
        <w:tc>
          <w:tcPr>
            <w:tcW w:w="5130" w:type="dxa"/>
            <w:gridSpan w:val="4"/>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合计</w:t>
            </w:r>
          </w:p>
        </w:tc>
        <w:tc>
          <w:tcPr>
            <w:tcW w:w="1058"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0.0012</w:t>
            </w:r>
          </w:p>
        </w:tc>
      </w:tr>
    </w:tbl>
    <w:p>
      <w:pPr>
        <w:pStyle w:val="252"/>
        <w:adjustRightInd w:val="0"/>
        <w:snapToGrid w:val="0"/>
        <w:spacing w:before="120" w:beforeLines="50"/>
        <w:ind w:firstLine="480"/>
        <w:rPr>
          <w:bCs/>
          <w:snapToGrid w:val="0"/>
          <w:color w:val="000000" w:themeColor="text1"/>
          <w:highlight w:val="none"/>
          <w14:textFill>
            <w14:solidFill>
              <w14:schemeClr w14:val="tx1"/>
            </w14:solidFill>
          </w14:textFill>
        </w:rPr>
      </w:pPr>
      <w:r>
        <w:rPr>
          <w:bCs/>
          <w:snapToGrid w:val="0"/>
          <w:color w:val="000000" w:themeColor="text1"/>
          <w:highlight w:val="none"/>
          <w14:textFill>
            <w14:solidFill>
              <w14:schemeClr w14:val="tx1"/>
            </w14:solidFill>
          </w14:textFill>
        </w:rPr>
        <w:t>根据</w:t>
      </w:r>
      <w:r>
        <w:rPr>
          <w:rFonts w:hint="eastAsia"/>
          <w:bCs/>
          <w:snapToGrid w:val="0"/>
          <w:color w:val="000000" w:themeColor="text1"/>
          <w:highlight w:val="none"/>
          <w14:textFill>
            <w14:solidFill>
              <w14:schemeClr w14:val="tx1"/>
            </w14:solidFill>
          </w14:textFill>
        </w:rPr>
        <w:t>上表</w:t>
      </w:r>
      <w:r>
        <w:rPr>
          <w:bCs/>
          <w:snapToGrid w:val="0"/>
          <w:color w:val="000000" w:themeColor="text1"/>
          <w:highlight w:val="none"/>
          <w14:textFill>
            <w14:solidFill>
              <w14:schemeClr w14:val="tx1"/>
            </w14:solidFill>
          </w14:textFill>
        </w:rPr>
        <w:t>计算可知，</w:t>
      </w:r>
      <w:bookmarkStart w:id="356" w:name="_Hlk149209482"/>
      <w:r>
        <w:rPr>
          <w:bCs/>
          <w:snapToGrid w:val="0"/>
          <w:color w:val="000000" w:themeColor="text1"/>
          <w:highlight w:val="none"/>
          <w14:textFill>
            <w14:solidFill>
              <w14:schemeClr w14:val="tx1"/>
            </w14:solidFill>
          </w14:textFill>
        </w:rPr>
        <w:t>企业的主要危险物质：</w:t>
      </w:r>
      <w:r>
        <w:rPr>
          <w:rFonts w:hint="eastAsia"/>
          <w:bCs/>
          <w:snapToGrid w:val="0"/>
          <w:color w:val="000000" w:themeColor="text1"/>
          <w:highlight w:val="none"/>
          <w14:textFill>
            <w14:solidFill>
              <w14:schemeClr w14:val="tx1"/>
            </w14:solidFill>
          </w14:textFill>
        </w:rPr>
        <w:t>钻井</w:t>
      </w:r>
      <w:r>
        <w:rPr>
          <w:bCs/>
          <w:snapToGrid w:val="0"/>
          <w:color w:val="000000" w:themeColor="text1"/>
          <w:highlight w:val="none"/>
          <w14:textFill>
            <w14:solidFill>
              <w14:schemeClr w14:val="tx1"/>
            </w14:solidFill>
          </w14:textFill>
        </w:rPr>
        <w:t>施工期天然气所含的甲烷、硫化氢和油类物质的Q值计算结果为</w:t>
      </w:r>
      <w:r>
        <w:rPr>
          <w:rFonts w:hint="eastAsia"/>
          <w:bCs/>
          <w:snapToGrid w:val="0"/>
          <w:color w:val="000000" w:themeColor="text1"/>
          <w:highlight w:val="none"/>
          <w14:textFill>
            <w14:solidFill>
              <w14:schemeClr w14:val="tx1"/>
            </w14:solidFill>
          </w14:textFill>
        </w:rPr>
        <w:t>2.57</w:t>
      </w:r>
      <w:r>
        <w:rPr>
          <w:bCs/>
          <w:snapToGrid w:val="0"/>
          <w:color w:val="000000" w:themeColor="text1"/>
          <w:highlight w:val="none"/>
          <w14:textFill>
            <w14:solidFill>
              <w14:schemeClr w14:val="tx1"/>
            </w14:solidFill>
          </w14:textFill>
        </w:rPr>
        <w:t>，Q值＞1；储层改造阶段的风险物质</w:t>
      </w:r>
      <w:r>
        <w:rPr>
          <w:color w:val="000000" w:themeColor="text1"/>
          <w:kern w:val="2"/>
          <w:highlight w:val="none"/>
          <w14:textFill>
            <w14:solidFill>
              <w14:schemeClr w14:val="tx1"/>
            </w14:solidFill>
          </w14:textFill>
        </w:rPr>
        <w:t>盐酸和柴油的</w:t>
      </w:r>
      <w:r>
        <w:rPr>
          <w:bCs/>
          <w:snapToGrid w:val="0"/>
          <w:color w:val="000000" w:themeColor="text1"/>
          <w:highlight w:val="none"/>
          <w14:textFill>
            <w14:solidFill>
              <w14:schemeClr w14:val="tx1"/>
            </w14:solidFill>
          </w14:textFill>
        </w:rPr>
        <w:t>Q值计算结果为</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.606</w:t>
      </w:r>
      <w:r>
        <w:rPr>
          <w:bCs/>
          <w:snapToGrid w:val="0"/>
          <w:color w:val="000000" w:themeColor="text1"/>
          <w:highlight w:val="none"/>
          <w14:textFill>
            <w14:solidFill>
              <w14:schemeClr w14:val="tx1"/>
            </w14:solidFill>
          </w14:textFill>
        </w:rPr>
        <w:t>，Q值＜1；试采期</w:t>
      </w:r>
      <w:r>
        <w:rPr>
          <w:rFonts w:hint="eastAsia"/>
          <w:bCs/>
          <w:snapToGrid w:val="0"/>
          <w:color w:val="000000" w:themeColor="text1"/>
          <w:highlight w:val="none"/>
          <w14:textFill>
            <w14:solidFill>
              <w14:schemeClr w14:val="tx1"/>
            </w14:solidFill>
          </w14:textFill>
        </w:rPr>
        <w:t>站内</w:t>
      </w:r>
      <w:r>
        <w:rPr>
          <w:bCs/>
          <w:snapToGrid w:val="0"/>
          <w:color w:val="000000" w:themeColor="text1"/>
          <w:highlight w:val="none"/>
          <w14:textFill>
            <w14:solidFill>
              <w14:schemeClr w14:val="tx1"/>
            </w14:solidFill>
          </w14:textFill>
        </w:rPr>
        <w:t>天然气所含的</w:t>
      </w:r>
      <w:r>
        <w:rPr>
          <w:rFonts w:hint="eastAsia"/>
          <w:bCs/>
          <w:snapToGrid w:val="0"/>
          <w:color w:val="000000" w:themeColor="text1"/>
          <w:highlight w:val="none"/>
          <w14:textFill>
            <w14:solidFill>
              <w14:schemeClr w14:val="tx1"/>
            </w14:solidFill>
          </w14:textFill>
        </w:rPr>
        <w:t>甲烷</w:t>
      </w:r>
      <w:r>
        <w:rPr>
          <w:bCs/>
          <w:snapToGrid w:val="0"/>
          <w:color w:val="000000" w:themeColor="text1"/>
          <w:highlight w:val="none"/>
          <w14:textFill>
            <w14:solidFill>
              <w14:schemeClr w14:val="tx1"/>
            </w14:solidFill>
          </w14:textFill>
        </w:rPr>
        <w:t>的Q值计算结果为</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78</w:t>
      </w:r>
      <w:r>
        <w:rPr>
          <w:bCs/>
          <w:snapToGrid w:val="0"/>
          <w:color w:val="000000" w:themeColor="text1"/>
          <w:highlight w:val="none"/>
          <w14:textFill>
            <w14:solidFill>
              <w14:schemeClr w14:val="tx1"/>
            </w14:solidFill>
          </w14:textFill>
        </w:rPr>
        <w:t>，Q值＜1</w:t>
      </w:r>
      <w:bookmarkEnd w:id="356"/>
      <w:r>
        <w:rPr>
          <w:rFonts w:hint="eastAsia"/>
          <w:bCs/>
          <w:snapToGrid w:val="0"/>
          <w:color w:val="000000" w:themeColor="text1"/>
          <w:highlight w:val="none"/>
          <w14:textFill>
            <w14:solidFill>
              <w14:schemeClr w14:val="tx1"/>
            </w14:solidFill>
          </w14:textFill>
        </w:rPr>
        <w:t>；</w:t>
      </w:r>
      <w:r>
        <w:rPr>
          <w:bCs/>
          <w:snapToGrid w:val="0"/>
          <w:color w:val="000000" w:themeColor="text1"/>
          <w:highlight w:val="none"/>
          <w14:textFill>
            <w14:solidFill>
              <w14:schemeClr w14:val="tx1"/>
            </w14:solidFill>
          </w14:textFill>
        </w:rPr>
        <w:t>试采期</w:t>
      </w:r>
      <w:r>
        <w:rPr>
          <w:rFonts w:hint="eastAsia"/>
          <w:bCs/>
          <w:snapToGrid w:val="0"/>
          <w:color w:val="000000" w:themeColor="text1"/>
          <w:highlight w:val="none"/>
          <w14:textFill>
            <w14:solidFill>
              <w14:schemeClr w14:val="tx1"/>
            </w14:solidFill>
          </w14:textFill>
        </w:rPr>
        <w:t>集输管线</w:t>
      </w:r>
      <w:r>
        <w:rPr>
          <w:bCs/>
          <w:snapToGrid w:val="0"/>
          <w:color w:val="000000" w:themeColor="text1"/>
          <w:highlight w:val="none"/>
          <w14:textFill>
            <w14:solidFill>
              <w14:schemeClr w14:val="tx1"/>
            </w14:solidFill>
          </w14:textFill>
        </w:rPr>
        <w:t>天然气所含的甲烷的Q值计算结果为</w:t>
      </w:r>
      <w:r>
        <w:rPr>
          <w:rFonts w:hint="eastAsia"/>
          <w:color w:val="000000" w:themeColor="text1"/>
          <w:highlight w:val="none"/>
          <w14:textFill>
            <w14:solidFill>
              <w14:schemeClr w14:val="tx1"/>
            </w14:solidFill>
          </w14:textFill>
        </w:rPr>
        <w:t>0</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0012</w:t>
      </w:r>
      <w:r>
        <w:rPr>
          <w:bCs/>
          <w:snapToGrid w:val="0"/>
          <w:color w:val="000000" w:themeColor="text1"/>
          <w:highlight w:val="none"/>
          <w14:textFill>
            <w14:solidFill>
              <w14:schemeClr w14:val="tx1"/>
            </w14:solidFill>
          </w14:textFill>
        </w:rPr>
        <w:t>，Q值＜1。</w:t>
      </w:r>
    </w:p>
    <w:p>
      <w:pPr>
        <w:ind w:firstLine="480"/>
        <w:rPr>
          <w:rFonts w:cs="Times New Roman"/>
          <w:bCs/>
          <w:color w:val="000000" w:themeColor="text1"/>
          <w:szCs w:val="20"/>
          <w:highlight w:val="none"/>
          <w:lang w:val="zh-CN"/>
          <w14:textFill>
            <w14:solidFill>
              <w14:schemeClr w14:val="tx1"/>
            </w14:solidFill>
          </w14:textFill>
        </w:rPr>
      </w:pPr>
      <w:r>
        <w:rPr>
          <w:rFonts w:cs="Times New Roman"/>
          <w:bCs/>
          <w:color w:val="000000" w:themeColor="text1"/>
          <w:szCs w:val="20"/>
          <w:highlight w:val="none"/>
          <w:lang w:val="zh-CN"/>
          <w14:textFill>
            <w14:solidFill>
              <w14:schemeClr w14:val="tx1"/>
            </w14:solidFill>
          </w14:textFill>
        </w:rPr>
        <w:t>（2）行业及生产工艺（M）</w:t>
      </w:r>
    </w:p>
    <w:p>
      <w:pPr>
        <w:ind w:firstLine="480"/>
        <w:rPr>
          <w:rFonts w:cs="Times New Roman"/>
          <w:bCs/>
          <w:snapToGrid w:val="0"/>
          <w:color w:val="000000" w:themeColor="text1"/>
          <w:kern w:val="0"/>
          <w:szCs w:val="24"/>
          <w:highlight w:val="none"/>
          <w14:textFill>
            <w14:solidFill>
              <w14:schemeClr w14:val="tx1"/>
            </w14:solidFill>
          </w14:textFill>
        </w:rPr>
      </w:pPr>
      <w:r>
        <w:rPr>
          <w:rFonts w:cs="Times New Roman"/>
          <w:bCs/>
          <w:snapToGrid w:val="0"/>
          <w:color w:val="000000" w:themeColor="text1"/>
          <w:kern w:val="0"/>
          <w:szCs w:val="24"/>
          <w:highlight w:val="none"/>
          <w14:textFill>
            <w14:solidFill>
              <w14:schemeClr w14:val="tx1"/>
            </w14:solidFill>
          </w14:textFill>
        </w:rPr>
        <w:t>本项目属</w:t>
      </w:r>
      <w:r>
        <w:rPr>
          <w:rFonts w:ascii="宋体" w:hAnsi="宋体" w:cs="Times New Roman"/>
          <w:bCs/>
          <w:snapToGrid w:val="0"/>
          <w:color w:val="000000" w:themeColor="text1"/>
          <w:kern w:val="0"/>
          <w:szCs w:val="24"/>
          <w:highlight w:val="none"/>
          <w14:textFill>
            <w14:solidFill>
              <w14:schemeClr w14:val="tx1"/>
            </w14:solidFill>
          </w14:textFill>
        </w:rPr>
        <w:t>于“石油天然气”中“天然气开采”</w:t>
      </w:r>
      <w:r>
        <w:rPr>
          <w:rFonts w:cs="Times New Roman"/>
          <w:bCs/>
          <w:snapToGrid w:val="0"/>
          <w:color w:val="000000" w:themeColor="text1"/>
          <w:kern w:val="0"/>
          <w:szCs w:val="24"/>
          <w:highlight w:val="none"/>
          <w14:textFill>
            <w14:solidFill>
              <w14:schemeClr w14:val="tx1"/>
            </w14:solidFill>
          </w14:textFill>
        </w:rPr>
        <w:t>，不涉及重点监管危险化工工艺。本项目M值确定见</w:t>
      </w:r>
      <w:r>
        <w:rPr>
          <w:rFonts w:cs="Times New Roman"/>
          <w:bCs/>
          <w:snapToGrid w:val="0"/>
          <w:color w:val="000000" w:themeColor="text1"/>
          <w:kern w:val="0"/>
          <w:szCs w:val="24"/>
          <w:highlight w:val="none"/>
          <w14:textFill>
            <w14:solidFill>
              <w14:schemeClr w14:val="tx1"/>
            </w14:solidFill>
          </w14:textFill>
        </w:rPr>
        <w:fldChar w:fldCharType="begin"/>
      </w:r>
      <w:r>
        <w:rPr>
          <w:rFonts w:cs="Times New Roman"/>
          <w:bCs/>
          <w:snapToGrid w:val="0"/>
          <w:color w:val="000000" w:themeColor="text1"/>
          <w:kern w:val="0"/>
          <w:szCs w:val="24"/>
          <w:highlight w:val="none"/>
          <w14:textFill>
            <w14:solidFill>
              <w14:schemeClr w14:val="tx1"/>
            </w14:solidFill>
          </w14:textFill>
        </w:rPr>
        <w:instrText xml:space="preserve"> REF _Ref142859093 \h  \* MERGEFORMAT </w:instrText>
      </w:r>
      <w:r>
        <w:rPr>
          <w:rFonts w:cs="Times New Roman"/>
          <w:bCs/>
          <w:snapToGrid w:val="0"/>
          <w:color w:val="000000" w:themeColor="text1"/>
          <w:kern w:val="0"/>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9</w:t>
      </w:r>
      <w:r>
        <w:rPr>
          <w:rFonts w:cs="Times New Roman"/>
          <w:bCs/>
          <w:snapToGrid w:val="0"/>
          <w:color w:val="000000" w:themeColor="text1"/>
          <w:kern w:val="0"/>
          <w:szCs w:val="24"/>
          <w:highlight w:val="none"/>
          <w14:textFill>
            <w14:solidFill>
              <w14:schemeClr w14:val="tx1"/>
            </w14:solidFill>
          </w14:textFill>
        </w:rPr>
        <w:fldChar w:fldCharType="end"/>
      </w:r>
      <w:r>
        <w:rPr>
          <w:rFonts w:cs="Times New Roman"/>
          <w:bCs/>
          <w:snapToGrid w:val="0"/>
          <w:color w:val="000000" w:themeColor="text1"/>
          <w:kern w:val="0"/>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57" w:name="_Ref14285909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9</w:t>
      </w:r>
      <w:r>
        <w:rPr>
          <w:color w:val="000000" w:themeColor="text1"/>
          <w:highlight w:val="none"/>
          <w14:textFill>
            <w14:solidFill>
              <w14:schemeClr w14:val="tx1"/>
            </w14:solidFill>
          </w14:textFill>
        </w:rPr>
        <w:fldChar w:fldCharType="end"/>
      </w:r>
      <w:bookmarkEnd w:id="357"/>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M值确定表</w:t>
      </w:r>
    </w:p>
    <w:tbl>
      <w:tblPr>
        <w:tblStyle w:val="54"/>
        <w:tblW w:w="503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73"/>
        <w:gridCol w:w="3900"/>
        <w:gridCol w:w="919"/>
        <w:gridCol w:w="1531"/>
        <w:gridCol w:w="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00"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行业</w:t>
            </w:r>
          </w:p>
        </w:tc>
        <w:tc>
          <w:tcPr>
            <w:tcW w:w="2326"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评估依据</w:t>
            </w:r>
          </w:p>
        </w:tc>
        <w:tc>
          <w:tcPr>
            <w:tcW w:w="548"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分值</w:t>
            </w:r>
          </w:p>
        </w:tc>
        <w:tc>
          <w:tcPr>
            <w:tcW w:w="1426" w:type="pct"/>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00" w:type="pct"/>
            <w:vMerge w:val="continue"/>
            <w:vAlign w:val="center"/>
          </w:tcPr>
          <w:p>
            <w:pPr>
              <w:pStyle w:val="297"/>
              <w:rPr>
                <w:b/>
                <w:bCs/>
                <w:color w:val="000000" w:themeColor="text1"/>
                <w:highlight w:val="none"/>
                <w14:textFill>
                  <w14:solidFill>
                    <w14:schemeClr w14:val="tx1"/>
                  </w14:solidFill>
                </w14:textFill>
              </w:rPr>
            </w:pPr>
          </w:p>
        </w:tc>
        <w:tc>
          <w:tcPr>
            <w:tcW w:w="2326" w:type="pct"/>
            <w:vMerge w:val="continue"/>
            <w:vAlign w:val="center"/>
          </w:tcPr>
          <w:p>
            <w:pPr>
              <w:pStyle w:val="297"/>
              <w:rPr>
                <w:b/>
                <w:bCs/>
                <w:color w:val="000000" w:themeColor="text1"/>
                <w:highlight w:val="none"/>
                <w14:textFill>
                  <w14:solidFill>
                    <w14:schemeClr w14:val="tx1"/>
                  </w14:solidFill>
                </w14:textFill>
              </w:rPr>
            </w:pPr>
          </w:p>
        </w:tc>
        <w:tc>
          <w:tcPr>
            <w:tcW w:w="548" w:type="pct"/>
            <w:vMerge w:val="continue"/>
            <w:vAlign w:val="center"/>
          </w:tcPr>
          <w:p>
            <w:pPr>
              <w:pStyle w:val="297"/>
              <w:rPr>
                <w:b/>
                <w:bCs/>
                <w:color w:val="000000" w:themeColor="text1"/>
                <w:highlight w:val="none"/>
                <w14:textFill>
                  <w14:solidFill>
                    <w14:schemeClr w14:val="tx1"/>
                  </w14:solidFill>
                </w14:textFill>
              </w:rPr>
            </w:pPr>
          </w:p>
        </w:tc>
        <w:tc>
          <w:tcPr>
            <w:tcW w:w="91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涉及内容</w:t>
            </w:r>
          </w:p>
        </w:tc>
        <w:tc>
          <w:tcPr>
            <w:tcW w:w="51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00"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石化、化工、医药、轻工、化纤、有色冶炼等</w:t>
            </w:r>
          </w:p>
        </w:tc>
        <w:tc>
          <w:tcPr>
            <w:tcW w:w="232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涉及光气及光气化反应、电解工艺（氯碱）、氯化工艺、硝化工艺、合成氨工艺、裂解（裂化）工艺、氟化工艺、加氢工艺、重氮化工艺、氧化工艺、胺基化工艺、磺化工艺、聚合工艺、烷基化工艺、新型煤化工工艺、电石生产工艺、偶氮化工艺</w:t>
            </w:r>
          </w:p>
        </w:tc>
        <w:tc>
          <w:tcPr>
            <w:tcW w:w="5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10/套</w:t>
            </w:r>
          </w:p>
        </w:tc>
        <w:tc>
          <w:tcPr>
            <w:tcW w:w="9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c>
          <w:tcPr>
            <w:tcW w:w="5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00" w:type="pct"/>
            <w:vMerge w:val="continue"/>
            <w:vAlign w:val="center"/>
          </w:tcPr>
          <w:p>
            <w:pPr>
              <w:pStyle w:val="297"/>
              <w:rPr>
                <w:color w:val="000000" w:themeColor="text1"/>
                <w:highlight w:val="none"/>
                <w14:textFill>
                  <w14:solidFill>
                    <w14:schemeClr w14:val="tx1"/>
                  </w14:solidFill>
                </w14:textFill>
              </w:rPr>
            </w:pPr>
          </w:p>
        </w:tc>
        <w:tc>
          <w:tcPr>
            <w:tcW w:w="232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无机酸制酸工艺、焦化工艺</w:t>
            </w:r>
          </w:p>
        </w:tc>
        <w:tc>
          <w:tcPr>
            <w:tcW w:w="5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5/套</w:t>
            </w:r>
          </w:p>
        </w:tc>
        <w:tc>
          <w:tcPr>
            <w:tcW w:w="9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c>
          <w:tcPr>
            <w:tcW w:w="5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00" w:type="pct"/>
            <w:vMerge w:val="continue"/>
            <w:vAlign w:val="center"/>
          </w:tcPr>
          <w:p>
            <w:pPr>
              <w:pStyle w:val="297"/>
              <w:rPr>
                <w:color w:val="000000" w:themeColor="text1"/>
                <w:highlight w:val="none"/>
                <w14:textFill>
                  <w14:solidFill>
                    <w14:schemeClr w14:val="tx1"/>
                  </w14:solidFill>
                </w14:textFill>
              </w:rPr>
            </w:pPr>
          </w:p>
        </w:tc>
        <w:tc>
          <w:tcPr>
            <w:tcW w:w="232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其他高温或高压、且涉及危险物质的工艺过程</w:t>
            </w:r>
            <w:r>
              <w:rPr>
                <w:color w:val="000000" w:themeColor="text1"/>
                <w:highlight w:val="none"/>
                <w:vertAlign w:val="superscript"/>
                <w14:textFill>
                  <w14:solidFill>
                    <w14:schemeClr w14:val="tx1"/>
                  </w14:solidFill>
                </w14:textFill>
              </w:rPr>
              <w:t>a</w:t>
            </w:r>
            <w:r>
              <w:rPr>
                <w:color w:val="000000" w:themeColor="text1"/>
                <w:highlight w:val="none"/>
                <w14:textFill>
                  <w14:solidFill>
                    <w14:schemeClr w14:val="tx1"/>
                  </w14:solidFill>
                </w14:textFill>
              </w:rPr>
              <w:t>、危险物质储存罐区</w:t>
            </w:r>
          </w:p>
        </w:tc>
        <w:tc>
          <w:tcPr>
            <w:tcW w:w="5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5/套（罐区）</w:t>
            </w:r>
          </w:p>
        </w:tc>
        <w:tc>
          <w:tcPr>
            <w:tcW w:w="9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c>
          <w:tcPr>
            <w:tcW w:w="5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0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管道、码头/港口等</w:t>
            </w:r>
          </w:p>
        </w:tc>
        <w:tc>
          <w:tcPr>
            <w:tcW w:w="232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涉及危险物质管道运输项目、港口/码头等</w:t>
            </w:r>
          </w:p>
        </w:tc>
        <w:tc>
          <w:tcPr>
            <w:tcW w:w="5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9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c>
          <w:tcPr>
            <w:tcW w:w="5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0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石油天然气</w:t>
            </w:r>
          </w:p>
        </w:tc>
        <w:tc>
          <w:tcPr>
            <w:tcW w:w="2326" w:type="pc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石油、天然气、页岩气开采（含净化），气库（不含加气站的气库），油库（不含加气站的油库）、油气管线b（不含城镇燃气管线）</w:t>
            </w:r>
          </w:p>
        </w:tc>
        <w:tc>
          <w:tcPr>
            <w:tcW w:w="5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9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天然气开采</w:t>
            </w:r>
          </w:p>
        </w:tc>
        <w:tc>
          <w:tcPr>
            <w:tcW w:w="5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00"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w:t>
            </w:r>
          </w:p>
        </w:tc>
        <w:tc>
          <w:tcPr>
            <w:tcW w:w="232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涉及危险物质使用、贮存的项目</w:t>
            </w:r>
          </w:p>
        </w:tc>
        <w:tc>
          <w:tcPr>
            <w:tcW w:w="54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c>
          <w:tcPr>
            <w:tcW w:w="9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不涉及</w:t>
            </w:r>
          </w:p>
        </w:tc>
        <w:tc>
          <w:tcPr>
            <w:tcW w:w="5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4487" w:type="pct"/>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5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000" w:type="pct"/>
            <w:gridSpan w:val="5"/>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a：高温指工艺温度≥300℃，高压指压力容器的设计压力（P）≥10.0MPa；</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b：长输管道运输项目应按站场、管线分段进行评价。</w:t>
            </w:r>
          </w:p>
        </w:tc>
      </w:tr>
    </w:tbl>
    <w:p>
      <w:pPr>
        <w:spacing w:before="120" w:beforeLines="50"/>
        <w:ind w:firstLine="480"/>
        <w:rPr>
          <w:rFonts w:cs="Times New Roman"/>
          <w:bCs/>
          <w:color w:val="000000" w:themeColor="text1"/>
          <w:szCs w:val="20"/>
          <w:highlight w:val="none"/>
          <w:lang w:val="zh-CN"/>
          <w14:textFill>
            <w14:solidFill>
              <w14:schemeClr w14:val="tx1"/>
            </w14:solidFill>
          </w14:textFill>
        </w:rPr>
      </w:pPr>
      <w:r>
        <w:rPr>
          <w:rFonts w:cs="Times New Roman"/>
          <w:bCs/>
          <w:color w:val="000000" w:themeColor="text1"/>
          <w:szCs w:val="20"/>
          <w:highlight w:val="none"/>
          <w14:textFill>
            <w14:solidFill>
              <w14:schemeClr w14:val="tx1"/>
            </w14:solidFill>
          </w14:textFill>
        </w:rPr>
        <w:t>根据《建设项目环境风险评价技术导则》（HJ 169-2018）附录C中表C.1计算结果，本项目行业及生产工艺（M）值为10，属于M</w:t>
      </w:r>
      <w:r>
        <w:rPr>
          <w:rFonts w:hint="eastAsia" w:cs="Times New Roman"/>
          <w:bCs/>
          <w:color w:val="000000" w:themeColor="text1"/>
          <w:szCs w:val="20"/>
          <w:highlight w:val="none"/>
          <w14:textFill>
            <w14:solidFill>
              <w14:schemeClr w14:val="tx1"/>
            </w14:solidFill>
          </w14:textFill>
        </w:rPr>
        <w:t>3</w:t>
      </w:r>
      <w:r>
        <w:rPr>
          <w:rFonts w:cs="Times New Roman"/>
          <w:bCs/>
          <w:color w:val="000000" w:themeColor="text1"/>
          <w:szCs w:val="20"/>
          <w:highlight w:val="none"/>
          <w14:textFill>
            <w14:solidFill>
              <w14:schemeClr w14:val="tx1"/>
            </w14:solidFill>
          </w14:textFill>
        </w:rPr>
        <w:t>（5＜M3≤10）等级。</w:t>
      </w:r>
    </w:p>
    <w:p>
      <w:pPr>
        <w:ind w:firstLine="480"/>
        <w:rPr>
          <w:rFonts w:cs="Times New Roman"/>
          <w:bCs/>
          <w:color w:val="000000" w:themeColor="text1"/>
          <w:szCs w:val="20"/>
          <w:highlight w:val="none"/>
          <w:lang w:val="zh-CN"/>
          <w14:textFill>
            <w14:solidFill>
              <w14:schemeClr w14:val="tx1"/>
            </w14:solidFill>
          </w14:textFill>
        </w:rPr>
      </w:pPr>
      <w:r>
        <w:rPr>
          <w:rFonts w:cs="Times New Roman"/>
          <w:bCs/>
          <w:color w:val="000000" w:themeColor="text1"/>
          <w:szCs w:val="20"/>
          <w:highlight w:val="none"/>
          <w:lang w:val="zh-CN"/>
          <w14:textFill>
            <w14:solidFill>
              <w14:schemeClr w14:val="tx1"/>
            </w14:solidFill>
          </w14:textFill>
        </w:rPr>
        <w:t>（3）P值的确定</w:t>
      </w:r>
    </w:p>
    <w:p>
      <w:pPr>
        <w:ind w:firstLine="480"/>
        <w:rPr>
          <w:rFonts w:cs="Times New Roman"/>
          <w:bCs/>
          <w:color w:val="000000" w:themeColor="text1"/>
          <w:szCs w:val="20"/>
          <w:highlight w:val="none"/>
          <w:lang w:val="zh-CN"/>
          <w14:textFill>
            <w14:solidFill>
              <w14:schemeClr w14:val="tx1"/>
            </w14:solidFill>
          </w14:textFill>
        </w:rPr>
      </w:pPr>
      <w:r>
        <w:rPr>
          <w:rFonts w:cs="Times New Roman"/>
          <w:bCs/>
          <w:color w:val="000000" w:themeColor="text1"/>
          <w:szCs w:val="20"/>
          <w:highlight w:val="none"/>
          <w14:textFill>
            <w14:solidFill>
              <w14:schemeClr w14:val="tx1"/>
            </w14:solidFill>
          </w14:textFill>
        </w:rPr>
        <w:t>根据《建设项目环境风险评价技术导则》（HJ 169－2018）附录C中P的确定依据，项目危险物质及工艺系统危害性（P）的等级P4。</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本项目危险物质及工艺系统危害性等级判断</w:t>
      </w:r>
    </w:p>
    <w:tbl>
      <w:tblPr>
        <w:tblStyle w:val="54"/>
        <w:tblW w:w="85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82"/>
        <w:gridCol w:w="1107"/>
        <w:gridCol w:w="1711"/>
        <w:gridCol w:w="1709"/>
        <w:gridCol w:w="1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2" w:hRule="exact"/>
          <w:jc w:val="center"/>
        </w:trPr>
        <w:tc>
          <w:tcPr>
            <w:tcW w:w="2282" w:type="dxa"/>
            <w:vMerge w:val="restart"/>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危险物质数量与临界量的比值（Q）</w:t>
            </w:r>
          </w:p>
        </w:tc>
        <w:tc>
          <w:tcPr>
            <w:tcW w:w="6235" w:type="dxa"/>
            <w:gridSpan w:val="4"/>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行业及生产工艺（M）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exact"/>
          <w:jc w:val="center"/>
        </w:trPr>
        <w:tc>
          <w:tcPr>
            <w:tcW w:w="2282" w:type="dxa"/>
            <w:vMerge w:val="continue"/>
          </w:tcPr>
          <w:p>
            <w:pPr>
              <w:pStyle w:val="297"/>
              <w:rPr>
                <w:b/>
                <w:bCs/>
                <w:color w:val="000000" w:themeColor="text1"/>
                <w:highlight w:val="none"/>
                <w14:textFill>
                  <w14:solidFill>
                    <w14:schemeClr w14:val="tx1"/>
                  </w14:solidFill>
                </w14:textFill>
              </w:rPr>
            </w:pPr>
          </w:p>
        </w:tc>
        <w:tc>
          <w:tcPr>
            <w:tcW w:w="1107" w:type="dxa"/>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M1</w:t>
            </w:r>
          </w:p>
        </w:tc>
        <w:tc>
          <w:tcPr>
            <w:tcW w:w="1711" w:type="dxa"/>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M2</w:t>
            </w:r>
          </w:p>
        </w:tc>
        <w:tc>
          <w:tcPr>
            <w:tcW w:w="1709" w:type="dxa"/>
          </w:tcPr>
          <w:p>
            <w:pPr>
              <w:pStyle w:val="297"/>
              <w:rPr>
                <w:b/>
                <w:bCs/>
                <w:color w:val="000000" w:themeColor="text1"/>
                <w:highlight w:val="none"/>
                <w14:textFill>
                  <w14:solidFill>
                    <w14:schemeClr w14:val="tx1"/>
                  </w14:solidFill>
                </w14:textFill>
              </w:rPr>
            </w:pPr>
            <w:r>
              <w:rPr>
                <w:b/>
                <w:bCs/>
                <w:color w:val="000000" w:themeColor="text1"/>
                <w:highlight w:val="none"/>
                <w:shd w:val="pct10" w:color="auto" w:fill="FFFFFF"/>
                <w14:textFill>
                  <w14:solidFill>
                    <w14:schemeClr w14:val="tx1"/>
                  </w14:solidFill>
                </w14:textFill>
              </w:rPr>
              <w:t>M3</w:t>
            </w:r>
          </w:p>
        </w:tc>
        <w:tc>
          <w:tcPr>
            <w:tcW w:w="1708" w:type="dxa"/>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M4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2" w:hRule="exact"/>
          <w:jc w:val="center"/>
        </w:trPr>
        <w:tc>
          <w:tcPr>
            <w:tcW w:w="2282"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Q≥100</w:t>
            </w:r>
          </w:p>
        </w:tc>
        <w:tc>
          <w:tcPr>
            <w:tcW w:w="1107"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P1</w:t>
            </w:r>
          </w:p>
        </w:tc>
        <w:tc>
          <w:tcPr>
            <w:tcW w:w="171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P1</w:t>
            </w:r>
          </w:p>
        </w:tc>
        <w:tc>
          <w:tcPr>
            <w:tcW w:w="1709"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P2</w:t>
            </w:r>
          </w:p>
        </w:tc>
        <w:tc>
          <w:tcPr>
            <w:tcW w:w="1708"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2" w:hRule="exact"/>
          <w:jc w:val="center"/>
        </w:trPr>
        <w:tc>
          <w:tcPr>
            <w:tcW w:w="2282"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10≤Q＜100</w:t>
            </w:r>
          </w:p>
        </w:tc>
        <w:tc>
          <w:tcPr>
            <w:tcW w:w="1107"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P1</w:t>
            </w:r>
          </w:p>
        </w:tc>
        <w:tc>
          <w:tcPr>
            <w:tcW w:w="171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P2</w:t>
            </w:r>
          </w:p>
        </w:tc>
        <w:tc>
          <w:tcPr>
            <w:tcW w:w="1709"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P3</w:t>
            </w:r>
          </w:p>
        </w:tc>
        <w:tc>
          <w:tcPr>
            <w:tcW w:w="1708"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4" w:hRule="exact"/>
          <w:jc w:val="center"/>
        </w:trPr>
        <w:tc>
          <w:tcPr>
            <w:tcW w:w="2282" w:type="dxa"/>
          </w:tcPr>
          <w:p>
            <w:pPr>
              <w:pStyle w:val="297"/>
              <w:rPr>
                <w:color w:val="000000" w:themeColor="text1"/>
                <w:highlight w:val="none"/>
                <w14:textFill>
                  <w14:solidFill>
                    <w14:schemeClr w14:val="tx1"/>
                  </w14:solidFill>
                </w14:textFill>
              </w:rPr>
            </w:pPr>
            <w:r>
              <w:rPr>
                <w:color w:val="000000" w:themeColor="text1"/>
                <w:highlight w:val="none"/>
                <w:shd w:val="pct10" w:color="auto" w:fill="FFFFFF"/>
                <w14:textFill>
                  <w14:solidFill>
                    <w14:schemeClr w14:val="tx1"/>
                  </w14:solidFill>
                </w14:textFill>
              </w:rPr>
              <w:t>1≤Q＜10</w:t>
            </w:r>
          </w:p>
        </w:tc>
        <w:tc>
          <w:tcPr>
            <w:tcW w:w="1107"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P2</w:t>
            </w:r>
          </w:p>
        </w:tc>
        <w:tc>
          <w:tcPr>
            <w:tcW w:w="1711"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P3</w:t>
            </w:r>
          </w:p>
        </w:tc>
        <w:tc>
          <w:tcPr>
            <w:tcW w:w="1709" w:type="dxa"/>
          </w:tcPr>
          <w:p>
            <w:pPr>
              <w:pStyle w:val="297"/>
              <w:rPr>
                <w:color w:val="000000" w:themeColor="text1"/>
                <w:highlight w:val="none"/>
                <w14:textFill>
                  <w14:solidFill>
                    <w14:schemeClr w14:val="tx1"/>
                  </w14:solidFill>
                </w14:textFill>
              </w:rPr>
            </w:pPr>
            <w:r>
              <w:rPr>
                <w:color w:val="000000" w:themeColor="text1"/>
                <w:highlight w:val="none"/>
                <w:shd w:val="pct10" w:color="auto" w:fill="FFFFFF"/>
                <w14:textFill>
                  <w14:solidFill>
                    <w14:schemeClr w14:val="tx1"/>
                  </w14:solidFill>
                </w14:textFill>
              </w:rPr>
              <w:t>P4</w:t>
            </w:r>
          </w:p>
        </w:tc>
        <w:tc>
          <w:tcPr>
            <w:tcW w:w="1708" w:type="dxa"/>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P4</w:t>
            </w:r>
          </w:p>
        </w:tc>
      </w:tr>
    </w:tbl>
    <w:p>
      <w:pPr>
        <w:pStyle w:val="4"/>
        <w:spacing w:before="120"/>
        <w:ind w:firstLine="480"/>
        <w:rPr>
          <w:b/>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环境敏感程度（E）的确定</w:t>
      </w:r>
    </w:p>
    <w:p>
      <w:pPr>
        <w:ind w:firstLine="482"/>
        <w:rPr>
          <w:rFonts w:cs="Times New Roman"/>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1、大气环境</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周边5km范围内居住区、医疗卫生、文化教育、科研、行政办公等机构人口总数大于1万人，小于5万人；无其他需要特殊保护的地区；周边500m范围内人口总数为小于500人。根据《建设项目环境风险评价技术导则》（HJ 169－2018）附录D，项目大气环境敏感程度为环境</w:t>
      </w:r>
      <w:r>
        <w:rPr>
          <w:rFonts w:hint="eastAsia" w:cs="Times New Roman"/>
          <w:bCs/>
          <w:color w:val="000000" w:themeColor="text1"/>
          <w:szCs w:val="24"/>
          <w:highlight w:val="none"/>
          <w14:textFill>
            <w14:solidFill>
              <w14:schemeClr w14:val="tx1"/>
            </w14:solidFill>
          </w14:textFill>
        </w:rPr>
        <w:t>中</w:t>
      </w:r>
      <w:r>
        <w:rPr>
          <w:rFonts w:cs="Times New Roman"/>
          <w:bCs/>
          <w:color w:val="000000" w:themeColor="text1"/>
          <w:szCs w:val="24"/>
          <w:highlight w:val="none"/>
          <w14:textFill>
            <w14:solidFill>
              <w14:schemeClr w14:val="tx1"/>
            </w14:solidFill>
          </w14:textFill>
        </w:rPr>
        <w:t>度敏感区（E2）。</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2、地表水环境</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本项目废水不外排，发生风险事故后，危险物质可能进入周边冲沟，区域地表水环境功能为Ⅲ类水体，因此地表水环境敏感特征为F2，环境敏感目标分级为S3。根据《建设项目环境风险评价技术导则》（HJ 169－2018）附录D，项目地表水环境敏感程度为环境中度敏感区（E2）。</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3、地下水环境</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本项目所在区域地下水敏感程度为较敏感（G2），包气带防污性能分级为Mb≥1.0m，1×10</w:t>
      </w:r>
      <w:r>
        <w:rPr>
          <w:rFonts w:cs="Times New Roman"/>
          <w:bCs/>
          <w:color w:val="000000" w:themeColor="text1"/>
          <w:szCs w:val="24"/>
          <w:highlight w:val="none"/>
          <w:vertAlign w:val="superscript"/>
          <w14:textFill>
            <w14:solidFill>
              <w14:schemeClr w14:val="tx1"/>
            </w14:solidFill>
          </w14:textFill>
        </w:rPr>
        <w:t>-6</w:t>
      </w:r>
      <w:r>
        <w:rPr>
          <w:rFonts w:cs="Times New Roman"/>
          <w:bCs/>
          <w:color w:val="000000" w:themeColor="text1"/>
          <w:szCs w:val="24"/>
          <w:highlight w:val="none"/>
          <w14:textFill>
            <w14:solidFill>
              <w14:schemeClr w14:val="tx1"/>
            </w14:solidFill>
          </w14:textFill>
        </w:rPr>
        <w:t>cm/s≤K≤1×10</w:t>
      </w:r>
      <w:r>
        <w:rPr>
          <w:rFonts w:cs="Times New Roman"/>
          <w:bCs/>
          <w:color w:val="000000" w:themeColor="text1"/>
          <w:szCs w:val="24"/>
          <w:highlight w:val="none"/>
          <w:vertAlign w:val="superscript"/>
          <w14:textFill>
            <w14:solidFill>
              <w14:schemeClr w14:val="tx1"/>
            </w14:solidFill>
          </w14:textFill>
        </w:rPr>
        <w:t>-4</w:t>
      </w:r>
      <w:r>
        <w:rPr>
          <w:rFonts w:cs="Times New Roman"/>
          <w:bCs/>
          <w:color w:val="000000" w:themeColor="text1"/>
          <w:szCs w:val="24"/>
          <w:highlight w:val="none"/>
          <w14:textFill>
            <w14:solidFill>
              <w14:schemeClr w14:val="tx1"/>
            </w14:solidFill>
          </w14:textFill>
        </w:rPr>
        <w:t>cm/s，且分布连续、稳定（D2）。根据《建设项目环境风险评价技术导则》（HJ 169－2018）附录D，项目地下水环境敏感程度为环境中度敏感区（E2）。</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综上，本项目各环境要素环境敏感程度分级及根据导则要求的环境风险潜势划分情况见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_Ref142859131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11</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58" w:name="_Ref14285913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11</w:t>
      </w:r>
      <w:r>
        <w:rPr>
          <w:color w:val="000000" w:themeColor="text1"/>
          <w:highlight w:val="none"/>
          <w14:textFill>
            <w14:solidFill>
              <w14:schemeClr w14:val="tx1"/>
            </w14:solidFill>
          </w14:textFill>
        </w:rPr>
        <w:fldChar w:fldCharType="end"/>
      </w:r>
      <w:bookmarkEnd w:id="358"/>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本项目环境风险潜势表</w:t>
      </w:r>
    </w:p>
    <w:tbl>
      <w:tblPr>
        <w:tblStyle w:val="54"/>
        <w:tblW w:w="86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540"/>
        <w:gridCol w:w="1416"/>
        <w:gridCol w:w="994"/>
        <w:gridCol w:w="849"/>
        <w:gridCol w:w="18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54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环境要素</w:t>
            </w:r>
          </w:p>
        </w:tc>
        <w:tc>
          <w:tcPr>
            <w:tcW w:w="141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大气环境</w:t>
            </w:r>
          </w:p>
        </w:tc>
        <w:tc>
          <w:tcPr>
            <w:tcW w:w="994"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地表水环境</w:t>
            </w:r>
          </w:p>
        </w:tc>
        <w:tc>
          <w:tcPr>
            <w:tcW w:w="849"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地下水环境</w:t>
            </w:r>
          </w:p>
        </w:tc>
        <w:tc>
          <w:tcPr>
            <w:tcW w:w="183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本项目环境风险</w:t>
            </w:r>
          </w:p>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潜势综合等级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54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危险物质及工艺系统危险性（P）</w:t>
            </w:r>
          </w:p>
        </w:tc>
        <w:tc>
          <w:tcPr>
            <w:tcW w:w="5091" w:type="dxa"/>
            <w:gridSpan w:val="4"/>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54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敏感度（E）</w:t>
            </w:r>
          </w:p>
        </w:tc>
        <w:tc>
          <w:tcPr>
            <w:tcW w:w="141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E2</w:t>
            </w:r>
          </w:p>
        </w:tc>
        <w:tc>
          <w:tcPr>
            <w:tcW w:w="99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E2</w:t>
            </w:r>
          </w:p>
        </w:tc>
        <w:tc>
          <w:tcPr>
            <w:tcW w:w="849"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E2</w:t>
            </w:r>
          </w:p>
        </w:tc>
        <w:tc>
          <w:tcPr>
            <w:tcW w:w="183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54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环境风险潜势</w:t>
            </w:r>
          </w:p>
        </w:tc>
        <w:tc>
          <w:tcPr>
            <w:tcW w:w="1416" w:type="dxa"/>
            <w:vAlign w:val="center"/>
          </w:tcPr>
          <w:p>
            <w:pPr>
              <w:pStyle w:val="297"/>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fldChar w:fldCharType="begin"/>
            </w:r>
            <w:r>
              <w:rPr>
                <w:snapToGrid w:val="0"/>
                <w:color w:val="000000" w:themeColor="text1"/>
                <w:highlight w:val="none"/>
                <w14:textFill>
                  <w14:solidFill>
                    <w14:schemeClr w14:val="tx1"/>
                  </w14:solidFill>
                </w14:textFill>
              </w:rPr>
              <w:instrText xml:space="preserve"> = 2 \* ROMAN </w:instrText>
            </w:r>
            <w:r>
              <w:rPr>
                <w:snapToGrid w:val="0"/>
                <w:color w:val="000000" w:themeColor="text1"/>
                <w:highlight w:val="none"/>
                <w14:textFill>
                  <w14:solidFill>
                    <w14:schemeClr w14:val="tx1"/>
                  </w14:solidFill>
                </w14:textFill>
              </w:rPr>
              <w:fldChar w:fldCharType="separate"/>
            </w:r>
            <w:r>
              <w:rPr>
                <w:snapToGrid w:val="0"/>
                <w:color w:val="000000" w:themeColor="text1"/>
                <w:highlight w:val="none"/>
                <w14:textFill>
                  <w14:solidFill>
                    <w14:schemeClr w14:val="tx1"/>
                  </w14:solidFill>
                </w14:textFill>
              </w:rPr>
              <w:t>II</w:t>
            </w:r>
            <w:r>
              <w:rPr>
                <w:snapToGrid w:val="0"/>
                <w:color w:val="000000" w:themeColor="text1"/>
                <w:highlight w:val="none"/>
                <w14:textFill>
                  <w14:solidFill>
                    <w14:schemeClr w14:val="tx1"/>
                  </w14:solidFill>
                </w14:textFill>
              </w:rPr>
              <w:fldChar w:fldCharType="end"/>
            </w:r>
          </w:p>
        </w:tc>
        <w:tc>
          <w:tcPr>
            <w:tcW w:w="994" w:type="dxa"/>
            <w:vAlign w:val="center"/>
          </w:tcPr>
          <w:p>
            <w:pPr>
              <w:pStyle w:val="297"/>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fldChar w:fldCharType="begin"/>
            </w:r>
            <w:r>
              <w:rPr>
                <w:snapToGrid w:val="0"/>
                <w:color w:val="000000" w:themeColor="text1"/>
                <w:highlight w:val="none"/>
                <w14:textFill>
                  <w14:solidFill>
                    <w14:schemeClr w14:val="tx1"/>
                  </w14:solidFill>
                </w14:textFill>
              </w:rPr>
              <w:instrText xml:space="preserve"> = 2 \* ROMAN </w:instrText>
            </w:r>
            <w:r>
              <w:rPr>
                <w:snapToGrid w:val="0"/>
                <w:color w:val="000000" w:themeColor="text1"/>
                <w:highlight w:val="none"/>
                <w14:textFill>
                  <w14:solidFill>
                    <w14:schemeClr w14:val="tx1"/>
                  </w14:solidFill>
                </w14:textFill>
              </w:rPr>
              <w:fldChar w:fldCharType="separate"/>
            </w:r>
            <w:r>
              <w:rPr>
                <w:snapToGrid w:val="0"/>
                <w:color w:val="000000" w:themeColor="text1"/>
                <w:highlight w:val="none"/>
                <w14:textFill>
                  <w14:solidFill>
                    <w14:schemeClr w14:val="tx1"/>
                  </w14:solidFill>
                </w14:textFill>
              </w:rPr>
              <w:t>II</w:t>
            </w:r>
            <w:r>
              <w:rPr>
                <w:snapToGrid w:val="0"/>
                <w:color w:val="000000" w:themeColor="text1"/>
                <w:highlight w:val="none"/>
                <w14:textFill>
                  <w14:solidFill>
                    <w14:schemeClr w14:val="tx1"/>
                  </w14:solidFill>
                </w14:textFill>
              </w:rPr>
              <w:fldChar w:fldCharType="end"/>
            </w:r>
          </w:p>
        </w:tc>
        <w:tc>
          <w:tcPr>
            <w:tcW w:w="849" w:type="dxa"/>
            <w:vAlign w:val="center"/>
          </w:tcPr>
          <w:p>
            <w:pPr>
              <w:pStyle w:val="297"/>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fldChar w:fldCharType="begin"/>
            </w:r>
            <w:r>
              <w:rPr>
                <w:snapToGrid w:val="0"/>
                <w:color w:val="000000" w:themeColor="text1"/>
                <w:highlight w:val="none"/>
                <w14:textFill>
                  <w14:solidFill>
                    <w14:schemeClr w14:val="tx1"/>
                  </w14:solidFill>
                </w14:textFill>
              </w:rPr>
              <w:instrText xml:space="preserve"> = 2 \* ROMAN </w:instrText>
            </w:r>
            <w:r>
              <w:rPr>
                <w:snapToGrid w:val="0"/>
                <w:color w:val="000000" w:themeColor="text1"/>
                <w:highlight w:val="none"/>
                <w14:textFill>
                  <w14:solidFill>
                    <w14:schemeClr w14:val="tx1"/>
                  </w14:solidFill>
                </w14:textFill>
              </w:rPr>
              <w:fldChar w:fldCharType="separate"/>
            </w:r>
            <w:r>
              <w:rPr>
                <w:snapToGrid w:val="0"/>
                <w:color w:val="000000" w:themeColor="text1"/>
                <w:highlight w:val="none"/>
                <w14:textFill>
                  <w14:solidFill>
                    <w14:schemeClr w14:val="tx1"/>
                  </w14:solidFill>
                </w14:textFill>
              </w:rPr>
              <w:t>II</w:t>
            </w:r>
            <w:r>
              <w:rPr>
                <w:snapToGrid w:val="0"/>
                <w:color w:val="000000" w:themeColor="text1"/>
                <w:highlight w:val="none"/>
                <w14:textFill>
                  <w14:solidFill>
                    <w14:schemeClr w14:val="tx1"/>
                  </w14:solidFill>
                </w14:textFill>
              </w:rPr>
              <w:fldChar w:fldCharType="end"/>
            </w:r>
          </w:p>
        </w:tc>
        <w:tc>
          <w:tcPr>
            <w:tcW w:w="1832" w:type="dxa"/>
            <w:vAlign w:val="center"/>
          </w:tcPr>
          <w:p>
            <w:pPr>
              <w:pStyle w:val="297"/>
              <w:rPr>
                <w:color w:val="000000" w:themeColor="text1"/>
                <w:highlight w:val="none"/>
                <w14:textFill>
                  <w14:solidFill>
                    <w14:schemeClr w14:val="tx1"/>
                  </w14:solidFill>
                </w14:textFill>
              </w:rPr>
            </w:pPr>
            <w:r>
              <w:rPr>
                <w:snapToGrid w:val="0"/>
                <w:color w:val="000000" w:themeColor="text1"/>
                <w:highlight w:val="none"/>
                <w14:textFill>
                  <w14:solidFill>
                    <w14:schemeClr w14:val="tx1"/>
                  </w14:solidFill>
                </w14:textFill>
              </w:rPr>
              <w:fldChar w:fldCharType="begin"/>
            </w:r>
            <w:r>
              <w:rPr>
                <w:snapToGrid w:val="0"/>
                <w:color w:val="000000" w:themeColor="text1"/>
                <w:highlight w:val="none"/>
                <w14:textFill>
                  <w14:solidFill>
                    <w14:schemeClr w14:val="tx1"/>
                  </w14:solidFill>
                </w14:textFill>
              </w:rPr>
              <w:instrText xml:space="preserve"> = 2 \* ROMAN </w:instrText>
            </w:r>
            <w:r>
              <w:rPr>
                <w:snapToGrid w:val="0"/>
                <w:color w:val="000000" w:themeColor="text1"/>
                <w:highlight w:val="none"/>
                <w14:textFill>
                  <w14:solidFill>
                    <w14:schemeClr w14:val="tx1"/>
                  </w14:solidFill>
                </w14:textFill>
              </w:rPr>
              <w:fldChar w:fldCharType="separate"/>
            </w:r>
            <w:r>
              <w:rPr>
                <w:snapToGrid w:val="0"/>
                <w:color w:val="000000" w:themeColor="text1"/>
                <w:highlight w:val="none"/>
                <w14:textFill>
                  <w14:solidFill>
                    <w14:schemeClr w14:val="tx1"/>
                  </w14:solidFill>
                </w14:textFill>
              </w:rPr>
              <w:t>II</w:t>
            </w:r>
            <w:r>
              <w:rPr>
                <w:snapToGrid w:val="0"/>
                <w:color w:val="000000" w:themeColor="text1"/>
                <w:highlight w:val="none"/>
                <w14:textFill>
                  <w14:solidFill>
                    <w14:schemeClr w14:val="tx1"/>
                  </w14:solidFill>
                </w14:textFill>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31" w:type="dxa"/>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备注：建设项目环境风险潜势综合等级取各要素等级相对高值。</w:t>
            </w:r>
          </w:p>
        </w:tc>
      </w:tr>
    </w:tbl>
    <w:p>
      <w:pPr>
        <w:pStyle w:val="252"/>
        <w:adjustRightInd w:val="0"/>
        <w:snapToGrid w:val="0"/>
        <w:spacing w:before="120" w:beforeLines="50"/>
        <w:ind w:firstLine="480"/>
        <w:rPr>
          <w:bCs/>
          <w:snapToGrid w:val="0"/>
          <w:color w:val="000000" w:themeColor="text1"/>
          <w:highlight w:val="none"/>
          <w:lang w:val="zh-CN"/>
          <w14:textFill>
            <w14:solidFill>
              <w14:schemeClr w14:val="tx1"/>
            </w14:solidFill>
          </w14:textFill>
        </w:rPr>
      </w:pPr>
    </w:p>
    <w:p>
      <w:pPr>
        <w:pStyle w:val="4"/>
        <w:spacing w:before="0" w:beforeLines="0"/>
        <w:ind w:firstLine="480"/>
        <w:rPr>
          <w:b/>
          <w:color w:val="000000" w:themeColor="text1"/>
          <w:highlight w:val="none"/>
          <w:lang w:eastAsia="zh-CN"/>
          <w14:textFill>
            <w14:solidFill>
              <w14:schemeClr w14:val="tx1"/>
            </w14:solidFill>
          </w14:textFill>
        </w:rPr>
      </w:pPr>
      <w:bookmarkStart w:id="359" w:name="_Toc120173173"/>
      <w:r>
        <w:rPr>
          <w:color w:val="000000" w:themeColor="text1"/>
          <w:highlight w:val="none"/>
          <w:lang w:eastAsia="zh-CN"/>
          <w14:textFill>
            <w14:solidFill>
              <w14:schemeClr w14:val="tx1"/>
            </w14:solidFill>
          </w14:textFill>
        </w:rPr>
        <w:t>评价工作等级</w:t>
      </w:r>
      <w:bookmarkEnd w:id="359"/>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评价等级根据《建设项目环境风险评价技术导则》（HJ169-2018）评价等级划分原则，建设项目环境风险评价工作等级判定标准表见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_Ref142859136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表</w:t>
      </w:r>
      <w:r>
        <w:rPr>
          <w:rFonts w:ascii="Times New Roman" w:hAnsi="Times New Roman"/>
          <w:bCs/>
          <w:color w:val="000000" w:themeColor="text1"/>
          <w:kern w:val="2"/>
          <w:highlight w:val="none"/>
          <w:lang w:eastAsia="zh-CN"/>
          <w14:textFill>
            <w14:solidFill>
              <w14:schemeClr w14:val="tx1"/>
            </w14:solidFill>
          </w14:textFill>
        </w:rPr>
        <w:t>6.1</w:t>
      </w:r>
      <w:r>
        <w:rPr>
          <w:rFonts w:ascii="Times New Roman" w:hAnsi="Times New Roman"/>
          <w:bCs/>
          <w:color w:val="000000" w:themeColor="text1"/>
          <w:kern w:val="2"/>
          <w:highlight w:val="none"/>
          <w:lang w:eastAsia="zh-CN"/>
          <w14:textFill>
            <w14:solidFill>
              <w14:schemeClr w14:val="tx1"/>
            </w14:solidFill>
          </w14:textFill>
        </w:rPr>
        <w:noBreakHyphen/>
      </w:r>
      <w:r>
        <w:rPr>
          <w:rFonts w:ascii="Times New Roman" w:hAnsi="Times New Roman"/>
          <w:bCs/>
          <w:color w:val="000000" w:themeColor="text1"/>
          <w:kern w:val="2"/>
          <w:highlight w:val="none"/>
          <w:lang w:eastAsia="zh-CN"/>
          <w14:textFill>
            <w14:solidFill>
              <w14:schemeClr w14:val="tx1"/>
            </w14:solidFill>
          </w14:textFill>
        </w:rPr>
        <w:t>12</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60" w:name="_Ref14285913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12</w:t>
      </w:r>
      <w:r>
        <w:rPr>
          <w:color w:val="000000" w:themeColor="text1"/>
          <w:highlight w:val="none"/>
          <w14:textFill>
            <w14:solidFill>
              <w14:schemeClr w14:val="tx1"/>
            </w14:solidFill>
          </w14:textFill>
        </w:rPr>
        <w:fldChar w:fldCharType="end"/>
      </w:r>
      <w:bookmarkEnd w:id="36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项目环境风险评价分级判定</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1586"/>
        <w:gridCol w:w="1601"/>
        <w:gridCol w:w="1916"/>
        <w:gridCol w:w="1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环境风险潜势</w:t>
            </w:r>
          </w:p>
        </w:tc>
        <w:tc>
          <w:tcPr>
            <w:tcW w:w="158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Ⅳ、Ⅴ</w:t>
            </w:r>
            <w:r>
              <w:rPr>
                <w:color w:val="000000" w:themeColor="text1"/>
                <w:highlight w:val="none"/>
                <w:vertAlign w:val="superscript"/>
                <w14:textFill>
                  <w14:solidFill>
                    <w14:schemeClr w14:val="tx1"/>
                  </w14:solidFill>
                </w14:textFill>
              </w:rPr>
              <w:t>+</w:t>
            </w:r>
          </w:p>
        </w:tc>
        <w:tc>
          <w:tcPr>
            <w:tcW w:w="16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Ⅲ</w:t>
            </w:r>
          </w:p>
        </w:tc>
        <w:tc>
          <w:tcPr>
            <w:tcW w:w="1916" w:type="dxa"/>
            <w:vAlign w:val="center"/>
          </w:tcPr>
          <w:p>
            <w:pPr>
              <w:pStyle w:val="297"/>
              <w:rPr>
                <w:color w:val="000000" w:themeColor="text1"/>
                <w:highlight w:val="none"/>
                <w:shd w:val="pct10" w:color="auto" w:fill="FFFFFF"/>
                <w14:textFill>
                  <w14:solidFill>
                    <w14:schemeClr w14:val="tx1"/>
                  </w14:solidFill>
                </w14:textFill>
              </w:rPr>
            </w:pPr>
            <w:r>
              <w:rPr>
                <w:color w:val="000000" w:themeColor="text1"/>
                <w:highlight w:val="none"/>
                <w:shd w:val="pct10" w:color="auto" w:fill="FFFFFF"/>
                <w14:textFill>
                  <w14:solidFill>
                    <w14:schemeClr w14:val="tx1"/>
                  </w14:solidFill>
                </w14:textFill>
              </w:rPr>
              <w:t>Ⅱ</w:t>
            </w:r>
          </w:p>
        </w:tc>
        <w:tc>
          <w:tcPr>
            <w:tcW w:w="156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5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评价工作等级</w:t>
            </w:r>
          </w:p>
        </w:tc>
        <w:tc>
          <w:tcPr>
            <w:tcW w:w="158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一</w:t>
            </w:r>
          </w:p>
        </w:tc>
        <w:tc>
          <w:tcPr>
            <w:tcW w:w="16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二</w:t>
            </w:r>
          </w:p>
        </w:tc>
        <w:tc>
          <w:tcPr>
            <w:tcW w:w="1916" w:type="dxa"/>
            <w:vAlign w:val="center"/>
          </w:tcPr>
          <w:p>
            <w:pPr>
              <w:pStyle w:val="297"/>
              <w:rPr>
                <w:color w:val="000000" w:themeColor="text1"/>
                <w:highlight w:val="none"/>
                <w:shd w:val="pct10" w:color="auto" w:fill="FFFFFF"/>
                <w14:textFill>
                  <w14:solidFill>
                    <w14:schemeClr w14:val="tx1"/>
                  </w14:solidFill>
                </w14:textFill>
              </w:rPr>
            </w:pPr>
            <w:r>
              <w:rPr>
                <w:color w:val="000000" w:themeColor="text1"/>
                <w:highlight w:val="none"/>
                <w:shd w:val="pct10" w:color="auto" w:fill="FFFFFF"/>
                <w14:textFill>
                  <w14:solidFill>
                    <w14:schemeClr w14:val="tx1"/>
                  </w14:solidFill>
                </w14:textFill>
              </w:rPr>
              <w:t>三</w:t>
            </w:r>
          </w:p>
        </w:tc>
        <w:tc>
          <w:tcPr>
            <w:tcW w:w="1564"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22" w:type="dxa"/>
            <w:gridSpan w:val="5"/>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 是相对于详细评价工作内容而言，在描述危险物质、环境影响途径、环境危害后果、</w:t>
            </w:r>
          </w:p>
          <w:p>
            <w:pPr>
              <w:pStyle w:val="297"/>
              <w:rPr>
                <w:color w:val="000000" w:themeColor="text1"/>
                <w:highlight w:val="none"/>
                <w:shd w:val="pct10" w:color="auto" w:fill="FFFFFF"/>
                <w14:textFill>
                  <w14:solidFill>
                    <w14:schemeClr w14:val="tx1"/>
                  </w14:solidFill>
                </w14:textFill>
              </w:rPr>
            </w:pPr>
            <w:r>
              <w:rPr>
                <w:color w:val="000000" w:themeColor="text1"/>
                <w:highlight w:val="none"/>
                <w14:textFill>
                  <w14:solidFill>
                    <w14:schemeClr w14:val="tx1"/>
                  </w14:solidFill>
                </w14:textFill>
              </w:rPr>
              <w:t>风险防范措施等方面给出定性的说明。</w:t>
            </w:r>
          </w:p>
        </w:tc>
      </w:tr>
    </w:tbl>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根据上述环境风险潜势初判结果，本项目需做</w:t>
      </w:r>
      <w:r>
        <w:rPr>
          <w:rFonts w:ascii="宋体" w:hAnsi="宋体" w:cs="Times New Roman"/>
          <w:color w:val="000000" w:themeColor="text1"/>
          <w:highlight w:val="none"/>
          <w14:textFill>
            <w14:solidFill>
              <w14:schemeClr w14:val="tx1"/>
            </w14:solidFill>
          </w14:textFill>
        </w:rPr>
        <w:t>“三级评价”</w:t>
      </w:r>
      <w:r>
        <w:rPr>
          <w:rFonts w:cs="Times New Roman"/>
          <w:color w:val="000000" w:themeColor="text1"/>
          <w:highlight w:val="none"/>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但考虑到硫化氢毒性较大，一旦发生井喷事故后对环境空气影响较大，进而会对周边居民生命财产安全造成影响，因此本次评价将环境风险评价等级中的大气</w:t>
      </w:r>
      <w:r>
        <w:rPr>
          <w:rFonts w:hint="eastAsia"/>
          <w:bCs/>
          <w:color w:val="000000" w:themeColor="text1"/>
          <w:highlight w:val="none"/>
          <w14:textFill>
            <w14:solidFill>
              <w14:schemeClr w14:val="tx1"/>
            </w14:solidFill>
          </w14:textFill>
        </w:rPr>
        <w:t>环境风险评价参照二级进行评价</w:t>
      </w:r>
      <w:r>
        <w:rPr>
          <w:bCs/>
          <w:color w:val="000000" w:themeColor="text1"/>
          <w:highlight w:val="none"/>
          <w14:textFill>
            <w14:solidFill>
              <w14:schemeClr w14:val="tx1"/>
            </w14:solidFill>
          </w14:textFill>
        </w:rPr>
        <w:t>，地下水环境、地表水环境仍为三级评价，因此本项目整体环境风险评价等级确定为二级</w:t>
      </w:r>
      <w:r>
        <w:rPr>
          <w:rFonts w:cs="Times New Roman"/>
          <w:color w:val="000000" w:themeColor="text1"/>
          <w:highlight w:val="none"/>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361" w:name="5.3.2环境敏感目标概况"/>
      <w:bookmarkEnd w:id="361"/>
      <w:bookmarkStart w:id="362" w:name="_Toc12796"/>
      <w:r>
        <w:rPr>
          <w:color w:val="000000" w:themeColor="text1"/>
          <w:highlight w:val="none"/>
          <w:lang w:eastAsia="zh-CN"/>
          <w14:textFill>
            <w14:solidFill>
              <w14:schemeClr w14:val="tx1"/>
            </w14:solidFill>
          </w14:textFill>
        </w:rPr>
        <w:t>环境敏感目标概况</w:t>
      </w:r>
      <w:bookmarkEnd w:id="362"/>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简单分析，不设置环境风险评价范围，只对涉及的危险物质、环境影响途径、环境危害、风险防范措施等方面给出定性的说明。</w:t>
      </w:r>
      <w:r>
        <w:rPr>
          <w:rFonts w:ascii="Times New Roman" w:hAnsi="Times New Roman"/>
          <w:bCs/>
          <w:color w:val="000000" w:themeColor="text1"/>
          <w:highlight w:val="none"/>
          <w:lang w:eastAsia="zh-CN"/>
          <w14:textFill>
            <w14:solidFill>
              <w14:schemeClr w14:val="tx1"/>
            </w14:solidFill>
          </w14:textFill>
        </w:rPr>
        <w:t>本项目外环境关系简单，无环境制约因素，项目与外环境相容</w:t>
      </w:r>
      <w:r>
        <w:rPr>
          <w:rFonts w:hint="eastAsia" w:ascii="Times New Roman" w:hAnsi="Times New Roman"/>
          <w:bCs/>
          <w:color w:val="000000" w:themeColor="text1"/>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本次环境风险重点调查井场周</w:t>
      </w:r>
      <w:r>
        <w:rPr>
          <w:rFonts w:ascii="Times New Roman" w:hAnsi="Times New Roman"/>
          <w:color w:val="000000" w:themeColor="text1"/>
          <w:highlight w:val="none"/>
          <w:lang w:eastAsia="zh-CN"/>
          <w14:textFill>
            <w14:solidFill>
              <w14:schemeClr w14:val="tx1"/>
            </w14:solidFill>
          </w14:textFill>
        </w:rPr>
        <w:t>边500m范围与管线沿线两侧200m范围，主要调查居民点、地表水、地下水等保护目</w:t>
      </w:r>
      <w:r>
        <w:rPr>
          <w:rFonts w:hint="eastAsia"/>
          <w:color w:val="000000" w:themeColor="text1"/>
          <w:highlight w:val="none"/>
          <w:lang w:eastAsia="zh-CN"/>
          <w14:textFill>
            <w14:solidFill>
              <w14:schemeClr w14:val="tx1"/>
            </w14:solidFill>
          </w14:textFill>
        </w:rPr>
        <w:t>标，具</w:t>
      </w:r>
      <w:r>
        <w:rPr>
          <w:rFonts w:hint="eastAsia" w:ascii="Times New Roman" w:hAnsi="Times New Roman"/>
          <w:bCs/>
          <w:color w:val="000000" w:themeColor="text1"/>
          <w:kern w:val="2"/>
          <w:highlight w:val="none"/>
          <w:lang w:eastAsia="zh-CN"/>
          <w14:textFill>
            <w14:solidFill>
              <w14:schemeClr w14:val="tx1"/>
            </w14:solidFill>
          </w14:textFill>
        </w:rPr>
        <w:t>体见前文</w:t>
      </w:r>
      <w:r>
        <w:rPr>
          <w:rFonts w:hint="eastAsia" w:ascii="Times New Roman" w:hAnsi="Times New Roman"/>
          <w:bCs/>
          <w:color w:val="000000" w:themeColor="text1"/>
          <w:kern w:val="2"/>
          <w:highlight w:val="none"/>
          <w:lang w:eastAsia="zh-CN"/>
          <w14:textFill>
            <w14:solidFill>
              <w14:schemeClr w14:val="tx1"/>
            </w14:solidFill>
          </w14:textFill>
        </w:rPr>
        <w:fldChar w:fldCharType="begin"/>
      </w:r>
      <w:r>
        <w:rPr>
          <w:rFonts w:hint="eastAsia" w:ascii="Times New Roman" w:hAnsi="Times New Roman"/>
          <w:bCs/>
          <w:color w:val="000000" w:themeColor="text1"/>
          <w:kern w:val="2"/>
          <w:highlight w:val="none"/>
          <w:lang w:eastAsia="zh-CN"/>
          <w14:textFill>
            <w14:solidFill>
              <w14:schemeClr w14:val="tx1"/>
            </w14:solidFill>
          </w14:textFill>
        </w:rPr>
        <w:instrText xml:space="preserve"> REF _Ref16837 \h </w:instrText>
      </w:r>
      <w:r>
        <w:rPr>
          <w:rFonts w:ascii="Times New Roman" w:hAnsi="Times New Roman"/>
          <w:bCs/>
          <w:color w:val="000000" w:themeColor="text1"/>
          <w:kern w:val="2"/>
          <w:highlight w:val="none"/>
          <w:lang w:eastAsia="zh-CN"/>
          <w14:textFill>
            <w14:solidFill>
              <w14:schemeClr w14:val="tx1"/>
            </w14:solidFill>
          </w14:textFill>
        </w:rPr>
        <w:instrText xml:space="preserve"> \* MERGEFORMAT </w:instrText>
      </w:r>
      <w:r>
        <w:rPr>
          <w:rFonts w:hint="eastAsia"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表</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w:instrText>
      </w:r>
      <w:r>
        <w:rPr>
          <w:rFonts w:hint="eastAsia" w:ascii="Times New Roman" w:hAnsi="Times New Roman"/>
          <w:bCs/>
          <w:color w:val="000000" w:themeColor="text1"/>
          <w:kern w:val="2"/>
          <w:highlight w:val="none"/>
          <w:lang w:eastAsia="zh-CN"/>
          <w14:textFill>
            <w14:solidFill>
              <w14:schemeClr w14:val="tx1"/>
            </w14:solidFill>
          </w14:textFill>
        </w:rPr>
        <w:instrText xml:space="preserve">STYLEREF 2 \s</w:instrText>
      </w:r>
      <w:r>
        <w:rPr>
          <w:rFonts w:ascii="Times New Roman" w:hAnsi="Times New Roman"/>
          <w:bCs/>
          <w:color w:val="000000" w:themeColor="text1"/>
          <w:kern w:val="2"/>
          <w:highlight w:val="none"/>
          <w:lang w:eastAsia="zh-CN"/>
          <w14:textFill>
            <w14:solidFill>
              <w14:schemeClr w14:val="tx1"/>
            </w14:solidFill>
          </w14:textFill>
        </w:rPr>
        <w:instrText xml:space="preserve">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2.9</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noBreakHyphen/>
      </w:r>
      <w:r>
        <w:rPr>
          <w:rFonts w:hint="eastAsia" w:ascii="Times New Roman" w:hAnsi="Times New Roman"/>
          <w:bCs/>
          <w:color w:val="000000" w:themeColor="text1"/>
          <w:kern w:val="2"/>
          <w:highlight w:val="none"/>
          <w:lang w:val="en-US" w:eastAsia="zh-CN"/>
          <w14:textFill>
            <w14:solidFill>
              <w14:schemeClr w14:val="tx1"/>
            </w14:solidFill>
          </w14:textFill>
        </w:rPr>
        <w:t>2</w:t>
      </w:r>
      <w:r>
        <w:rPr>
          <w:rFonts w:hint="eastAsia" w:ascii="Times New Roman" w:hAnsi="Times New Roman"/>
          <w:bCs/>
          <w:color w:val="000000" w:themeColor="text1"/>
          <w:kern w:val="2"/>
          <w:highlight w:val="none"/>
          <w:lang w:eastAsia="zh-CN"/>
          <w14:textFill>
            <w14:solidFill>
              <w14:schemeClr w14:val="tx1"/>
            </w14:solidFill>
          </w14:textFill>
        </w:rPr>
        <w:fldChar w:fldCharType="end"/>
      </w:r>
      <w:r>
        <w:rPr>
          <w:rFonts w:hint="eastAsia" w:ascii="Times New Roman" w:hAnsi="Times New Roman"/>
          <w:bCs/>
          <w:color w:val="000000" w:themeColor="text1"/>
          <w:kern w:val="2"/>
          <w:highlight w:val="none"/>
          <w:lang w:eastAsia="zh-CN"/>
          <w14:textFill>
            <w14:solidFill>
              <w14:schemeClr w14:val="tx1"/>
            </w14:solidFill>
          </w14:textFill>
        </w:rPr>
        <w:t>、</w:t>
      </w:r>
      <w:r>
        <w:rPr>
          <w:rFonts w:hint="eastAsia" w:ascii="Times New Roman" w:hAnsi="Times New Roman"/>
          <w:bCs/>
          <w:color w:val="000000" w:themeColor="text1"/>
          <w:kern w:val="2"/>
          <w:highlight w:val="none"/>
          <w:lang w:val="en-US" w:eastAsia="zh-CN"/>
          <w14:textFill>
            <w14:solidFill>
              <w14:schemeClr w14:val="tx1"/>
            </w14:solidFill>
          </w14:textFill>
        </w:rPr>
        <w:t>2.9-3、2.9-4等</w:t>
      </w:r>
      <w:r>
        <w:rPr>
          <w:rFonts w:ascii="Times New Roman" w:hAnsi="Times New Roman"/>
          <w:bCs/>
          <w:color w:val="000000" w:themeColor="text1"/>
          <w:kern w:val="2"/>
          <w:highlight w:val="none"/>
          <w:lang w:eastAsia="zh-CN"/>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363" w:name="_Toc12809"/>
      <w:r>
        <w:rPr>
          <w:color w:val="000000" w:themeColor="text1"/>
          <w:highlight w:val="none"/>
          <w:lang w:eastAsia="zh-CN"/>
          <w14:textFill>
            <w14:solidFill>
              <w14:schemeClr w14:val="tx1"/>
            </w14:solidFill>
          </w14:textFill>
        </w:rPr>
        <w:t>环境风险识别</w:t>
      </w:r>
      <w:bookmarkEnd w:id="363"/>
    </w:p>
    <w:p>
      <w:pPr>
        <w:pStyle w:val="4"/>
        <w:spacing w:before="0" w:beforeLines="0"/>
        <w:ind w:firstLine="480"/>
        <w:rPr>
          <w:b/>
          <w:color w:val="000000" w:themeColor="text1"/>
          <w:highlight w:val="none"/>
          <w:lang w:eastAsia="zh-CN"/>
          <w14:textFill>
            <w14:solidFill>
              <w14:schemeClr w14:val="tx1"/>
            </w14:solidFill>
          </w14:textFill>
        </w:rPr>
      </w:pPr>
      <w:bookmarkStart w:id="364" w:name="_Toc120173176"/>
      <w:r>
        <w:rPr>
          <w:color w:val="000000" w:themeColor="text1"/>
          <w:highlight w:val="none"/>
          <w:lang w:eastAsia="zh-CN"/>
          <w14:textFill>
            <w14:solidFill>
              <w14:schemeClr w14:val="tx1"/>
            </w14:solidFill>
          </w14:textFill>
        </w:rPr>
        <w:t>物质危险性识别</w:t>
      </w:r>
      <w:bookmarkEnd w:id="364"/>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本项目生产过程中涉及的危险物质有天然气、天然气中的硫化氢、甲烷、天然气燃烧后的二氧化硫、二氧化碳、柴油、钻井废水、压裂液及返排液、废油和采气废水等，具体见</w:t>
      </w:r>
      <w:r>
        <w:rPr>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6.1 评价依据</w:t>
      </w:r>
      <w:r>
        <w:rPr>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章节内容。本项目涉及的主要危险物质包括CH</w:t>
      </w:r>
      <w:r>
        <w:rPr>
          <w:rFonts w:ascii="Times New Roman" w:hAnsi="Times New Roman"/>
          <w:bCs/>
          <w:color w:val="000000" w:themeColor="text1"/>
          <w:kern w:val="2"/>
          <w:highlight w:val="none"/>
          <w:vertAlign w:val="sub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（易燃易爆）、H</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S和油类物质等。</w:t>
      </w:r>
    </w:p>
    <w:p>
      <w:pPr>
        <w:pStyle w:val="4"/>
        <w:spacing w:before="0" w:beforeLines="0"/>
        <w:ind w:firstLine="480"/>
        <w:rPr>
          <w:b/>
          <w:color w:val="000000" w:themeColor="text1"/>
          <w:highlight w:val="none"/>
          <w:lang w:eastAsia="zh-CN"/>
          <w14:textFill>
            <w14:solidFill>
              <w14:schemeClr w14:val="tx1"/>
            </w14:solidFill>
          </w14:textFill>
        </w:rPr>
      </w:pPr>
      <w:bookmarkStart w:id="365" w:name="_Toc120173177"/>
      <w:r>
        <w:rPr>
          <w:color w:val="000000" w:themeColor="text1"/>
          <w:highlight w:val="none"/>
          <w:lang w:eastAsia="zh-CN"/>
          <w14:textFill>
            <w14:solidFill>
              <w14:schemeClr w14:val="tx1"/>
            </w14:solidFill>
          </w14:textFill>
        </w:rPr>
        <w:t>生产系统风险识别</w:t>
      </w:r>
      <w:bookmarkEnd w:id="365"/>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（1）井喷失控造成天然气释放</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钻井过程中遇到地下气、水层时，气或水窜进井内的泥浆里，加快了泥浆流动和循环的速度，如果井底压力小于地层压力，地层流体将进入井筒并推动泥浆外溢，即发生溢流。此时如果对地下气压平衡控制不当，不能及时控制溢流，会造成气、水或其混合物沿着环形空间迅速喷到地面，即发生井喷。井喷后会有大量的天然气逸散到空气中，对周围的环境空气造成一定的影响。</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导致井喷失控的主要因素涉及以下几个方面：</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①</w:t>
      </w:r>
      <w:r>
        <w:rPr>
          <w:rFonts w:ascii="Times New Roman" w:hAnsi="Times New Roman"/>
          <w:bCs/>
          <w:color w:val="000000" w:themeColor="text1"/>
          <w:kern w:val="2"/>
          <w:highlight w:val="none"/>
          <w:lang w:eastAsia="zh-CN"/>
          <w14:textFill>
            <w14:solidFill>
              <w14:schemeClr w14:val="tx1"/>
            </w14:solidFill>
          </w14:textFill>
        </w:rPr>
        <w:t>地层压力：当钻井钻至高压气层期间，由于对地层压力预测不准，出现异常超压情况，如果操作处置失当，将导致井口装置和井控汇管失控发生井喷失控事故。</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②</w:t>
      </w:r>
      <w:r>
        <w:rPr>
          <w:rFonts w:ascii="Times New Roman" w:hAnsi="Times New Roman"/>
          <w:bCs/>
          <w:color w:val="000000" w:themeColor="text1"/>
          <w:kern w:val="2"/>
          <w:highlight w:val="none"/>
          <w:lang w:eastAsia="zh-CN"/>
          <w14:textFill>
            <w14:solidFill>
              <w14:schemeClr w14:val="tx1"/>
            </w14:solidFill>
          </w14:textFill>
        </w:rPr>
        <w:t>遇山洪、地震、滑坡等自然灾害，导致井口所在地地层位移甚至塌陷损坏井控装置，导致井喷失控事故。这类事故目前还未见报道。</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③</w:t>
      </w:r>
      <w:r>
        <w:rPr>
          <w:rFonts w:ascii="Times New Roman" w:hAnsi="Times New Roman"/>
          <w:bCs/>
          <w:color w:val="000000" w:themeColor="text1"/>
          <w:kern w:val="2"/>
          <w:highlight w:val="none"/>
          <w:lang w:eastAsia="zh-CN"/>
          <w14:textFill>
            <w14:solidFill>
              <w14:schemeClr w14:val="tx1"/>
            </w14:solidFill>
          </w14:textFill>
        </w:rPr>
        <w:t>压井泥浆密度偏低，不能满足压井要求。</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④</w:t>
      </w:r>
      <w:r>
        <w:rPr>
          <w:rFonts w:ascii="Times New Roman" w:hAnsi="Times New Roman"/>
          <w:bCs/>
          <w:color w:val="000000" w:themeColor="text1"/>
          <w:kern w:val="2"/>
          <w:highlight w:val="none"/>
          <w:lang w:eastAsia="zh-CN"/>
          <w14:textFill>
            <w14:solidFill>
              <w14:schemeClr w14:val="tx1"/>
            </w14:solidFill>
          </w14:textFill>
        </w:rPr>
        <w:t>操作因素：当出现井喷前兆，如泥浆溢流、泥浆井涌等现象，作业人员未及时发现或采取有效的控制措施，从而可能导致井喷。</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典型事故案例：</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1976年赵1井井喷事故：发生于钻进过程，3人死亡，6人中毒。事故原因：无井控制度、无防喷设备、未储备重型泥浆材料、无H</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S防护装备。</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1992年龙会2井井喷事故：发生于钻进过程。事故原因：对地层高压认识不足而钻井液密度偏低、发现溢流不及时、井控装置质量不合格（设计压力35MPa，防喷器半封闸板芯子在套压28MPa时损坏且无备用件）。</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1994年赵48井井喷事故：发生于射孔过程，井喷时间18h20min，6人死亡，24人中度中毒。事故原因：该井为预探井，未预见气藏含H</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S，井下工具不抗硫。</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1995年渡1井井喷事故：发生于钻进过程，天然气H</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S含量231.93g/m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发生多位员工中毒，但未造成抢险人员及周围村民死亡。事故原因：钻井液密度低于设计值、关井处置措施不当、储备的加重钻井液粘切过高、回压阀堵塞（无内防喷工具）、防喷器与防喷闸门压力等级不匹配（防喷器70MPa，上四通缩内控闸门35MPa）。</w:t>
      </w:r>
    </w:p>
    <w:p>
      <w:pPr>
        <w:pStyle w:val="12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2003年罗家16H井井喷事故：发生于起、下钻过程，H</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S含量约9.46%，（134.4g/m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人员伤亡严重。事故原因：坐岗制度不落实未及时发现气侵和溢流、起钻时未按井控要求及时灌注钻井液、未按要求安装回压阀无法实现内防喷、无剪切闸板防喷器而全封防喷器不能剪断钻杆控制井口，高含硫天然气喷出且未点火，持续了约18h。造成严重的人员伤亡。</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2006年罗家2井复杂井漏事故：发生于修井作业过程，通过放喷点火卸压，及时疏散人群，未造成人员伤亡。事故主要原因：固井质量缺陷</w:t>
      </w:r>
      <w:r>
        <w:rPr>
          <w:rFonts w:ascii="Times New Roman" w:hAnsi="Times New Roman"/>
          <w:bCs/>
          <w:color w:val="000000" w:themeColor="text1"/>
          <w:kern w:val="2"/>
          <w:highlight w:val="none"/>
          <w:lang w:eastAsia="zh-CN"/>
          <w14:textFill>
            <w14:solidFill>
              <w14:schemeClr w14:val="tx1"/>
            </w14:solidFill>
          </w14:textFill>
        </w:rPr>
        <w:t>。</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（2）井漏导致泥浆泄漏</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当井下泥浆压力大于地层压力会发生井漏事故；水平井钻井液密度选择范围变小，容易出现井漏和井塌或者钻遇到大面积裂缝发育带容易发生严重井漏、井喷；固井施工中可能会因水泥浆对漏失层强烈的挤压作用发生漏失等。井漏如果发生在含水层，则泄漏的泥浆可能会污染含水层。</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（3）油类物质泄漏</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柴油和废油等油类物质在使用、储运过程中的风险主要来自于油罐、油桶自身缺陷、人员误操作、老化等造成的泄漏以及外部破坏产生的事故，包括人为破坏及洪水、地震等不可抗拒因素。油类物质泄漏可能污染土壤、地表水和地下水，对生态环境和社会影响很大，也可能引起火灾爆炸，造成人员伤亡及财产损失。</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（4）钻井液、压裂液泄漏</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钻井泥浆、压裂液在施工过程中的泄漏风险主要来自设备老化、管道破损或人员误操作等造成的泄漏以及外部破坏产生的事故，包括人为破坏及洪水、地震等不可抗拒因素。钻井泥浆、压裂液泄漏可能污染地表水、地下水及土壤，影响农作物生长发育和产量。</w:t>
      </w:r>
    </w:p>
    <w:p>
      <w:pPr>
        <w:pStyle w:val="21"/>
        <w:spacing w:before="0"/>
        <w:ind w:left="0" w:firstLine="482"/>
        <w:jc w:val="both"/>
        <w:rPr>
          <w:rFonts w:ascii="Times New Roman" w:hAnsi="Times New Roman"/>
          <w:b/>
          <w:bCs/>
          <w:color w:val="000000" w:themeColor="text1"/>
          <w:kern w:val="2"/>
          <w:highlight w:val="none"/>
          <w:lang w:eastAsia="zh-CN"/>
          <w14:textFill>
            <w14:solidFill>
              <w14:schemeClr w14:val="tx1"/>
            </w14:solidFill>
          </w14:textFill>
        </w:rPr>
      </w:pPr>
      <w:r>
        <w:rPr>
          <w:rFonts w:ascii="Times New Roman" w:hAnsi="Times New Roman"/>
          <w:b/>
          <w:bCs/>
          <w:color w:val="000000" w:themeColor="text1"/>
          <w:highlight w:val="none"/>
          <w:lang w:eastAsia="zh-CN"/>
          <w14:textFill>
            <w14:solidFill>
              <w14:schemeClr w14:val="tx1"/>
            </w14:solidFill>
          </w14:textFill>
        </w:rPr>
        <w:t>（</w:t>
      </w:r>
      <w:r>
        <w:rPr>
          <w:rFonts w:ascii="Times New Roman" w:hAnsi="Times New Roman"/>
          <w:b/>
          <w:bCs/>
          <w:color w:val="000000" w:themeColor="text1"/>
          <w:kern w:val="2"/>
          <w:highlight w:val="none"/>
          <w:lang w:eastAsia="zh-CN"/>
          <w14:textFill>
            <w14:solidFill>
              <w14:schemeClr w14:val="tx1"/>
            </w14:solidFill>
          </w14:textFill>
        </w:rPr>
        <w:t>5）井场、站场废水泄漏</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项目废水泄漏包括钻井期废水收集设施泄漏，试采期站场污水罐泄漏。废水泄漏原因可能为罐体老化、管道破损或人为破坏及洪水、地震等不可抗拒因素。泄漏废水可能污染地表水、地下水及土壤，影响农作物生长发育和产量。</w:t>
      </w:r>
    </w:p>
    <w:p>
      <w:pPr>
        <w:ind w:firstLine="470" w:firstLineChars="195"/>
        <w:rPr>
          <w:rFonts w:hint="eastAsia" w:hAnsi="宋体"/>
          <w:b/>
          <w:color w:val="000000" w:themeColor="text1"/>
          <w:highlight w:val="none"/>
          <w14:textFill>
            <w14:solidFill>
              <w14:schemeClr w14:val="tx1"/>
            </w14:solidFill>
          </w14:textFill>
        </w:rPr>
      </w:pPr>
      <w:r>
        <w:rPr>
          <w:rFonts w:hint="eastAsia"/>
          <w:b/>
          <w:color w:val="000000" w:themeColor="text1"/>
          <w:highlight w:val="none"/>
          <w14:textFill>
            <w14:solidFill>
              <w14:schemeClr w14:val="tx1"/>
            </w14:solidFill>
          </w14:textFill>
        </w:rPr>
        <w:t>（6）</w:t>
      </w:r>
      <w:r>
        <w:rPr>
          <w:rFonts w:hint="eastAsia" w:hAnsi="宋体"/>
          <w:b/>
          <w:color w:val="000000" w:themeColor="text1"/>
          <w:highlight w:val="none"/>
          <w14:textFill>
            <w14:solidFill>
              <w14:schemeClr w14:val="tx1"/>
            </w14:solidFill>
          </w14:textFill>
        </w:rPr>
        <w:t>盐酸泄漏的环境风险</w:t>
      </w:r>
    </w:p>
    <w:p>
      <w:pPr>
        <w:ind w:firstLine="468" w:firstLineChars="195"/>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本项目</w:t>
      </w:r>
      <w:r>
        <w:rPr>
          <w:color w:val="000000" w:themeColor="text1"/>
          <w:highlight w:val="none"/>
          <w14:textFill>
            <w14:solidFill>
              <w14:schemeClr w14:val="tx1"/>
            </w14:solidFill>
          </w14:textFill>
        </w:rPr>
        <w:t>酸化压裂使用酸液</w:t>
      </w:r>
      <w:r>
        <w:rPr>
          <w:rFonts w:hint="eastAsia"/>
          <w:color w:val="000000" w:themeColor="text1"/>
          <w:highlight w:val="none"/>
          <w14:textFill>
            <w14:solidFill>
              <w14:schemeClr w14:val="tx1"/>
            </w14:solidFill>
          </w14:textFill>
        </w:rPr>
        <w:t>为7%的稀盐酸，由成品由玻璃钢罐车专业运输车辆拉运至现场使用，每批次约3车、20m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/车。井场内不再设置储罐暂存，根据预估使用量，分批次运输至井场。每批次约3车、20m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/车，现场最大贮存量不超60m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w:t>
      </w:r>
      <w:r>
        <w:rPr>
          <w:rFonts w:hint="eastAsia" w:hAnsi="宋体"/>
          <w:color w:val="000000" w:themeColor="text1"/>
          <w:highlight w:val="none"/>
          <w14:textFill>
            <w14:solidFill>
              <w14:schemeClr w14:val="tx1"/>
            </w14:solidFill>
          </w14:textFill>
        </w:rPr>
        <w:t>盐酸在拉运过程和现场存储一旦发生泄漏后，一方面，挥发的酸雾会造成一定范围内的环境空气污染；另一方面，泄漏的盐酸将引起土壤酸化，破坏土壤的结构，危害植物生长，若控制不当流入井场周围的水体将会污染水体。</w:t>
      </w:r>
    </w:p>
    <w:p>
      <w:pPr>
        <w:pStyle w:val="21"/>
        <w:spacing w:before="0"/>
        <w:ind w:left="0" w:firstLine="482"/>
        <w:jc w:val="both"/>
        <w:rPr>
          <w:rFonts w:ascii="Times New Roman" w:hAnsi="Times New Roman"/>
          <w:b/>
          <w:bCs/>
          <w:color w:val="000000" w:themeColor="text1"/>
          <w:kern w:val="2"/>
          <w:highlight w:val="none"/>
          <w:lang w:eastAsia="zh-CN"/>
          <w14:textFill>
            <w14:solidFill>
              <w14:schemeClr w14:val="tx1"/>
            </w14:solidFill>
          </w14:textFill>
        </w:rPr>
      </w:pPr>
      <w:r>
        <w:rPr>
          <w:rFonts w:ascii="Times New Roman" w:hAnsi="Times New Roman"/>
          <w:b/>
          <w:bCs/>
          <w:color w:val="000000" w:themeColor="text1"/>
          <w:highlight w:val="none"/>
          <w:lang w:eastAsia="zh-CN"/>
          <w14:textFill>
            <w14:solidFill>
              <w14:schemeClr w14:val="tx1"/>
            </w14:solidFill>
          </w14:textFill>
        </w:rPr>
        <w:t>（</w:t>
      </w:r>
      <w:r>
        <w:rPr>
          <w:rFonts w:ascii="Times New Roman" w:hAnsi="Times New Roman"/>
          <w:b/>
          <w:bCs/>
          <w:color w:val="000000" w:themeColor="text1"/>
          <w:kern w:val="2"/>
          <w:highlight w:val="none"/>
          <w:lang w:eastAsia="zh-CN"/>
          <w14:textFill>
            <w14:solidFill>
              <w14:schemeClr w14:val="tx1"/>
            </w14:solidFill>
          </w14:textFill>
        </w:rPr>
        <w:t>7）废水转运过程泄漏</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钻井废水、废压裂返排液及气田水通过罐车转运回用或送至有处理能力和处理资质的单位进行处理。废水转运过程中可能存在罐体泄漏、运输车侧翻导致污水外溢的风险。如途径集中式饮用水水源地、水产种质保护区等特别敏感区域时发生泄漏，将产生一定的影响。</w:t>
      </w:r>
    </w:p>
    <w:p>
      <w:pPr>
        <w:pStyle w:val="21"/>
        <w:spacing w:before="0"/>
        <w:ind w:left="0" w:firstLine="482"/>
        <w:jc w:val="both"/>
        <w:rPr>
          <w:rFonts w:ascii="Times New Roman" w:hAnsi="Times New Roman"/>
          <w:b/>
          <w:bCs/>
          <w:color w:val="000000" w:themeColor="text1"/>
          <w:kern w:val="2"/>
          <w:highlight w:val="none"/>
          <w:lang w:eastAsia="zh-CN"/>
          <w14:textFill>
            <w14:solidFill>
              <w14:schemeClr w14:val="tx1"/>
            </w14:solidFill>
          </w14:textFill>
        </w:rPr>
      </w:pPr>
      <w:r>
        <w:rPr>
          <w:rFonts w:ascii="Times New Roman" w:hAnsi="Times New Roman"/>
          <w:b/>
          <w:bCs/>
          <w:color w:val="000000" w:themeColor="text1"/>
          <w:highlight w:val="none"/>
          <w:lang w:eastAsia="zh-CN"/>
          <w14:textFill>
            <w14:solidFill>
              <w14:schemeClr w14:val="tx1"/>
            </w14:solidFill>
          </w14:textFill>
        </w:rPr>
        <w:t>（</w:t>
      </w:r>
      <w:r>
        <w:rPr>
          <w:rFonts w:ascii="Times New Roman" w:hAnsi="Times New Roman"/>
          <w:b/>
          <w:bCs/>
          <w:color w:val="000000" w:themeColor="text1"/>
          <w:kern w:val="2"/>
          <w:highlight w:val="none"/>
          <w:lang w:eastAsia="zh-CN"/>
          <w14:textFill>
            <w14:solidFill>
              <w14:schemeClr w14:val="tx1"/>
            </w14:solidFill>
          </w14:textFill>
        </w:rPr>
        <w:t>8）集气站场及集输管线</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本项目天然气泄漏情形为集气站场内部的管线或设备泄漏。集气站场内部管线为井口</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水套加热炉</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外输截止阀，井场可能存在天然气泄漏的设备为撬装卧式分离器。本项目站内集输管线为天然气管线和设备破裂原因为内、外腐蚀作用，母体材料缺陷或焊口缺陷隐患，意外重大的机械损伤或地震、地陷、洪水等自然灾害破坏作用。管线或设备破裂会造成天然气泄漏，本项目井口300m范围内无居民分布，区域大气扩散条件较好，天然气中硫化氢浓度较低，发生泄漏后及时关闭阀门，泄露的天然气量较少，因此天然气泄漏对空气影响较小。</w:t>
      </w:r>
    </w:p>
    <w:p>
      <w:pPr>
        <w:pStyle w:val="21"/>
        <w:spacing w:before="0"/>
        <w:ind w:left="0" w:firstLine="482"/>
        <w:jc w:val="both"/>
        <w:rPr>
          <w:rFonts w:ascii="Times New Roman" w:hAnsi="Times New Roman"/>
          <w:b/>
          <w:bCs/>
          <w:color w:val="000000" w:themeColor="text1"/>
          <w:kern w:val="2"/>
          <w:highlight w:val="none"/>
          <w:lang w:eastAsia="zh-CN"/>
          <w14:textFill>
            <w14:solidFill>
              <w14:schemeClr w14:val="tx1"/>
            </w14:solidFill>
          </w14:textFill>
        </w:rPr>
      </w:pPr>
      <w:r>
        <w:rPr>
          <w:rFonts w:ascii="Times New Roman" w:hAnsi="Times New Roman"/>
          <w:b/>
          <w:bCs/>
          <w:color w:val="000000" w:themeColor="text1"/>
          <w:highlight w:val="none"/>
          <w:lang w:eastAsia="zh-CN"/>
          <w14:textFill>
            <w14:solidFill>
              <w14:schemeClr w14:val="tx1"/>
            </w14:solidFill>
          </w14:textFill>
        </w:rPr>
        <w:t>（</w:t>
      </w:r>
      <w:r>
        <w:rPr>
          <w:rFonts w:ascii="Times New Roman" w:hAnsi="Times New Roman"/>
          <w:b/>
          <w:bCs/>
          <w:color w:val="000000" w:themeColor="text1"/>
          <w:kern w:val="2"/>
          <w:highlight w:val="none"/>
          <w:lang w:eastAsia="zh-CN"/>
          <w14:textFill>
            <w14:solidFill>
              <w14:schemeClr w14:val="tx1"/>
            </w14:solidFill>
          </w14:textFill>
        </w:rPr>
        <w:t>8）火灾爆炸引发次生污染</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本项目发生火灾爆炸情形有如下几种：</w:t>
      </w:r>
      <w:r>
        <w:rPr>
          <w:rFonts w:hint="eastAsia" w:cs="宋体"/>
          <w:bCs/>
          <w:color w:val="000000" w:themeColor="text1"/>
          <w:kern w:val="2"/>
          <w:highlight w:val="none"/>
          <w:lang w:eastAsia="zh-CN"/>
          <w14:textFill>
            <w14:solidFill>
              <w14:schemeClr w14:val="tx1"/>
            </w14:solidFill>
          </w14:textFill>
        </w:rPr>
        <w:t>①</w:t>
      </w:r>
      <w:r>
        <w:rPr>
          <w:rFonts w:ascii="Times New Roman" w:hAnsi="Times New Roman"/>
          <w:bCs/>
          <w:color w:val="000000" w:themeColor="text1"/>
          <w:kern w:val="2"/>
          <w:highlight w:val="none"/>
          <w:lang w:eastAsia="zh-CN"/>
          <w14:textFill>
            <w14:solidFill>
              <w14:schemeClr w14:val="tx1"/>
            </w14:solidFill>
          </w14:textFill>
        </w:rPr>
        <w:t>钻井过程发生井喷失控，天然气逸散到空气中遇明火发生火灾爆炸或主动点火发生火灾爆炸，产生污染物CO、SO</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进入大气；</w:t>
      </w:r>
      <w:r>
        <w:rPr>
          <w:rFonts w:hint="eastAsia" w:cs="宋体"/>
          <w:bCs/>
          <w:color w:val="000000" w:themeColor="text1"/>
          <w:kern w:val="2"/>
          <w:highlight w:val="none"/>
          <w:lang w:eastAsia="zh-CN"/>
          <w14:textFill>
            <w14:solidFill>
              <w14:schemeClr w14:val="tx1"/>
            </w14:solidFill>
          </w14:textFill>
        </w:rPr>
        <w:t>②</w:t>
      </w:r>
      <w:r>
        <w:rPr>
          <w:rFonts w:ascii="Times New Roman" w:hAnsi="Times New Roman"/>
          <w:bCs/>
          <w:color w:val="000000" w:themeColor="text1"/>
          <w:kern w:val="2"/>
          <w:highlight w:val="none"/>
          <w:lang w:eastAsia="zh-CN"/>
          <w14:textFill>
            <w14:solidFill>
              <w14:schemeClr w14:val="tx1"/>
            </w14:solidFill>
          </w14:textFill>
        </w:rPr>
        <w:t>施工期柴油泄漏后，遇明火燃烧产生污染物CO进入大气；</w:t>
      </w:r>
      <w:r>
        <w:rPr>
          <w:rFonts w:hint="eastAsia" w:cs="宋体"/>
          <w:bCs/>
          <w:color w:val="000000" w:themeColor="text1"/>
          <w:kern w:val="2"/>
          <w:highlight w:val="none"/>
          <w:lang w:eastAsia="zh-CN"/>
          <w14:textFill>
            <w14:solidFill>
              <w14:schemeClr w14:val="tx1"/>
            </w14:solidFill>
          </w14:textFill>
        </w:rPr>
        <w:t>③</w:t>
      </w:r>
      <w:r>
        <w:rPr>
          <w:rFonts w:ascii="Times New Roman" w:hAnsi="Times New Roman"/>
          <w:bCs/>
          <w:color w:val="000000" w:themeColor="text1"/>
          <w:kern w:val="2"/>
          <w:highlight w:val="none"/>
          <w:lang w:eastAsia="zh-CN"/>
          <w14:textFill>
            <w14:solidFill>
              <w14:schemeClr w14:val="tx1"/>
            </w14:solidFill>
          </w14:textFill>
        </w:rPr>
        <w:t>试采过程站场或集输管线发生天然气泄漏后，遇明火燃烧产生污染物CO、SO</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进入大气。</w:t>
      </w:r>
    </w:p>
    <w:p>
      <w:pPr>
        <w:pStyle w:val="4"/>
        <w:spacing w:before="0" w:beforeLines="0"/>
        <w:ind w:firstLine="480"/>
        <w:rPr>
          <w:b/>
          <w:color w:val="000000" w:themeColor="text1"/>
          <w:highlight w:val="none"/>
          <w:lang w:eastAsia="zh-CN"/>
          <w14:textFill>
            <w14:solidFill>
              <w14:schemeClr w14:val="tx1"/>
            </w14:solidFill>
          </w14:textFill>
        </w:rPr>
      </w:pPr>
      <w:bookmarkStart w:id="366" w:name="_Toc120173178"/>
      <w:r>
        <w:rPr>
          <w:color w:val="000000" w:themeColor="text1"/>
          <w:highlight w:val="none"/>
          <w:lang w:eastAsia="zh-CN"/>
          <w14:textFill>
            <w14:solidFill>
              <w14:schemeClr w14:val="tx1"/>
            </w14:solidFill>
          </w14:textFill>
        </w:rPr>
        <w:t>危险物质可能影响环境的途径</w:t>
      </w:r>
      <w:bookmarkEnd w:id="366"/>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通过以上物质识别、生产系统危险性识别过程可以看出，本项目涉及危险物质的向环境转移的途径主要有：</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（1）井场发生井喷后，天然气进入大气对环境空气的影响；</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（2）井漏如果发生在含水层，则泄漏的泥浆可能会污染含水层；</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（3）柴油泄漏可能污染土壤、地表水和地下水；</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（4）钻井泥浆、压裂液泄漏可能污染地表水、地下水及土壤；</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（5）井场、放喷池、站场废水泄漏可能污染地表水、地下水及土壤；</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ascii="Times New Roman" w:hAnsi="Times New Roman"/>
          <w:bCs/>
          <w:color w:val="000000" w:themeColor="text1"/>
          <w:kern w:val="2"/>
          <w:highlight w:val="none"/>
          <w:lang w:eastAsia="zh-CN"/>
          <w14:textFill>
            <w14:solidFill>
              <w14:schemeClr w14:val="tx1"/>
            </w14:solidFill>
          </w14:textFill>
        </w:rPr>
        <w:t>（6）盐酸转运和现场储存过程中发生</w:t>
      </w:r>
      <w:r>
        <w:rPr>
          <w:rFonts w:ascii="Times New Roman" w:hAnsi="Times New Roman"/>
          <w:bCs/>
          <w:color w:val="000000" w:themeColor="text1"/>
          <w:kern w:val="2"/>
          <w:highlight w:val="none"/>
          <w:lang w:eastAsia="zh-CN"/>
          <w14:textFill>
            <w14:solidFill>
              <w14:schemeClr w14:val="tx1"/>
            </w14:solidFill>
          </w14:textFill>
        </w:rPr>
        <w:t>泄漏可能污染地表水、地下水及土壤；</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（7）废水转运过程发生泄漏可能污染地表水、地下水及土壤；</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（8）集气站场及集输管线发生天然气泄漏对环境空气的影响；</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（9）天然气、柴油泄漏后，遇明火燃烧次生污染物CO进入大气对环境空气的影响。</w:t>
      </w:r>
    </w:p>
    <w:p>
      <w:pPr>
        <w:pStyle w:val="3"/>
        <w:spacing w:before="0" w:beforeLines="0"/>
        <w:rPr>
          <w:color w:val="000000" w:themeColor="text1"/>
          <w:highlight w:val="none"/>
          <w:lang w:eastAsia="zh-CN"/>
          <w14:textFill>
            <w14:solidFill>
              <w14:schemeClr w14:val="tx1"/>
            </w14:solidFill>
          </w14:textFill>
        </w:rPr>
      </w:pPr>
      <w:bookmarkStart w:id="367" w:name="_Toc15047"/>
      <w:bookmarkStart w:id="368" w:name="_Toc474725972"/>
      <w:r>
        <w:rPr>
          <w:color w:val="000000" w:themeColor="text1"/>
          <w:highlight w:val="none"/>
          <w:lang w:eastAsia="zh-CN"/>
          <w14:textFill>
            <w14:solidFill>
              <w14:schemeClr w14:val="tx1"/>
            </w14:solidFill>
          </w14:textFill>
        </w:rPr>
        <w:t>环境风险分析</w:t>
      </w:r>
      <w:bookmarkEnd w:id="367"/>
      <w:bookmarkEnd w:id="368"/>
    </w:p>
    <w:p>
      <w:pPr>
        <w:pStyle w:val="4"/>
        <w:spacing w:before="0" w:beforeLines="0"/>
        <w:ind w:firstLine="480"/>
        <w:rPr>
          <w:b/>
          <w:color w:val="000000" w:themeColor="text1"/>
          <w:highlight w:val="none"/>
          <w:lang w:eastAsia="zh-CN"/>
          <w14:textFill>
            <w14:solidFill>
              <w14:schemeClr w14:val="tx1"/>
            </w14:solidFill>
          </w14:textFill>
        </w:rPr>
      </w:pPr>
      <w:bookmarkStart w:id="369" w:name="_Toc120173180"/>
      <w:r>
        <w:rPr>
          <w:color w:val="000000" w:themeColor="text1"/>
          <w:highlight w:val="none"/>
          <w:lang w:eastAsia="zh-CN"/>
          <w14:textFill>
            <w14:solidFill>
              <w14:schemeClr w14:val="tx1"/>
            </w14:solidFill>
          </w14:textFill>
        </w:rPr>
        <w:t>大气环境风险影响分析</w:t>
      </w:r>
      <w:bookmarkEnd w:id="369"/>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（1）井喷环境风险影响分析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1）最大可信事故及概率</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最大可信事故是指在所有预测的概率不为零的事故中，对环境（或健康）危害最严重的重大事故。本项目钻井过程中影响最大的风险事故是井喷事故。</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在钻井或修井过程中，若出现井喷失控，气藏内的天然气在地层压力作用下，将以极高的动能速度从井口喷出，若释放的含硫天然气立即被点火燃烧排放，对环境空气的影响主要是SO</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；若释放的含硫天然气自始自终未遇火源，将在其自身动量与气象条件控制下，喷涌后与空气混合、扩散形成H</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S毒性云团，将造成严重的人员中毒伤亡，并对周围环境造成严重的污染。井喷事故事件树见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_Ref142860210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图</w:t>
      </w:r>
      <w:r>
        <w:rPr>
          <w:rFonts w:ascii="Times New Roman" w:hAnsi="Times New Roman"/>
          <w:bCs/>
          <w:color w:val="000000" w:themeColor="text1"/>
          <w:kern w:val="2"/>
          <w:highlight w:val="none"/>
          <w:lang w:eastAsia="zh-CN"/>
          <w14:textFill>
            <w14:solidFill>
              <w14:schemeClr w14:val="tx1"/>
            </w14:solidFill>
          </w14:textFill>
        </w:rPr>
        <w:t>6.4</w:t>
      </w:r>
      <w:r>
        <w:rPr>
          <w:rFonts w:ascii="Times New Roman" w:hAnsi="Times New Roman"/>
          <w:bCs/>
          <w:color w:val="000000" w:themeColor="text1"/>
          <w:kern w:val="2"/>
          <w:highlight w:val="none"/>
          <w:lang w:eastAsia="zh-CN"/>
          <w14:textFill>
            <w14:solidFill>
              <w14:schemeClr w14:val="tx1"/>
            </w14:solidFill>
          </w14:textFill>
        </w:rPr>
        <w:noBreakHyphen/>
      </w:r>
      <w:r>
        <w:rPr>
          <w:rFonts w:ascii="Times New Roman" w:hAnsi="Times New Roman"/>
          <w:bCs/>
          <w:color w:val="000000" w:themeColor="text1"/>
          <w:kern w:val="2"/>
          <w:highlight w:val="none"/>
          <w:lang w:eastAsia="zh-CN"/>
          <w14:textFill>
            <w14:solidFill>
              <w14:schemeClr w14:val="tx1"/>
            </w14:solidFill>
          </w14:textFill>
        </w:rPr>
        <w:t>1</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综合考虑本项目涉及有毒有害物质中可能发生的事故及产生的影响，本次评价确定的最大可信事故主要为：井喷失控造成含硫化氢天然气释放。</w:t>
      </w:r>
    </w:p>
    <w:p>
      <w:pPr>
        <w:pStyle w:val="95"/>
        <w:rPr>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drawing>
          <wp:inline distT="0" distB="0" distL="0" distR="0">
            <wp:extent cx="5031740" cy="5320030"/>
            <wp:effectExtent l="0" t="0" r="6985"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035598" cy="5324038"/>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370" w:name="_Ref142860210"/>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370"/>
      <w:r>
        <w:rPr>
          <w:color w:val="000000" w:themeColor="text1"/>
          <w:highlight w:val="none"/>
          <w14:textFill>
            <w14:solidFill>
              <w14:schemeClr w14:val="tx1"/>
            </w14:solidFill>
          </w14:textFill>
        </w:rPr>
        <w:t xml:space="preserve">  井喷事故事件树</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2）最大可信事故概率</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据不完全统计，在油气勘探开发的40年间（1950年</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1990年），累计发生井喷失控事故230次，占完井总数的2.41‰，其中，井喷失控着火78次，占井喷失控总数的34%，因此，井喷失控的事故率约为0.603×10</w:t>
      </w:r>
      <w:r>
        <w:rPr>
          <w:rFonts w:ascii="Times New Roman" w:hAnsi="Times New Roman"/>
          <w:bCs/>
          <w:color w:val="000000" w:themeColor="text1"/>
          <w:kern w:val="2"/>
          <w:highlight w:val="none"/>
          <w:vertAlign w:val="super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次/年，其中井喷失控着火的事故率约为0.203×10</w:t>
      </w:r>
      <w:r>
        <w:rPr>
          <w:rFonts w:ascii="Times New Roman" w:hAnsi="Times New Roman"/>
          <w:bCs/>
          <w:color w:val="000000" w:themeColor="text1"/>
          <w:kern w:val="2"/>
          <w:highlight w:val="none"/>
          <w:vertAlign w:val="super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次/年，未着火的事故率约为0.4×10</w:t>
      </w:r>
      <w:r>
        <w:rPr>
          <w:rFonts w:ascii="Times New Roman" w:hAnsi="Times New Roman"/>
          <w:bCs/>
          <w:color w:val="000000" w:themeColor="text1"/>
          <w:kern w:val="2"/>
          <w:highlight w:val="none"/>
          <w:vertAlign w:val="super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次/年，其中井喷事故未着火的多数为非含硫气田开发。</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（2）最大可信事故源项</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发生井喷的过程主要是泥浆溢流→井涌→井喷。根据开发方案和设计单位的解释，在钻井过程中，井下监控发现井内泥浆溢流量达1m</w:t>
      </w:r>
      <w:r>
        <w:rPr>
          <w:rFonts w:ascii="Times New Roman" w:hAnsi="Times New Roman"/>
          <w:bCs/>
          <w:color w:val="000000" w:themeColor="text1"/>
          <w:kern w:val="2"/>
          <w:highlight w:val="none"/>
          <w:vertAlign w:val="superscript"/>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t>时报警，达到2m</w:t>
      </w:r>
      <w:r>
        <w:rPr>
          <w:rFonts w:ascii="Times New Roman" w:hAnsi="Times New Roman"/>
          <w:bCs/>
          <w:color w:val="000000" w:themeColor="text1"/>
          <w:kern w:val="2"/>
          <w:highlight w:val="none"/>
          <w:vertAlign w:val="superscript"/>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t>时马上采取关井措施。当所有关断措施全部失效，井口失控后，即发生井喷事故。由此看出，井喷不是突如其来的，由发生溢流开始一直到天然气从井口喷出，这段时间大约在20min～60min。在发生井涌开始，井下阀门自动关断时间</w:t>
      </w:r>
      <w:r>
        <w:rPr>
          <w:rFonts w:hint="eastAsia" w:ascii="Times New Roman" w:hAnsi="Times New Roman"/>
          <w:bCs/>
          <w:color w:val="000000" w:themeColor="text1"/>
          <w:kern w:val="2"/>
          <w:highlight w:val="none"/>
          <w:lang w:eastAsia="zh-CN"/>
          <w14:textFill>
            <w14:solidFill>
              <w14:schemeClr w14:val="tx1"/>
            </w14:solidFill>
          </w14:textFill>
        </w:rPr>
        <w:t>大约在一分半至三分钟</w:t>
      </w:r>
      <w:r>
        <w:rPr>
          <w:rFonts w:ascii="Times New Roman" w:hAnsi="Times New Roman"/>
          <w:bCs/>
          <w:color w:val="000000" w:themeColor="text1"/>
          <w:kern w:val="2"/>
          <w:highlight w:val="none"/>
          <w:lang w:eastAsia="zh-CN"/>
          <w14:textFill>
            <w14:solidFill>
              <w14:schemeClr w14:val="tx1"/>
            </w14:solidFill>
          </w14:textFill>
        </w:rPr>
        <w:t>，因此可以说，在工程上，天然气从井口喷出后即可通过井场的自动点火装置立即点火，若井场自动点火装置失灵，也可以用点火枪远距离实施点火，从井涌至井喷至少要20min，足够井场工作人员安全撤离并且做好远距离点火准备。在工程技术看，天然气从井口喷出15min内，完全可以实现点火成功。</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天然气喷射速率，将随着井内泥浆液柱的减小而增大，当井内的泥浆喷完后，达到最大喷射释放速率，其值取决于井的最大无阻流量。根据建设单位提供的本项目酸性天然气组分预测见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_Ref142859204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表</w:t>
      </w:r>
      <w:r>
        <w:rPr>
          <w:rFonts w:ascii="Times New Roman" w:hAnsi="Times New Roman"/>
          <w:bCs/>
          <w:color w:val="000000" w:themeColor="text1"/>
          <w:kern w:val="2"/>
          <w:highlight w:val="none"/>
          <w:lang w:eastAsia="zh-CN"/>
          <w14:textFill>
            <w14:solidFill>
              <w14:schemeClr w14:val="tx1"/>
            </w14:solidFill>
          </w14:textFill>
        </w:rPr>
        <w:t>6.4</w:t>
      </w:r>
      <w:r>
        <w:rPr>
          <w:rFonts w:ascii="Times New Roman" w:hAnsi="Times New Roman"/>
          <w:bCs/>
          <w:color w:val="000000" w:themeColor="text1"/>
          <w:kern w:val="2"/>
          <w:highlight w:val="none"/>
          <w:lang w:eastAsia="zh-CN"/>
          <w14:textFill>
            <w14:solidFill>
              <w14:schemeClr w14:val="tx1"/>
            </w14:solidFill>
          </w14:textFill>
        </w:rPr>
        <w:noBreakHyphen/>
      </w:r>
      <w:r>
        <w:rPr>
          <w:rFonts w:ascii="Times New Roman" w:hAnsi="Times New Roman"/>
          <w:bCs/>
          <w:color w:val="000000" w:themeColor="text1"/>
          <w:kern w:val="2"/>
          <w:highlight w:val="none"/>
          <w:lang w:eastAsia="zh-CN"/>
          <w14:textFill>
            <w14:solidFill>
              <w14:schemeClr w14:val="tx1"/>
            </w14:solidFill>
          </w14:textFill>
        </w:rPr>
        <w:t>1</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71" w:name="_Ref142859204"/>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371"/>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本项目天然气组分统计表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4"/>
        <w:gridCol w:w="875"/>
        <w:gridCol w:w="1033"/>
        <w:gridCol w:w="1190"/>
        <w:gridCol w:w="1033"/>
        <w:gridCol w:w="1030"/>
        <w:gridCol w:w="10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组分</w:t>
            </w:r>
          </w:p>
        </w:tc>
        <w:tc>
          <w:tcPr>
            <w:tcW w:w="51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CO</w:t>
            </w:r>
            <w:r>
              <w:rPr>
                <w:b/>
                <w:bCs/>
                <w:color w:val="000000" w:themeColor="text1"/>
                <w:highlight w:val="none"/>
                <w:vertAlign w:val="subscript"/>
                <w14:textFill>
                  <w14:solidFill>
                    <w14:schemeClr w14:val="tx1"/>
                  </w14:solidFill>
                </w14:textFill>
              </w:rPr>
              <w:t>2</w:t>
            </w:r>
          </w:p>
        </w:tc>
        <w:tc>
          <w:tcPr>
            <w:tcW w:w="60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H</w:t>
            </w:r>
            <w:r>
              <w:rPr>
                <w:b/>
                <w:bCs/>
                <w:color w:val="000000" w:themeColor="text1"/>
                <w:highlight w:val="none"/>
                <w:vertAlign w:val="subscript"/>
                <w14:textFill>
                  <w14:solidFill>
                    <w14:schemeClr w14:val="tx1"/>
                  </w14:solidFill>
                </w14:textFill>
              </w:rPr>
              <w:t>2</w:t>
            </w:r>
            <w:r>
              <w:rPr>
                <w:b/>
                <w:bCs/>
                <w:color w:val="000000" w:themeColor="text1"/>
                <w:highlight w:val="none"/>
                <w14:textFill>
                  <w14:solidFill>
                    <w14:schemeClr w14:val="tx1"/>
                  </w14:solidFill>
                </w14:textFill>
              </w:rPr>
              <w:t>S</w:t>
            </w:r>
          </w:p>
        </w:tc>
        <w:tc>
          <w:tcPr>
            <w:tcW w:w="698"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CH</w:t>
            </w:r>
            <w:r>
              <w:rPr>
                <w:b/>
                <w:bCs/>
                <w:color w:val="000000" w:themeColor="text1"/>
                <w:highlight w:val="none"/>
                <w:vertAlign w:val="subscript"/>
                <w14:textFill>
                  <w14:solidFill>
                    <w14:schemeClr w14:val="tx1"/>
                  </w14:solidFill>
                </w14:textFill>
              </w:rPr>
              <w:t>4</w:t>
            </w:r>
          </w:p>
        </w:tc>
        <w:tc>
          <w:tcPr>
            <w:tcW w:w="60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C</w:t>
            </w:r>
            <w:r>
              <w:rPr>
                <w:b/>
                <w:bCs/>
                <w:color w:val="000000" w:themeColor="text1"/>
                <w:highlight w:val="none"/>
                <w:vertAlign w:val="subscript"/>
                <w14:textFill>
                  <w14:solidFill>
                    <w14:schemeClr w14:val="tx1"/>
                  </w14:solidFill>
                </w14:textFill>
              </w:rPr>
              <w:t>2</w:t>
            </w:r>
            <w:r>
              <w:rPr>
                <w:b/>
                <w:bCs/>
                <w:color w:val="000000" w:themeColor="text1"/>
                <w:highlight w:val="none"/>
                <w14:textFill>
                  <w14:solidFill>
                    <w14:schemeClr w14:val="tx1"/>
                  </w14:solidFill>
                </w14:textFill>
              </w:rPr>
              <w:t>H</w:t>
            </w:r>
            <w:r>
              <w:rPr>
                <w:b/>
                <w:bCs/>
                <w:color w:val="000000" w:themeColor="text1"/>
                <w:highlight w:val="none"/>
                <w:vertAlign w:val="subscript"/>
                <w14:textFill>
                  <w14:solidFill>
                    <w14:schemeClr w14:val="tx1"/>
                  </w14:solidFill>
                </w14:textFill>
              </w:rPr>
              <w:t>6</w:t>
            </w:r>
          </w:p>
        </w:tc>
        <w:tc>
          <w:tcPr>
            <w:tcW w:w="60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H</w:t>
            </w:r>
            <w:r>
              <w:rPr>
                <w:b/>
                <w:bCs/>
                <w:color w:val="000000" w:themeColor="text1"/>
                <w:highlight w:val="none"/>
                <w:vertAlign w:val="subscript"/>
                <w14:textFill>
                  <w14:solidFill>
                    <w14:schemeClr w14:val="tx1"/>
                  </w14:solidFill>
                </w14:textFill>
              </w:rPr>
              <w:t>2</w:t>
            </w:r>
          </w:p>
        </w:tc>
        <w:tc>
          <w:tcPr>
            <w:tcW w:w="604" w:type="pct"/>
          </w:tcPr>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N</w:t>
            </w:r>
            <w:r>
              <w:rPr>
                <w:b/>
                <w:bCs/>
                <w:color w:val="000000" w:themeColor="text1"/>
                <w:highlight w:val="none"/>
                <w:vertAlign w:val="sub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含量（mol%）</w:t>
            </w:r>
          </w:p>
        </w:tc>
        <w:tc>
          <w:tcPr>
            <w:tcW w:w="51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8.91</w:t>
            </w:r>
          </w:p>
        </w:tc>
        <w:tc>
          <w:tcPr>
            <w:tcW w:w="60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17.04</w:t>
            </w:r>
          </w:p>
        </w:tc>
        <w:tc>
          <w:tcPr>
            <w:tcW w:w="698"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73.02</w:t>
            </w:r>
          </w:p>
        </w:tc>
        <w:tc>
          <w:tcPr>
            <w:tcW w:w="606"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0.03</w:t>
            </w:r>
          </w:p>
        </w:tc>
        <w:tc>
          <w:tcPr>
            <w:tcW w:w="604"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w:t>
            </w:r>
          </w:p>
        </w:tc>
        <w:tc>
          <w:tcPr>
            <w:tcW w:w="604" w:type="pct"/>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.11</w:t>
            </w:r>
          </w:p>
        </w:tc>
      </w:tr>
    </w:tbl>
    <w:p>
      <w:pPr>
        <w:pStyle w:val="21"/>
        <w:spacing w:before="120"/>
        <w:ind w:left="136"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根据企业提供的资料，预计本项目可能放喷的最大天然气流量为1</w:t>
      </w:r>
      <w:r>
        <w:rPr>
          <w:rFonts w:hint="eastAsia" w:ascii="Times New Roman" w:hAnsi="Times New Roman"/>
          <w:bCs/>
          <w:color w:val="000000" w:themeColor="text1"/>
          <w:kern w:val="2"/>
          <w:highlight w:val="none"/>
          <w:lang w:eastAsia="zh-CN"/>
          <w14:textFill>
            <w14:solidFill>
              <w14:schemeClr w14:val="tx1"/>
            </w14:solidFill>
          </w14:textFill>
        </w:rPr>
        <w:t>5</w:t>
      </w:r>
      <w:r>
        <w:rPr>
          <w:rFonts w:ascii="Times New Roman" w:hAnsi="Times New Roman"/>
          <w:bCs/>
          <w:color w:val="000000" w:themeColor="text1"/>
          <w:kern w:val="2"/>
          <w:highlight w:val="none"/>
          <w:lang w:eastAsia="zh-CN"/>
          <w14:textFill>
            <w14:solidFill>
              <w14:schemeClr w14:val="tx1"/>
            </w14:solidFill>
          </w14:textFill>
        </w:rPr>
        <w:t>0×10</w:t>
      </w:r>
      <w:r>
        <w:rPr>
          <w:rFonts w:ascii="Times New Roman" w:hAnsi="Times New Roman"/>
          <w:bCs/>
          <w:color w:val="000000" w:themeColor="text1"/>
          <w:kern w:val="2"/>
          <w:highlight w:val="none"/>
          <w:vertAlign w:val="super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m</w:t>
      </w:r>
      <w:r>
        <w:rPr>
          <w:rFonts w:ascii="Times New Roman" w:hAnsi="Times New Roman"/>
          <w:bCs/>
          <w:color w:val="000000" w:themeColor="text1"/>
          <w:kern w:val="2"/>
          <w:highlight w:val="none"/>
          <w:vertAlign w:val="superscript"/>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t>/d（酸化压裂前最大无阻流量），根据《含硫化氢天然气井失控井口点火时间规定》（AQ2016-2008），含H</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天然气井发生井喷，至少应在15min内实施井口点火（中国石化普光气田开发及川气东送管道工程普光气田开发工程环境风险评价专题报告中提出了落实发生井喷失控（或放喷）时5分钟内实施点火、30分钟内紧急疏散伤害浓度范围内居民的措施，本项目保守考虑仍以15min内实施井口点火为源强进行评价分析）。类比普光气田现有管理规定，按照井喷后15min点火，点火前主要污染物是H</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S，点火后主要污染物是SO</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。本项目井喷点火前释放的H</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S及甲烷源强见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_Ref142859210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表</w:t>
      </w:r>
      <w:r>
        <w:rPr>
          <w:rFonts w:ascii="Times New Roman" w:hAnsi="Times New Roman"/>
          <w:bCs/>
          <w:color w:val="000000" w:themeColor="text1"/>
          <w:kern w:val="2"/>
          <w:highlight w:val="none"/>
          <w:lang w:eastAsia="zh-CN"/>
          <w14:textFill>
            <w14:solidFill>
              <w14:schemeClr w14:val="tx1"/>
            </w14:solidFill>
          </w14:textFill>
        </w:rPr>
        <w:t>6.4</w:t>
      </w:r>
      <w:r>
        <w:rPr>
          <w:rFonts w:ascii="Times New Roman" w:hAnsi="Times New Roman"/>
          <w:bCs/>
          <w:color w:val="000000" w:themeColor="text1"/>
          <w:kern w:val="2"/>
          <w:highlight w:val="none"/>
          <w:lang w:eastAsia="zh-CN"/>
          <w14:textFill>
            <w14:solidFill>
              <w14:schemeClr w14:val="tx1"/>
            </w14:solidFill>
          </w14:textFill>
        </w:rPr>
        <w:noBreakHyphen/>
      </w:r>
      <w:r>
        <w:rPr>
          <w:rFonts w:ascii="Times New Roman" w:hAnsi="Times New Roman"/>
          <w:bCs/>
          <w:color w:val="000000" w:themeColor="text1"/>
          <w:kern w:val="2"/>
          <w:highlight w:val="none"/>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72" w:name="_Ref14285921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37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井喷污染物源强</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1029"/>
        <w:gridCol w:w="1255"/>
        <w:gridCol w:w="1112"/>
        <w:gridCol w:w="1112"/>
        <w:gridCol w:w="1015"/>
        <w:gridCol w:w="1015"/>
        <w:gridCol w:w="11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49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时段</w:t>
            </w:r>
          </w:p>
        </w:tc>
        <w:tc>
          <w:tcPr>
            <w:tcW w:w="604"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污染物名称</w:t>
            </w:r>
          </w:p>
        </w:tc>
        <w:tc>
          <w:tcPr>
            <w:tcW w:w="73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含量（mg/m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652" w:type="pct"/>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天然气排放量（m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/s）</w:t>
            </w:r>
          </w:p>
        </w:tc>
        <w:tc>
          <w:tcPr>
            <w:tcW w:w="652"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排放速率（kg/s）</w:t>
            </w:r>
          </w:p>
        </w:tc>
        <w:tc>
          <w:tcPr>
            <w:tcW w:w="59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持续时间（min）</w:t>
            </w:r>
          </w:p>
        </w:tc>
        <w:tc>
          <w:tcPr>
            <w:tcW w:w="595"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排气筒内径（mm）</w:t>
            </w:r>
          </w:p>
        </w:tc>
        <w:tc>
          <w:tcPr>
            <w:tcW w:w="673"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总泄漏量（</w:t>
            </w:r>
            <w:r>
              <w:rPr>
                <w:rFonts w:hint="eastAsia"/>
                <w:b/>
                <w:bCs/>
                <w:color w:val="000000" w:themeColor="text1"/>
                <w:highlight w:val="none"/>
                <w14:textFill>
                  <w14:solidFill>
                    <w14:schemeClr w14:val="tx1"/>
                  </w14:solidFill>
                </w14:textFill>
              </w:rPr>
              <w:t>t</w:t>
            </w:r>
            <w:r>
              <w:rPr>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493" w:type="pct"/>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点火前</w:t>
            </w:r>
          </w:p>
        </w:tc>
        <w:tc>
          <w:tcPr>
            <w:tcW w:w="604" w:type="pct"/>
            <w:vAlign w:val="center"/>
          </w:tcPr>
          <w:p>
            <w:pPr>
              <w:pStyle w:val="297"/>
              <w:rPr>
                <w:bCs/>
                <w:color w:val="000000" w:themeColor="text1"/>
                <w:highlight w:val="none"/>
                <w14:textFill>
                  <w14:solidFill>
                    <w14:schemeClr w14:val="tx1"/>
                  </w14:solidFill>
                </w14:textFill>
              </w:rPr>
            </w:pPr>
            <w:r>
              <w:rPr>
                <w:rFonts w:eastAsia="等线"/>
                <w:color w:val="000000" w:themeColor="text1"/>
                <w:szCs w:val="21"/>
                <w:highlight w:val="none"/>
                <w14:textFill>
                  <w14:solidFill>
                    <w14:schemeClr w14:val="tx1"/>
                  </w14:solidFill>
                </w14:textFill>
              </w:rPr>
              <w:t>H</w:t>
            </w:r>
            <w:r>
              <w:rPr>
                <w:rFonts w:eastAsia="等线"/>
                <w:color w:val="000000" w:themeColor="text1"/>
                <w:szCs w:val="21"/>
                <w:highlight w:val="none"/>
                <w:vertAlign w:val="subscript"/>
                <w14:textFill>
                  <w14:solidFill>
                    <w14:schemeClr w14:val="tx1"/>
                  </w14:solidFill>
                </w14:textFill>
              </w:rPr>
              <w:t>2</w:t>
            </w:r>
            <w:r>
              <w:rPr>
                <w:rFonts w:eastAsia="等线"/>
                <w:color w:val="000000" w:themeColor="text1"/>
                <w:szCs w:val="21"/>
                <w:highlight w:val="none"/>
                <w14:textFill>
                  <w14:solidFill>
                    <w14:schemeClr w14:val="tx1"/>
                  </w14:solidFill>
                </w14:textFill>
              </w:rPr>
              <w:t>S</w:t>
            </w:r>
          </w:p>
        </w:tc>
        <w:tc>
          <w:tcPr>
            <w:tcW w:w="1255"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258642</w:t>
            </w:r>
          </w:p>
        </w:tc>
        <w:tc>
          <w:tcPr>
            <w:tcW w:w="1112"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17.</w:t>
            </w:r>
            <w:r>
              <w:rPr>
                <w:rFonts w:hint="eastAsia" w:cs="Times New Roman"/>
                <w:color w:val="000000" w:themeColor="text1"/>
                <w:sz w:val="21"/>
                <w:szCs w:val="20"/>
                <w:highlight w:val="none"/>
                <w14:textFill>
                  <w14:solidFill>
                    <w14:schemeClr w14:val="tx1"/>
                  </w14:solidFill>
                </w14:textFill>
              </w:rPr>
              <w:t>36</w:t>
            </w:r>
          </w:p>
        </w:tc>
        <w:tc>
          <w:tcPr>
            <w:tcW w:w="1112"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4.50</w:t>
            </w:r>
          </w:p>
        </w:tc>
        <w:tc>
          <w:tcPr>
            <w:tcW w:w="1015"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15</w:t>
            </w:r>
          </w:p>
        </w:tc>
        <w:tc>
          <w:tcPr>
            <w:tcW w:w="1015"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149.2</w:t>
            </w:r>
          </w:p>
        </w:tc>
        <w:tc>
          <w:tcPr>
            <w:tcW w:w="1148"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4.0</w:t>
            </w:r>
            <w:r>
              <w:rPr>
                <w:rFonts w:hint="eastAsia" w:cs="Times New Roman"/>
                <w:color w:val="000000" w:themeColor="text1"/>
                <w:sz w:val="21"/>
                <w:szCs w:val="20"/>
                <w:highlight w:val="none"/>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493" w:type="pct"/>
            <w:vMerge w:val="continue"/>
            <w:vAlign w:val="center"/>
          </w:tcPr>
          <w:p>
            <w:pPr>
              <w:pStyle w:val="297"/>
              <w:rPr>
                <w:color w:val="000000" w:themeColor="text1"/>
                <w:highlight w:val="none"/>
                <w14:textFill>
                  <w14:solidFill>
                    <w14:schemeClr w14:val="tx1"/>
                  </w14:solidFill>
                </w14:textFill>
              </w:rPr>
            </w:pPr>
          </w:p>
        </w:tc>
        <w:tc>
          <w:tcPr>
            <w:tcW w:w="604" w:type="pct"/>
            <w:vAlign w:val="center"/>
          </w:tcPr>
          <w:p>
            <w:pPr>
              <w:pStyle w:val="297"/>
              <w:rPr>
                <w:bCs/>
                <w:color w:val="000000" w:themeColor="text1"/>
                <w:highlight w:val="none"/>
                <w14:textFill>
                  <w14:solidFill>
                    <w14:schemeClr w14:val="tx1"/>
                  </w14:solidFill>
                </w14:textFill>
              </w:rPr>
            </w:pPr>
            <w:r>
              <w:rPr>
                <w:rFonts w:eastAsia="等线"/>
                <w:color w:val="000000" w:themeColor="text1"/>
                <w:szCs w:val="21"/>
                <w:highlight w:val="none"/>
                <w14:textFill>
                  <w14:solidFill>
                    <w14:schemeClr w14:val="tx1"/>
                  </w14:solidFill>
                </w14:textFill>
              </w:rPr>
              <w:t>CH</w:t>
            </w:r>
            <w:r>
              <w:rPr>
                <w:rFonts w:eastAsia="等线"/>
                <w:color w:val="000000" w:themeColor="text1"/>
                <w:szCs w:val="21"/>
                <w:highlight w:val="none"/>
                <w:vertAlign w:val="subscript"/>
                <w14:textFill>
                  <w14:solidFill>
                    <w14:schemeClr w14:val="tx1"/>
                  </w14:solidFill>
                </w14:textFill>
              </w:rPr>
              <w:t>4</w:t>
            </w:r>
          </w:p>
        </w:tc>
        <w:tc>
          <w:tcPr>
            <w:tcW w:w="1255"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521571</w:t>
            </w:r>
          </w:p>
        </w:tc>
        <w:tc>
          <w:tcPr>
            <w:tcW w:w="1112"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17.</w:t>
            </w:r>
            <w:r>
              <w:rPr>
                <w:rFonts w:hint="eastAsia" w:cs="Times New Roman"/>
                <w:color w:val="000000" w:themeColor="text1"/>
                <w:sz w:val="21"/>
                <w:szCs w:val="20"/>
                <w:highlight w:val="none"/>
                <w14:textFill>
                  <w14:solidFill>
                    <w14:schemeClr w14:val="tx1"/>
                  </w14:solidFill>
                </w14:textFill>
              </w:rPr>
              <w:t>36</w:t>
            </w:r>
          </w:p>
        </w:tc>
        <w:tc>
          <w:tcPr>
            <w:tcW w:w="1112"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9.08</w:t>
            </w:r>
          </w:p>
        </w:tc>
        <w:tc>
          <w:tcPr>
            <w:tcW w:w="1015"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15</w:t>
            </w:r>
          </w:p>
        </w:tc>
        <w:tc>
          <w:tcPr>
            <w:tcW w:w="1015"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149.2</w:t>
            </w:r>
          </w:p>
        </w:tc>
        <w:tc>
          <w:tcPr>
            <w:tcW w:w="1148" w:type="dxa"/>
            <w:vAlign w:val="center"/>
          </w:tcPr>
          <w:p>
            <w:pPr>
              <w:widowControl/>
              <w:spacing w:line="240" w:lineRule="auto"/>
              <w:ind w:firstLine="0" w:firstLineChars="0"/>
              <w:jc w:val="center"/>
              <w:textAlignment w:val="center"/>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8.1</w:t>
            </w:r>
            <w:r>
              <w:rPr>
                <w:rFonts w:hint="eastAsia" w:cs="Times New Roman"/>
                <w:color w:val="000000" w:themeColor="text1"/>
                <w:sz w:val="21"/>
                <w:szCs w:val="20"/>
                <w:highlight w:val="none"/>
                <w14:textFill>
                  <w14:solidFill>
                    <w14:schemeClr w14:val="tx1"/>
                  </w14:solidFill>
                </w14:textFill>
              </w:rPr>
              <w:t>5</w:t>
            </w:r>
          </w:p>
        </w:tc>
      </w:tr>
    </w:tbl>
    <w:p>
      <w:pPr>
        <w:pStyle w:val="21"/>
        <w:spacing w:before="120" w:beforeLines="5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（2）事故后果预测及危害分析</w:t>
      </w:r>
    </w:p>
    <w:p>
      <w:pPr>
        <w:pStyle w:val="21"/>
        <w:ind w:left="0" w:firstLine="480"/>
        <w:jc w:val="both"/>
        <w:rPr>
          <w:rFonts w:ascii="Times New Roman" w:hAnsi="Times New Roman"/>
          <w:b/>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1）</w:t>
      </w:r>
      <w:r>
        <w:rPr>
          <w:rFonts w:ascii="Times New Roman" w:hAnsi="Times New Roman"/>
          <w:b/>
          <w:bCs/>
          <w:color w:val="000000" w:themeColor="text1"/>
          <w:kern w:val="2"/>
          <w:highlight w:val="none"/>
          <w:lang w:eastAsia="zh-CN"/>
          <w14:textFill>
            <w14:solidFill>
              <w14:schemeClr w14:val="tx1"/>
            </w14:solidFill>
          </w14:textFill>
        </w:rPr>
        <w:t>预测模型筛选</w:t>
      </w:r>
    </w:p>
    <w:p>
      <w:pPr>
        <w:pStyle w:val="21"/>
        <w:spacing w:before="0"/>
        <w:ind w:left="0" w:firstLine="480"/>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大气环境风险后果预测主要采用导则推荐的模型。重质气体排放的扩散模型选用SLAB模型，中性气体和轻质气体排放以及液池蒸发气体的扩散模拟选用AFTOX模型。重质气体和轻质气体采用理查德森数进行判定。</w:t>
      </w:r>
    </w:p>
    <w:p>
      <w:pPr>
        <w:pStyle w:val="21"/>
        <w:spacing w:before="0"/>
        <w:ind w:left="0" w:firstLine="480"/>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本次评价根据《建设项目环境风险评价技术导则》（HJ 169-2018），判定连续排放还是瞬时排放，可以通过对比排放时间</w:t>
      </w:r>
      <w:r>
        <w:rPr>
          <w:rFonts w:ascii="Times New Roman" w:hAnsi="Times New Roman"/>
          <w:bCs/>
          <w:i/>
          <w:iCs/>
          <w:color w:val="000000" w:themeColor="text1"/>
          <w:kern w:val="2"/>
          <w:highlight w:val="none"/>
          <w:lang w:eastAsia="zh-CN"/>
          <w14:textFill>
            <w14:solidFill>
              <w14:schemeClr w14:val="tx1"/>
            </w14:solidFill>
          </w14:textFill>
        </w:rPr>
        <w:t>T</w:t>
      </w:r>
      <w:r>
        <w:rPr>
          <w:rFonts w:ascii="Times New Roman" w:hAnsi="Times New Roman"/>
          <w:bCs/>
          <w:i/>
          <w:iCs/>
          <w:color w:val="000000" w:themeColor="text1"/>
          <w:kern w:val="2"/>
          <w:highlight w:val="none"/>
          <w:vertAlign w:val="subscript"/>
          <w:lang w:eastAsia="zh-CN"/>
          <w14:textFill>
            <w14:solidFill>
              <w14:schemeClr w14:val="tx1"/>
            </w14:solidFill>
          </w14:textFill>
        </w:rPr>
        <w:t>d</w:t>
      </w:r>
      <w:r>
        <w:rPr>
          <w:rFonts w:ascii="Times New Roman" w:hAnsi="Times New Roman"/>
          <w:bCs/>
          <w:color w:val="000000" w:themeColor="text1"/>
          <w:kern w:val="2"/>
          <w:highlight w:val="none"/>
          <w:lang w:eastAsia="zh-CN"/>
          <w14:textFill>
            <w14:solidFill>
              <w14:schemeClr w14:val="tx1"/>
            </w14:solidFill>
          </w14:textFill>
        </w:rPr>
        <w:t>和污染物到达最近的受体点（网格点或敏感点）的时间T确定。</w:t>
      </w:r>
    </w:p>
    <w:p>
      <w:pPr>
        <w:pStyle w:val="21"/>
        <w:spacing w:before="0"/>
        <w:ind w:firstLine="480"/>
        <w:jc w:val="center"/>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i/>
          <w:iCs/>
          <w:color w:val="000000" w:themeColor="text1"/>
          <w:kern w:val="2"/>
          <w:highlight w:val="none"/>
          <w:lang w:eastAsia="zh-CN"/>
          <w14:textFill>
            <w14:solidFill>
              <w14:schemeClr w14:val="tx1"/>
            </w14:solidFill>
          </w14:textFill>
        </w:rPr>
        <w:t>T</w:t>
      </w:r>
      <w:r>
        <w:rPr>
          <w:rFonts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i/>
          <w:iCs/>
          <w:color w:val="000000" w:themeColor="text1"/>
          <w:kern w:val="2"/>
          <w:highlight w:val="none"/>
          <w:lang w:eastAsia="zh-CN"/>
          <w14:textFill>
            <w14:solidFill>
              <w14:schemeClr w14:val="tx1"/>
            </w14:solidFill>
          </w14:textFill>
        </w:rPr>
        <w:t>2X/U</w:t>
      </w:r>
      <w:r>
        <w:rPr>
          <w:rFonts w:ascii="Times New Roman" w:hAnsi="Times New Roman"/>
          <w:bCs/>
          <w:i/>
          <w:iCs/>
          <w:color w:val="000000" w:themeColor="text1"/>
          <w:kern w:val="2"/>
          <w:highlight w:val="none"/>
          <w:vertAlign w:val="subscript"/>
          <w:lang w:eastAsia="zh-CN"/>
          <w14:textFill>
            <w14:solidFill>
              <w14:schemeClr w14:val="tx1"/>
            </w14:solidFill>
          </w14:textFill>
        </w:rPr>
        <w:t>r</w:t>
      </w:r>
    </w:p>
    <w:p>
      <w:pPr>
        <w:pStyle w:val="21"/>
        <w:spacing w:before="0"/>
        <w:ind w:left="0" w:firstLine="480"/>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式中</w:t>
      </w:r>
      <w:r>
        <w:rPr>
          <w:rFonts w:ascii="Times New Roman" w:hAnsi="Times New Roman"/>
          <w:bCs/>
          <w:i/>
          <w:iCs/>
          <w:color w:val="000000" w:themeColor="text1"/>
          <w:kern w:val="2"/>
          <w:highlight w:val="none"/>
          <w:lang w:eastAsia="zh-CN"/>
          <w14:textFill>
            <w14:solidFill>
              <w14:schemeClr w14:val="tx1"/>
            </w14:solidFill>
          </w14:textFill>
        </w:rPr>
        <w:t>X</w:t>
      </w:r>
      <w:r>
        <w:rPr>
          <w:rFonts w:ascii="Times New Roman" w:hAnsi="Times New Roman"/>
          <w:bCs/>
          <w:color w:val="000000" w:themeColor="text1"/>
          <w:kern w:val="2"/>
          <w:highlight w:val="none"/>
          <w:lang w:eastAsia="zh-CN"/>
          <w14:textFill>
            <w14:solidFill>
              <w14:schemeClr w14:val="tx1"/>
            </w14:solidFill>
          </w14:textFill>
        </w:rPr>
        <w:t>——事故发生地与计算点的距离，m。本项目保守考虑，选取距离井口最近的较为集中居民点作为该距离，即约</w:t>
      </w:r>
      <w:r>
        <w:rPr>
          <w:rFonts w:hint="eastAsia" w:ascii="Times New Roman" w:hAnsi="Times New Roman"/>
          <w:bCs/>
          <w:color w:val="000000" w:themeColor="text1"/>
          <w:kern w:val="2"/>
          <w:highlight w:val="none"/>
          <w:lang w:eastAsia="zh-CN"/>
          <w14:textFill>
            <w14:solidFill>
              <w14:schemeClr w14:val="tx1"/>
            </w14:solidFill>
          </w14:textFill>
        </w:rPr>
        <w:t>584</w:t>
      </w:r>
      <w:r>
        <w:rPr>
          <w:rFonts w:ascii="Times New Roman" w:hAnsi="Times New Roman"/>
          <w:bCs/>
          <w:color w:val="000000" w:themeColor="text1"/>
          <w:kern w:val="2"/>
          <w:highlight w:val="none"/>
          <w:lang w:eastAsia="zh-CN"/>
          <w14:textFill>
            <w14:solidFill>
              <w14:schemeClr w14:val="tx1"/>
            </w14:solidFill>
          </w14:textFill>
        </w:rPr>
        <w:t>m。</w:t>
      </w:r>
    </w:p>
    <w:p>
      <w:pPr>
        <w:pStyle w:val="21"/>
        <w:spacing w:before="0"/>
        <w:ind w:left="0" w:firstLine="480"/>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i/>
          <w:iCs/>
          <w:color w:val="000000" w:themeColor="text1"/>
          <w:kern w:val="2"/>
          <w:highlight w:val="none"/>
          <w:lang w:eastAsia="zh-CN"/>
          <w14:textFill>
            <w14:solidFill>
              <w14:schemeClr w14:val="tx1"/>
            </w14:solidFill>
          </w14:textFill>
        </w:rPr>
        <w:t>U</w:t>
      </w:r>
      <w:r>
        <w:rPr>
          <w:rFonts w:ascii="Times New Roman" w:hAnsi="Times New Roman"/>
          <w:bCs/>
          <w:i/>
          <w:iCs/>
          <w:color w:val="000000" w:themeColor="text1"/>
          <w:kern w:val="2"/>
          <w:highlight w:val="none"/>
          <w:vertAlign w:val="subscript"/>
          <w:lang w:eastAsia="zh-CN"/>
          <w14:textFill>
            <w14:solidFill>
              <w14:schemeClr w14:val="tx1"/>
            </w14:solidFill>
          </w14:textFill>
        </w:rPr>
        <w:t>r</w:t>
      </w:r>
      <w:r>
        <w:rPr>
          <w:rFonts w:ascii="Times New Roman" w:hAnsi="Times New Roman"/>
          <w:bCs/>
          <w:color w:val="000000" w:themeColor="text1"/>
          <w:kern w:val="2"/>
          <w:highlight w:val="none"/>
          <w:lang w:eastAsia="zh-CN"/>
          <w14:textFill>
            <w14:solidFill>
              <w14:schemeClr w14:val="tx1"/>
            </w14:solidFill>
          </w14:textFill>
        </w:rPr>
        <w:t>——10m高处风速，m/s。假设风速风向在</w:t>
      </w:r>
      <w:r>
        <w:rPr>
          <w:rFonts w:ascii="Times New Roman" w:hAnsi="Times New Roman"/>
          <w:bCs/>
          <w:i/>
          <w:iCs/>
          <w:color w:val="000000" w:themeColor="text1"/>
          <w:kern w:val="2"/>
          <w:highlight w:val="none"/>
          <w:lang w:eastAsia="zh-CN"/>
          <w14:textFill>
            <w14:solidFill>
              <w14:schemeClr w14:val="tx1"/>
            </w14:solidFill>
          </w14:textFill>
        </w:rPr>
        <w:t>T</w:t>
      </w:r>
      <w:r>
        <w:rPr>
          <w:rFonts w:ascii="Times New Roman" w:hAnsi="Times New Roman"/>
          <w:bCs/>
          <w:color w:val="000000" w:themeColor="text1"/>
          <w:kern w:val="2"/>
          <w:highlight w:val="none"/>
          <w:lang w:eastAsia="zh-CN"/>
          <w14:textFill>
            <w14:solidFill>
              <w14:schemeClr w14:val="tx1"/>
            </w14:solidFill>
          </w14:textFill>
        </w:rPr>
        <w:t>时间段内保持不变。本项目最不利气象条件取1.5m/s。</w:t>
      </w:r>
    </w:p>
    <w:p>
      <w:pPr>
        <w:pStyle w:val="21"/>
        <w:spacing w:before="0"/>
        <w:ind w:left="0" w:firstLine="480"/>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当</w:t>
      </w:r>
      <w:r>
        <w:rPr>
          <w:rFonts w:ascii="Times New Roman" w:hAnsi="Times New Roman"/>
          <w:bCs/>
          <w:i/>
          <w:iCs/>
          <w:color w:val="000000" w:themeColor="text1"/>
          <w:kern w:val="2"/>
          <w:highlight w:val="none"/>
          <w:lang w:eastAsia="zh-CN"/>
          <w14:textFill>
            <w14:solidFill>
              <w14:schemeClr w14:val="tx1"/>
            </w14:solidFill>
          </w14:textFill>
        </w:rPr>
        <w:t>T</w:t>
      </w:r>
      <w:r>
        <w:rPr>
          <w:rFonts w:ascii="Times New Roman" w:hAnsi="Times New Roman"/>
          <w:bCs/>
          <w:i/>
          <w:iCs/>
          <w:color w:val="000000" w:themeColor="text1"/>
          <w:kern w:val="2"/>
          <w:highlight w:val="none"/>
          <w:vertAlign w:val="subscript"/>
          <w:lang w:eastAsia="zh-CN"/>
          <w14:textFill>
            <w14:solidFill>
              <w14:schemeClr w14:val="tx1"/>
            </w14:solidFill>
          </w14:textFill>
        </w:rPr>
        <w:t>d</w:t>
      </w:r>
      <w:r>
        <w:rPr>
          <w:rFonts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i/>
          <w:iCs/>
          <w:color w:val="000000" w:themeColor="text1"/>
          <w:kern w:val="2"/>
          <w:highlight w:val="none"/>
          <w:lang w:eastAsia="zh-CN"/>
          <w14:textFill>
            <w14:solidFill>
              <w14:schemeClr w14:val="tx1"/>
            </w14:solidFill>
          </w14:textFill>
        </w:rPr>
        <w:t>T</w:t>
      </w:r>
      <w:r>
        <w:rPr>
          <w:rFonts w:ascii="Times New Roman" w:hAnsi="Times New Roman"/>
          <w:bCs/>
          <w:color w:val="000000" w:themeColor="text1"/>
          <w:kern w:val="2"/>
          <w:highlight w:val="none"/>
          <w:lang w:eastAsia="zh-CN"/>
          <w14:textFill>
            <w14:solidFill>
              <w14:schemeClr w14:val="tx1"/>
            </w14:solidFill>
          </w14:textFill>
        </w:rPr>
        <w:t>时，可被认为是连续排放的；当</w:t>
      </w:r>
      <w:r>
        <w:rPr>
          <w:rFonts w:ascii="Times New Roman" w:hAnsi="Times New Roman"/>
          <w:bCs/>
          <w:i/>
          <w:iCs/>
          <w:color w:val="000000" w:themeColor="text1"/>
          <w:kern w:val="2"/>
          <w:highlight w:val="none"/>
          <w:lang w:eastAsia="zh-CN"/>
          <w14:textFill>
            <w14:solidFill>
              <w14:schemeClr w14:val="tx1"/>
            </w14:solidFill>
          </w14:textFill>
        </w:rPr>
        <w:t>T</w:t>
      </w:r>
      <w:r>
        <w:rPr>
          <w:rFonts w:ascii="Times New Roman" w:hAnsi="Times New Roman"/>
          <w:bCs/>
          <w:i/>
          <w:iCs/>
          <w:color w:val="000000" w:themeColor="text1"/>
          <w:kern w:val="2"/>
          <w:highlight w:val="none"/>
          <w:vertAlign w:val="subscript"/>
          <w:lang w:eastAsia="zh-CN"/>
          <w14:textFill>
            <w14:solidFill>
              <w14:schemeClr w14:val="tx1"/>
            </w14:solidFill>
          </w14:textFill>
        </w:rPr>
        <w:t>d</w:t>
      </w:r>
      <w:r>
        <w:rPr>
          <w:rFonts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i/>
          <w:iCs/>
          <w:color w:val="000000" w:themeColor="text1"/>
          <w:kern w:val="2"/>
          <w:highlight w:val="none"/>
          <w:lang w:eastAsia="zh-CN"/>
          <w14:textFill>
            <w14:solidFill>
              <w14:schemeClr w14:val="tx1"/>
            </w14:solidFill>
          </w14:textFill>
        </w:rPr>
        <w:t>T</w:t>
      </w:r>
      <w:r>
        <w:rPr>
          <w:rFonts w:ascii="Times New Roman" w:hAnsi="Times New Roman"/>
          <w:bCs/>
          <w:color w:val="000000" w:themeColor="text1"/>
          <w:kern w:val="2"/>
          <w:highlight w:val="none"/>
          <w:lang w:eastAsia="zh-CN"/>
          <w14:textFill>
            <w14:solidFill>
              <w14:schemeClr w14:val="tx1"/>
            </w14:solidFill>
          </w14:textFill>
        </w:rPr>
        <w:t>时，可被认为是瞬时排放的。</w:t>
      </w:r>
    </w:p>
    <w:p>
      <w:pPr>
        <w:pStyle w:val="21"/>
        <w:spacing w:before="0"/>
        <w:ind w:left="0" w:firstLine="480"/>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经计算可得</w:t>
      </w:r>
      <w:r>
        <w:rPr>
          <w:rFonts w:ascii="Times New Roman" w:hAnsi="Times New Roman"/>
          <w:bCs/>
          <w:i/>
          <w:iCs/>
          <w:color w:val="000000" w:themeColor="text1"/>
          <w:kern w:val="2"/>
          <w:highlight w:val="none"/>
          <w:lang w:eastAsia="zh-CN"/>
          <w14:textFill>
            <w14:solidFill>
              <w14:schemeClr w14:val="tx1"/>
            </w14:solidFill>
          </w14:textFill>
        </w:rPr>
        <w:t>T</w:t>
      </w:r>
      <w:r>
        <w:rPr>
          <w:rFonts w:ascii="Times New Roman" w:hAnsi="Times New Roman"/>
          <w:bCs/>
          <w:color w:val="000000" w:themeColor="text1"/>
          <w:kern w:val="2"/>
          <w:highlight w:val="none"/>
          <w:lang w:eastAsia="zh-CN"/>
          <w14:textFill>
            <w14:solidFill>
              <w14:schemeClr w14:val="tx1"/>
            </w14:solidFill>
          </w14:textFill>
        </w:rPr>
        <w:t>=</w:t>
      </w:r>
      <w:r>
        <w:rPr>
          <w:rFonts w:hint="eastAsia" w:ascii="Times New Roman" w:hAnsi="Times New Roman"/>
          <w:bCs/>
          <w:color w:val="000000" w:themeColor="text1"/>
          <w:kern w:val="2"/>
          <w:highlight w:val="none"/>
          <w:lang w:eastAsia="zh-CN"/>
          <w14:textFill>
            <w14:solidFill>
              <w14:schemeClr w14:val="tx1"/>
            </w14:solidFill>
          </w14:textFill>
        </w:rPr>
        <w:t>779</w:t>
      </w:r>
      <w:r>
        <w:rPr>
          <w:rFonts w:ascii="Times New Roman" w:hAnsi="Times New Roman"/>
          <w:bCs/>
          <w:color w:val="000000" w:themeColor="text1"/>
          <w:kern w:val="2"/>
          <w:highlight w:val="none"/>
          <w:lang w:eastAsia="zh-CN"/>
          <w14:textFill>
            <w14:solidFill>
              <w14:schemeClr w14:val="tx1"/>
            </w14:solidFill>
          </w14:textFill>
        </w:rPr>
        <w:t>s（最不利气象条件）；</w:t>
      </w:r>
    </w:p>
    <w:p>
      <w:pPr>
        <w:pStyle w:val="21"/>
        <w:spacing w:before="0"/>
        <w:ind w:left="0" w:firstLine="480"/>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井喷事故产生的H</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S时间为900s，为连续排放；</w:t>
      </w:r>
    </w:p>
    <w:p>
      <w:pPr>
        <w:pStyle w:val="21"/>
        <w:spacing w:before="0"/>
        <w:ind w:left="0" w:firstLine="480"/>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井喷事故产生的CH</w:t>
      </w:r>
      <w:r>
        <w:rPr>
          <w:rFonts w:ascii="Times New Roman" w:hAnsi="Times New Roman"/>
          <w:bCs/>
          <w:color w:val="000000" w:themeColor="text1"/>
          <w:kern w:val="2"/>
          <w:highlight w:val="none"/>
          <w:vertAlign w:val="sub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时间为900s，为连续排放；</w:t>
      </w:r>
    </w:p>
    <w:p>
      <w:pPr>
        <w:pStyle w:val="21"/>
        <w:spacing w:before="0"/>
        <w:ind w:left="0" w:firstLine="480"/>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井喷事故硫化氢和甲烷烟团初始密度未大于空气密度，不计算理查德森数。扩散计算建议采用AFTOX模式。</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2）预测范围与预测点</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本次评价预测范围为井喷井口为中心，外围5000m。预测点包括一般计算点和关心点，一般计算点为本项目下风向，其下风向距离风险源间距为50m；关心点主要统计了项目5000m范围内的敏感点，敏感点坐标如</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_Ref142859160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表</w:t>
      </w:r>
      <w:r>
        <w:rPr>
          <w:rFonts w:ascii="Times New Roman" w:hAnsi="Times New Roman"/>
          <w:bCs/>
          <w:color w:val="000000" w:themeColor="text1"/>
          <w:kern w:val="2"/>
          <w:highlight w:val="none"/>
          <w:lang w:eastAsia="zh-CN"/>
          <w14:textFill>
            <w14:solidFill>
              <w14:schemeClr w14:val="tx1"/>
            </w14:solidFill>
          </w14:textFill>
        </w:rPr>
        <w:t>6.4</w:t>
      </w:r>
      <w:r>
        <w:rPr>
          <w:rFonts w:ascii="Times New Roman" w:hAnsi="Times New Roman"/>
          <w:bCs/>
          <w:color w:val="000000" w:themeColor="text1"/>
          <w:kern w:val="2"/>
          <w:highlight w:val="none"/>
          <w:lang w:eastAsia="zh-CN"/>
          <w14:textFill>
            <w14:solidFill>
              <w14:schemeClr w14:val="tx1"/>
            </w14:solidFill>
          </w14:textFill>
        </w:rPr>
        <w:noBreakHyphen/>
      </w:r>
      <w:r>
        <w:rPr>
          <w:rFonts w:ascii="Times New Roman" w:hAnsi="Times New Roman"/>
          <w:bCs/>
          <w:color w:val="000000" w:themeColor="text1"/>
          <w:kern w:val="2"/>
          <w:highlight w:val="none"/>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，以井口为坐标原点。</w:t>
      </w:r>
    </w:p>
    <w:p>
      <w:pPr>
        <w:pStyle w:val="203"/>
        <w:spacing w:before="120"/>
        <w:rPr>
          <w:color w:val="000000" w:themeColor="text1"/>
          <w:highlight w:val="none"/>
          <w14:textFill>
            <w14:solidFill>
              <w14:schemeClr w14:val="tx1"/>
            </w14:solidFill>
          </w14:textFill>
        </w:rPr>
      </w:pPr>
      <w:bookmarkStart w:id="373" w:name="_Ref14285916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37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大气风险预测敏感点</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25"/>
        <w:gridCol w:w="1856"/>
        <w:gridCol w:w="1712"/>
        <w:gridCol w:w="2573"/>
        <w:gridCol w:w="1001"/>
        <w:gridCol w:w="7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363" w:type="pct"/>
            <w:gridSpan w:val="2"/>
            <w:vMerge w:val="restar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敏感点</w:t>
            </w:r>
          </w:p>
        </w:tc>
        <w:tc>
          <w:tcPr>
            <w:tcW w:w="1023"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规模</w:t>
            </w:r>
          </w:p>
        </w:tc>
        <w:tc>
          <w:tcPr>
            <w:tcW w:w="1537"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距离</w:t>
            </w:r>
          </w:p>
        </w:tc>
        <w:tc>
          <w:tcPr>
            <w:tcW w:w="1075" w:type="pct"/>
            <w:gridSpan w:val="2"/>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相对坐标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363" w:type="pct"/>
            <w:gridSpan w:val="2"/>
            <w:vMerge w:val="continue"/>
            <w:shd w:val="clear" w:color="auto" w:fill="auto"/>
            <w:vAlign w:val="center"/>
          </w:tcPr>
          <w:p>
            <w:pPr>
              <w:pStyle w:val="297"/>
              <w:rPr>
                <w:b/>
                <w:bCs/>
                <w:color w:val="000000" w:themeColor="text1"/>
                <w:highlight w:val="none"/>
                <w14:textFill>
                  <w14:solidFill>
                    <w14:schemeClr w14:val="tx1"/>
                  </w14:solidFill>
                </w14:textFill>
              </w:rPr>
            </w:pPr>
          </w:p>
        </w:tc>
        <w:tc>
          <w:tcPr>
            <w:tcW w:w="1023" w:type="pct"/>
            <w:vMerge w:val="continue"/>
            <w:vAlign w:val="center"/>
          </w:tcPr>
          <w:p>
            <w:pPr>
              <w:pStyle w:val="297"/>
              <w:rPr>
                <w:b/>
                <w:bCs/>
                <w:color w:val="000000" w:themeColor="text1"/>
                <w:highlight w:val="none"/>
                <w14:textFill>
                  <w14:solidFill>
                    <w14:schemeClr w14:val="tx1"/>
                  </w14:solidFill>
                </w14:textFill>
              </w:rPr>
            </w:pPr>
          </w:p>
        </w:tc>
        <w:tc>
          <w:tcPr>
            <w:tcW w:w="1537" w:type="pct"/>
            <w:vMerge w:val="continue"/>
            <w:vAlign w:val="center"/>
          </w:tcPr>
          <w:p>
            <w:pPr>
              <w:pStyle w:val="297"/>
              <w:rPr>
                <w:b/>
                <w:bCs/>
                <w:color w:val="000000" w:themeColor="text1"/>
                <w:highlight w:val="none"/>
                <w14:textFill>
                  <w14:solidFill>
                    <w14:schemeClr w14:val="tx1"/>
                  </w14:solidFill>
                </w14:textFill>
              </w:rPr>
            </w:pPr>
          </w:p>
        </w:tc>
        <w:tc>
          <w:tcPr>
            <w:tcW w:w="598"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X</w:t>
            </w:r>
          </w:p>
        </w:tc>
        <w:tc>
          <w:tcPr>
            <w:tcW w:w="476" w:type="pc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长征</w:t>
            </w:r>
            <w:r>
              <w:rPr>
                <w:color w:val="000000" w:themeColor="text1"/>
                <w:highlight w:val="none"/>
                <w14:textFill>
                  <w14:solidFill>
                    <w14:schemeClr w14:val="tx1"/>
                  </w14:solidFill>
                </w14:textFill>
              </w:rPr>
              <w:t>村村民点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约220户880人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井口西</w:t>
            </w:r>
            <w:r>
              <w:rPr>
                <w:rFonts w:hint="eastAsia"/>
                <w:color w:val="000000" w:themeColor="text1"/>
                <w:highlight w:val="none"/>
                <w14:textFill>
                  <w14:solidFill>
                    <w14:schemeClr w14:val="tx1"/>
                  </w14:solidFill>
                </w14:textFill>
              </w:rPr>
              <w:t>南</w:t>
            </w:r>
            <w:r>
              <w:rPr>
                <w:color w:val="000000" w:themeColor="text1"/>
                <w:highlight w:val="none"/>
                <w14:textFill>
                  <w14:solidFill>
                    <w14:schemeClr w14:val="tx1"/>
                  </w14:solidFill>
                </w14:textFill>
              </w:rPr>
              <w:t>侧约1800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-2565</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炉旺</w:t>
            </w:r>
            <w:r>
              <w:rPr>
                <w:color w:val="000000" w:themeColor="text1"/>
                <w:highlight w:val="none"/>
                <w14:textFill>
                  <w14:solidFill>
                    <w14:schemeClr w14:val="tx1"/>
                  </w14:solidFill>
                </w14:textFill>
              </w:rPr>
              <w:t>村村民点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约300户1200人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西南</w:t>
            </w:r>
            <w:r>
              <w:rPr>
                <w:color w:val="000000" w:themeColor="text1"/>
                <w:highlight w:val="none"/>
                <w14:textFill>
                  <w14:solidFill>
                    <w14:schemeClr w14:val="tx1"/>
                  </w14:solidFill>
                </w14:textFill>
              </w:rPr>
              <w:t>侧约520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-606</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大水凼</w:t>
            </w:r>
            <w:r>
              <w:rPr>
                <w:color w:val="000000" w:themeColor="text1"/>
                <w:highlight w:val="none"/>
                <w14:textFill>
                  <w14:solidFill>
                    <w14:schemeClr w14:val="tx1"/>
                  </w14:solidFill>
                </w14:textFill>
              </w:rPr>
              <w:t>村村民点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约150户600人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西</w:t>
            </w:r>
            <w:r>
              <w:rPr>
                <w:color w:val="000000" w:themeColor="text1"/>
                <w:highlight w:val="none"/>
                <w14:textFill>
                  <w14:solidFill>
                    <w14:schemeClr w14:val="tx1"/>
                  </w14:solidFill>
                </w14:textFill>
              </w:rPr>
              <w:t>侧约3</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-2859</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海棠</w:t>
            </w:r>
            <w:r>
              <w:rPr>
                <w:color w:val="000000" w:themeColor="text1"/>
                <w:highlight w:val="none"/>
                <w14:textFill>
                  <w14:solidFill>
                    <w14:schemeClr w14:val="tx1"/>
                  </w14:solidFill>
                </w14:textFill>
              </w:rPr>
              <w:t>村村民点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约210户840人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西北</w:t>
            </w:r>
            <w:r>
              <w:rPr>
                <w:color w:val="000000" w:themeColor="text1"/>
                <w:highlight w:val="none"/>
                <w14:textFill>
                  <w14:solidFill>
                    <w14:schemeClr w14:val="tx1"/>
                  </w14:solidFill>
                </w14:textFill>
              </w:rPr>
              <w:t>侧约3</w:t>
            </w:r>
            <w:r>
              <w:rPr>
                <w:rFonts w:hint="eastAsia"/>
                <w:color w:val="000000" w:themeColor="text1"/>
                <w:highlight w:val="none"/>
                <w14:textFill>
                  <w14:solidFill>
                    <w14:schemeClr w14:val="tx1"/>
                  </w14:solidFill>
                </w14:textFill>
              </w:rPr>
              <w:t>30～</w:t>
            </w:r>
            <w:r>
              <w:rPr>
                <w:color w:val="000000" w:themeColor="text1"/>
                <w:highlight w:val="none"/>
                <w14:textFill>
                  <w14:solidFill>
                    <w14:schemeClr w14:val="tx1"/>
                  </w14:solidFill>
                </w14:textFill>
              </w:rPr>
              <w:t>2200m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-3386</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田家营村</w:t>
            </w:r>
            <w:r>
              <w:rPr>
                <w:color w:val="000000" w:themeColor="text1"/>
                <w:highlight w:val="none"/>
                <w14:textFill>
                  <w14:solidFill>
                    <w14:schemeClr w14:val="tx1"/>
                  </w14:solidFill>
                </w14:textFill>
              </w:rPr>
              <w:t>村民点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约250户1000人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西北</w:t>
            </w:r>
            <w:r>
              <w:rPr>
                <w:color w:val="000000" w:themeColor="text1"/>
                <w:highlight w:val="none"/>
                <w14:textFill>
                  <w14:solidFill>
                    <w14:schemeClr w14:val="tx1"/>
                  </w14:solidFill>
                </w14:textFill>
              </w:rPr>
              <w:t>侧约2</w:t>
            </w:r>
            <w:r>
              <w:rPr>
                <w:rFonts w:hint="eastAsia"/>
                <w:color w:val="000000" w:themeColor="text1"/>
                <w:highlight w:val="none"/>
                <w14:textFill>
                  <w14:solidFill>
                    <w14:schemeClr w14:val="tx1"/>
                  </w14:solidFill>
                </w14:textFill>
              </w:rPr>
              <w:t>59</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-1996</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火石岭村</w:t>
            </w:r>
            <w:r>
              <w:rPr>
                <w:color w:val="000000" w:themeColor="text1"/>
                <w:highlight w:val="none"/>
                <w14:textFill>
                  <w14:solidFill>
                    <w14:schemeClr w14:val="tx1"/>
                  </w14:solidFill>
                </w14:textFill>
              </w:rPr>
              <w:t>村民点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约230户920人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北</w:t>
            </w:r>
            <w:r>
              <w:rPr>
                <w:color w:val="000000" w:themeColor="text1"/>
                <w:highlight w:val="none"/>
                <w14:textFill>
                  <w14:solidFill>
                    <w14:schemeClr w14:val="tx1"/>
                  </w14:solidFill>
                </w14:textFill>
              </w:rPr>
              <w:t>侧约2</w:t>
            </w:r>
            <w:r>
              <w:rPr>
                <w:rFonts w:hint="eastAsia"/>
                <w:color w:val="000000" w:themeColor="text1"/>
                <w:highlight w:val="none"/>
                <w14:textFill>
                  <w14:solidFill>
                    <w14:schemeClr w14:val="tx1"/>
                  </w14:solidFill>
                </w14:textFill>
              </w:rPr>
              <w:t>90</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4300m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-2038</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罗文</w:t>
            </w:r>
            <w:r>
              <w:rPr>
                <w:color w:val="000000" w:themeColor="text1"/>
                <w:highlight w:val="none"/>
                <w14:textFill>
                  <w14:solidFill>
                    <w14:schemeClr w14:val="tx1"/>
                  </w14:solidFill>
                </w14:textFill>
              </w:rPr>
              <w:t>镇场镇</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约5000人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北</w:t>
            </w:r>
            <w:r>
              <w:rPr>
                <w:color w:val="000000" w:themeColor="text1"/>
                <w:highlight w:val="none"/>
                <w14:textFill>
                  <w14:solidFill>
                    <w14:schemeClr w14:val="tx1"/>
                  </w14:solidFill>
                </w14:textFill>
              </w:rPr>
              <w:t>侧约4</w:t>
            </w: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00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-3681</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苟家寨</w:t>
            </w:r>
            <w:r>
              <w:rPr>
                <w:color w:val="000000" w:themeColor="text1"/>
                <w:highlight w:val="none"/>
                <w14:textFill>
                  <w14:solidFill>
                    <w14:schemeClr w14:val="tx1"/>
                  </w14:solidFill>
                </w14:textFill>
              </w:rPr>
              <w:t>村村民点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约190户760人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东北</w:t>
            </w:r>
            <w:r>
              <w:rPr>
                <w:color w:val="000000" w:themeColor="text1"/>
                <w:highlight w:val="none"/>
                <w14:textFill>
                  <w14:solidFill>
                    <w14:schemeClr w14:val="tx1"/>
                  </w14:solidFill>
                </w14:textFill>
              </w:rPr>
              <w:t>侧约42</w:t>
            </w: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-3723</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慈竹</w:t>
            </w:r>
            <w:r>
              <w:rPr>
                <w:color w:val="000000" w:themeColor="text1"/>
                <w:highlight w:val="none"/>
                <w14:textFill>
                  <w14:solidFill>
                    <w14:schemeClr w14:val="tx1"/>
                  </w14:solidFill>
                </w14:textFill>
              </w:rPr>
              <w:t>村村民点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约110户440人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东南</w:t>
            </w:r>
            <w:r>
              <w:rPr>
                <w:color w:val="000000" w:themeColor="text1"/>
                <w:highlight w:val="none"/>
                <w14:textFill>
                  <w14:solidFill>
                    <w14:schemeClr w14:val="tx1"/>
                  </w14:solidFill>
                </w14:textFill>
              </w:rPr>
              <w:t>侧约2</w:t>
            </w:r>
            <w:r>
              <w:rPr>
                <w:rFonts w:hint="eastAsia"/>
                <w:color w:val="000000" w:themeColor="text1"/>
                <w:highlight w:val="none"/>
                <w14:textFill>
                  <w14:solidFill>
                    <w14:schemeClr w14:val="tx1"/>
                  </w14:solidFill>
                </w14:textFill>
              </w:rPr>
              <w:t>82</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-3070</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贾口</w:t>
            </w:r>
            <w:r>
              <w:rPr>
                <w:color w:val="000000" w:themeColor="text1"/>
                <w:highlight w:val="none"/>
                <w14:textFill>
                  <w14:solidFill>
                    <w14:schemeClr w14:val="tx1"/>
                  </w14:solidFill>
                </w14:textFill>
              </w:rPr>
              <w:t>村村民点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约180户720人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东南</w:t>
            </w:r>
            <w:r>
              <w:rPr>
                <w:color w:val="000000" w:themeColor="text1"/>
                <w:highlight w:val="none"/>
                <w14:textFill>
                  <w14:solidFill>
                    <w14:schemeClr w14:val="tx1"/>
                  </w14:solidFill>
                </w14:textFill>
              </w:rPr>
              <w:t>侧约1</w:t>
            </w:r>
            <w:r>
              <w:rPr>
                <w:rFonts w:hint="eastAsia"/>
                <w:color w:val="000000" w:themeColor="text1"/>
                <w:highlight w:val="none"/>
                <w14:textFill>
                  <w14:solidFill>
                    <w14:schemeClr w14:val="tx1"/>
                  </w14:solidFill>
                </w14:textFill>
              </w:rPr>
              <w:t>15</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-2586</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独坪</w:t>
            </w:r>
            <w:r>
              <w:rPr>
                <w:color w:val="000000" w:themeColor="text1"/>
                <w:highlight w:val="none"/>
                <w14:textFill>
                  <w14:solidFill>
                    <w14:schemeClr w14:val="tx1"/>
                  </w14:solidFill>
                </w14:textFill>
              </w:rPr>
              <w:t>村居民点</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约200户800人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井口南侧约25</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0</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5000m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-3070</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毛坝镇饶坝</w:t>
            </w:r>
            <w:r>
              <w:rPr>
                <w:color w:val="000000" w:themeColor="text1"/>
                <w:highlight w:val="none"/>
                <w14:textFill>
                  <w14:solidFill>
                    <w14:schemeClr w14:val="tx1"/>
                  </w14:solidFill>
                </w14:textFill>
              </w:rPr>
              <w:t>小学</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师生约200人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井口西南侧约4</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00m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-3302</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254" w:type="pct"/>
            <w:shd w:val="clear" w:color="auto" w:fill="auto"/>
            <w:vAlign w:val="center"/>
          </w:tcPr>
          <w:p>
            <w:pPr>
              <w:pStyle w:val="297"/>
              <w:numPr>
                <w:ilvl w:val="0"/>
                <w:numId w:val="15"/>
              </w:numPr>
              <w:rPr>
                <w:color w:val="000000" w:themeColor="text1"/>
                <w:highlight w:val="none"/>
                <w14:textFill>
                  <w14:solidFill>
                    <w14:schemeClr w14:val="tx1"/>
                  </w14:solidFill>
                </w14:textFill>
              </w:rPr>
            </w:pPr>
          </w:p>
        </w:tc>
        <w:tc>
          <w:tcPr>
            <w:tcW w:w="110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万源市第四中</w:t>
            </w:r>
            <w:r>
              <w:rPr>
                <w:color w:val="000000" w:themeColor="text1"/>
                <w:highlight w:val="none"/>
                <w14:textFill>
                  <w14:solidFill>
                    <w14:schemeClr w14:val="tx1"/>
                  </w14:solidFill>
                </w14:textFill>
              </w:rPr>
              <w:t>学</w:t>
            </w:r>
          </w:p>
        </w:tc>
        <w:tc>
          <w:tcPr>
            <w:tcW w:w="102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师生约900人</w:t>
            </w:r>
          </w:p>
        </w:tc>
        <w:tc>
          <w:tcPr>
            <w:tcW w:w="1537"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井口</w:t>
            </w:r>
            <w:r>
              <w:rPr>
                <w:rFonts w:hint="eastAsia"/>
                <w:color w:val="000000" w:themeColor="text1"/>
                <w:highlight w:val="none"/>
                <w14:textFill>
                  <w14:solidFill>
                    <w14:schemeClr w14:val="tx1"/>
                  </w14:solidFill>
                </w14:textFill>
              </w:rPr>
              <w:t>北</w:t>
            </w:r>
            <w:r>
              <w:rPr>
                <w:color w:val="000000" w:themeColor="text1"/>
                <w:highlight w:val="none"/>
                <w14:textFill>
                  <w14:solidFill>
                    <w14:schemeClr w14:val="tx1"/>
                  </w14:solidFill>
                </w14:textFill>
              </w:rPr>
              <w:t>侧约4</w:t>
            </w:r>
            <w:r>
              <w:rPr>
                <w:rFonts w:hint="eastAsia"/>
                <w:color w:val="000000" w:themeColor="text1"/>
                <w:highlight w:val="none"/>
                <w14:textFill>
                  <w14:solidFill>
                    <w14:schemeClr w14:val="tx1"/>
                  </w14:solidFill>
                </w14:textFill>
              </w:rPr>
              <w:t>80</w:t>
            </w:r>
            <w:r>
              <w:rPr>
                <w:color w:val="000000" w:themeColor="text1"/>
                <w:highlight w:val="none"/>
                <w14:textFill>
                  <w14:solidFill>
                    <w14:schemeClr w14:val="tx1"/>
                  </w14:solidFill>
                </w14:textFill>
              </w:rPr>
              <w:t>0m</w:t>
            </w:r>
          </w:p>
        </w:tc>
        <w:tc>
          <w:tcPr>
            <w:tcW w:w="1001"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-3533</w:t>
            </w:r>
          </w:p>
        </w:tc>
        <w:tc>
          <w:tcPr>
            <w:tcW w:w="799"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-3282</w:t>
            </w:r>
          </w:p>
        </w:tc>
      </w:tr>
    </w:tbl>
    <w:p>
      <w:pPr>
        <w:pStyle w:val="95"/>
        <w:rPr>
          <w:color w:val="000000" w:themeColor="text1"/>
          <w:sz w:val="10"/>
          <w:szCs w:val="10"/>
          <w:highlight w:val="none"/>
          <w:lang w:eastAsia="zh-CN"/>
          <w14:textFill>
            <w14:solidFill>
              <w14:schemeClr w14:val="tx1"/>
            </w14:solidFill>
          </w14:textFill>
        </w:rPr>
      </w:pP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39136" behindDoc="0" locked="0" layoutInCell="1" allowOverlap="1">
                <wp:simplePos x="0" y="0"/>
                <wp:positionH relativeFrom="column">
                  <wp:posOffset>1684020</wp:posOffset>
                </wp:positionH>
                <wp:positionV relativeFrom="paragraph">
                  <wp:posOffset>2908935</wp:posOffset>
                </wp:positionV>
                <wp:extent cx="281940" cy="198120"/>
                <wp:effectExtent l="0" t="0" r="0" b="0"/>
                <wp:wrapNone/>
                <wp:docPr id="64" name="文本框 6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16#</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2.6pt;margin-top:229.05pt;height:15.6pt;width:22.2pt;z-index:251739136;mso-width-relative:page;mso-height-relative:page;" filled="f" stroked="f" coordsize="21600,21600" o:gfxdata="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tBFgTaAAAACwEA&#10;AA8AAAAAAAAAAQAgAAAAIgAAAGRycy9kb3ducmV2LnhtbFBLAQIUABQAAAAIAIdO4kCtaaFZUQIA&#10;AIg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16#</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38112" behindDoc="0" locked="0" layoutInCell="1" allowOverlap="1">
                <wp:simplePos x="0" y="0"/>
                <wp:positionH relativeFrom="column">
                  <wp:posOffset>1684020</wp:posOffset>
                </wp:positionH>
                <wp:positionV relativeFrom="paragraph">
                  <wp:posOffset>2676525</wp:posOffset>
                </wp:positionV>
                <wp:extent cx="281940" cy="198120"/>
                <wp:effectExtent l="0" t="0" r="0" b="0"/>
                <wp:wrapNone/>
                <wp:docPr id="65" name="文本框 6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15#</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2.6pt;margin-top:210.75pt;height:15.6pt;width:22.2pt;z-index:251738112;mso-width-relative:page;mso-height-relative:page;" filled="f" stroked="f" coordsize="21600,21600" o:gfxdata="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c8qRHaAAAACwEA&#10;AA8AAAAAAAAAAQAgAAAAIgAAAGRycy9kb3ducmV2LnhtbFBLAQIUABQAAAAIAIdO4kDf6kerUQIA&#10;AIg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15#</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2245360</wp:posOffset>
                </wp:positionH>
                <wp:positionV relativeFrom="paragraph">
                  <wp:posOffset>2743835</wp:posOffset>
                </wp:positionV>
                <wp:extent cx="281940" cy="198120"/>
                <wp:effectExtent l="0" t="0" r="0" b="0"/>
                <wp:wrapNone/>
                <wp:docPr id="1850" name="文本框 1850"/>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9#</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76.8pt;margin-top:216.05pt;height:15.6pt;width:22.2pt;z-index:251732992;mso-width-relative:page;mso-height-relative:page;" filled="f" stroked="f" coordsize="21600,21600" o:gfxdata="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ewnajaAAAACwEA&#10;AA8AAAAAAAAAAQAgAAAAIgAAAGRycy9kb3ducmV2LnhtbFBLAQIUABQAAAAIAIdO4kCkdYJt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9#</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1508125</wp:posOffset>
                </wp:positionH>
                <wp:positionV relativeFrom="paragraph">
                  <wp:posOffset>913765</wp:posOffset>
                </wp:positionV>
                <wp:extent cx="281940" cy="198120"/>
                <wp:effectExtent l="0" t="0" r="0" b="0"/>
                <wp:wrapNone/>
                <wp:docPr id="1852" name="文本框 1852"/>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14#</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18.75pt;margin-top:71.95pt;height:15.6pt;width:22.2pt;z-index:251735040;mso-width-relative:page;mso-height-relative:page;" filled="f" stroked="f" coordsize="21600,21600" o:gfxdata="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YqCZ/aAAAACwEA&#10;AA8AAAAAAAAAAQAgAAAAIgAAAGRycy9kb3ducmV2LnhtbFBLAQIUABQAAAAIAIdO4kCjzvBJ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14#</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36064" behindDoc="0" locked="0" layoutInCell="1" allowOverlap="1">
                <wp:simplePos x="0" y="0"/>
                <wp:positionH relativeFrom="column">
                  <wp:posOffset>1078230</wp:posOffset>
                </wp:positionH>
                <wp:positionV relativeFrom="paragraph">
                  <wp:posOffset>1628775</wp:posOffset>
                </wp:positionV>
                <wp:extent cx="281940" cy="198120"/>
                <wp:effectExtent l="0" t="0" r="0" b="0"/>
                <wp:wrapNone/>
                <wp:docPr id="1853" name="文本框 185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13#</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84.9pt;margin-top:128.25pt;height:15.6pt;width:22.2pt;z-index:251736064;mso-width-relative:page;mso-height-relative:page;" filled="f" stroked="f" coordsize="21600,21600" o:gfxdata="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T9EkHaAAAACwEA&#10;AA8AAAAAAAAAAQAgAAAAIgAAAGRycy9kb3ducmV2LnhtbFBLAQIUABQAAAAIAIdO4kAAEHG2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13#</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2360930</wp:posOffset>
                </wp:positionH>
                <wp:positionV relativeFrom="paragraph">
                  <wp:posOffset>3326130</wp:posOffset>
                </wp:positionV>
                <wp:extent cx="281940" cy="198120"/>
                <wp:effectExtent l="0" t="0" r="0" b="0"/>
                <wp:wrapNone/>
                <wp:docPr id="1848" name="文本框 1848"/>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8#</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5.9pt;margin-top:261.9pt;height:15.6pt;width:22.2pt;z-index:251730944;mso-width-relative:page;mso-height-relative:page;" filled="f" stroked="f" coordsize="21600,21600" o:gfxdata="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gbghxdoAAAALAQAA&#10;DwAAAAAAAAABACAAAAAiAAAAZHJzL2Rvd25yZXYueG1sUEsBAhQAFAAAAAgAh07iQDTqaLNQAgAA&#10;j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8#</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3100705</wp:posOffset>
                </wp:positionH>
                <wp:positionV relativeFrom="paragraph">
                  <wp:posOffset>3390265</wp:posOffset>
                </wp:positionV>
                <wp:extent cx="281940" cy="198120"/>
                <wp:effectExtent l="0" t="0" r="0" b="0"/>
                <wp:wrapNone/>
                <wp:docPr id="1847" name="文本框 184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7#</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44.15pt;margin-top:266.95pt;height:15.6pt;width:22.2pt;z-index:251729920;mso-width-relative:page;mso-height-relative:page;" filled="f" stroked="f" coordsize="21600,21600" o:gfxdata="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b5KhB2wAAAAsB&#10;AAAPAAAAAAAAAAEAIAAAACIAAABkcnMvZG93bnJldi54bWxQSwECFAAUAAAACACHTuJAghW0sVEC&#10;AACMBAAADgAAAAAAAAABACAAAAAqAQAAZHJzL2Uyb0RvYy54bWxQSwUGAAAAAAYABgBZAQAA7QUA&#10;A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7#</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3662045</wp:posOffset>
                </wp:positionH>
                <wp:positionV relativeFrom="paragraph">
                  <wp:posOffset>2940050</wp:posOffset>
                </wp:positionV>
                <wp:extent cx="281940" cy="198120"/>
                <wp:effectExtent l="0" t="0" r="0" b="0"/>
                <wp:wrapNone/>
                <wp:docPr id="1845" name="文本框 1845"/>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6#</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88.35pt;margin-top:231.5pt;height:15.6pt;width:22.2pt;z-index:251728896;mso-width-relative:page;mso-height-relative:page;" filled="f" stroked="f" coordsize="21600,21600" o:gfxdata="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fNP3PaAAAACwEA&#10;AA8AAAAAAAAAAQAgAAAAIgAAAGRycy9kb3ducmV2LnhtbFBLAQIUABQAAAAIAIdO4kCFrsaV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6#</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2359025</wp:posOffset>
                </wp:positionH>
                <wp:positionV relativeFrom="paragraph">
                  <wp:posOffset>1788795</wp:posOffset>
                </wp:positionV>
                <wp:extent cx="281940" cy="198120"/>
                <wp:effectExtent l="0" t="0" r="0" b="0"/>
                <wp:wrapNone/>
                <wp:docPr id="1837" name="文本框 1837"/>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5.75pt;margin-top:140.85pt;height:15.6pt;width:22.2pt;z-index:251725824;mso-width-relative:page;mso-height-relative:page;" filled="f" stroked="f" coordsize="21600,21600" o:gfxdata="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nwZ3XaAAAACwEA&#10;AA8AAAAAAAAAAQAgAAAAIgAAAGRycy9kb3ducmV2LnhtbFBLAQIUABQAAAAIAIdO4kBnSSSH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37088" behindDoc="0" locked="0" layoutInCell="1" allowOverlap="1">
                <wp:simplePos x="0" y="0"/>
                <wp:positionH relativeFrom="column">
                  <wp:posOffset>1132205</wp:posOffset>
                </wp:positionH>
                <wp:positionV relativeFrom="paragraph">
                  <wp:posOffset>2508250</wp:posOffset>
                </wp:positionV>
                <wp:extent cx="281940" cy="198120"/>
                <wp:effectExtent l="0" t="0" r="0" b="0"/>
                <wp:wrapNone/>
                <wp:docPr id="1854" name="文本框 185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12#</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89.15pt;margin-top:197.5pt;height:15.6pt;width:22.2pt;z-index:251737088;mso-width-relative:page;mso-height-relative:page;" filled="f" stroked="f" coordsize="21600,21600" o:gfxdata="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PSJxPaAAAACwEA&#10;AA8AAAAAAAAAAQAgAAAAIgAAAGRycy9kb3ducmV2LnhtbFBLAQIUABQAAAAIAIdO4kCqA2cl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12#</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1724025</wp:posOffset>
                </wp:positionH>
                <wp:positionV relativeFrom="paragraph">
                  <wp:posOffset>2157730</wp:posOffset>
                </wp:positionV>
                <wp:extent cx="281940" cy="198120"/>
                <wp:effectExtent l="0" t="0" r="0" b="0"/>
                <wp:wrapNone/>
                <wp:docPr id="1851" name="文本框 1851"/>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5.75pt;margin-top:169.9pt;height:15.6pt;width:22.2pt;z-index:251734016;mso-width-relative:page;mso-height-relative:page;" filled="f" stroked="f" coordsize="21600,21600" o:gfxdata="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Heub9oAAAALAQAA&#10;DwAAAAAAAAABACAAAAAiAAAAZHJzL2Rvd25yZXYueG1sUEsBAhQAFAAAAAgAh07iQAerA5JQAgAA&#10;jAQAAA4AAAAAAAAAAQAgAAAAKQ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11#</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1684020</wp:posOffset>
                </wp:positionH>
                <wp:positionV relativeFrom="paragraph">
                  <wp:posOffset>3127375</wp:posOffset>
                </wp:positionV>
                <wp:extent cx="281940" cy="198120"/>
                <wp:effectExtent l="0" t="0" r="0" b="0"/>
                <wp:wrapNone/>
                <wp:docPr id="1849" name="文本框 1849"/>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10#</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32.6pt;margin-top:246.25pt;height:15.6pt;width:22.2pt;z-index:251731968;mso-width-relative:page;mso-height-relative:page;" filled="f" stroked="f" coordsize="21600,21600" o:gfxdata="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rqmN2wAAAAsB&#10;AAAPAAAAAAAAAAEAIAAAACIAAABkcnMvZG93bnJldi54bWxQSwECFAAUAAAACACHTuJAlzTpTFEC&#10;AACMBAAADgAAAAAAAAABACAAAAAqAQAAZHJzL2Uyb0RvYy54bWxQSwUGAAAAAAYABgBZAQAA7QUA&#10;A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10#</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3886835</wp:posOffset>
                </wp:positionH>
                <wp:positionV relativeFrom="paragraph">
                  <wp:posOffset>1915160</wp:posOffset>
                </wp:positionV>
                <wp:extent cx="281940" cy="198120"/>
                <wp:effectExtent l="0" t="0" r="0" b="0"/>
                <wp:wrapNone/>
                <wp:docPr id="1844" name="文本框 1844"/>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4#</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06.05pt;margin-top:150.8pt;height:15.6pt;width:22.2pt;z-index:251727872;mso-width-relative:page;mso-height-relative:page;" filled="f" stroked="f" coordsize="21600,21600" o:gfxdata="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sPwf/aAAAACwEA&#10;AA8AAAAAAAAAAQAgAAAAIgAAAGRycy9kb3ducmV2LnhtbFBLAQIUABQAAAAIAIdO4kAmcEdqUQIA&#10;AIwEAAAOAAAAAAAAAAEAIAAAACkBAABkcnMvZTJvRG9jLnhtbFBLBQYAAAAABgAGAFkBAADsBQAA&#10;A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4#</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4087495</wp:posOffset>
                </wp:positionH>
                <wp:positionV relativeFrom="paragraph">
                  <wp:posOffset>1054735</wp:posOffset>
                </wp:positionV>
                <wp:extent cx="281940" cy="198120"/>
                <wp:effectExtent l="0" t="0" r="0" b="0"/>
                <wp:wrapNone/>
                <wp:docPr id="1843" name="文本框 1843"/>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3#</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21.85pt;margin-top:83.05pt;height:15.6pt;width:22.2pt;z-index:251726848;mso-width-relative:page;mso-height-relative:page;" filled="f" stroked="f" coordsize="21600,21600" o:gfxdata="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vJc7/9kAAAALAQAA&#10;DwAAAAAAAAABACAAAAAiAAAAZHJzL2Rvd25yZXYueG1sUEsBAhQAFAAAAAgAh07iQIxjUflRAgAA&#10;jA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3#</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2946400</wp:posOffset>
                </wp:positionH>
                <wp:positionV relativeFrom="paragraph">
                  <wp:posOffset>1146810</wp:posOffset>
                </wp:positionV>
                <wp:extent cx="281940" cy="198120"/>
                <wp:effectExtent l="0" t="0" r="0" b="0"/>
                <wp:wrapNone/>
                <wp:docPr id="1836" name="文本框 183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2#</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32pt;margin-top:90.3pt;height:15.6pt;width:22.2pt;z-index:251724800;mso-width-relative:page;mso-height-relative:page;" filled="f" stroked="f" coordsize="21600,21600" o:gfxdata="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GmW9NkAAAALAQAA&#10;DwAAAAAAAAABACAAAAAiAAAAZHJzL2Rvd25yZXYueG1sUEsBAhQAFAAAAAgAh07iQMSXpXhRAgAA&#10;jA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2#</w:t>
                      </w:r>
                    </w:p>
                  </w:txbxContent>
                </v:textbox>
              </v:shape>
            </w:pict>
          </mc:Fallback>
        </mc:AlternateContent>
      </w:r>
      <w:r>
        <w:rPr>
          <w:color w:val="000000" w:themeColor="text1"/>
          <w:sz w:val="10"/>
          <w:szCs w:val="10"/>
          <w:highlight w:val="none"/>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2330450</wp:posOffset>
                </wp:positionH>
                <wp:positionV relativeFrom="paragraph">
                  <wp:posOffset>281940</wp:posOffset>
                </wp:positionV>
                <wp:extent cx="281940" cy="198120"/>
                <wp:effectExtent l="0" t="0" r="0" b="0"/>
                <wp:wrapNone/>
                <wp:docPr id="136" name="文本框 136"/>
                <wp:cNvGraphicFramePr/>
                <a:graphic xmlns:a="http://schemas.openxmlformats.org/drawingml/2006/main">
                  <a:graphicData uri="http://schemas.microsoft.com/office/word/2010/wordprocessingShape">
                    <wps:wsp>
                      <wps:cNvSpPr txBox="1"/>
                      <wps:spPr bwMode="auto">
                        <a:xfrm>
                          <a:off x="0" y="0"/>
                          <a:ext cx="281940" cy="198120"/>
                        </a:xfrm>
                        <a:prstGeom prst="rect">
                          <a:avLst/>
                        </a:prstGeom>
                        <a:noFill/>
                        <a:ln w="9525">
                          <a:noFill/>
                          <a:miter lim="800000"/>
                        </a:ln>
                      </wps:spPr>
                      <wps:txbx>
                        <w:txbxContent>
                          <w:p>
                            <w:pPr>
                              <w:ind w:firstLine="482"/>
                              <w:rPr>
                                <w:b/>
                                <w:bCs/>
                                <w:color w:val="FF0000"/>
                                <w:szCs w:val="21"/>
                              </w:rPr>
                            </w:pPr>
                            <w:r>
                              <w:rPr>
                                <w:b/>
                                <w:bCs/>
                                <w:color w:val="FF0000"/>
                                <w:szCs w:val="21"/>
                              </w:rPr>
                              <w:t>1#</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3.5pt;margin-top:22.2pt;height:15.6pt;width:22.2pt;z-index:251723776;mso-width-relative:page;mso-height-relative:page;" filled="f" stroked="f" coordsize="21600,21600" o:gfxdata="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fExKzNkAAAAJAQAA&#10;DwAAAAAAAAABACAAAAAiAAAAZHJzL2Rvd25yZXYueG1sUEsBAhQAFAAAAAgAh07iQLhhUBdRAgAA&#10;igQAAA4AAAAAAAAAAQAgAAAAKAEAAGRycy9lMm9Eb2MueG1sUEsFBgAAAAAGAAYAWQEAAOsFAAAA&#10;AA==&#10;">
                <v:fill on="f" focussize="0,0"/>
                <v:stroke on="f" miterlimit="8" joinstyle="miter"/>
                <v:imagedata o:title=""/>
                <o:lock v:ext="edit" aspectratio="f"/>
                <v:textbox inset="0mm,0mm,0mm,0mm">
                  <w:txbxContent>
                    <w:p>
                      <w:pPr>
                        <w:ind w:firstLine="482"/>
                        <w:rPr>
                          <w:b/>
                          <w:bCs/>
                          <w:color w:val="FF0000"/>
                          <w:szCs w:val="21"/>
                        </w:rPr>
                      </w:pPr>
                      <w:r>
                        <w:rPr>
                          <w:b/>
                          <w:bCs/>
                          <w:color w:val="FF0000"/>
                          <w:szCs w:val="21"/>
                        </w:rPr>
                        <w:t>1#</w:t>
                      </w:r>
                    </w:p>
                  </w:txbxContent>
                </v:textbox>
              </v:shape>
            </w:pict>
          </mc:Fallback>
        </mc:AlternateContent>
      </w:r>
      <w:r>
        <w:rPr>
          <w:color w:val="000000" w:themeColor="text1"/>
          <w:sz w:val="10"/>
          <w:szCs w:val="10"/>
          <w:highlight w:val="none"/>
          <w:lang w:eastAsia="zh-CN"/>
          <w14:textFill>
            <w14:solidFill>
              <w14:schemeClr w14:val="tx1"/>
            </w14:solidFill>
          </w14:textFill>
        </w:rPr>
        <w:t xml:space="preserve"> </w:t>
      </w:r>
    </w:p>
    <w:p>
      <w:pPr>
        <w:pStyle w:val="95"/>
        <w:rPr>
          <w:color w:val="000000" w:themeColor="text1"/>
          <w:sz w:val="10"/>
          <w:szCs w:val="10"/>
          <w:highlight w:val="none"/>
          <w:lang w:eastAsia="zh-CN"/>
          <w14:textFill>
            <w14:solidFill>
              <w14:schemeClr w14:val="tx1"/>
            </w14:solidFill>
          </w14:textFill>
        </w:rPr>
      </w:pPr>
    </w:p>
    <w:p>
      <w:pPr>
        <w:pStyle w:val="95"/>
        <w:rPr>
          <w:color w:val="000000" w:themeColor="text1"/>
          <w:sz w:val="10"/>
          <w:szCs w:val="10"/>
          <w:highlight w:val="none"/>
          <w:lang w:eastAsia="zh-CN"/>
          <w14:textFill>
            <w14:solidFill>
              <w14:schemeClr w14:val="tx1"/>
            </w14:solidFill>
          </w14:textFill>
        </w:rPr>
      </w:pPr>
    </w:p>
    <w:p>
      <w:pPr>
        <w:pStyle w:val="95"/>
        <w:rPr>
          <w:color w:val="000000" w:themeColor="text1"/>
          <w:sz w:val="10"/>
          <w:szCs w:val="10"/>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747328" behindDoc="0" locked="0" layoutInCell="1" allowOverlap="1">
                <wp:simplePos x="0" y="0"/>
                <wp:positionH relativeFrom="column">
                  <wp:posOffset>4123055</wp:posOffset>
                </wp:positionH>
                <wp:positionV relativeFrom="paragraph">
                  <wp:posOffset>3587115</wp:posOffset>
                </wp:positionV>
                <wp:extent cx="120650" cy="75565"/>
                <wp:effectExtent l="6350" t="6350" r="6350" b="13335"/>
                <wp:wrapNone/>
                <wp:docPr id="195" name="矩形 195"/>
                <wp:cNvGraphicFramePr/>
                <a:graphic xmlns:a="http://schemas.openxmlformats.org/drawingml/2006/main">
                  <a:graphicData uri="http://schemas.microsoft.com/office/word/2010/wordprocessingShape">
                    <wps:wsp>
                      <wps:cNvSpPr/>
                      <wps:spPr>
                        <a:xfrm>
                          <a:off x="0" y="0"/>
                          <a:ext cx="120650" cy="7556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4.65pt;margin-top:282.45pt;height:5.95pt;width:9.5pt;z-index:251747328;v-text-anchor:middle;mso-width-relative:page;mso-height-relative:page;" fillcolor="#4472C4 [3204]" filled="t" stroked="t" coordsize="21600,21600" o:gfxdata="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Sz2ctsAAAALAQAADwAA&#10;AAAAAAABACAAAAAiAAAAZHJzL2Rvd25yZXYueG1sUEsBAhQAFAAAAAgAh07iQMfAdcCFAgAAGAUA&#10;AA4AAAAAAAAAAQAgAAAAKgEAAGRycy9lMm9Eb2MueG1sUEsFBgAAAAAGAAYAWQEAACEGAAAAAA==&#10;">
                <v:fill on="t" focussize="0,0"/>
                <v:stroke weight="1pt" color="#2F5597 [2404]" miterlimit="8" joinstyle="miter"/>
                <v:imagedata o:title=""/>
                <o:lock v:ext="edit" aspectratio="f"/>
              </v:rect>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4119880</wp:posOffset>
                </wp:positionH>
                <wp:positionV relativeFrom="paragraph">
                  <wp:posOffset>3465195</wp:posOffset>
                </wp:positionV>
                <wp:extent cx="120650" cy="75565"/>
                <wp:effectExtent l="6350" t="6350" r="6350" b="13335"/>
                <wp:wrapNone/>
                <wp:docPr id="194" name="矩形 194"/>
                <wp:cNvGraphicFramePr/>
                <a:graphic xmlns:a="http://schemas.openxmlformats.org/drawingml/2006/main">
                  <a:graphicData uri="http://schemas.microsoft.com/office/word/2010/wordprocessingShape">
                    <wps:wsp>
                      <wps:cNvSpPr/>
                      <wps:spPr>
                        <a:xfrm>
                          <a:off x="5262880" y="6915785"/>
                          <a:ext cx="120650" cy="75565"/>
                        </a:xfrm>
                        <a:prstGeom prst="rect">
                          <a:avLst/>
                        </a:prstGeom>
                        <a:solidFill>
                          <a:schemeClr val="bg1"/>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4.4pt;margin-top:272.85pt;height:5.95pt;width:9.5pt;z-index:251746304;v-text-anchor:middle;mso-width-relative:page;mso-height-relative:page;" fillcolor="#FFFFFF [3212]" filled="t" stroked="t" coordsize="21600,21600" o:gfxdata="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VnHJt2AAAAAsBAAAPAAAAAAAAAAEAIAAAACIA&#10;AABkcnMvZG93bnJldi54bWxQSwECFAAUAAAACACHTuJAbW2KZnsCAAACBQAADgAAAAAAAAABACAA&#10;AAAnAQAAZHJzL2Uyb0RvYy54bWxQSwUGAAAAAAYABgBZAQAAFAYAAAAA&#10;">
                <v:fill on="t" focussize="0,0"/>
                <v:stroke weight="1pt" color="#FF0000 [2404]" miterlimit="8" joinstyle="miter"/>
                <v:imagedata o:title=""/>
                <o:lock v:ext="edit" aspectratio="f"/>
              </v:rect>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4142105</wp:posOffset>
                </wp:positionH>
                <wp:positionV relativeFrom="paragraph">
                  <wp:posOffset>3724910</wp:posOffset>
                </wp:positionV>
                <wp:extent cx="113030" cy="88265"/>
                <wp:effectExtent l="10795" t="12065" r="19050" b="13970"/>
                <wp:wrapNone/>
                <wp:docPr id="190" name="等腰三角形 190"/>
                <wp:cNvGraphicFramePr/>
                <a:graphic xmlns:a="http://schemas.openxmlformats.org/drawingml/2006/main">
                  <a:graphicData uri="http://schemas.microsoft.com/office/word/2010/wordprocessingShape">
                    <wps:wsp>
                      <wps:cNvSpPr/>
                      <wps:spPr>
                        <a:xfrm>
                          <a:off x="5285105" y="7175500"/>
                          <a:ext cx="113030" cy="88265"/>
                        </a:xfrm>
                        <a:prstGeom prst="triangle">
                          <a:avLst>
                            <a:gd name="adj" fmla="val 43258"/>
                          </a:avLst>
                        </a:prstGeom>
                        <a:solidFill>
                          <a:schemeClr val="tx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26.15pt;margin-top:293.3pt;height:6.95pt;width:8.9pt;z-index:251745280;v-text-anchor:middle;mso-width-relative:page;mso-height-relative:page;" fillcolor="#000000 [3213]" filled="t" stroked="t" coordsize="21600,21600" o:gfxdata="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NwPF2AAAAAsBAAAPAAAAAAAAAAEAIAAAACIAAABkcnMvZG93bnJldi54&#10;bWxQSwECFAAUAAAACACHTuJA6ArleaUCAAA7BQAADgAAAAAAAAABACAAAAAnAQAAZHJzL2Uyb0Rv&#10;Yy54bWxQSwUGAAAAAAYABgBZAQAAPgYAAAAA&#10;" adj="9344">
                <v:fill on="t" focussize="0,0"/>
                <v:stroke weight="1pt" color="#FFFFFF [3212]" miterlimit="8"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4256" behindDoc="0" locked="0" layoutInCell="1" allowOverlap="1">
                <wp:simplePos x="0" y="0"/>
                <wp:positionH relativeFrom="column">
                  <wp:posOffset>4058285</wp:posOffset>
                </wp:positionH>
                <wp:positionV relativeFrom="paragraph">
                  <wp:posOffset>3270885</wp:posOffset>
                </wp:positionV>
                <wp:extent cx="1193800" cy="604520"/>
                <wp:effectExtent l="4445" t="4445" r="11430" b="10160"/>
                <wp:wrapNone/>
                <wp:docPr id="185" name="文本框 185"/>
                <wp:cNvGraphicFramePr/>
                <a:graphic xmlns:a="http://schemas.openxmlformats.org/drawingml/2006/main">
                  <a:graphicData uri="http://schemas.microsoft.com/office/word/2010/wordprocessingShape">
                    <wps:wsp>
                      <wps:cNvSpPr txBox="1"/>
                      <wps:spPr>
                        <a:xfrm>
                          <a:off x="5515610" y="6721475"/>
                          <a:ext cx="1193800" cy="604520"/>
                        </a:xfrm>
                        <a:prstGeom prst="rect">
                          <a:avLst/>
                        </a:prstGeom>
                        <a:solidFill>
                          <a:srgbClr val="FFFFFF"/>
                        </a:solidFill>
                        <a:ln w="9525">
                          <a:solidFill>
                            <a:srgbClr val="000000"/>
                          </a:solidFill>
                          <a:miter lim="800000"/>
                        </a:ln>
                      </wps:spPr>
                      <wps:txbx>
                        <w:txbxContent>
                          <w:p>
                            <w:pPr>
                              <w:ind w:firstLine="0" w:firstLineChars="0"/>
                              <w:jc w:val="center"/>
                              <w:rPr>
                                <w:sz w:val="11"/>
                                <w:szCs w:val="11"/>
                              </w:rPr>
                            </w:pPr>
                            <w:r>
                              <w:rPr>
                                <w:rFonts w:hint="eastAsia"/>
                                <w:sz w:val="11"/>
                                <w:szCs w:val="11"/>
                              </w:rPr>
                              <w:t>图   例</w:t>
                            </w:r>
                          </w:p>
                          <w:p>
                            <w:pPr>
                              <w:ind w:firstLine="220"/>
                              <w:jc w:val="center"/>
                              <w:rPr>
                                <w:sz w:val="11"/>
                                <w:szCs w:val="11"/>
                              </w:rPr>
                            </w:pPr>
                            <w:r>
                              <w:rPr>
                                <w:rFonts w:hint="eastAsia"/>
                                <w:sz w:val="11"/>
                                <w:szCs w:val="11"/>
                              </w:rPr>
                              <w:t>大湾408-3井设施</w:t>
                            </w:r>
                          </w:p>
                          <w:p>
                            <w:pPr>
                              <w:ind w:firstLine="220"/>
                              <w:jc w:val="center"/>
                              <w:rPr>
                                <w:sz w:val="11"/>
                                <w:szCs w:val="11"/>
                              </w:rPr>
                            </w:pPr>
                            <w:r>
                              <w:rPr>
                                <w:rFonts w:hint="eastAsia"/>
                                <w:sz w:val="11"/>
                                <w:szCs w:val="11"/>
                              </w:rPr>
                              <w:t>大湾408集气站</w:t>
                            </w:r>
                          </w:p>
                          <w:p>
                            <w:pPr>
                              <w:ind w:firstLine="220"/>
                              <w:jc w:val="right"/>
                              <w:rPr>
                                <w:sz w:val="11"/>
                                <w:szCs w:val="11"/>
                              </w:rPr>
                            </w:pPr>
                            <w:r>
                              <w:rPr>
                                <w:rFonts w:hint="eastAsia"/>
                                <w:sz w:val="11"/>
                                <w:szCs w:val="11"/>
                              </w:rPr>
                              <w:t>周边主要环境风险敏感目标</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19.55pt;margin-top:257.55pt;height:47.6pt;width:94pt;z-index:251744256;mso-width-relative:page;mso-height-relative:page;" fillcolor="#FFFFFF" filled="t" stroked="t" coordsize="21600,21600" o:gfxdata="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6WIvs2QAAAAsBAAAPAAAAAAAAAAEAIAAAACIAAABk&#10;cnMvZG93bnJldi54bWxQSwECFAAUAAAACACHTuJAIja9/3cCAADrBAAADgAAAAAAAAABACAAAAAo&#10;AQAAZHJzL2Uyb0RvYy54bWxQSwUGAAAAAAYABgBZAQAAEQYAAAAA&#10;">
                <v:fill on="t" focussize="0,0"/>
                <v:stroke color="#000000" miterlimit="8" joinstyle="miter"/>
                <v:imagedata o:title=""/>
                <o:lock v:ext="edit" aspectratio="f"/>
                <v:textbox>
                  <w:txbxContent>
                    <w:p>
                      <w:pPr>
                        <w:ind w:firstLine="0" w:firstLineChars="0"/>
                        <w:jc w:val="center"/>
                        <w:rPr>
                          <w:sz w:val="11"/>
                          <w:szCs w:val="11"/>
                        </w:rPr>
                      </w:pPr>
                      <w:r>
                        <w:rPr>
                          <w:rFonts w:hint="eastAsia"/>
                          <w:sz w:val="11"/>
                          <w:szCs w:val="11"/>
                        </w:rPr>
                        <w:t>图   例</w:t>
                      </w:r>
                    </w:p>
                    <w:p>
                      <w:pPr>
                        <w:ind w:firstLine="220"/>
                        <w:jc w:val="center"/>
                        <w:rPr>
                          <w:sz w:val="11"/>
                          <w:szCs w:val="11"/>
                        </w:rPr>
                      </w:pPr>
                      <w:r>
                        <w:rPr>
                          <w:rFonts w:hint="eastAsia"/>
                          <w:sz w:val="11"/>
                          <w:szCs w:val="11"/>
                        </w:rPr>
                        <w:t>大湾408-3井设施</w:t>
                      </w:r>
                    </w:p>
                    <w:p>
                      <w:pPr>
                        <w:ind w:firstLine="220"/>
                        <w:jc w:val="center"/>
                        <w:rPr>
                          <w:sz w:val="11"/>
                          <w:szCs w:val="11"/>
                        </w:rPr>
                      </w:pPr>
                      <w:r>
                        <w:rPr>
                          <w:rFonts w:hint="eastAsia"/>
                          <w:sz w:val="11"/>
                          <w:szCs w:val="11"/>
                        </w:rPr>
                        <w:t>大湾408集气站</w:t>
                      </w:r>
                    </w:p>
                    <w:p>
                      <w:pPr>
                        <w:ind w:firstLine="220"/>
                        <w:jc w:val="right"/>
                        <w:rPr>
                          <w:sz w:val="11"/>
                          <w:szCs w:val="11"/>
                        </w:rPr>
                      </w:pPr>
                      <w:r>
                        <w:rPr>
                          <w:rFonts w:hint="eastAsia"/>
                          <w:sz w:val="11"/>
                          <w:szCs w:val="11"/>
                        </w:rPr>
                        <w:t>周边主要环境风险敏感目标</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-23495</wp:posOffset>
                </wp:positionH>
                <wp:positionV relativeFrom="paragraph">
                  <wp:posOffset>3530600</wp:posOffset>
                </wp:positionV>
                <wp:extent cx="514985" cy="206375"/>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514985" cy="206375"/>
                        </a:xfrm>
                        <a:prstGeom prst="rect">
                          <a:avLst/>
                        </a:prstGeom>
                        <a:noFill/>
                        <a:ln w="9525">
                          <a:noFill/>
                          <a:miter lim="800000"/>
                        </a:ln>
                      </wps:spPr>
                      <wps:txbx>
                        <w:txbxContent>
                          <w:p>
                            <w:pPr>
                              <w:ind w:firstLine="0" w:firstLineChars="0"/>
                              <w:rPr>
                                <w:b/>
                                <w:bCs/>
                                <w:color w:val="FFFF00"/>
                                <w:sz w:val="11"/>
                                <w:szCs w:val="10"/>
                              </w:rPr>
                            </w:pPr>
                            <w:r>
                              <w:rPr>
                                <w:rFonts w:hint="eastAsia"/>
                                <w:b/>
                                <w:bCs/>
                                <w:color w:val="FFFF00"/>
                                <w:sz w:val="11"/>
                                <w:szCs w:val="10"/>
                              </w:rPr>
                              <w:t>比例尺</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85pt;margin-top:278pt;height:16.25pt;width:40.55pt;z-index:251743232;mso-width-relative:page;mso-height-relative:page;" filled="f" stroked="f" coordsize="21600,21600" o:gfxdata="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dEoJjdcAAAAJAQAADwAA&#10;AAAAAAABACAAAAAiAAAAZHJzL2Rvd25yZXYueG1sUEsBAhQAFAAAAAgAh07iQIOChSpQAgAAjAQA&#10;AA4AAAAAAAAAAQAgAAAAJgEAAGRycy9lMm9Eb2MueG1sUEsFBgAAAAAGAAYAWQEAAOgFAAAAAA==&#10;">
                <v:fill on="f" focussize="0,0"/>
                <v:stroke on="f" miterlimit="8" joinstyle="miter"/>
                <v:imagedata o:title=""/>
                <o:lock v:ext="edit" aspectratio="f"/>
                <v:textbox>
                  <w:txbxContent>
                    <w:p>
                      <w:pPr>
                        <w:ind w:firstLine="0" w:firstLineChars="0"/>
                        <w:rPr>
                          <w:b/>
                          <w:bCs/>
                          <w:color w:val="FFFF00"/>
                          <w:sz w:val="11"/>
                          <w:szCs w:val="10"/>
                        </w:rPr>
                      </w:pPr>
                      <w:r>
                        <w:rPr>
                          <w:rFonts w:hint="eastAsia"/>
                          <w:b/>
                          <w:bCs/>
                          <w:color w:val="FFFF00"/>
                          <w:sz w:val="11"/>
                          <w:szCs w:val="10"/>
                        </w:rPr>
                        <w:t>比例尺</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2208" behindDoc="0" locked="0" layoutInCell="1" allowOverlap="1">
                <wp:simplePos x="0" y="0"/>
                <wp:positionH relativeFrom="column">
                  <wp:posOffset>4559300</wp:posOffset>
                </wp:positionH>
                <wp:positionV relativeFrom="paragraph">
                  <wp:posOffset>40005</wp:posOffset>
                </wp:positionV>
                <wp:extent cx="659765" cy="758190"/>
                <wp:effectExtent l="4445" t="5080" r="12065" b="8255"/>
                <wp:wrapNone/>
                <wp:docPr id="181" name="文本框 181"/>
                <wp:cNvGraphicFramePr/>
                <a:graphic xmlns:a="http://schemas.openxmlformats.org/drawingml/2006/main">
                  <a:graphicData uri="http://schemas.microsoft.com/office/word/2010/wordprocessingShape">
                    <wps:wsp>
                      <wps:cNvSpPr txBox="1"/>
                      <wps:spPr>
                        <a:xfrm>
                          <a:off x="5610860" y="3681095"/>
                          <a:ext cx="659765" cy="758190"/>
                        </a:xfrm>
                        <a:prstGeom prst="rect">
                          <a:avLst/>
                        </a:prstGeom>
                        <a:solidFill>
                          <a:srgbClr val="FFFFFF"/>
                        </a:solidFill>
                        <a:ln w="9525">
                          <a:solidFill>
                            <a:srgbClr val="000000"/>
                          </a:solidFill>
                          <a:miter lim="800000"/>
                        </a:ln>
                      </wps:spPr>
                      <wps:txbx>
                        <w:txbxContent>
                          <w:p>
                            <w:pPr>
                              <w:ind w:firstLine="0" w:firstLineChars="0"/>
                            </w:pPr>
                            <w:r>
                              <w:rPr>
                                <w:rFonts w:hint="eastAsia"/>
                              </w:rPr>
                              <w:drawing>
                                <wp:inline distT="0" distB="0" distL="114300" distR="114300">
                                  <wp:extent cx="466725" cy="579120"/>
                                  <wp:effectExtent l="0" t="0" r="0" b="1905"/>
                                  <wp:docPr id="182" name="图片 182" descr="173665703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1736657033865"/>
                                          <pic:cNvPicPr>
                                            <a:picLocks noChangeAspect="1"/>
                                          </pic:cNvPicPr>
                                        </pic:nvPicPr>
                                        <pic:blipFill>
                                          <a:blip r:embed="rId95"/>
                                          <a:stretch>
                                            <a:fillRect/>
                                          </a:stretch>
                                        </pic:blipFill>
                                        <pic:spPr>
                                          <a:xfrm>
                                            <a:off x="0" y="0"/>
                                            <a:ext cx="466725" cy="5791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359pt;margin-top:3.15pt;height:59.7pt;width:51.95pt;z-index:251742208;mso-width-relative:page;mso-height-relative:page;" fillcolor="#FFFFFF" filled="t" stroked="t" coordsize="21600,21600" o:gfxdata="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&#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BLGNu2QAAAAkBAAAPAAAAAAAAAAEAIAAAACIAAABk&#10;cnMvZG93bnJldi54bWxQSwECFAAUAAAACACHTuJA19e8bXcCAADqBAAADgAAAAAAAAABACAAAAAo&#10;AQAAZHJzL2Uyb0RvYy54bWxQSwUGAAAAAAYABgBZAQAAEQYAAAAA&#10;">
                <v:fill on="t" focussize="0,0"/>
                <v:stroke color="#000000" miterlimit="8" joinstyle="miter"/>
                <v:imagedata o:title=""/>
                <o:lock v:ext="edit" aspectratio="f"/>
                <v:textbox>
                  <w:txbxContent>
                    <w:p>
                      <w:pPr>
                        <w:ind w:firstLine="0" w:firstLineChars="0"/>
                      </w:pPr>
                      <w:r>
                        <w:rPr>
                          <w:rFonts w:hint="eastAsia"/>
                        </w:rPr>
                        <w:drawing>
                          <wp:inline distT="0" distB="0" distL="114300" distR="114300">
                            <wp:extent cx="466725" cy="579120"/>
                            <wp:effectExtent l="0" t="0" r="0" b="1905"/>
                            <wp:docPr id="182" name="图片 182" descr="173665703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1736657033865"/>
                                    <pic:cNvPicPr>
                                      <a:picLocks noChangeAspect="1"/>
                                    </pic:cNvPicPr>
                                  </pic:nvPicPr>
                                  <pic:blipFill>
                                    <a:blip r:embed="rId95"/>
                                    <a:stretch>
                                      <a:fillRect/>
                                    </a:stretch>
                                  </pic:blipFill>
                                  <pic:spPr>
                                    <a:xfrm>
                                      <a:off x="0" y="0"/>
                                      <a:ext cx="466725" cy="579120"/>
                                    </a:xfrm>
                                    <a:prstGeom prst="rect">
                                      <a:avLst/>
                                    </a:prstGeom>
                                  </pic:spPr>
                                </pic:pic>
                              </a:graphicData>
                            </a:graphic>
                          </wp:inline>
                        </w:drawing>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1184" behindDoc="0" locked="0" layoutInCell="1" allowOverlap="1">
                <wp:simplePos x="0" y="0"/>
                <wp:positionH relativeFrom="column">
                  <wp:posOffset>3269615</wp:posOffset>
                </wp:positionH>
                <wp:positionV relativeFrom="paragraph">
                  <wp:posOffset>1104900</wp:posOffset>
                </wp:positionV>
                <wp:extent cx="614680" cy="286385"/>
                <wp:effectExtent l="0" t="0" r="0" b="0"/>
                <wp:wrapNone/>
                <wp:docPr id="175" name="文本框 175"/>
                <wp:cNvGraphicFramePr/>
                <a:graphic xmlns:a="http://schemas.openxmlformats.org/drawingml/2006/main">
                  <a:graphicData uri="http://schemas.microsoft.com/office/word/2010/wordprocessingShape">
                    <wps:wsp>
                      <wps:cNvSpPr txBox="1"/>
                      <wps:spPr>
                        <a:xfrm>
                          <a:off x="4768215" y="4961890"/>
                          <a:ext cx="614680" cy="286385"/>
                        </a:xfrm>
                        <a:prstGeom prst="rect">
                          <a:avLst/>
                        </a:prstGeom>
                        <a:noFill/>
                        <a:ln w="9525">
                          <a:noFill/>
                          <a:miter lim="800000"/>
                        </a:ln>
                      </wps:spPr>
                      <wps:txbx>
                        <w:txbxContent>
                          <w:p>
                            <w:pPr>
                              <w:ind w:firstLine="0" w:firstLineChars="0"/>
                              <w:rPr>
                                <w:b/>
                                <w:bCs/>
                                <w:color w:val="FFFF00"/>
                              </w:rPr>
                            </w:pPr>
                            <w:r>
                              <w:rPr>
                                <w:rFonts w:hint="eastAsia"/>
                                <w:b/>
                                <w:bCs/>
                                <w:color w:val="FFFF00"/>
                              </w:rPr>
                              <w:t>5km</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57.45pt;margin-top:87pt;height:22.55pt;width:48.4pt;z-index:251741184;mso-width-relative:page;mso-height-relative:page;" filled="f" stroked="f" coordsize="21600,21600" o:gfxdata="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MO&#10;n7nXAAAACwEAAA8AAAAAAAAAAQAgAAAAIgAAAGRycy9kb3ducmV2LnhtbFBLAQIUABQAAAAIAIdO&#10;4kDUGmU2XQIAAJgEAAAOAAAAAAAAAAEAIAAAACYBAABkcnMvZTJvRG9jLnhtbFBLBQYAAAAABgAG&#10;AFkBAAD1BQAAAAA=&#10;">
                <v:fill on="f" focussize="0,0"/>
                <v:stroke on="f" miterlimit="8" joinstyle="miter"/>
                <v:imagedata o:title=""/>
                <o:lock v:ext="edit" aspectratio="f"/>
                <v:textbox>
                  <w:txbxContent>
                    <w:p>
                      <w:pPr>
                        <w:ind w:firstLine="0" w:firstLineChars="0"/>
                        <w:rPr>
                          <w:b/>
                          <w:bCs/>
                          <w:color w:val="FFFF00"/>
                        </w:rPr>
                      </w:pPr>
                      <w:r>
                        <w:rPr>
                          <w:rFonts w:hint="eastAsia"/>
                          <w:b/>
                          <w:bCs/>
                          <w:color w:val="FFFF00"/>
                        </w:rPr>
                        <w:t>5km</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740160" behindDoc="0" locked="0" layoutInCell="1" allowOverlap="1">
                <wp:simplePos x="0" y="0"/>
                <wp:positionH relativeFrom="column">
                  <wp:posOffset>2918460</wp:posOffset>
                </wp:positionH>
                <wp:positionV relativeFrom="paragraph">
                  <wp:posOffset>742950</wp:posOffset>
                </wp:positionV>
                <wp:extent cx="1212215" cy="1238250"/>
                <wp:effectExtent l="0" t="0" r="6985" b="0"/>
                <wp:wrapNone/>
                <wp:docPr id="163" name="直接箭头连接符 163"/>
                <wp:cNvGraphicFramePr/>
                <a:graphic xmlns:a="http://schemas.openxmlformats.org/drawingml/2006/main">
                  <a:graphicData uri="http://schemas.microsoft.com/office/word/2010/wordprocessingShape">
                    <wps:wsp>
                      <wps:cNvCnPr/>
                      <wps:spPr>
                        <a:xfrm flipV="1">
                          <a:off x="4061460" y="4372610"/>
                          <a:ext cx="1212215" cy="1238250"/>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9.8pt;margin-top:58.5pt;height:97.5pt;width:95.45pt;z-index:251740160;mso-width-relative:page;mso-height-relative:page;" filled="f" stroked="t" coordsize="21600,21600" o:gfxdata="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IjfJI9kAAAALAQAADwAAAAAAAAABACAAAAAiAAAAZHJzL2Rvd25yZXYueG1sUEsBAhQAFAAA&#10;AAgAh07iQIhjc2UnAgAAGAQAAA4AAAAAAAAAAQAgAAAAKAEAAGRycy9lMm9Eb2MueG1sUEsFBgAA&#10;AAAGAAYAWQEAAMEFAAAAAA==&#10;">
                <v:fill on="f" focussize="0,0"/>
                <v:stroke weight="1pt" color="#FFFF00 [3204]" miterlimit="8" joinstyle="miter" startarrow="open" endarrow="open"/>
                <v:imagedata o:title=""/>
                <o:lock v:ext="edit" aspectratio="f"/>
              </v:shape>
            </w:pict>
          </mc:Fallback>
        </mc:AlternateContent>
      </w:r>
      <w:r>
        <w:rPr>
          <w:color w:val="000000" w:themeColor="text1"/>
          <w:highlight w:val="none"/>
          <w14:textFill>
            <w14:solidFill>
              <w14:schemeClr w14:val="tx1"/>
            </w14:solidFill>
          </w14:textFill>
        </w:rPr>
        <w:drawing>
          <wp:inline distT="0" distB="0" distL="114300" distR="114300">
            <wp:extent cx="5269230" cy="3897630"/>
            <wp:effectExtent l="0" t="0" r="7620" b="7620"/>
            <wp:docPr id="1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8"/>
                    <pic:cNvPicPr>
                      <a:picLocks noChangeAspect="1"/>
                    </pic:cNvPicPr>
                  </pic:nvPicPr>
                  <pic:blipFill>
                    <a:blip r:embed="rId96"/>
                    <a:stretch>
                      <a:fillRect/>
                    </a:stretch>
                  </pic:blipFill>
                  <pic:spPr>
                    <a:xfrm>
                      <a:off x="0" y="0"/>
                      <a:ext cx="5269230" cy="3897630"/>
                    </a:xfrm>
                    <a:prstGeom prst="rect">
                      <a:avLst/>
                    </a:prstGeom>
                    <a:noFill/>
                    <a:ln>
                      <a:noFill/>
                    </a:ln>
                  </pic:spPr>
                </pic:pic>
              </a:graphicData>
            </a:graphic>
          </wp:inline>
        </w:drawing>
      </w:r>
    </w:p>
    <w:p>
      <w:pPr>
        <w:pStyle w:val="95"/>
        <w:rPr>
          <w:color w:val="000000" w:themeColor="text1"/>
          <w:sz w:val="10"/>
          <w:szCs w:val="10"/>
          <w:highlight w:val="none"/>
          <w:lang w:eastAsia="zh-CN"/>
          <w14:textFill>
            <w14:solidFill>
              <w14:schemeClr w14:val="tx1"/>
            </w14:solidFill>
          </w14:textFill>
        </w:rPr>
      </w:pPr>
    </w:p>
    <w:p>
      <w:pPr>
        <w:pStyle w:val="165"/>
        <w:rPr>
          <w:color w:val="000000" w:themeColor="text1"/>
          <w:highlight w:val="none"/>
          <w14:textFill>
            <w14:solidFill>
              <w14:schemeClr w14:val="tx1"/>
            </w14:solidFill>
          </w14:textFill>
        </w:rPr>
      </w:pPr>
      <w:bookmarkStart w:id="374" w:name="_Ref143335575"/>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374"/>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大气环境风险调查范围及敏感点分布图</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3）气象参数</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大气风险预测模型主要参数表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77"/>
        <w:gridCol w:w="1755"/>
        <w:gridCol w:w="5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参数类型</w:t>
            </w:r>
          </w:p>
        </w:tc>
        <w:tc>
          <w:tcPr>
            <w:tcW w:w="1049"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选项</w:t>
            </w:r>
          </w:p>
        </w:tc>
        <w:tc>
          <w:tcPr>
            <w:tcW w:w="3128"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基本情况</w:t>
            </w: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事故源经度/（°）</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107.81227112</w:t>
            </w:r>
            <w:r>
              <w:rPr>
                <w:color w:val="000000" w:themeColor="text1"/>
                <w:highlight w:val="none"/>
                <w14:textFill>
                  <w14:solidFill>
                    <w14:schemeClr w14:val="tx1"/>
                  </w14:solidFill>
                </w14:textFill>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事故源纬度/（°）</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31.64315210</w:t>
            </w:r>
            <w:r>
              <w:rPr>
                <w:color w:val="000000" w:themeColor="text1"/>
                <w:highlight w:val="none"/>
                <w14:textFill>
                  <w14:solidFill>
                    <w14:schemeClr w14:val="tx1"/>
                  </w14:solidFill>
                </w14:textFill>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事故源类型</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含硫天然气井发生井喷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气象参数</w:t>
            </w: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气象条件类型</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最不利气象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风速/（m/s）</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环境温度/℃</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相对湿度/%</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稳定度</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其他参数</w:t>
            </w: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地表粗糙度/m</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0.13m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是否考虑地形</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823"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49"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地形数据精度/m</w:t>
            </w:r>
          </w:p>
        </w:tc>
        <w:tc>
          <w:tcPr>
            <w:tcW w:w="3128"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90m</w:t>
            </w:r>
          </w:p>
        </w:tc>
      </w:tr>
    </w:tbl>
    <w:p>
      <w:pPr>
        <w:pStyle w:val="95"/>
        <w:rPr>
          <w:bCs/>
          <w:color w:val="000000" w:themeColor="text1"/>
          <w:kern w:val="2"/>
          <w:highlight w:val="none"/>
          <w:lang w:eastAsia="zh-CN"/>
          <w14:textFill>
            <w14:solidFill>
              <w14:schemeClr w14:val="tx1"/>
            </w14:solidFill>
          </w14:textFill>
        </w:rPr>
      </w:pPr>
      <w:r>
        <w:rPr>
          <w:bCs/>
          <w:color w:val="000000" w:themeColor="text1"/>
          <w:kern w:val="2"/>
          <w:highlight w:val="none"/>
          <w:lang w:eastAsia="zh-CN"/>
          <w14:textFill>
            <w14:solidFill>
              <w14:schemeClr w14:val="tx1"/>
            </w14:solidFill>
          </w14:textFill>
        </w:rPr>
        <w:drawing>
          <wp:inline distT="0" distB="0" distL="114300" distR="114300">
            <wp:extent cx="5274310" cy="3765550"/>
            <wp:effectExtent l="0" t="0" r="2540" b="6350"/>
            <wp:docPr id="228" name="图片 228" descr="173665860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1736658604334"/>
                    <pic:cNvPicPr>
                      <a:picLocks noChangeAspect="1"/>
                    </pic:cNvPicPr>
                  </pic:nvPicPr>
                  <pic:blipFill>
                    <a:blip r:embed="rId97"/>
                    <a:stretch>
                      <a:fillRect/>
                    </a:stretch>
                  </pic:blipFill>
                  <pic:spPr>
                    <a:xfrm>
                      <a:off x="0" y="0"/>
                      <a:ext cx="5274310" cy="3765550"/>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硫化氢事故状态参数输入</w:t>
      </w:r>
    </w:p>
    <w:p>
      <w:pPr>
        <w:pStyle w:val="95"/>
        <w:rPr>
          <w:bCs/>
          <w:color w:val="000000" w:themeColor="text1"/>
          <w:kern w:val="2"/>
          <w:highlight w:val="none"/>
          <w:lang w:eastAsia="zh-CN"/>
          <w14:textFill>
            <w14:solidFill>
              <w14:schemeClr w14:val="tx1"/>
            </w14:solidFill>
          </w14:textFill>
        </w:rPr>
      </w:pPr>
      <w:r>
        <w:rPr>
          <w:bCs/>
          <w:color w:val="000000" w:themeColor="text1"/>
          <w:kern w:val="2"/>
          <w:highlight w:val="none"/>
          <w:lang w:eastAsia="zh-CN"/>
          <w14:textFill>
            <w14:solidFill>
              <w14:schemeClr w14:val="tx1"/>
            </w14:solidFill>
          </w14:textFill>
        </w:rPr>
        <w:drawing>
          <wp:inline distT="0" distB="0" distL="114300" distR="114300">
            <wp:extent cx="5275580" cy="3771900"/>
            <wp:effectExtent l="0" t="0" r="1270" b="0"/>
            <wp:docPr id="227" name="图片 227" descr="173665859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1736658590744"/>
                    <pic:cNvPicPr>
                      <a:picLocks noChangeAspect="1"/>
                    </pic:cNvPicPr>
                  </pic:nvPicPr>
                  <pic:blipFill>
                    <a:blip r:embed="rId98"/>
                    <a:stretch>
                      <a:fillRect/>
                    </a:stretch>
                  </pic:blipFill>
                  <pic:spPr>
                    <a:xfrm>
                      <a:off x="0" y="0"/>
                      <a:ext cx="5275580" cy="3771900"/>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甲烷事故状态参数输入</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4）大气毒性终点浓度选取</w:t>
      </w:r>
      <w:r>
        <w:rPr>
          <w:rFonts w:hint="eastAsia" w:ascii="Times New Roman" w:hAnsi="Times New Roman"/>
          <w:bCs/>
          <w:color w:val="000000" w:themeColor="text1"/>
          <w:kern w:val="2"/>
          <w:highlight w:val="none"/>
          <w:lang w:eastAsia="zh-CN"/>
          <w14:textFill>
            <w14:solidFill>
              <w14:schemeClr w14:val="tx1"/>
            </w14:solidFill>
          </w14:textFill>
        </w:rPr>
        <w:t>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w:instrText>
      </w:r>
      <w:r>
        <w:rPr>
          <w:rFonts w:hint="eastAsia" w:ascii="Times New Roman" w:hAnsi="Times New Roman"/>
          <w:bCs/>
          <w:color w:val="000000" w:themeColor="text1"/>
          <w:kern w:val="2"/>
          <w:highlight w:val="none"/>
          <w:lang w:eastAsia="zh-CN"/>
          <w14:textFill>
            <w14:solidFill>
              <w14:schemeClr w14:val="tx1"/>
            </w14:solidFill>
          </w14:textFill>
        </w:rPr>
        <w:instrText xml:space="preserve">REF _Ref142859261 \h</w:instrText>
      </w:r>
      <w:r>
        <w:rPr>
          <w:rFonts w:ascii="Times New Roman" w:hAnsi="Times New Roman"/>
          <w:bCs/>
          <w:color w:val="000000" w:themeColor="text1"/>
          <w:kern w:val="2"/>
          <w:highlight w:val="none"/>
          <w:lang w:eastAsia="zh-CN"/>
          <w14:textFill>
            <w14:solidFill>
              <w14:schemeClr w14:val="tx1"/>
            </w14:solidFill>
          </w14:textFill>
        </w:rPr>
        <w:instrText xml:space="preserve">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表</w:t>
      </w:r>
      <w:r>
        <w:rPr>
          <w:rFonts w:ascii="Times New Roman" w:hAnsi="Times New Roman"/>
          <w:bCs/>
          <w:color w:val="000000" w:themeColor="text1"/>
          <w:kern w:val="2"/>
          <w:highlight w:val="none"/>
          <w:lang w:eastAsia="zh-CN"/>
          <w14:textFill>
            <w14:solidFill>
              <w14:schemeClr w14:val="tx1"/>
            </w14:solidFill>
          </w14:textFill>
        </w:rPr>
        <w:t>6.4</w:t>
      </w:r>
      <w:r>
        <w:rPr>
          <w:rFonts w:ascii="Times New Roman" w:hAnsi="Times New Roman"/>
          <w:bCs/>
          <w:color w:val="000000" w:themeColor="text1"/>
          <w:kern w:val="2"/>
          <w:highlight w:val="none"/>
          <w:lang w:eastAsia="zh-CN"/>
          <w14:textFill>
            <w14:solidFill>
              <w14:schemeClr w14:val="tx1"/>
            </w14:solidFill>
          </w14:textFill>
        </w:rPr>
        <w:noBreakHyphen/>
      </w:r>
      <w:r>
        <w:rPr>
          <w:rFonts w:ascii="Times New Roman" w:hAnsi="Times New Roman"/>
          <w:bCs/>
          <w:color w:val="000000" w:themeColor="text1"/>
          <w:kern w:val="2"/>
          <w:highlight w:val="none"/>
          <w:lang w:eastAsia="zh-CN"/>
          <w14:textFill>
            <w14:solidFill>
              <w14:schemeClr w14:val="tx1"/>
            </w14:solidFill>
          </w14:textFill>
        </w:rPr>
        <w:t>5</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hint="eastAsia" w:ascii="Times New Roman" w:hAnsi="Times New Roman"/>
          <w:bCs/>
          <w:color w:val="000000" w:themeColor="text1"/>
          <w:kern w:val="2"/>
          <w:highlight w:val="none"/>
          <w:lang w:eastAsia="zh-CN"/>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375" w:name="_Ref14285926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bookmarkEnd w:id="375"/>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大气毒性终点浓度选取表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020"/>
        <w:gridCol w:w="3448"/>
        <w:gridCol w:w="28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07"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名称</w:t>
            </w:r>
          </w:p>
        </w:tc>
        <w:tc>
          <w:tcPr>
            <w:tcW w:w="2061"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毒性终点浓度-1/（mg/m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c>
          <w:tcPr>
            <w:tcW w:w="1732"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毒性终点浓度-2/（mg/m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07"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硫化氢</w:t>
            </w:r>
          </w:p>
        </w:tc>
        <w:tc>
          <w:tcPr>
            <w:tcW w:w="2061"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173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1207" w:type="pct"/>
            <w:shd w:val="clear" w:color="auto" w:fill="auto"/>
            <w:vAlign w:val="center"/>
          </w:tcPr>
          <w:p>
            <w:pPr>
              <w:pStyle w:val="297"/>
              <w:rPr>
                <w:color w:val="000000" w:themeColor="text1"/>
                <w:highlight w:val="none"/>
                <w:vertAlign w:val="subscript"/>
                <w14:textFill>
                  <w14:solidFill>
                    <w14:schemeClr w14:val="tx1"/>
                  </w14:solidFill>
                </w14:textFill>
              </w:rPr>
            </w:pPr>
            <w:r>
              <w:rPr>
                <w:color w:val="000000" w:themeColor="text1"/>
                <w:highlight w:val="none"/>
                <w14:textFill>
                  <w14:solidFill>
                    <w14:schemeClr w14:val="tx1"/>
                  </w14:solidFill>
                </w14:textFill>
              </w:rPr>
              <w:t>甲烷</w:t>
            </w:r>
          </w:p>
        </w:tc>
        <w:tc>
          <w:tcPr>
            <w:tcW w:w="2061"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260000</w:t>
            </w:r>
          </w:p>
        </w:tc>
        <w:tc>
          <w:tcPr>
            <w:tcW w:w="173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 xml:space="preserve">150000 </w:t>
            </w:r>
          </w:p>
        </w:tc>
      </w:tr>
    </w:tbl>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5）预测结果</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①</w:t>
      </w:r>
      <w:r>
        <w:rPr>
          <w:rFonts w:ascii="Times New Roman" w:hAnsi="Times New Roman"/>
          <w:bCs/>
          <w:color w:val="000000" w:themeColor="text1"/>
          <w:kern w:val="2"/>
          <w:highlight w:val="none"/>
          <w:lang w:eastAsia="zh-CN"/>
          <w14:textFill>
            <w14:solidFill>
              <w14:schemeClr w14:val="tx1"/>
            </w14:solidFill>
          </w14:textFill>
        </w:rPr>
        <w:t>一般计算点影响情况</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最不利气象条件下的一般计算点浓度，预测结果如下：</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大气毒性终点浓度影响区域</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42"/>
        <w:gridCol w:w="1242"/>
        <w:gridCol w:w="1208"/>
        <w:gridCol w:w="1208"/>
        <w:gridCol w:w="1423"/>
        <w:gridCol w:w="2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物质名称</w:t>
            </w:r>
          </w:p>
        </w:tc>
        <w:tc>
          <w:tcPr>
            <w:tcW w:w="742"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阈值mg/m</w:t>
            </w:r>
            <w:r>
              <w:rPr>
                <w:b/>
                <w:bCs/>
                <w:color w:val="000000" w:themeColor="text1"/>
                <w:highlight w:val="none"/>
                <w:vertAlign w:val="superscript"/>
                <w14:textFill>
                  <w14:solidFill>
                    <w14:schemeClr w14:val="tx1"/>
                  </w14:solidFill>
                </w14:textFill>
              </w:rPr>
              <w:t>3</w:t>
            </w:r>
          </w:p>
        </w:tc>
        <w:tc>
          <w:tcPr>
            <w:tcW w:w="722"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X起点，m</w:t>
            </w:r>
          </w:p>
        </w:tc>
        <w:tc>
          <w:tcPr>
            <w:tcW w:w="722"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X终点，m</w:t>
            </w:r>
          </w:p>
        </w:tc>
        <w:tc>
          <w:tcPr>
            <w:tcW w:w="850"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最大半宽，m</w:t>
            </w:r>
          </w:p>
        </w:tc>
        <w:tc>
          <w:tcPr>
            <w:tcW w:w="1221"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最大半宽对应X，m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硫化氢</w:t>
            </w:r>
          </w:p>
        </w:tc>
        <w:tc>
          <w:tcPr>
            <w:tcW w:w="74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722"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0</w:t>
            </w:r>
          </w:p>
        </w:tc>
        <w:tc>
          <w:tcPr>
            <w:tcW w:w="722"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500</w:t>
            </w:r>
            <w:r>
              <w:rPr>
                <w:color w:val="000000" w:themeColor="text1"/>
                <w:highlight w:val="none"/>
                <w14:textFill>
                  <w14:solidFill>
                    <w14:schemeClr w14:val="tx1"/>
                  </w14:solidFill>
                </w14:textFill>
              </w:rPr>
              <w:t>0</w:t>
            </w:r>
          </w:p>
        </w:tc>
        <w:tc>
          <w:tcPr>
            <w:tcW w:w="850"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2</w:t>
            </w:r>
          </w:p>
        </w:tc>
        <w:tc>
          <w:tcPr>
            <w:tcW w:w="1221"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w:t>
            </w:r>
            <w:r>
              <w:rPr>
                <w:rFonts w:hint="eastAsia"/>
                <w:color w:val="000000" w:themeColor="text1"/>
                <w:highlight w:val="none"/>
                <w14:textFill>
                  <w14:solidFill>
                    <w14:schemeClr w14:val="tx1"/>
                  </w14:solidFill>
                </w14:textFill>
              </w:rPr>
              <w:t>33</w:t>
            </w: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74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70</w:t>
            </w:r>
          </w:p>
        </w:tc>
        <w:tc>
          <w:tcPr>
            <w:tcW w:w="722"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w:t>
            </w:r>
          </w:p>
        </w:tc>
        <w:tc>
          <w:tcPr>
            <w:tcW w:w="722"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4060</w:t>
            </w:r>
          </w:p>
        </w:tc>
        <w:tc>
          <w:tcPr>
            <w:tcW w:w="850"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14</w:t>
            </w:r>
            <w:r>
              <w:rPr>
                <w:rFonts w:hint="eastAsia"/>
                <w:color w:val="000000" w:themeColor="text1"/>
                <w:highlight w:val="none"/>
                <w14:textFill>
                  <w14:solidFill>
                    <w14:schemeClr w14:val="tx1"/>
                  </w14:solidFill>
                </w14:textFill>
              </w:rPr>
              <w:t>0</w:t>
            </w:r>
          </w:p>
        </w:tc>
        <w:tc>
          <w:tcPr>
            <w:tcW w:w="1221"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w:t>
            </w:r>
          </w:p>
        </w:tc>
        <w:tc>
          <w:tcPr>
            <w:tcW w:w="74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150000</w:t>
            </w:r>
          </w:p>
        </w:tc>
        <w:tc>
          <w:tcPr>
            <w:tcW w:w="72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72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850"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1221"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742"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74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260000</w:t>
            </w:r>
          </w:p>
        </w:tc>
        <w:tc>
          <w:tcPr>
            <w:tcW w:w="72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722"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850"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c>
          <w:tcPr>
            <w:tcW w:w="1221"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w:t>
            </w:r>
          </w:p>
        </w:tc>
      </w:tr>
    </w:tbl>
    <w:p>
      <w:pPr>
        <w:pStyle w:val="95"/>
        <w:rPr>
          <w:rFonts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72405" cy="3157855"/>
            <wp:effectExtent l="0" t="0" r="4445" b="4445"/>
            <wp:docPr id="229" name="图片 229" descr="1736658936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1736658936727"/>
                    <pic:cNvPicPr>
                      <a:picLocks noChangeAspect="1"/>
                    </pic:cNvPicPr>
                  </pic:nvPicPr>
                  <pic:blipFill>
                    <a:blip r:embed="rId99"/>
                    <a:stretch>
                      <a:fillRect/>
                    </a:stretch>
                  </pic:blipFill>
                  <pic:spPr>
                    <a:xfrm>
                      <a:off x="0" y="0"/>
                      <a:ext cx="5272405" cy="3157855"/>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最不利气象条件下</w:t>
      </w:r>
      <w:r>
        <w:rPr>
          <w:color w:val="000000" w:themeColor="text1"/>
          <w:highlight w:val="none"/>
          <w14:textFill>
            <w14:solidFill>
              <w14:schemeClr w14:val="tx1"/>
            </w14:solidFill>
          </w14:textFill>
        </w:rPr>
        <w:t>H</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S扩散最大影响区域图</w:t>
      </w:r>
    </w:p>
    <w:p>
      <w:pPr>
        <w:pStyle w:val="95"/>
        <w:rPr>
          <w:rFonts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73675" cy="2762250"/>
            <wp:effectExtent l="0" t="0" r="3175" b="0"/>
            <wp:docPr id="253" name="图片 253" descr="1736658966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1736658966239"/>
                    <pic:cNvPicPr>
                      <a:picLocks noChangeAspect="1"/>
                    </pic:cNvPicPr>
                  </pic:nvPicPr>
                  <pic:blipFill>
                    <a:blip r:embed="rId100"/>
                    <a:stretch>
                      <a:fillRect/>
                    </a:stretch>
                  </pic:blipFill>
                  <pic:spPr>
                    <a:xfrm>
                      <a:off x="0" y="0"/>
                      <a:ext cx="5273675" cy="2762250"/>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最不利气象条件下H</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S扩散轴线扩散最大浓度图</w:t>
      </w:r>
    </w:p>
    <w:p>
      <w:pPr>
        <w:pStyle w:val="95"/>
        <w:rPr>
          <w:rFonts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73040" cy="2966085"/>
            <wp:effectExtent l="0" t="0" r="3810" b="5715"/>
            <wp:docPr id="264" name="图片 264" descr="173665991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1736659914491"/>
                    <pic:cNvPicPr>
                      <a:picLocks noChangeAspect="1"/>
                    </pic:cNvPicPr>
                  </pic:nvPicPr>
                  <pic:blipFill>
                    <a:blip r:embed="rId101"/>
                    <a:stretch>
                      <a:fillRect/>
                    </a:stretch>
                  </pic:blipFill>
                  <pic:spPr>
                    <a:xfrm>
                      <a:off x="0" y="0"/>
                      <a:ext cx="5273040" cy="2966085"/>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最不利气象条件下CH</w:t>
      </w:r>
      <w:r>
        <w:rPr>
          <w:rFonts w:hint="eastAsia"/>
          <w:color w:val="000000" w:themeColor="text1"/>
          <w:highlight w:val="none"/>
          <w:vertAlign w:val="subscript"/>
          <w14:textFill>
            <w14:solidFill>
              <w14:schemeClr w14:val="tx1"/>
            </w14:solidFill>
          </w14:textFill>
        </w:rPr>
        <w:t>4</w:t>
      </w:r>
      <w:r>
        <w:rPr>
          <w:color w:val="000000" w:themeColor="text1"/>
          <w:highlight w:val="none"/>
          <w14:textFill>
            <w14:solidFill>
              <w14:schemeClr w14:val="tx1"/>
            </w14:solidFill>
          </w14:textFill>
        </w:rPr>
        <w:t>扩散最大影响区域图</w:t>
      </w:r>
    </w:p>
    <w:p>
      <w:pPr>
        <w:pStyle w:val="95"/>
        <w:rPr>
          <w:rFonts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69865" cy="2697480"/>
            <wp:effectExtent l="0" t="0" r="6985" b="7620"/>
            <wp:docPr id="263" name="图片 263" descr="1736659810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1736659810334(1)"/>
                    <pic:cNvPicPr>
                      <a:picLocks noChangeAspect="1"/>
                    </pic:cNvPicPr>
                  </pic:nvPicPr>
                  <pic:blipFill>
                    <a:blip r:embed="rId102"/>
                    <a:stretch>
                      <a:fillRect/>
                    </a:stretch>
                  </pic:blipFill>
                  <pic:spPr>
                    <a:xfrm>
                      <a:off x="0" y="0"/>
                      <a:ext cx="5269865" cy="2697480"/>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最不利气象条件下</w:t>
      </w:r>
      <w:r>
        <w:rPr>
          <w:rFonts w:hint="eastAsia"/>
          <w:color w:val="000000" w:themeColor="text1"/>
          <w:highlight w:val="none"/>
          <w14:textFill>
            <w14:solidFill>
              <w14:schemeClr w14:val="tx1"/>
            </w14:solidFill>
          </w14:textFill>
        </w:rPr>
        <w:t>CH</w:t>
      </w:r>
      <w:r>
        <w:rPr>
          <w:rFonts w:hint="eastAsia"/>
          <w:color w:val="000000" w:themeColor="text1"/>
          <w:highlight w:val="none"/>
          <w:vertAlign w:val="subscript"/>
          <w14:textFill>
            <w14:solidFill>
              <w14:schemeClr w14:val="tx1"/>
            </w14:solidFill>
          </w14:textFill>
        </w:rPr>
        <w:t>4</w:t>
      </w:r>
      <w:r>
        <w:rPr>
          <w:color w:val="000000" w:themeColor="text1"/>
          <w:highlight w:val="none"/>
          <w14:textFill>
            <w14:solidFill>
              <w14:schemeClr w14:val="tx1"/>
            </w14:solidFill>
          </w14:textFill>
        </w:rPr>
        <w:t>扩散轴线扩散最大浓度图</w:t>
      </w:r>
    </w:p>
    <w:p>
      <w:pPr>
        <w:ind w:firstLine="480"/>
        <w:rPr>
          <w:color w:val="000000" w:themeColor="text1"/>
          <w:highlight w:val="none"/>
          <w14:textFill>
            <w14:solidFill>
              <w14:schemeClr w14:val="tx1"/>
            </w14:solidFill>
          </w14:textFill>
        </w:rPr>
      </w:pP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污染物扩散轴线各点的最大浓度列表（最不利气象）</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602"/>
        <w:gridCol w:w="1565"/>
        <w:gridCol w:w="1816"/>
        <w:gridCol w:w="1565"/>
        <w:gridCol w:w="1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958" w:type="pct"/>
            <w:vMerge w:val="restar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轴线距离（m）</w:t>
            </w:r>
          </w:p>
        </w:tc>
        <w:tc>
          <w:tcPr>
            <w:tcW w:w="2020" w:type="pct"/>
            <w:gridSpan w:val="2"/>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硫化氢</w:t>
            </w:r>
          </w:p>
        </w:tc>
        <w:tc>
          <w:tcPr>
            <w:tcW w:w="2021" w:type="pct"/>
            <w:gridSpan w:val="2"/>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甲烷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trPr>
        <w:tc>
          <w:tcPr>
            <w:tcW w:w="958" w:type="pct"/>
            <w:vMerge w:val="continue"/>
            <w:shd w:val="clear" w:color="auto" w:fill="auto"/>
            <w:vAlign w:val="center"/>
          </w:tcPr>
          <w:p>
            <w:pPr>
              <w:pStyle w:val="297"/>
              <w:rPr>
                <w:b/>
                <w:bCs/>
                <w:color w:val="000000" w:themeColor="text1"/>
                <w:highlight w:val="none"/>
                <w14:textFill>
                  <w14:solidFill>
                    <w14:schemeClr w14:val="tx1"/>
                  </w14:solidFill>
                </w14:textFill>
              </w:rPr>
            </w:pPr>
          </w:p>
        </w:tc>
        <w:tc>
          <w:tcPr>
            <w:tcW w:w="935"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出现时间，min</w:t>
            </w:r>
          </w:p>
        </w:tc>
        <w:tc>
          <w:tcPr>
            <w:tcW w:w="1084"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高峰浓度，mg/m</w:t>
            </w:r>
            <w:r>
              <w:rPr>
                <w:b/>
                <w:bCs/>
                <w:color w:val="000000" w:themeColor="text1"/>
                <w:highlight w:val="none"/>
                <w:vertAlign w:val="superscript"/>
                <w14:textFill>
                  <w14:solidFill>
                    <w14:schemeClr w14:val="tx1"/>
                  </w14:solidFill>
                </w14:textFill>
              </w:rPr>
              <w:t>3</w:t>
            </w:r>
          </w:p>
        </w:tc>
        <w:tc>
          <w:tcPr>
            <w:tcW w:w="935"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出现时间，min</w:t>
            </w:r>
          </w:p>
        </w:tc>
        <w:tc>
          <w:tcPr>
            <w:tcW w:w="1085" w:type="pc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高峰浓度，mg/m</w:t>
            </w:r>
            <w:r>
              <w:rPr>
                <w:b/>
                <w:bCs/>
                <w:color w:val="000000" w:themeColor="text1"/>
                <w:highlight w:val="none"/>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1.67E-01</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7.49E+03</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1.67E-01</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1.51E+04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50.00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4.17E-01</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1.88E+04</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4.17E-01</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3.80E+04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8.33E-01</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1.25E+04</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8.33E-01</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2.53E+04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150.00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1.25E+00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8.42E+03</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1.25E+00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1.70E+04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1.67E+00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5.94E+03</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1.67E+00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1.20E+04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250.00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2.08E+00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4.39E+03</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2.08E+00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8.87E+03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300.00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2.50E+00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3.39E+03</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2.50E+00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6.83E+03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350.00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2.92E+00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2.69E+03</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2.92E+00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5.44E+03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400.00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3.33E+00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2.20E+03</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3.33E+00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4.44E+03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500.00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4.17E+00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1.55E+03</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4.17E+00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3.14E+03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600.00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5.00E+00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1.16E+03</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5.00E+00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2.35E+03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700.00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5.83E+00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9.08E+02</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5.83E+00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1.83E+03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800.00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6.67E+00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7.31E+02</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6.67E+00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1.47E+03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900.00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7.50E+00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6.03E+02</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7.50E+00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1.22E+03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1000.00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8.33E+00</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5.07E+02</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8.33E+00</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1.02E+03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1500.00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1.25E+01</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2.63E+02</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1.25E+01</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5.31E+02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2000.00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2.07E+01</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1.80E+02</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2.07E+01</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3.63E+02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3000.00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3.00E+01</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1.05E+02</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3.00E+01</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2.12E+02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4000.00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4.03E+01</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7.16E+01</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4.03E+01</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1.44E+02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958"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5000.00 </w:t>
            </w:r>
          </w:p>
        </w:tc>
        <w:tc>
          <w:tcPr>
            <w:tcW w:w="935"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4.97E+01</w:t>
            </w:r>
          </w:p>
        </w:tc>
        <w:tc>
          <w:tcPr>
            <w:tcW w:w="1084"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5.31E+01</w:t>
            </w:r>
          </w:p>
        </w:tc>
        <w:tc>
          <w:tcPr>
            <w:tcW w:w="156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4.97E+01</w:t>
            </w:r>
          </w:p>
        </w:tc>
        <w:tc>
          <w:tcPr>
            <w:tcW w:w="1816"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1.07E+02</w:t>
            </w:r>
          </w:p>
        </w:tc>
      </w:tr>
    </w:tbl>
    <w:p>
      <w:pPr>
        <w:pStyle w:val="21"/>
        <w:spacing w:before="120" w:beforeLines="5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预测结果分析：发生井喷时，以井口为源点，H</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S扩散后达到毒性终点浓度-2的最远距离为下风向</w:t>
      </w:r>
      <w:r>
        <w:rPr>
          <w:rFonts w:hint="eastAsia" w:ascii="Times New Roman" w:hAnsi="Times New Roman"/>
          <w:bCs/>
          <w:color w:val="000000" w:themeColor="text1"/>
          <w:kern w:val="2"/>
          <w:highlight w:val="none"/>
          <w:lang w:eastAsia="zh-CN"/>
          <w14:textFill>
            <w14:solidFill>
              <w14:schemeClr w14:val="tx1"/>
            </w14:solidFill>
          </w14:textFill>
        </w:rPr>
        <w:t>5000</w:t>
      </w:r>
      <w:r>
        <w:rPr>
          <w:rFonts w:ascii="Times New Roman" w:hAnsi="Times New Roman"/>
          <w:bCs/>
          <w:color w:val="000000" w:themeColor="text1"/>
          <w:kern w:val="2"/>
          <w:highlight w:val="none"/>
          <w:lang w:eastAsia="zh-CN"/>
          <w14:textFill>
            <w14:solidFill>
              <w14:schemeClr w14:val="tx1"/>
            </w14:solidFill>
          </w14:textFill>
        </w:rPr>
        <w:t>m，到达时间为</w:t>
      </w:r>
      <w:r>
        <w:rPr>
          <w:rFonts w:hint="eastAsia" w:ascii="Times New Roman" w:hAnsi="Times New Roman"/>
          <w:bCs/>
          <w:color w:val="000000" w:themeColor="text1"/>
          <w:kern w:val="2"/>
          <w:highlight w:val="none"/>
          <w:lang w:eastAsia="zh-CN"/>
          <w14:textFill>
            <w14:solidFill>
              <w14:schemeClr w14:val="tx1"/>
            </w14:solidFill>
          </w14:textFill>
        </w:rPr>
        <w:t>49.7</w:t>
      </w:r>
      <w:r>
        <w:rPr>
          <w:rFonts w:ascii="Times New Roman" w:hAnsi="Times New Roman"/>
          <w:bCs/>
          <w:color w:val="000000" w:themeColor="text1"/>
          <w:kern w:val="2"/>
          <w:highlight w:val="none"/>
          <w:lang w:eastAsia="zh-CN"/>
          <w14:textFill>
            <w14:solidFill>
              <w14:schemeClr w14:val="tx1"/>
            </w14:solidFill>
          </w14:textFill>
        </w:rPr>
        <w:t>min，达到毒性终点浓度-1的最远距离为下风向4</w:t>
      </w:r>
      <w:r>
        <w:rPr>
          <w:rFonts w:hint="eastAsia" w:ascii="Times New Roman" w:hAnsi="Times New Roman"/>
          <w:bCs/>
          <w:color w:val="000000" w:themeColor="text1"/>
          <w:kern w:val="2"/>
          <w:highlight w:val="none"/>
          <w:lang w:eastAsia="zh-CN"/>
          <w14:textFill>
            <w14:solidFill>
              <w14:schemeClr w14:val="tx1"/>
            </w14:solidFill>
          </w14:textFill>
        </w:rPr>
        <w:t>060</w:t>
      </w:r>
      <w:r>
        <w:rPr>
          <w:rFonts w:ascii="Times New Roman" w:hAnsi="Times New Roman"/>
          <w:bCs/>
          <w:color w:val="000000" w:themeColor="text1"/>
          <w:kern w:val="2"/>
          <w:highlight w:val="none"/>
          <w:lang w:eastAsia="zh-CN"/>
          <w14:textFill>
            <w14:solidFill>
              <w14:schemeClr w14:val="tx1"/>
            </w14:solidFill>
          </w14:textFill>
        </w:rPr>
        <w:t>m，到达时间为</w:t>
      </w:r>
      <w:r>
        <w:rPr>
          <w:rFonts w:hint="eastAsia" w:ascii="Times New Roman" w:hAnsi="Times New Roman"/>
          <w:bCs/>
          <w:color w:val="000000" w:themeColor="text1"/>
          <w:kern w:val="2"/>
          <w:highlight w:val="none"/>
          <w:lang w:eastAsia="zh-CN"/>
          <w14:textFill>
            <w14:solidFill>
              <w14:schemeClr w14:val="tx1"/>
            </w14:solidFill>
          </w14:textFill>
        </w:rPr>
        <w:t>70.1</w:t>
      </w:r>
      <w:r>
        <w:rPr>
          <w:rFonts w:ascii="Times New Roman" w:hAnsi="Times New Roman"/>
          <w:bCs/>
          <w:color w:val="000000" w:themeColor="text1"/>
          <w:kern w:val="2"/>
          <w:highlight w:val="none"/>
          <w:lang w:eastAsia="zh-CN"/>
          <w14:textFill>
            <w14:solidFill>
              <w14:schemeClr w14:val="tx1"/>
            </w14:solidFill>
          </w14:textFill>
        </w:rPr>
        <w:t>min</w:t>
      </w:r>
      <w:r>
        <w:rPr>
          <w:rFonts w:hint="eastAsia" w:ascii="Times New Roman" w:hAnsi="Times New Roman"/>
          <w:bCs/>
          <w:color w:val="000000" w:themeColor="text1"/>
          <w:kern w:val="2"/>
          <w:highlight w:val="none"/>
          <w:lang w:eastAsia="zh-CN"/>
          <w14:textFill>
            <w14:solidFill>
              <w14:schemeClr w14:val="tx1"/>
            </w14:solidFill>
          </w14:textFill>
        </w:rPr>
        <w:t>，不在项目</w:t>
      </w:r>
      <w:r>
        <w:rPr>
          <w:rFonts w:ascii="Times New Roman" w:hAnsi="Times New Roman"/>
          <w:bCs/>
          <w:color w:val="000000" w:themeColor="text1"/>
          <w:kern w:val="2"/>
          <w:highlight w:val="none"/>
          <w:lang w:eastAsia="zh-CN"/>
          <w14:textFill>
            <w14:solidFill>
              <w14:schemeClr w14:val="tx1"/>
            </w14:solidFill>
          </w14:textFill>
        </w:rPr>
        <w:t>毒性终点浓度-1</w:t>
      </w:r>
      <w:r>
        <w:rPr>
          <w:rFonts w:hint="eastAsia" w:ascii="Times New Roman" w:hAnsi="Times New Roman"/>
          <w:bCs/>
          <w:color w:val="000000" w:themeColor="text1"/>
          <w:kern w:val="2"/>
          <w:highlight w:val="none"/>
          <w:lang w:eastAsia="zh-CN"/>
          <w14:textFill>
            <w14:solidFill>
              <w14:schemeClr w14:val="tx1"/>
            </w14:solidFill>
          </w14:textFill>
        </w:rPr>
        <w:t>的范围内</w:t>
      </w:r>
      <w:r>
        <w:rPr>
          <w:rFonts w:ascii="Times New Roman" w:hAnsi="Times New Roman"/>
          <w:bCs/>
          <w:color w:val="000000" w:themeColor="text1"/>
          <w:kern w:val="2"/>
          <w:highlight w:val="none"/>
          <w:lang w:eastAsia="zh-CN"/>
          <w14:textFill>
            <w14:solidFill>
              <w14:schemeClr w14:val="tx1"/>
            </w14:solidFill>
          </w14:textFill>
        </w:rPr>
        <w:t>。CH</w:t>
      </w:r>
      <w:r>
        <w:rPr>
          <w:rFonts w:ascii="Times New Roman" w:hAnsi="Times New Roman"/>
          <w:bCs/>
          <w:color w:val="000000" w:themeColor="text1"/>
          <w:kern w:val="2"/>
          <w:highlight w:val="none"/>
          <w:vertAlign w:val="sub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扩散后达到毒性终点浓度-2和毒性终点浓度-1的最远距离为下风向20m。</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最不利气象下污染物扩散对周围敏感点的影响</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29"/>
        <w:gridCol w:w="1719"/>
        <w:gridCol w:w="430"/>
        <w:gridCol w:w="713"/>
        <w:gridCol w:w="797"/>
        <w:gridCol w:w="1622"/>
        <w:gridCol w:w="1092"/>
        <w:gridCol w:w="1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blHeader/>
          <w:jc w:val="center"/>
        </w:trPr>
        <w:tc>
          <w:tcPr>
            <w:tcW w:w="316" w:type="pct"/>
            <w:vMerge w:val="restar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分类</w:t>
            </w:r>
          </w:p>
        </w:tc>
        <w:tc>
          <w:tcPr>
            <w:tcW w:w="1284" w:type="pct"/>
            <w:gridSpan w:val="2"/>
            <w:vMerge w:val="restar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名称</w:t>
            </w:r>
          </w:p>
        </w:tc>
        <w:tc>
          <w:tcPr>
            <w:tcW w:w="902" w:type="pct"/>
            <w:gridSpan w:val="2"/>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坐标</w:t>
            </w:r>
          </w:p>
        </w:tc>
        <w:tc>
          <w:tcPr>
            <w:tcW w:w="969" w:type="pct"/>
            <w:vMerge w:val="restart"/>
            <w:shd w:val="clear" w:color="auto" w:fill="auto"/>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最大浓度及出现时间</w:t>
            </w:r>
          </w:p>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mg/m</w:t>
            </w:r>
            <w:r>
              <w:rPr>
                <w:b/>
                <w:bCs/>
                <w:color w:val="000000" w:themeColor="text1"/>
                <w:highlight w:val="none"/>
                <w:vertAlign w:val="superscript"/>
                <w14:textFill>
                  <w14:solidFill>
                    <w14:schemeClr w14:val="tx1"/>
                  </w14:solidFill>
                </w14:textFill>
              </w:rPr>
              <w:t>3</w:t>
            </w:r>
            <w:r>
              <w:rPr>
                <w:b/>
                <w:bCs/>
                <w:color w:val="000000" w:themeColor="text1"/>
                <w:highlight w:val="none"/>
                <w14:textFill>
                  <w14:solidFill>
                    <w14:schemeClr w14:val="tx1"/>
                  </w14:solidFill>
                </w14:textFill>
              </w:rPr>
              <w:t>|min</w:t>
            </w:r>
            <w:r>
              <w:rPr>
                <w:rFonts w:hint="eastAsia"/>
                <w:b/>
                <w:bCs/>
                <w:color w:val="000000" w:themeColor="text1"/>
                <w:highlight w:val="none"/>
                <w14:textFill>
                  <w14:solidFill>
                    <w14:schemeClr w14:val="tx1"/>
                  </w14:solidFill>
                </w14:textFill>
              </w:rPr>
              <w:t>)</w:t>
            </w:r>
          </w:p>
        </w:tc>
        <w:tc>
          <w:tcPr>
            <w:tcW w:w="652"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毒性终点浓度2</w:t>
            </w:r>
          </w:p>
          <w:p>
            <w:pPr>
              <w:pStyle w:val="297"/>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w:t>
            </w:r>
            <w:r>
              <w:rPr>
                <w:b/>
                <w:bCs/>
                <w:color w:val="000000" w:themeColor="text1"/>
                <w:highlight w:val="none"/>
                <w14:textFill>
                  <w14:solidFill>
                    <w14:schemeClr w14:val="tx1"/>
                  </w14:solidFill>
                </w14:textFill>
              </w:rPr>
              <w:t>mg/m</w:t>
            </w:r>
            <w:r>
              <w:rPr>
                <w:b/>
                <w:bCs/>
                <w:color w:val="000000" w:themeColor="text1"/>
                <w:highlight w:val="none"/>
                <w:vertAlign w:val="superscript"/>
                <w14:textFill>
                  <w14:solidFill>
                    <w14:schemeClr w14:val="tx1"/>
                  </w14:solidFill>
                </w14:textFill>
              </w:rPr>
              <w:t>3</w:t>
            </w:r>
            <w:r>
              <w:rPr>
                <w:rFonts w:hint="eastAsia"/>
                <w:b/>
                <w:bCs/>
                <w:color w:val="000000" w:themeColor="text1"/>
                <w:highlight w:val="none"/>
                <w:vertAlign w:val="superscript"/>
                <w14:textFill>
                  <w14:solidFill>
                    <w14:schemeClr w14:val="tx1"/>
                  </w14:solidFill>
                </w14:textFill>
              </w:rPr>
              <w:t>)</w:t>
            </w:r>
          </w:p>
        </w:tc>
        <w:tc>
          <w:tcPr>
            <w:tcW w:w="874" w:type="pct"/>
            <w:vMerge w:val="restart"/>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0" w:hRule="atLeast"/>
          <w:tblHeade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284" w:type="pct"/>
            <w:gridSpan w:val="2"/>
            <w:vMerge w:val="continue"/>
            <w:shd w:val="clear" w:color="auto" w:fill="auto"/>
            <w:vAlign w:val="center"/>
          </w:tcPr>
          <w:p>
            <w:pPr>
              <w:pStyle w:val="297"/>
              <w:rPr>
                <w:color w:val="000000" w:themeColor="text1"/>
                <w:highlight w:val="none"/>
                <w14:textFill>
                  <w14:solidFill>
                    <w14:schemeClr w14:val="tx1"/>
                  </w14:solidFill>
                </w14:textFill>
              </w:rPr>
            </w:pPr>
          </w:p>
        </w:tc>
        <w:tc>
          <w:tcPr>
            <w:tcW w:w="426"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X</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Y</w:t>
            </w:r>
          </w:p>
        </w:tc>
        <w:tc>
          <w:tcPr>
            <w:tcW w:w="969"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652" w:type="pct"/>
            <w:vMerge w:val="continue"/>
            <w:vAlign w:val="center"/>
          </w:tcPr>
          <w:p>
            <w:pPr>
              <w:pStyle w:val="297"/>
              <w:rPr>
                <w:color w:val="000000" w:themeColor="text1"/>
                <w:highlight w:val="none"/>
                <w14:textFill>
                  <w14:solidFill>
                    <w14:schemeClr w14:val="tx1"/>
                  </w14:solidFill>
                </w14:textFill>
              </w:rPr>
            </w:pPr>
          </w:p>
        </w:tc>
        <w:tc>
          <w:tcPr>
            <w:tcW w:w="874" w:type="pct"/>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restart"/>
            <w:shd w:val="clear" w:color="auto" w:fill="auto"/>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H</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S</w:t>
            </w: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长征</w:t>
            </w:r>
            <w:r>
              <w:rPr>
                <w:color w:val="000000" w:themeColor="text1"/>
                <w:highlight w:val="none"/>
                <w14:textFill>
                  <w14:solidFill>
                    <w14:schemeClr w14:val="tx1"/>
                  </w14:solidFill>
                </w14:textFill>
              </w:rPr>
              <w:t>村村民点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-2565</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-2903</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3.20E+01|40</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84.211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炉旺</w:t>
            </w:r>
            <w:r>
              <w:rPr>
                <w:color w:val="000000" w:themeColor="text1"/>
                <w:highlight w:val="none"/>
                <w14:textFill>
                  <w14:solidFill>
                    <w14:schemeClr w14:val="tx1"/>
                  </w14:solidFill>
                </w14:textFill>
              </w:rPr>
              <w:t>村村民点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-606</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-314</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1.66E-04|10</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大水凼</w:t>
            </w:r>
            <w:r>
              <w:rPr>
                <w:color w:val="000000" w:themeColor="text1"/>
                <w:highlight w:val="none"/>
                <w14:textFill>
                  <w14:solidFill>
                    <w14:schemeClr w14:val="tx1"/>
                  </w14:solidFill>
                </w14:textFill>
              </w:rPr>
              <w:t>村村民点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-2859</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-1956</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4.26E-02|35</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0.112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海棠</w:t>
            </w:r>
            <w:r>
              <w:rPr>
                <w:color w:val="000000" w:themeColor="text1"/>
                <w:highlight w:val="none"/>
                <w14:textFill>
                  <w14:solidFill>
                    <w14:schemeClr w14:val="tx1"/>
                  </w14:solidFill>
                </w14:textFill>
              </w:rPr>
              <w:t>村村民点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-3386</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-3430</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5.52E+01|50</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145.263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田家营村</w:t>
            </w:r>
            <w:r>
              <w:rPr>
                <w:color w:val="000000" w:themeColor="text1"/>
                <w:highlight w:val="none"/>
                <w14:textFill>
                  <w14:solidFill>
                    <w14:schemeClr w14:val="tx1"/>
                  </w14:solidFill>
                </w14:textFill>
              </w:rPr>
              <w:t>村民点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-1996</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-1661</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2.28E+01|25</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60.000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火石岭村</w:t>
            </w:r>
            <w:r>
              <w:rPr>
                <w:color w:val="000000" w:themeColor="text1"/>
                <w:highlight w:val="none"/>
                <w14:textFill>
                  <w14:solidFill>
                    <w14:schemeClr w14:val="tx1"/>
                  </w14:solidFill>
                </w14:textFill>
              </w:rPr>
              <w:t>村民点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-2038</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-1682</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1.89E+01|25</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49.737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罗文</w:t>
            </w:r>
            <w:r>
              <w:rPr>
                <w:color w:val="000000" w:themeColor="text1"/>
                <w:highlight w:val="none"/>
                <w14:textFill>
                  <w14:solidFill>
                    <w14:schemeClr w14:val="tx1"/>
                  </w14:solidFill>
                </w14:textFill>
              </w:rPr>
              <w:t>镇场镇</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-3681</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-3367</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3.35E+01|50</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88.158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苟家寨</w:t>
            </w:r>
            <w:r>
              <w:rPr>
                <w:color w:val="000000" w:themeColor="text1"/>
                <w:highlight w:val="none"/>
                <w14:textFill>
                  <w14:solidFill>
                    <w14:schemeClr w14:val="tx1"/>
                  </w14:solidFill>
                </w14:textFill>
              </w:rPr>
              <w:t>村村民点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-3723</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-3051</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5.68E+00|45</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14.947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慈竹</w:t>
            </w:r>
            <w:r>
              <w:rPr>
                <w:color w:val="000000" w:themeColor="text1"/>
                <w:highlight w:val="none"/>
                <w14:textFill>
                  <w14:solidFill>
                    <w14:schemeClr w14:val="tx1"/>
                  </w14:solidFill>
                </w14:textFill>
              </w:rPr>
              <w:t>村村民点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9#</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-3070</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-3009</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6.36E+01|45</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167.368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贾口</w:t>
            </w:r>
            <w:r>
              <w:rPr>
                <w:color w:val="000000" w:themeColor="text1"/>
                <w:highlight w:val="none"/>
                <w14:textFill>
                  <w14:solidFill>
                    <w14:schemeClr w14:val="tx1"/>
                  </w14:solidFill>
                </w14:textFill>
              </w:rPr>
              <w:t>村村民点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-2586</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-2714</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6.86E+01|40</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180.526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独坪</w:t>
            </w:r>
            <w:r>
              <w:rPr>
                <w:color w:val="000000" w:themeColor="text1"/>
                <w:highlight w:val="none"/>
                <w14:textFill>
                  <w14:solidFill>
                    <w14:schemeClr w14:val="tx1"/>
                  </w14:solidFill>
                </w14:textFill>
              </w:rPr>
              <w:t>村居民点</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11#</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-3070</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-2546</w:t>
            </w:r>
          </w:p>
        </w:tc>
        <w:tc>
          <w:tcPr>
            <w:tcW w:w="969"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1.03E+01|40</w:t>
            </w:r>
          </w:p>
        </w:tc>
        <w:tc>
          <w:tcPr>
            <w:tcW w:w="65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 xml:space="preserve">27.105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毛坝镇饶坝</w:t>
            </w:r>
            <w:r>
              <w:rPr>
                <w:color w:val="000000" w:themeColor="text1"/>
                <w:highlight w:val="none"/>
                <w14:textFill>
                  <w14:solidFill>
                    <w14:schemeClr w14:val="tx1"/>
                  </w14:solidFill>
                </w14:textFill>
              </w:rPr>
              <w:t>小学</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-3302</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-3577</w:t>
            </w:r>
          </w:p>
        </w:tc>
        <w:tc>
          <w:tcPr>
            <w:tcW w:w="1622"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2.58E-06|40</w:t>
            </w:r>
          </w:p>
        </w:tc>
        <w:tc>
          <w:tcPr>
            <w:tcW w:w="652"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316" w:type="pct"/>
            <w:vMerge w:val="continue"/>
            <w:shd w:val="clear" w:color="auto" w:fill="auto"/>
            <w:vAlign w:val="center"/>
          </w:tcPr>
          <w:p>
            <w:pPr>
              <w:pStyle w:val="297"/>
              <w:rPr>
                <w:color w:val="000000" w:themeColor="text1"/>
                <w:highlight w:val="none"/>
                <w14:textFill>
                  <w14:solidFill>
                    <w14:schemeClr w14:val="tx1"/>
                  </w14:solidFill>
                </w14:textFill>
              </w:rPr>
            </w:pPr>
          </w:p>
        </w:tc>
        <w:tc>
          <w:tcPr>
            <w:tcW w:w="1027"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万源市第四中</w:t>
            </w:r>
            <w:r>
              <w:rPr>
                <w:color w:val="000000" w:themeColor="text1"/>
                <w:highlight w:val="none"/>
                <w14:textFill>
                  <w14:solidFill>
                    <w14:schemeClr w14:val="tx1"/>
                  </w14:solidFill>
                </w14:textFill>
              </w:rPr>
              <w:t>学</w:t>
            </w:r>
          </w:p>
        </w:tc>
        <w:tc>
          <w:tcPr>
            <w:tcW w:w="25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w:t>
            </w:r>
          </w:p>
        </w:tc>
        <w:tc>
          <w:tcPr>
            <w:tcW w:w="42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-3533</w:t>
            </w:r>
          </w:p>
        </w:tc>
        <w:tc>
          <w:tcPr>
            <w:tcW w:w="476" w:type="pct"/>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-3282</w:t>
            </w:r>
          </w:p>
        </w:tc>
        <w:tc>
          <w:tcPr>
            <w:tcW w:w="1622" w:type="dxa"/>
            <w:shd w:val="clear" w:color="auto" w:fill="auto"/>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3.07E-10|45</w:t>
            </w:r>
          </w:p>
        </w:tc>
        <w:tc>
          <w:tcPr>
            <w:tcW w:w="652"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38</w:t>
            </w:r>
          </w:p>
        </w:tc>
        <w:tc>
          <w:tcPr>
            <w:tcW w:w="87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0.000</w:t>
            </w:r>
          </w:p>
        </w:tc>
      </w:tr>
    </w:tbl>
    <w:p>
      <w:pPr>
        <w:pStyle w:val="95"/>
        <w:keepNext/>
        <w:rPr>
          <w:rFonts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269230" cy="2639695"/>
            <wp:effectExtent l="0" t="0" r="7620" b="8255"/>
            <wp:docPr id="266" name="图片 266" descr="173666137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1736661375894"/>
                    <pic:cNvPicPr>
                      <a:picLocks noChangeAspect="1"/>
                    </pic:cNvPicPr>
                  </pic:nvPicPr>
                  <pic:blipFill>
                    <a:blip r:embed="rId103"/>
                    <a:stretch>
                      <a:fillRect/>
                    </a:stretch>
                  </pic:blipFill>
                  <pic:spPr>
                    <a:xfrm>
                      <a:off x="0" y="0"/>
                      <a:ext cx="5269230" cy="2639695"/>
                    </a:xfrm>
                    <a:prstGeom prst="rect">
                      <a:avLst/>
                    </a:prstGeom>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6.4</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井喷事故时周边敏感点</w:t>
      </w:r>
      <w:r>
        <w:rPr>
          <w:rFonts w:hint="eastAsia"/>
          <w:color w:val="000000" w:themeColor="text1"/>
          <w:highlight w:val="none"/>
          <w14:textFill>
            <w14:solidFill>
              <w14:schemeClr w14:val="tx1"/>
            </w14:solidFill>
          </w14:textFill>
        </w:rPr>
        <w:t>浓度-</w:t>
      </w:r>
      <w:r>
        <w:rPr>
          <w:color w:val="000000" w:themeColor="text1"/>
          <w:highlight w:val="none"/>
          <w14:textFill>
            <w14:solidFill>
              <w14:schemeClr w14:val="tx1"/>
            </w14:solidFill>
          </w14:textFill>
        </w:rPr>
        <w:t>时间曲线</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预测结果分析：发生井喷时，以井口为源点，H</w:t>
      </w:r>
      <w:r>
        <w:rPr>
          <w:rFonts w:ascii="Times New Roman" w:hAnsi="Times New Roman"/>
          <w:color w:val="000000" w:themeColor="text1"/>
          <w:highlight w:val="none"/>
          <w:vertAlign w:val="subscript"/>
          <w:lang w:eastAsia="zh-CN"/>
          <w14:textFill>
            <w14:solidFill>
              <w14:schemeClr w14:val="tx1"/>
            </w14:solidFill>
          </w14:textFill>
        </w:rPr>
        <w:t>2</w:t>
      </w:r>
      <w:r>
        <w:rPr>
          <w:rFonts w:ascii="Times New Roman" w:hAnsi="Times New Roman"/>
          <w:color w:val="000000" w:themeColor="text1"/>
          <w:highlight w:val="none"/>
          <w:lang w:eastAsia="zh-CN"/>
          <w14:textFill>
            <w14:solidFill>
              <w14:schemeClr w14:val="tx1"/>
            </w14:solidFill>
          </w14:textFill>
        </w:rPr>
        <w:t>S扩散后，各居民点均出现超过毒性终点浓度2的情形，特别是</w:t>
      </w:r>
      <w:r>
        <w:rPr>
          <w:rFonts w:hint="eastAsia" w:ascii="Times New Roman" w:hAnsi="Times New Roman"/>
          <w:color w:val="000000" w:themeColor="text1"/>
          <w:highlight w:val="none"/>
          <w:lang w:eastAsia="zh-CN"/>
          <w14:textFill>
            <w14:solidFill>
              <w14:schemeClr w14:val="tx1"/>
            </w14:solidFill>
          </w14:textFill>
        </w:rPr>
        <w:t>4</w:t>
      </w:r>
      <w:r>
        <w:rPr>
          <w:rFonts w:ascii="Times New Roman" w:hAnsi="Times New Roman"/>
          <w:color w:val="000000" w:themeColor="text1"/>
          <w:highlight w:val="none"/>
          <w:lang w:eastAsia="zh-CN"/>
          <w14:textFill>
            <w14:solidFill>
              <w14:schemeClr w14:val="tx1"/>
            </w14:solidFill>
          </w14:textFill>
        </w:rPr>
        <w:t>#敏感点</w:t>
      </w:r>
      <w:r>
        <w:rPr>
          <w:rFonts w:hint="eastAsia" w:ascii="Times New Roman" w:hAnsi="Times New Roman"/>
          <w:color w:val="000000" w:themeColor="text1"/>
          <w:highlight w:val="none"/>
          <w:lang w:eastAsia="zh-CN"/>
          <w14:textFill>
            <w14:solidFill>
              <w14:schemeClr w14:val="tx1"/>
            </w14:solidFill>
          </w14:textFill>
        </w:rPr>
        <w:t>、9</w:t>
      </w:r>
      <w:r>
        <w:rPr>
          <w:rFonts w:ascii="Times New Roman" w:hAnsi="Times New Roman"/>
          <w:color w:val="000000" w:themeColor="text1"/>
          <w:highlight w:val="none"/>
          <w:lang w:eastAsia="zh-CN"/>
          <w14:textFill>
            <w14:solidFill>
              <w14:schemeClr w14:val="tx1"/>
            </w14:solidFill>
          </w14:textFill>
        </w:rPr>
        <w:t>#敏感点</w:t>
      </w:r>
      <w:r>
        <w:rPr>
          <w:rFonts w:hint="eastAsia" w:ascii="Times New Roman" w:hAnsi="Times New Roman"/>
          <w:color w:val="000000" w:themeColor="text1"/>
          <w:highlight w:val="none"/>
          <w:lang w:eastAsia="zh-CN"/>
          <w14:textFill>
            <w14:solidFill>
              <w14:schemeClr w14:val="tx1"/>
            </w14:solidFill>
          </w14:textFill>
        </w:rPr>
        <w:t>、10</w:t>
      </w:r>
      <w:r>
        <w:rPr>
          <w:rFonts w:ascii="Times New Roman" w:hAnsi="Times New Roman"/>
          <w:color w:val="000000" w:themeColor="text1"/>
          <w:highlight w:val="none"/>
          <w:lang w:eastAsia="zh-CN"/>
          <w14:textFill>
            <w14:solidFill>
              <w14:schemeClr w14:val="tx1"/>
            </w14:solidFill>
          </w14:textFill>
        </w:rPr>
        <w:t>#敏感点的居民点超标较严重，故发生风险事故后应重点关注上述区域范围内敏感目标的撤离，同时其他敏感目标也应有序进行撤离。</w:t>
      </w:r>
    </w:p>
    <w:p>
      <w:pPr>
        <w:pStyle w:val="21"/>
        <w:spacing w:before="0"/>
        <w:ind w:left="0" w:firstLine="480"/>
        <w:jc w:val="both"/>
        <w:rPr>
          <w:rFonts w:ascii="Times New Roman" w:hAnsi="Times New Roman"/>
          <w:color w:val="000000" w:themeColor="text1"/>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发生井喷时，以井口为源点，CH</w:t>
      </w:r>
      <w:r>
        <w:rPr>
          <w:rFonts w:ascii="Times New Roman" w:hAnsi="Times New Roman"/>
          <w:color w:val="000000" w:themeColor="text1"/>
          <w:highlight w:val="none"/>
          <w:vertAlign w:val="subscript"/>
          <w:lang w:eastAsia="zh-CN"/>
          <w14:textFill>
            <w14:solidFill>
              <w14:schemeClr w14:val="tx1"/>
            </w14:solidFill>
          </w14:textFill>
        </w:rPr>
        <w:t>4</w:t>
      </w:r>
      <w:r>
        <w:rPr>
          <w:rFonts w:ascii="Times New Roman" w:hAnsi="Times New Roman"/>
          <w:color w:val="000000" w:themeColor="text1"/>
          <w:highlight w:val="none"/>
          <w:lang w:eastAsia="zh-CN"/>
          <w14:textFill>
            <w14:solidFill>
              <w14:schemeClr w14:val="tx1"/>
            </w14:solidFill>
          </w14:textFill>
        </w:rPr>
        <w:t>扩散后，各敏感点均未出现超标。</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6）普光气田开发运营多年所采取的风险防范措施及效果</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根据中国石化普光气田开发及川气东送管道工程普光气田开发工程环境风险评价专题报告（2012年）可知，建设单位在历年气田开发生产过程中采取了诸多环保措施，以确保将风险事故降至最低，主要采取了如下措施：</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①</w:t>
      </w:r>
      <w:r>
        <w:rPr>
          <w:rFonts w:ascii="Times New Roman" w:hAnsi="Times New Roman"/>
          <w:bCs/>
          <w:color w:val="000000" w:themeColor="text1"/>
          <w:kern w:val="2"/>
          <w:highlight w:val="none"/>
          <w:lang w:eastAsia="zh-CN"/>
          <w14:textFill>
            <w14:solidFill>
              <w14:schemeClr w14:val="tx1"/>
            </w14:solidFill>
          </w14:textFill>
        </w:rPr>
        <w:t>严格落实各项环境风险防范措施，细化程序，明确责任</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A、严格落实了</w:t>
      </w:r>
      <w:r>
        <w:rPr>
          <w:rFonts w:hint="eastAsia" w:ascii="Times New Roman" w:hAnsi="Times New Roman"/>
          <w:bCs/>
          <w:color w:val="000000" w:themeColor="text1"/>
          <w:kern w:val="2"/>
          <w:highlight w:val="none"/>
          <w:lang w:eastAsia="zh-CN"/>
          <w14:textFill>
            <w14:solidFill>
              <w14:schemeClr w14:val="tx1"/>
            </w14:solidFill>
          </w14:textFill>
        </w:rPr>
        <w:t>各</w:t>
      </w:r>
      <w:r>
        <w:rPr>
          <w:rFonts w:ascii="Times New Roman" w:hAnsi="Times New Roman"/>
          <w:bCs/>
          <w:color w:val="000000" w:themeColor="text1"/>
          <w:kern w:val="2"/>
          <w:highlight w:val="none"/>
          <w:lang w:eastAsia="zh-CN"/>
          <w14:textFill>
            <w14:solidFill>
              <w14:schemeClr w14:val="tx1"/>
            </w14:solidFill>
          </w14:textFill>
        </w:rPr>
        <w:t>项环境风险防范措施</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a、采取了高标准的技术措施：采用的工艺技术、管线材质和风险防控措施均是国际最高标准。采用了SCADA、（ESD、F-G）火气监测系统、腐蚀监测、ESD等安全防范措施，风险投资达14.1437亿元。</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b、建立了严格的防范等级：一是采取了目前国际上最高等级的四级防范关断系统，在紧急状态，可对单井、单站、管线、全气田实二紧急关断，采取</w:t>
      </w:r>
      <w:r>
        <w:rPr>
          <w:rFonts w:hint="eastAsia" w:ascii="Times New Roman" w:hAnsi="Times New Roman"/>
          <w:bCs/>
          <w:color w:val="000000" w:themeColor="text1"/>
          <w:kern w:val="2"/>
          <w:highlight w:val="none"/>
          <w:lang w:eastAsia="zh-CN"/>
          <w14:textFill>
            <w14:solidFill>
              <w14:schemeClr w14:val="tx1"/>
            </w14:solidFill>
          </w14:textFill>
        </w:rPr>
        <w:t>点</w:t>
      </w:r>
      <w:r>
        <w:rPr>
          <w:rFonts w:ascii="Times New Roman" w:hAnsi="Times New Roman"/>
          <w:bCs/>
          <w:color w:val="000000" w:themeColor="text1"/>
          <w:kern w:val="2"/>
          <w:highlight w:val="none"/>
          <w:lang w:eastAsia="zh-CN"/>
          <w14:textFill>
            <w14:solidFill>
              <w14:schemeClr w14:val="tx1"/>
            </w14:solidFill>
          </w14:textFill>
        </w:rPr>
        <w:t>火放空进行控制保护，有效地杜绝了风险事件的发生，消除了环培事件隐患。二是</w:t>
      </w:r>
      <w:r>
        <w:rPr>
          <w:rFonts w:hint="eastAsia" w:ascii="Times New Roman" w:hAnsi="Times New Roman"/>
          <w:bCs/>
          <w:color w:val="000000" w:themeColor="text1"/>
          <w:kern w:val="2"/>
          <w:highlight w:val="none"/>
          <w:lang w:eastAsia="zh-CN"/>
          <w14:textFill>
            <w14:solidFill>
              <w14:schemeClr w14:val="tx1"/>
            </w14:solidFill>
          </w14:textFill>
        </w:rPr>
        <w:t>建</w:t>
      </w:r>
      <w:r>
        <w:rPr>
          <w:rFonts w:ascii="Times New Roman" w:hAnsi="Times New Roman"/>
          <w:bCs/>
          <w:color w:val="000000" w:themeColor="text1"/>
          <w:kern w:val="2"/>
          <w:highlight w:val="none"/>
          <w:lang w:eastAsia="zh-CN"/>
          <w14:textFill>
            <w14:solidFill>
              <w14:schemeClr w14:val="tx1"/>
            </w14:solidFill>
          </w14:textFill>
        </w:rPr>
        <w:t>成了紧急疏散广播系统建成了紧急疏散广播系统，修建基站6座，安装紧急疏散广播点287个，在每个集气站安装了紧急疏散警报（属防空警报器），声音达123分贝，可覆盖场站周边2km。通过飞信及应急广播系统，及时通知周边村民。在居民密集的地方设置了逃生方向示意图。每个集气站周边有2个以上的紧急集合点。</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c、完善了HSE管理体系：一是集输系统建成火气检测系统（FCS）、腐蚀监测和视频监控系统，在站场、阀室、管线和隧道等部位安装了硫化氢检测仪376个、可燃气体检测仪305个、火焰探测器124个、腐蚀监测仪309个、电指纹监测仪19个、视频摄像头120个</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对投产每个站场、管道和每套装置等都进行</w:t>
      </w:r>
      <w:r>
        <w:rPr>
          <w:rFonts w:hint="eastAsia" w:ascii="Times New Roman" w:hAnsi="Times New Roman"/>
          <w:bCs/>
          <w:color w:val="000000" w:themeColor="text1"/>
          <w:kern w:val="2"/>
          <w:highlight w:val="none"/>
          <w:lang w:eastAsia="zh-CN"/>
          <w14:textFill>
            <w14:solidFill>
              <w14:schemeClr w14:val="tx1"/>
            </w14:solidFill>
          </w14:textFill>
        </w:rPr>
        <w:t>消防</w:t>
      </w:r>
      <w:r>
        <w:rPr>
          <w:rFonts w:ascii="Times New Roman" w:hAnsi="Times New Roman"/>
          <w:bCs/>
          <w:color w:val="000000" w:themeColor="text1"/>
          <w:kern w:val="2"/>
          <w:highlight w:val="none"/>
          <w:lang w:eastAsia="zh-CN"/>
          <w14:textFill>
            <w14:solidFill>
              <w14:schemeClr w14:val="tx1"/>
            </w14:solidFill>
          </w14:textFill>
        </w:rPr>
        <w:t>监护，储备了充足的应急物资和设备，建立了普光气田生态安全监控系统，对区域大气、水质和土壤进行监测。三是按照“一点一事一策一案”的原则，编制了一个总体预案，9类专项预案，122项子预案。其中包括井喷、硫化氢泄漏和水体污染环境风险应急预案。按照投产方案开展不同级别应急演练，对应急指挥系统进行穿行测试，验证了</w:t>
      </w:r>
      <w:r>
        <w:rPr>
          <w:rFonts w:hint="eastAsia" w:ascii="Times New Roman" w:hAnsi="Times New Roman"/>
          <w:bCs/>
          <w:color w:val="000000" w:themeColor="text1"/>
          <w:kern w:val="2"/>
          <w:highlight w:val="none"/>
          <w:lang w:eastAsia="zh-CN"/>
          <w14:textFill>
            <w14:solidFill>
              <w14:schemeClr w14:val="tx1"/>
            </w14:solidFill>
          </w14:textFill>
        </w:rPr>
        <w:t>预</w:t>
      </w:r>
      <w:r>
        <w:rPr>
          <w:rFonts w:ascii="Times New Roman" w:hAnsi="Times New Roman"/>
          <w:bCs/>
          <w:color w:val="000000" w:themeColor="text1"/>
          <w:kern w:val="2"/>
          <w:highlight w:val="none"/>
          <w:lang w:eastAsia="zh-CN"/>
          <w14:textFill>
            <w14:solidFill>
              <w14:schemeClr w14:val="tx1"/>
            </w14:solidFill>
          </w14:textFill>
        </w:rPr>
        <w:t>案的适用性和可操作性，检验了普光气田的应急处置能力和企地双方协同作战能力及组织疏散能力，集气站每周演练一次应急预案不气区每月演练一次，采气厂每季演练一次，企地联动半年一次。</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B、细化了管理程序，明确了责任</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a、编制了140项操作规程。</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b、编制了123项岗位HSE职责。</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②</w:t>
      </w:r>
      <w:r>
        <w:rPr>
          <w:rFonts w:ascii="Times New Roman" w:hAnsi="Times New Roman"/>
          <w:bCs/>
          <w:color w:val="000000" w:themeColor="text1"/>
          <w:kern w:val="2"/>
          <w:highlight w:val="none"/>
          <w:lang w:eastAsia="zh-CN"/>
          <w14:textFill>
            <w14:solidFill>
              <w14:schemeClr w14:val="tx1"/>
            </w14:solidFill>
          </w14:textFill>
        </w:rPr>
        <w:t>落实发生井喷失控（或放喷）时5分钟内实施点火、30分钟内紧急疏散伤害浓度范围内居民的措施</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A、已在有关规章制度和应急预案中规定了发生</w:t>
      </w:r>
      <w:r>
        <w:rPr>
          <w:rFonts w:hint="eastAsia" w:ascii="Times New Roman" w:hAnsi="Times New Roman"/>
          <w:bCs/>
          <w:color w:val="000000" w:themeColor="text1"/>
          <w:kern w:val="2"/>
          <w:highlight w:val="none"/>
          <w:lang w:eastAsia="zh-CN"/>
          <w14:textFill>
            <w14:solidFill>
              <w14:schemeClr w14:val="tx1"/>
            </w14:solidFill>
          </w14:textFill>
        </w:rPr>
        <w:t>井喷</w:t>
      </w:r>
      <w:r>
        <w:rPr>
          <w:rFonts w:ascii="Times New Roman" w:hAnsi="Times New Roman"/>
          <w:bCs/>
          <w:color w:val="000000" w:themeColor="text1"/>
          <w:kern w:val="2"/>
          <w:highlight w:val="none"/>
          <w:lang w:eastAsia="zh-CN"/>
          <w14:textFill>
            <w14:solidFill>
              <w14:schemeClr w14:val="tx1"/>
            </w14:solidFill>
          </w14:textFill>
        </w:rPr>
        <w:t>失控（或放喷）时5分钟内实施点火、30分钟内紧急疏散伤害浓度范围内居民的措施。</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a、与北京理工大学联合研制了并喷失控（或放喷）点火枪（火焰喷射器），可按</w:t>
      </w:r>
      <w:r>
        <w:rPr>
          <w:rFonts w:hint="eastAsia" w:ascii="Times New Roman" w:hAnsi="Times New Roman"/>
          <w:bCs/>
          <w:color w:val="000000" w:themeColor="text1"/>
          <w:kern w:val="2"/>
          <w:highlight w:val="none"/>
          <w:lang w:eastAsia="zh-CN"/>
          <w14:textFill>
            <w14:solidFill>
              <w14:schemeClr w14:val="tx1"/>
            </w14:solidFill>
          </w14:textFill>
        </w:rPr>
        <w:t>指令</w:t>
      </w:r>
      <w:r>
        <w:rPr>
          <w:rFonts w:ascii="Times New Roman" w:hAnsi="Times New Roman"/>
          <w:bCs/>
          <w:color w:val="000000" w:themeColor="text1"/>
          <w:kern w:val="2"/>
          <w:highlight w:val="none"/>
          <w:lang w:eastAsia="zh-CN"/>
          <w14:textFill>
            <w14:solidFill>
              <w14:schemeClr w14:val="tx1"/>
            </w14:solidFill>
          </w14:textFill>
        </w:rPr>
        <w:t>立即实施点火。</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b、建立了应急疏散广播系统、紧急疏散警报和飞信通知系统，确保伤害浓度范围内居民得到及时疏散。</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w:t>
      </w:r>
      <w:r>
        <w:rPr>
          <w:rFonts w:hint="eastAsia" w:ascii="Times New Roman" w:hAnsi="Times New Roman"/>
          <w:bCs/>
          <w:color w:val="000000" w:themeColor="text1"/>
          <w:kern w:val="2"/>
          <w:highlight w:val="none"/>
          <w:lang w:eastAsia="zh-CN"/>
          <w14:textFill>
            <w14:solidFill>
              <w14:schemeClr w14:val="tx1"/>
            </w14:solidFill>
          </w14:textFill>
        </w:rPr>
        <w:t>截至2022年</w:t>
      </w:r>
      <w:r>
        <w:rPr>
          <w:rFonts w:ascii="Times New Roman" w:hAnsi="Times New Roman"/>
          <w:bCs/>
          <w:color w:val="000000" w:themeColor="text1"/>
          <w:kern w:val="2"/>
          <w:highlight w:val="none"/>
          <w:lang w:eastAsia="zh-CN"/>
          <w14:textFill>
            <w14:solidFill>
              <w14:schemeClr w14:val="tx1"/>
            </w14:solidFill>
          </w14:textFill>
        </w:rPr>
        <w:t>普光气钻井工程全部顺利完成的钻井均未发生喷失控事故。</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③</w:t>
      </w:r>
      <w:r>
        <w:rPr>
          <w:rFonts w:ascii="Times New Roman" w:hAnsi="Times New Roman"/>
          <w:bCs/>
          <w:color w:val="000000" w:themeColor="text1"/>
          <w:kern w:val="2"/>
          <w:highlight w:val="none"/>
          <w:lang w:eastAsia="zh-CN"/>
          <w14:textFill>
            <w14:solidFill>
              <w14:schemeClr w14:val="tx1"/>
            </w14:solidFill>
          </w14:textFill>
        </w:rPr>
        <w:t>采取加密截断阀、加大管壁厚度、采用抗硫化氢材料、腐蚀在线检测系统等措施，降低气田集气管道风险事故概率</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A、已在工程设计、安全环保专篇落实，并已按要求完成施工。</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B、根据每两个BV阀室间管道含硫化氢气体1400m</w:t>
      </w:r>
      <w:r>
        <w:rPr>
          <w:rFonts w:ascii="Times New Roman" w:hAnsi="Times New Roman"/>
          <w:bCs/>
          <w:color w:val="000000" w:themeColor="text1"/>
          <w:kern w:val="2"/>
          <w:highlight w:val="none"/>
          <w:vertAlign w:val="superscript"/>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t>的限值，在普光主体集输管道共设置29座酸气阀室，安装了43台紧急切断阀（液联动球阀），可在管段发生泄漏达至压降速率设定值（0.3Mpa/min）时，自动关断泄漏点上下游阀门，控制泄漏量。在阀室都设置了固定式硫化氢气体检测仪及可燃气体探测仪，可以实现远程监控。</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C、集气管道采用L360QCS抗</w:t>
      </w:r>
      <w:r>
        <w:rPr>
          <w:rFonts w:hint="eastAsia" w:ascii="Times New Roman" w:hAnsi="Times New Roman"/>
          <w:bCs/>
          <w:color w:val="000000" w:themeColor="text1"/>
          <w:kern w:val="2"/>
          <w:highlight w:val="none"/>
          <w:lang w:eastAsia="zh-CN"/>
          <w14:textFill>
            <w14:solidFill>
              <w14:schemeClr w14:val="tx1"/>
            </w14:solidFill>
          </w14:textFill>
        </w:rPr>
        <w:t>硫</w:t>
      </w:r>
      <w:r>
        <w:rPr>
          <w:rFonts w:ascii="Times New Roman" w:hAnsi="Times New Roman"/>
          <w:bCs/>
          <w:color w:val="000000" w:themeColor="text1"/>
          <w:kern w:val="2"/>
          <w:highlight w:val="none"/>
          <w:lang w:eastAsia="zh-CN"/>
          <w14:textFill>
            <w14:solidFill>
              <w14:schemeClr w14:val="tx1"/>
            </w14:solidFill>
          </w14:textFill>
        </w:rPr>
        <w:t>材质，腐蚀余量为3.2mm，加大了管壁厚度。根据腐蚀监控实测数据，集气站场电阻探针监测的总体平</w:t>
      </w:r>
      <w:r>
        <w:rPr>
          <w:rFonts w:hint="eastAsia" w:ascii="Times New Roman" w:hAnsi="Times New Roman"/>
          <w:bCs/>
          <w:color w:val="000000" w:themeColor="text1"/>
          <w:kern w:val="2"/>
          <w:highlight w:val="none"/>
          <w:lang w:eastAsia="zh-CN"/>
          <w14:textFill>
            <w14:solidFill>
              <w14:schemeClr w14:val="tx1"/>
            </w14:solidFill>
          </w14:textFill>
        </w:rPr>
        <w:t>均</w:t>
      </w:r>
      <w:r>
        <w:rPr>
          <w:rFonts w:ascii="Times New Roman" w:hAnsi="Times New Roman"/>
          <w:bCs/>
          <w:color w:val="000000" w:themeColor="text1"/>
          <w:kern w:val="2"/>
          <w:highlight w:val="none"/>
          <w:lang w:eastAsia="zh-CN"/>
          <w14:textFill>
            <w14:solidFill>
              <w14:schemeClr w14:val="tx1"/>
            </w14:solidFill>
          </w14:textFill>
        </w:rPr>
        <w:t>腐蚀速率为0.0262mm/a、集输管线上冬阀室电指纹（FSM）监测的总体平均腐速率为0.0328mm/a、站场腐蚀挂片监测的总体平均腐蚀速率为0.0329mm/a，总体的平均腐蚀速率低于推荐标准0.076mm/a，在受控范围以内。</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D、普光集气集输管道采用强制电流阴极保护，共设6座阴极保护站，分别位于集气末站、P301、P304、P202、P102、P104集气站。</w:t>
      </w:r>
      <w:r>
        <w:rPr>
          <w:rFonts w:hint="eastAsia" w:ascii="Times New Roman" w:hAnsi="Times New Roman"/>
          <w:bCs/>
          <w:color w:val="000000" w:themeColor="text1"/>
          <w:kern w:val="2"/>
          <w:highlight w:val="none"/>
          <w:lang w:eastAsia="zh-CN"/>
          <w14:textFill>
            <w14:solidFill>
              <w14:schemeClr w14:val="tx1"/>
            </w14:solidFill>
          </w14:textFill>
        </w:rPr>
        <w:t>各</w:t>
      </w:r>
      <w:r>
        <w:rPr>
          <w:rFonts w:ascii="Times New Roman" w:hAnsi="Times New Roman"/>
          <w:bCs/>
          <w:color w:val="000000" w:themeColor="text1"/>
          <w:kern w:val="2"/>
          <w:highlight w:val="none"/>
          <w:lang w:eastAsia="zh-CN"/>
          <w14:textFill>
            <w14:solidFill>
              <w14:schemeClr w14:val="tx1"/>
            </w14:solidFill>
          </w14:textFill>
        </w:rPr>
        <w:t>阴极保护站设备输出信号及管道沿线保护电位，接入</w:t>
      </w:r>
      <w:r>
        <w:rPr>
          <w:rFonts w:hint="eastAsia" w:ascii="Times New Roman" w:hAnsi="Times New Roman"/>
          <w:bCs/>
          <w:color w:val="000000" w:themeColor="text1"/>
          <w:kern w:val="2"/>
          <w:highlight w:val="none"/>
          <w:lang w:eastAsia="zh-CN"/>
          <w14:textFill>
            <w14:solidFill>
              <w14:schemeClr w14:val="tx1"/>
            </w14:solidFill>
          </w14:textFill>
        </w:rPr>
        <w:t>中</w:t>
      </w:r>
      <w:r>
        <w:rPr>
          <w:rFonts w:ascii="Times New Roman" w:hAnsi="Times New Roman"/>
          <w:bCs/>
          <w:color w:val="000000" w:themeColor="text1"/>
          <w:kern w:val="2"/>
          <w:highlight w:val="none"/>
          <w:lang w:eastAsia="zh-CN"/>
          <w14:textFill>
            <w14:solidFill>
              <w14:schemeClr w14:val="tx1"/>
            </w14:solidFill>
          </w14:textFill>
        </w:rPr>
        <w:t>控室PLC和线路截断阀室RTU，再上传至中控室阴极保护智能监测系统服务器进行数据处理、分析、报警。</w:t>
      </w:r>
      <w:r>
        <w:rPr>
          <w:rFonts w:hint="eastAsia" w:ascii="Times New Roman" w:hAnsi="Times New Roman"/>
          <w:bCs/>
          <w:color w:val="000000" w:themeColor="text1"/>
          <w:kern w:val="2"/>
          <w:highlight w:val="none"/>
          <w:lang w:eastAsia="zh-CN"/>
          <w14:textFill>
            <w14:solidFill>
              <w14:schemeClr w14:val="tx1"/>
            </w14:solidFill>
          </w14:textFill>
        </w:rPr>
        <w:t>阴极</w:t>
      </w:r>
      <w:r>
        <w:rPr>
          <w:rFonts w:ascii="Times New Roman" w:hAnsi="Times New Roman"/>
          <w:bCs/>
          <w:color w:val="000000" w:themeColor="text1"/>
          <w:kern w:val="2"/>
          <w:highlight w:val="none"/>
          <w:lang w:eastAsia="zh-CN"/>
          <w14:textFill>
            <w14:solidFill>
              <w14:schemeClr w14:val="tx1"/>
            </w14:solidFill>
          </w14:textFill>
        </w:rPr>
        <w:t>电位每月检测一次，实测电位在保护电位范围-0.85V~-1.15V之间，保护有效。</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E、管道外层采用三层PE防腐层处理，内层防腐采用：</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a、预涂膜缓蚀剂：在系统投产前利用清管器携带油溶性缓蚀剂对站外集输管线内壁进行预涂膜。</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b、连续加注缓蚀剂：在每口单井和集气站外输进行连续缓蚀剂加注。</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c、批处理缓蚀剂：为了增强连续加注缓蚀剂的保护效果，结合腐蚀监测的情况，每月采用油溶性缓蚀剂进行1次处理</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d、管道智能检测：投产前及投产一年内分别进行一次管道智能检测，正常时2-3年做一次。</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e、站场采用腐蚀挂片（138套）、电阻探针（142套）、线性极化探针（17套）方式，线路管道采用电指纹方法（19套），进行腐蚀监测。余腐钟挂片外的所有在线监测方法测量的数据通过网络传至站控室和中控室，实时在线监测和分析处理数据。通过以上综合措施，掌握腐蚀情况，及时调整缓蚀剂加注量、优化配方及批处理频次。</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④</w:t>
      </w:r>
      <w:r>
        <w:rPr>
          <w:rFonts w:ascii="Times New Roman" w:hAnsi="Times New Roman"/>
          <w:bCs/>
          <w:color w:val="000000" w:themeColor="text1"/>
          <w:kern w:val="2"/>
          <w:highlight w:val="none"/>
          <w:lang w:eastAsia="zh-CN"/>
          <w14:textFill>
            <w14:solidFill>
              <w14:schemeClr w14:val="tx1"/>
            </w14:solidFill>
          </w14:textFill>
        </w:rPr>
        <w:t>建立事故应急实时计算机评估系统</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A、委托中石化西南环境保护技术中心与北京师范大学联合研制了事故应急实时计算机评估系统，该系统不仅能在事故发生时，对环</w:t>
      </w:r>
      <w:r>
        <w:rPr>
          <w:rFonts w:hint="eastAsia" w:ascii="Times New Roman" w:hAnsi="Times New Roman"/>
          <w:bCs/>
          <w:color w:val="000000" w:themeColor="text1"/>
          <w:kern w:val="2"/>
          <w:highlight w:val="none"/>
          <w:lang w:eastAsia="zh-CN"/>
          <w14:textFill>
            <w14:solidFill>
              <w14:schemeClr w14:val="tx1"/>
            </w14:solidFill>
          </w14:textFill>
        </w:rPr>
        <w:t>境</w:t>
      </w:r>
      <w:r>
        <w:rPr>
          <w:rFonts w:ascii="Times New Roman" w:hAnsi="Times New Roman"/>
          <w:bCs/>
          <w:color w:val="000000" w:themeColor="text1"/>
          <w:kern w:val="2"/>
          <w:highlight w:val="none"/>
          <w:lang w:eastAsia="zh-CN"/>
          <w14:textFill>
            <w14:solidFill>
              <w14:schemeClr w14:val="tx1"/>
            </w14:solidFill>
          </w14:textFill>
        </w:rPr>
        <w:t>影响范围和程度进行预警预测，还可针对普光气田生产活动对环境产生的影响进行长期的跟踪监测。该系统安装在普光分公司应急救援中心环境监测站，由监测站进行日常管理和维护。</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B、与相关院校开展研究，有针对性开展具有普光山区特点和气候特点的评估研究，建立一年四季的典型模型。</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⑤</w:t>
      </w:r>
      <w:r>
        <w:rPr>
          <w:rFonts w:ascii="Times New Roman" w:hAnsi="Times New Roman"/>
          <w:bCs/>
          <w:color w:val="000000" w:themeColor="text1"/>
          <w:kern w:val="2"/>
          <w:highlight w:val="none"/>
          <w:lang w:eastAsia="zh-CN"/>
          <w14:textFill>
            <w14:solidFill>
              <w14:schemeClr w14:val="tx1"/>
            </w14:solidFill>
          </w14:textFill>
        </w:rPr>
        <w:t>加强各井场气象观测</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在16座集气站设置了自动气象监测设施，可实时连续监测各集气站气压、湿度、温度、风向、风速等指标，可以实时就地显示及远传至应急救援中心，可在第一时间确定泄漏影响区域。</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⑥</w:t>
      </w:r>
      <w:r>
        <w:rPr>
          <w:rFonts w:ascii="Times New Roman" w:hAnsi="Times New Roman"/>
          <w:bCs/>
          <w:color w:val="000000" w:themeColor="text1"/>
          <w:kern w:val="2"/>
          <w:highlight w:val="none"/>
          <w:lang w:eastAsia="zh-CN"/>
          <w14:textFill>
            <w14:solidFill>
              <w14:schemeClr w14:val="tx1"/>
            </w14:solidFill>
          </w14:textFill>
        </w:rPr>
        <w:t>集气站周围300m内、集气管线两侧100m内及半致死浓度范围内居民搬迁</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A、净化厂周围800m、集气站周围300m、管道两侧100m距离内的居民拆迁安置工作已全部完成。</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B、半致死浓度范围的居民拆迁安置工作正在抓紧进行。</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⑦</w:t>
      </w:r>
      <w:r>
        <w:rPr>
          <w:rFonts w:ascii="Times New Roman" w:hAnsi="Times New Roman"/>
          <w:bCs/>
          <w:color w:val="000000" w:themeColor="text1"/>
          <w:kern w:val="2"/>
          <w:highlight w:val="none"/>
          <w:lang w:eastAsia="zh-CN"/>
          <w14:textFill>
            <w14:solidFill>
              <w14:schemeClr w14:val="tx1"/>
            </w14:solidFill>
          </w14:textFill>
        </w:rPr>
        <w:t>设置井场地面硫化氢检测报警仪</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A、已安装井场地面硫化氢检测报警仪。</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a、每个钻井井场设置5台固定式地面硫化氢检测仪；</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b、每个集气站场设置16</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17台固定式地面硫化氢检测仪；</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c、阀室、隧道安装了68台固定式硫化氢气体检测仪；</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d、在气站、阀室安装了314台可气体检测仪：在集气站共安装了2台火焰监测器；在每条道内设置了11对开路式红外对射式可燃气体探测器在线探测甲烷气体，在隧道内安装了5对开放空间气体泄漏激光检测器，同时对硫化氢气体、可燃气体进行检测。</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B、每个站场设置长明灯火炬（双回路控制能实现自动点火），使泄漏的硫化氢气体得到及时燃烧。</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⑧</w:t>
      </w:r>
      <w:r>
        <w:rPr>
          <w:rFonts w:ascii="Times New Roman" w:hAnsi="Times New Roman"/>
          <w:bCs/>
          <w:color w:val="000000" w:themeColor="text1"/>
          <w:kern w:val="2"/>
          <w:highlight w:val="none"/>
          <w:lang w:eastAsia="zh-CN"/>
          <w14:textFill>
            <w14:solidFill>
              <w14:schemeClr w14:val="tx1"/>
            </w14:solidFill>
          </w14:textFill>
        </w:rPr>
        <w:t>发生井漏等事故溢出的硫化氢影响周边地表水体和浅层地下水时，及时采取措施，划定饮用水禁止取水范围并通知周边居民，同时采取点火措施。及时做好风险事故的各项补偿措施</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A、加大表层套管下深。表层套管下深不少于700m，井口与河流、沟谷水平距离小于1000m的井，表层套管下深应低于河床、沟谷底部不少于300m。 以上措施可有效杜绝发生井漏等事故溢出的硫化氢影响周边地表水体和浅层地下水。</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B、完善井控制度，制定了钻井风险应急预案，配备了井场应急物资储备。</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C、已完钻的井均未发生井漏等事故。</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cs="宋体"/>
          <w:bCs/>
          <w:color w:val="000000" w:themeColor="text1"/>
          <w:kern w:val="2"/>
          <w:highlight w:val="none"/>
          <w:lang w:eastAsia="zh-CN"/>
          <w14:textFill>
            <w14:solidFill>
              <w14:schemeClr w14:val="tx1"/>
            </w14:solidFill>
          </w14:textFill>
        </w:rPr>
        <w:t>⑨</w:t>
      </w:r>
      <w:r>
        <w:rPr>
          <w:rFonts w:ascii="Times New Roman" w:hAnsi="Times New Roman"/>
          <w:bCs/>
          <w:color w:val="000000" w:themeColor="text1"/>
          <w:kern w:val="2"/>
          <w:highlight w:val="none"/>
          <w:lang w:eastAsia="zh-CN"/>
          <w14:textFill>
            <w14:solidFill>
              <w14:schemeClr w14:val="tx1"/>
            </w14:solidFill>
          </w14:textFill>
        </w:rPr>
        <w:t>采用电子自动点火火炬放空系统，输气管道及站场采取密闭输送，选用可靠性高的设备</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A、每一个火炬均设置了长明灯和电子自动点火装置</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 xml:space="preserve">B输气管道及站场装置均采取天然气密闭输送。 </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C、采用加厚高抗硫管材、阴极保护、缓蚀剂加注及批处理涂膜、在线腐蚀监测等高性能设备；采用了先进的SCADA自动控制技术；四级关断技术等可靠性高的技术措施，实现了泄漏及时发现、有效控制。</w:t>
      </w:r>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上述环境风险保护措施沿用至今，均未发生过相应的环境风险事故，可认为现行的环境风险防范措施有效可行，本项目将沿用上述的环境风险措施，且在发生环境风险措施后积极采取相应措施，尽量降低风险事故发生的概率和影响。</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（2）压裂作业导致套管破裂天然气窜层</w:t>
      </w:r>
      <w:r>
        <w:rPr>
          <w:rFonts w:ascii="Times New Roman" w:hAnsi="Times New Roman"/>
          <w:b/>
          <w:bCs/>
          <w:color w:val="000000" w:themeColor="text1"/>
          <w:kern w:val="2"/>
          <w:highlight w:val="none"/>
          <w:lang w:eastAsia="zh-CN"/>
          <w14:textFill>
            <w14:solidFill>
              <w14:schemeClr w14:val="tx1"/>
            </w14:solidFill>
          </w14:textFill>
        </w:rPr>
        <w:t>泄漏</w:t>
      </w:r>
      <w:r>
        <w:rPr>
          <w:rFonts w:ascii="Times New Roman" w:hAnsi="Times New Roman"/>
          <w:b/>
          <w:color w:val="000000" w:themeColor="text1"/>
          <w:kern w:val="2"/>
          <w:highlight w:val="none"/>
          <w:lang w:eastAsia="zh-CN"/>
          <w14:textFill>
            <w14:solidFill>
              <w14:schemeClr w14:val="tx1"/>
            </w14:solidFill>
          </w14:textFill>
        </w:rPr>
        <w:t>进入地表环境风险影响分析</w:t>
      </w:r>
    </w:p>
    <w:p>
      <w:pPr>
        <w:pStyle w:val="21"/>
        <w:spacing w:before="0"/>
        <w:ind w:left="0" w:firstLine="480"/>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完井套管均采用高压无缝钢管，压裂作业在高压压裂时破坏已完钻气井套管的可能性也很小。根据川东北地区多年来的钻井记录，井眼碰撞以及压裂作业导致套管损坏在钻井中出现的几率非常小，在严把质量关的前提下发生该事故的几率极其小。由于通过地下岩层的阻隔，事故发生后天然气窜层</w:t>
      </w:r>
      <w:r>
        <w:rPr>
          <w:rFonts w:ascii="Times New Roman" w:hAnsi="Times New Roman"/>
          <w:bCs/>
          <w:color w:val="000000" w:themeColor="text1"/>
          <w:highlight w:val="none"/>
          <w:lang w:eastAsia="zh-CN"/>
          <w14:textFill>
            <w14:solidFill>
              <w14:schemeClr w14:val="tx1"/>
            </w14:solidFill>
          </w14:textFill>
        </w:rPr>
        <w:t>泄漏</w:t>
      </w:r>
      <w:r>
        <w:rPr>
          <w:rFonts w:ascii="Times New Roman" w:hAnsi="Times New Roman"/>
          <w:color w:val="000000" w:themeColor="text1"/>
          <w:highlight w:val="none"/>
          <w:lang w:eastAsia="zh-CN"/>
          <w14:textFill>
            <w14:solidFill>
              <w14:schemeClr w14:val="tx1"/>
            </w14:solidFill>
          </w14:textFill>
        </w:rPr>
        <w:t>进入地表的量、压力、速率比井喷量小很多，影响程度比井喷小很多，但出现的</w:t>
      </w:r>
      <w:r>
        <w:rPr>
          <w:rFonts w:ascii="Times New Roman" w:hAnsi="Times New Roman"/>
          <w:bCs/>
          <w:color w:val="000000" w:themeColor="text1"/>
          <w:highlight w:val="none"/>
          <w:lang w:eastAsia="zh-CN"/>
          <w14:textFill>
            <w14:solidFill>
              <w14:schemeClr w14:val="tx1"/>
            </w14:solidFill>
          </w14:textFill>
        </w:rPr>
        <w:t>泄漏</w:t>
      </w:r>
      <w:r>
        <w:rPr>
          <w:rFonts w:ascii="Times New Roman" w:hAnsi="Times New Roman"/>
          <w:color w:val="000000" w:themeColor="text1"/>
          <w:highlight w:val="none"/>
          <w:lang w:eastAsia="zh-CN"/>
          <w14:textFill>
            <w14:solidFill>
              <w14:schemeClr w14:val="tx1"/>
            </w14:solidFill>
          </w14:textFill>
        </w:rPr>
        <w:t>点多，出现位置不能进行有效预测，但主要在井口周边地带，</w:t>
      </w:r>
      <w:r>
        <w:rPr>
          <w:rFonts w:ascii="Times New Roman" w:hAnsi="Times New Roman"/>
          <w:bCs/>
          <w:color w:val="000000" w:themeColor="text1"/>
          <w:highlight w:val="none"/>
          <w:lang w:eastAsia="zh-CN"/>
          <w14:textFill>
            <w14:solidFill>
              <w14:schemeClr w14:val="tx1"/>
            </w14:solidFill>
          </w14:textFill>
        </w:rPr>
        <w:t>泄漏</w:t>
      </w:r>
      <w:r>
        <w:rPr>
          <w:rFonts w:ascii="Times New Roman" w:hAnsi="Times New Roman"/>
          <w:color w:val="000000" w:themeColor="text1"/>
          <w:highlight w:val="none"/>
          <w:lang w:eastAsia="zh-CN"/>
          <w14:textFill>
            <w14:solidFill>
              <w14:schemeClr w14:val="tx1"/>
            </w14:solidFill>
          </w14:textFill>
        </w:rPr>
        <w:t>范围在井口外1km范围内。</w:t>
      </w:r>
      <w:r>
        <w:rPr>
          <w:rFonts w:ascii="Times New Roman" w:hAnsi="Times New Roman"/>
          <w:bCs/>
          <w:color w:val="000000" w:themeColor="text1"/>
          <w:highlight w:val="none"/>
          <w:lang w:eastAsia="zh-CN"/>
          <w14:textFill>
            <w14:solidFill>
              <w14:schemeClr w14:val="tx1"/>
            </w14:solidFill>
          </w14:textFill>
        </w:rPr>
        <w:t>泄漏</w:t>
      </w:r>
      <w:r>
        <w:rPr>
          <w:rFonts w:ascii="Times New Roman" w:hAnsi="Times New Roman"/>
          <w:color w:val="000000" w:themeColor="text1"/>
          <w:highlight w:val="none"/>
          <w:lang w:eastAsia="zh-CN"/>
          <w14:textFill>
            <w14:solidFill>
              <w14:schemeClr w14:val="tx1"/>
            </w14:solidFill>
          </w14:textFill>
        </w:rPr>
        <w:t>点主要表现为可燃气体的</w:t>
      </w:r>
      <w:r>
        <w:rPr>
          <w:rFonts w:ascii="Times New Roman" w:hAnsi="Times New Roman"/>
          <w:bCs/>
          <w:color w:val="000000" w:themeColor="text1"/>
          <w:highlight w:val="none"/>
          <w:lang w:eastAsia="zh-CN"/>
          <w14:textFill>
            <w14:solidFill>
              <w14:schemeClr w14:val="tx1"/>
            </w14:solidFill>
          </w14:textFill>
        </w:rPr>
        <w:t>泄漏</w:t>
      </w:r>
      <w:r>
        <w:rPr>
          <w:rFonts w:ascii="Times New Roman" w:hAnsi="Times New Roman"/>
          <w:color w:val="000000" w:themeColor="text1"/>
          <w:highlight w:val="none"/>
          <w:lang w:eastAsia="zh-CN"/>
          <w14:textFill>
            <w14:solidFill>
              <w14:schemeClr w14:val="tx1"/>
            </w14:solidFill>
          </w14:textFill>
        </w:rPr>
        <w:t>遇火爆炸环境风险，形成的爆炸冲击波较井喷失控时甲烷扩散遇火爆炸形成的爆炸冲击波影响小得多。</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（3）套管破裂天然气串层</w:t>
      </w:r>
      <w:r>
        <w:rPr>
          <w:rFonts w:ascii="Times New Roman" w:hAnsi="Times New Roman"/>
          <w:b/>
          <w:bCs/>
          <w:color w:val="000000" w:themeColor="text1"/>
          <w:kern w:val="2"/>
          <w:highlight w:val="none"/>
          <w:lang w:eastAsia="zh-CN"/>
          <w14:textFill>
            <w14:solidFill>
              <w14:schemeClr w14:val="tx1"/>
            </w14:solidFill>
          </w14:textFill>
        </w:rPr>
        <w:t>泄漏</w:t>
      </w:r>
      <w:r>
        <w:rPr>
          <w:rFonts w:ascii="Times New Roman" w:hAnsi="Times New Roman"/>
          <w:b/>
          <w:color w:val="000000" w:themeColor="text1"/>
          <w:kern w:val="2"/>
          <w:highlight w:val="none"/>
          <w:lang w:eastAsia="zh-CN"/>
          <w14:textFill>
            <w14:solidFill>
              <w14:schemeClr w14:val="tx1"/>
            </w14:solidFill>
          </w14:textFill>
        </w:rPr>
        <w:t>进入地表环境风险影响分析</w:t>
      </w:r>
    </w:p>
    <w:p>
      <w:pPr>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在施工中，出现套管破裂的概率很小。由于地下岩层的阻隔，事故发生后串层</w:t>
      </w:r>
      <w:r>
        <w:rPr>
          <w:rFonts w:cs="Times New Roman"/>
          <w:bCs/>
          <w:color w:val="000000" w:themeColor="text1"/>
          <w:kern w:val="0"/>
          <w:szCs w:val="24"/>
          <w:highlight w:val="none"/>
          <w14:textFill>
            <w14:solidFill>
              <w14:schemeClr w14:val="tx1"/>
            </w14:solidFill>
          </w14:textFill>
        </w:rPr>
        <w:t>泄漏</w:t>
      </w:r>
      <w:r>
        <w:rPr>
          <w:rFonts w:cs="Times New Roman"/>
          <w:color w:val="000000" w:themeColor="text1"/>
          <w:kern w:val="0"/>
          <w:szCs w:val="24"/>
          <w:highlight w:val="none"/>
          <w14:textFill>
            <w14:solidFill>
              <w14:schemeClr w14:val="tx1"/>
            </w14:solidFill>
          </w14:textFill>
        </w:rPr>
        <w:t>进入地表的天然气量、压力、速率比井喷量小很多，影响程度比井喷小很多。</w:t>
      </w:r>
    </w:p>
    <w:p>
      <w:pPr>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该事故主要控制措施是加强对周边3km范围内居民进行宣传教育，遇到此类事故应立即撤离</w:t>
      </w:r>
      <w:r>
        <w:rPr>
          <w:rFonts w:cs="Times New Roman"/>
          <w:bCs/>
          <w:color w:val="000000" w:themeColor="text1"/>
          <w:kern w:val="0"/>
          <w:szCs w:val="24"/>
          <w:highlight w:val="none"/>
          <w14:textFill>
            <w14:solidFill>
              <w14:schemeClr w14:val="tx1"/>
            </w14:solidFill>
          </w14:textFill>
        </w:rPr>
        <w:t>泄漏</w:t>
      </w:r>
      <w:r>
        <w:rPr>
          <w:rFonts w:cs="Times New Roman"/>
          <w:color w:val="000000" w:themeColor="text1"/>
          <w:kern w:val="0"/>
          <w:szCs w:val="24"/>
          <w:highlight w:val="none"/>
          <w14:textFill>
            <w14:solidFill>
              <w14:schemeClr w14:val="tx1"/>
            </w14:solidFill>
          </w14:textFill>
        </w:rPr>
        <w:t>点，撤离距离根据应急监测确定。企业应在可能的</w:t>
      </w:r>
      <w:r>
        <w:rPr>
          <w:rFonts w:cs="Times New Roman"/>
          <w:bCs/>
          <w:color w:val="000000" w:themeColor="text1"/>
          <w:kern w:val="0"/>
          <w:szCs w:val="24"/>
          <w:highlight w:val="none"/>
          <w14:textFill>
            <w14:solidFill>
              <w14:schemeClr w14:val="tx1"/>
            </w14:solidFill>
          </w14:textFill>
        </w:rPr>
        <w:t>泄漏</w:t>
      </w:r>
      <w:r>
        <w:rPr>
          <w:rFonts w:cs="Times New Roman"/>
          <w:color w:val="000000" w:themeColor="text1"/>
          <w:kern w:val="0"/>
          <w:szCs w:val="24"/>
          <w:highlight w:val="none"/>
          <w14:textFill>
            <w14:solidFill>
              <w14:schemeClr w14:val="tx1"/>
            </w14:solidFill>
          </w14:textFill>
        </w:rPr>
        <w:t>点周边设置便携监测仪，确定浓度，根据浓度确定具体撤离范围。企业同时应对事故后主要是堵漏，通过井口周边放喷管放喷燃烧泄压，减少周边地表</w:t>
      </w:r>
      <w:r>
        <w:rPr>
          <w:rFonts w:cs="Times New Roman"/>
          <w:bCs/>
          <w:color w:val="000000" w:themeColor="text1"/>
          <w:kern w:val="0"/>
          <w:szCs w:val="24"/>
          <w:highlight w:val="none"/>
          <w14:textFill>
            <w14:solidFill>
              <w14:schemeClr w14:val="tx1"/>
            </w14:solidFill>
          </w14:textFill>
        </w:rPr>
        <w:t>泄漏</w:t>
      </w:r>
      <w:r>
        <w:rPr>
          <w:rFonts w:cs="Times New Roman"/>
          <w:color w:val="000000" w:themeColor="text1"/>
          <w:kern w:val="0"/>
          <w:szCs w:val="24"/>
          <w:highlight w:val="none"/>
          <w14:textFill>
            <w14:solidFill>
              <w14:schemeClr w14:val="tx1"/>
            </w14:solidFill>
          </w14:textFill>
        </w:rPr>
        <w:t>点</w:t>
      </w:r>
      <w:r>
        <w:rPr>
          <w:rFonts w:cs="Times New Roman"/>
          <w:bCs/>
          <w:color w:val="000000" w:themeColor="text1"/>
          <w:kern w:val="0"/>
          <w:szCs w:val="24"/>
          <w:highlight w:val="none"/>
          <w14:textFill>
            <w14:solidFill>
              <w14:schemeClr w14:val="tx1"/>
            </w14:solidFill>
          </w14:textFill>
        </w:rPr>
        <w:t>泄漏</w:t>
      </w:r>
      <w:r>
        <w:rPr>
          <w:rFonts w:cs="Times New Roman"/>
          <w:color w:val="000000" w:themeColor="text1"/>
          <w:kern w:val="0"/>
          <w:szCs w:val="24"/>
          <w:highlight w:val="none"/>
          <w14:textFill>
            <w14:solidFill>
              <w14:schemeClr w14:val="tx1"/>
            </w14:solidFill>
          </w14:textFill>
        </w:rPr>
        <w:t>量，对地表</w:t>
      </w:r>
      <w:r>
        <w:rPr>
          <w:rFonts w:cs="Times New Roman"/>
          <w:bCs/>
          <w:color w:val="000000" w:themeColor="text1"/>
          <w:kern w:val="0"/>
          <w:szCs w:val="24"/>
          <w:highlight w:val="none"/>
          <w14:textFill>
            <w14:solidFill>
              <w14:schemeClr w14:val="tx1"/>
            </w14:solidFill>
          </w14:textFill>
        </w:rPr>
        <w:t>泄漏</w:t>
      </w:r>
      <w:r>
        <w:rPr>
          <w:rFonts w:cs="Times New Roman"/>
          <w:color w:val="000000" w:themeColor="text1"/>
          <w:kern w:val="0"/>
          <w:szCs w:val="24"/>
          <w:highlight w:val="none"/>
          <w14:textFill>
            <w14:solidFill>
              <w14:schemeClr w14:val="tx1"/>
            </w14:solidFill>
          </w14:textFill>
        </w:rPr>
        <w:t>点进行点火燃烧。</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bookmarkStart w:id="376" w:name="_Hlk88498378"/>
      <w:r>
        <w:rPr>
          <w:rFonts w:ascii="Times New Roman" w:hAnsi="Times New Roman"/>
          <w:b/>
          <w:color w:val="000000" w:themeColor="text1"/>
          <w:kern w:val="2"/>
          <w:highlight w:val="none"/>
          <w:lang w:eastAsia="zh-CN"/>
          <w14:textFill>
            <w14:solidFill>
              <w14:schemeClr w14:val="tx1"/>
            </w14:solidFill>
          </w14:textFill>
        </w:rPr>
        <w:t>（4）试采期</w:t>
      </w:r>
      <w:r>
        <w:rPr>
          <w:rFonts w:hint="eastAsia" w:ascii="Times New Roman" w:hAnsi="Times New Roman"/>
          <w:b/>
          <w:color w:val="000000" w:themeColor="text1"/>
          <w:kern w:val="2"/>
          <w:highlight w:val="none"/>
          <w:lang w:eastAsia="zh-CN"/>
          <w14:textFill>
            <w14:solidFill>
              <w14:schemeClr w14:val="tx1"/>
            </w14:solidFill>
          </w14:textFill>
        </w:rPr>
        <w:t>井站</w:t>
      </w:r>
      <w:r>
        <w:rPr>
          <w:rFonts w:ascii="Times New Roman" w:hAnsi="Times New Roman"/>
          <w:b/>
          <w:color w:val="000000" w:themeColor="text1"/>
          <w:kern w:val="2"/>
          <w:highlight w:val="none"/>
          <w:lang w:eastAsia="zh-CN"/>
          <w14:textFill>
            <w14:solidFill>
              <w14:schemeClr w14:val="tx1"/>
            </w14:solidFill>
          </w14:textFill>
        </w:rPr>
        <w:t>天然气泄漏风险分析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由于地面试采工程时在测试放喷定产后配产规模下生产，单井最大配产规模</w:t>
      </w:r>
      <w:r>
        <w:rPr>
          <w:rFonts w:hint="eastAsia" w:ascii="Times New Roman" w:hAnsi="Times New Roman"/>
          <w:bCs/>
          <w:color w:val="000000" w:themeColor="text1"/>
          <w:kern w:val="2"/>
          <w:highlight w:val="none"/>
          <w:lang w:eastAsia="zh-CN"/>
          <w14:textFill>
            <w14:solidFill>
              <w14:schemeClr w14:val="tx1"/>
            </w14:solidFill>
          </w14:textFill>
        </w:rPr>
        <w:t>15</w:t>
      </w:r>
      <w:r>
        <w:rPr>
          <w:rFonts w:ascii="Times New Roman" w:hAnsi="Times New Roman"/>
          <w:bCs/>
          <w:color w:val="000000" w:themeColor="text1"/>
          <w:kern w:val="2"/>
          <w:highlight w:val="none"/>
          <w:lang w:eastAsia="zh-CN"/>
          <w14:textFill>
            <w14:solidFill>
              <w14:schemeClr w14:val="tx1"/>
            </w14:solidFill>
          </w14:textFill>
        </w:rPr>
        <w:t>×10</w:t>
      </w:r>
      <w:r>
        <w:rPr>
          <w:rFonts w:ascii="Times New Roman" w:hAnsi="Times New Roman"/>
          <w:bCs/>
          <w:color w:val="000000" w:themeColor="text1"/>
          <w:kern w:val="2"/>
          <w:highlight w:val="none"/>
          <w:vertAlign w:val="superscript"/>
          <w:lang w:eastAsia="zh-CN"/>
          <w14:textFill>
            <w14:solidFill>
              <w14:schemeClr w14:val="tx1"/>
            </w14:solidFill>
          </w14:textFill>
        </w:rPr>
        <w:t>4</w:t>
      </w:r>
      <w:r>
        <w:rPr>
          <w:rFonts w:ascii="Times New Roman" w:hAnsi="Times New Roman"/>
          <w:bCs/>
          <w:color w:val="000000" w:themeColor="text1"/>
          <w:kern w:val="2"/>
          <w:highlight w:val="none"/>
          <w:lang w:eastAsia="zh-CN"/>
          <w14:textFill>
            <w14:solidFill>
              <w14:schemeClr w14:val="tx1"/>
            </w14:solidFill>
          </w14:textFill>
        </w:rPr>
        <w:t>m</w:t>
      </w:r>
      <w:r>
        <w:rPr>
          <w:rFonts w:ascii="Times New Roman" w:hAnsi="Times New Roman"/>
          <w:bCs/>
          <w:color w:val="000000" w:themeColor="text1"/>
          <w:kern w:val="2"/>
          <w:highlight w:val="none"/>
          <w:vertAlign w:val="superscript"/>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t>/d，地面试采阶段环境风险源较钻井和储层改造施工阶段小，其环境风险影响范围较施工期小，且在站内工艺管道发生断裂泄漏事故后，自控系统控制的截断阀能在2min内截断上游气源，管道两边截断阀（井口截断阀、出站阀组区截断阀）在第一时间响应关闭并启动放散程序，最大泄漏量为管线在线量和2min的天然气流量，天然气泄漏量很小。由于天然气</w:t>
      </w:r>
      <w:r>
        <w:rPr>
          <w:rFonts w:hint="eastAsia" w:ascii="Times New Roman" w:hAnsi="Times New Roman"/>
          <w:bCs/>
          <w:color w:val="000000" w:themeColor="text1"/>
          <w:kern w:val="2"/>
          <w:highlight w:val="none"/>
          <w:lang w:eastAsia="zh-CN"/>
          <w14:textFill>
            <w14:solidFill>
              <w14:schemeClr w14:val="tx1"/>
            </w14:solidFill>
          </w14:textFill>
        </w:rPr>
        <w:t>主要成分</w:t>
      </w:r>
      <w:r>
        <w:rPr>
          <w:rFonts w:ascii="Times New Roman" w:hAnsi="Times New Roman"/>
          <w:bCs/>
          <w:color w:val="000000" w:themeColor="text1"/>
          <w:kern w:val="2"/>
          <w:highlight w:val="none"/>
          <w:lang w:eastAsia="zh-CN"/>
          <w14:textFill>
            <w14:solidFill>
              <w14:schemeClr w14:val="tx1"/>
            </w14:solidFill>
          </w14:textFill>
        </w:rPr>
        <w:t>为甲烷和硫化氢，稀释扩散较快，对环境、人和动物的影响是局部影响，且井口周边300m范围内无居民分布，发生风险事故后周边居民能及时</w:t>
      </w:r>
      <w:r>
        <w:rPr>
          <w:rFonts w:hint="eastAsia" w:ascii="Times New Roman" w:hAnsi="Times New Roman"/>
          <w:bCs/>
          <w:color w:val="000000" w:themeColor="text1"/>
          <w:kern w:val="2"/>
          <w:highlight w:val="none"/>
          <w:lang w:eastAsia="zh-CN"/>
          <w14:textFill>
            <w14:solidFill>
              <w14:schemeClr w14:val="tx1"/>
            </w14:solidFill>
          </w14:textFill>
        </w:rPr>
        <w:t>地</w:t>
      </w:r>
      <w:r>
        <w:rPr>
          <w:rFonts w:ascii="Times New Roman" w:hAnsi="Times New Roman"/>
          <w:bCs/>
          <w:color w:val="000000" w:themeColor="text1"/>
          <w:kern w:val="2"/>
          <w:highlight w:val="none"/>
          <w:lang w:eastAsia="zh-CN"/>
          <w14:textFill>
            <w14:solidFill>
              <w14:schemeClr w14:val="tx1"/>
            </w14:solidFill>
          </w14:textFill>
        </w:rPr>
        <w:t>进行疏散。因此，对大气环境影响小。</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hint="eastAsia" w:ascii="Times New Roman" w:hAnsi="Times New Roman"/>
          <w:b/>
          <w:color w:val="000000" w:themeColor="text1"/>
          <w:kern w:val="2"/>
          <w:highlight w:val="none"/>
          <w:lang w:eastAsia="zh-CN"/>
          <w14:textFill>
            <w14:solidFill>
              <w14:schemeClr w14:val="tx1"/>
            </w14:solidFill>
          </w14:textFill>
        </w:rPr>
        <w:t>（5）</w:t>
      </w:r>
      <w:r>
        <w:rPr>
          <w:rFonts w:ascii="Times New Roman" w:hAnsi="Times New Roman"/>
          <w:b/>
          <w:color w:val="000000" w:themeColor="text1"/>
          <w:kern w:val="2"/>
          <w:highlight w:val="none"/>
          <w:lang w:eastAsia="zh-CN"/>
          <w14:textFill>
            <w14:solidFill>
              <w14:schemeClr w14:val="tx1"/>
            </w14:solidFill>
          </w14:textFill>
        </w:rPr>
        <w:t>集输过程中甲烷</w:t>
      </w:r>
      <w:r>
        <w:rPr>
          <w:rFonts w:hint="eastAsia" w:ascii="Times New Roman" w:hAnsi="Times New Roman"/>
          <w:b/>
          <w:color w:val="000000" w:themeColor="text1"/>
          <w:kern w:val="2"/>
          <w:highlight w:val="none"/>
          <w:lang w:eastAsia="zh-CN"/>
          <w14:textFill>
            <w14:solidFill>
              <w14:schemeClr w14:val="tx1"/>
            </w14:solidFill>
          </w14:textFill>
        </w:rPr>
        <w:t>、硫化氢</w:t>
      </w:r>
      <w:r>
        <w:rPr>
          <w:rFonts w:ascii="Times New Roman" w:hAnsi="Times New Roman"/>
          <w:b/>
          <w:color w:val="000000" w:themeColor="text1"/>
          <w:kern w:val="2"/>
          <w:highlight w:val="none"/>
          <w:lang w:eastAsia="zh-CN"/>
          <w14:textFill>
            <w14:solidFill>
              <w14:schemeClr w14:val="tx1"/>
            </w14:solidFill>
          </w14:textFill>
        </w:rPr>
        <w:t>泄漏环境风险分析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在</w:t>
      </w:r>
      <w:r>
        <w:rPr>
          <w:rFonts w:hint="eastAsia" w:ascii="Times New Roman" w:hAnsi="Times New Roman"/>
          <w:bCs/>
          <w:color w:val="000000" w:themeColor="text1"/>
          <w:kern w:val="2"/>
          <w:highlight w:val="none"/>
          <w:lang w:eastAsia="zh-CN"/>
          <w14:textFill>
            <w14:solidFill>
              <w14:schemeClr w14:val="tx1"/>
            </w14:solidFill>
          </w14:textFill>
        </w:rPr>
        <w:t>天然</w:t>
      </w:r>
      <w:r>
        <w:rPr>
          <w:rFonts w:ascii="Times New Roman" w:hAnsi="Times New Roman"/>
          <w:bCs/>
          <w:color w:val="000000" w:themeColor="text1"/>
          <w:kern w:val="2"/>
          <w:highlight w:val="none"/>
          <w:lang w:eastAsia="zh-CN"/>
          <w14:textFill>
            <w14:solidFill>
              <w14:schemeClr w14:val="tx1"/>
            </w14:solidFill>
          </w14:textFill>
        </w:rPr>
        <w:t>集输过程中，若发生甲烷</w:t>
      </w:r>
      <w:r>
        <w:rPr>
          <w:rFonts w:hint="eastAsia" w:ascii="Times New Roman" w:hAnsi="Times New Roman"/>
          <w:bCs/>
          <w:color w:val="000000" w:themeColor="text1"/>
          <w:kern w:val="2"/>
          <w:highlight w:val="none"/>
          <w:lang w:eastAsia="zh-CN"/>
          <w14:textFill>
            <w14:solidFill>
              <w14:schemeClr w14:val="tx1"/>
            </w14:solidFill>
          </w14:textFill>
        </w:rPr>
        <w:t>、硫化氢</w:t>
      </w:r>
      <w:r>
        <w:rPr>
          <w:rFonts w:ascii="Times New Roman" w:hAnsi="Times New Roman"/>
          <w:bCs/>
          <w:color w:val="000000" w:themeColor="text1"/>
          <w:kern w:val="2"/>
          <w:highlight w:val="none"/>
          <w:lang w:eastAsia="zh-CN"/>
          <w14:textFill>
            <w14:solidFill>
              <w14:schemeClr w14:val="tx1"/>
            </w14:solidFill>
          </w14:textFill>
        </w:rPr>
        <w:t>泄漏事故时，会进入周边环境，造成大气污染。当空气中甲烷浓度达25%</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30%时，将造成人体不适，甚至窒息死亡。当甲烷浓度到达爆炸极限时，会发生爆炸，引发火灾，造成人员和财产损失</w:t>
      </w:r>
      <w:r>
        <w:rPr>
          <w:rFonts w:hint="eastAsia" w:ascii="Times New Roman" w:hAnsi="Times New Roman"/>
          <w:bCs/>
          <w:color w:val="000000" w:themeColor="text1"/>
          <w:kern w:val="2"/>
          <w:highlight w:val="none"/>
          <w:lang w:eastAsia="zh-CN"/>
          <w14:textFill>
            <w14:solidFill>
              <w14:schemeClr w14:val="tx1"/>
            </w14:solidFill>
          </w14:textFill>
        </w:rPr>
        <w:t>；此外硫化氢泄漏可</w:t>
      </w:r>
      <w:r>
        <w:rPr>
          <w:rFonts w:ascii="Times New Roman" w:hAnsi="Times New Roman"/>
          <w:bCs/>
          <w:color w:val="000000" w:themeColor="text1"/>
          <w:kern w:val="2"/>
          <w:highlight w:val="none"/>
          <w:lang w:eastAsia="zh-CN"/>
          <w14:textFill>
            <w14:solidFill>
              <w14:schemeClr w14:val="tx1"/>
            </w14:solidFill>
          </w14:textFill>
        </w:rPr>
        <w:t>造成人体不适，</w:t>
      </w:r>
      <w:r>
        <w:rPr>
          <w:rFonts w:hint="eastAsia" w:ascii="Times New Roman" w:hAnsi="Times New Roman"/>
          <w:bCs/>
          <w:color w:val="000000" w:themeColor="text1"/>
          <w:kern w:val="2"/>
          <w:highlight w:val="none"/>
          <w:lang w:eastAsia="zh-CN"/>
          <w14:textFill>
            <w14:solidFill>
              <w14:schemeClr w14:val="tx1"/>
            </w14:solidFill>
          </w14:textFill>
        </w:rPr>
        <w:t>中毒，</w:t>
      </w:r>
      <w:r>
        <w:rPr>
          <w:rFonts w:ascii="Times New Roman" w:hAnsi="Times New Roman"/>
          <w:bCs/>
          <w:color w:val="000000" w:themeColor="text1"/>
          <w:kern w:val="2"/>
          <w:highlight w:val="none"/>
          <w:lang w:eastAsia="zh-CN"/>
          <w14:textFill>
            <w14:solidFill>
              <w14:schemeClr w14:val="tx1"/>
            </w14:solidFill>
          </w14:textFill>
        </w:rPr>
        <w:t>甚至死亡。爆炸和火灾引发的有毒有害气体和烟尘会破坏植被、污染土壤，对周边生态环境和居民健康产生不利影响。</w:t>
      </w:r>
      <w:r>
        <w:rPr>
          <w:rFonts w:hint="eastAsia" w:ascii="Times New Roman" w:hAnsi="Times New Roman"/>
          <w:bCs/>
          <w:color w:val="000000" w:themeColor="text1"/>
          <w:kern w:val="2"/>
          <w:highlight w:val="none"/>
          <w:lang w:eastAsia="zh-CN"/>
          <w14:textFill>
            <w14:solidFill>
              <w14:schemeClr w14:val="tx1"/>
            </w14:solidFill>
          </w14:textFill>
        </w:rPr>
        <w:t>本项目集输管线较短，管线处于农村地区，周边居民点少，无集中居民区等，管线天然气泄漏导致的环境风险小。</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w:t>
      </w:r>
      <w:r>
        <w:rPr>
          <w:rFonts w:hint="eastAsia" w:ascii="Times New Roman" w:hAnsi="Times New Roman"/>
          <w:b/>
          <w:color w:val="000000" w:themeColor="text1"/>
          <w:kern w:val="2"/>
          <w:highlight w:val="none"/>
          <w:lang w:eastAsia="zh-CN"/>
          <w14:textFill>
            <w14:solidFill>
              <w14:schemeClr w14:val="tx1"/>
            </w14:solidFill>
          </w14:textFill>
        </w:rPr>
        <w:t>6</w:t>
      </w:r>
      <w:r>
        <w:rPr>
          <w:rFonts w:ascii="Times New Roman" w:hAnsi="Times New Roman"/>
          <w:b/>
          <w:color w:val="000000" w:themeColor="text1"/>
          <w:kern w:val="2"/>
          <w:highlight w:val="none"/>
          <w:lang w:eastAsia="zh-CN"/>
          <w14:textFill>
            <w14:solidFill>
              <w14:schemeClr w14:val="tx1"/>
            </w14:solidFill>
          </w14:textFill>
        </w:rPr>
        <w:t>）火灾爆炸产生次生污染物对大气的影响</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钻井过程发生井喷失控后天然气逸散到空气中遇明火发生火灾爆炸或主动点火发生火灾爆炸情形、施工期柴油泄漏后遇明火燃烧情形以及采气过程站场或集输管线发生天然气泄漏后遇明火燃烧等情形产生污染物对大气将产生一定的影响。由于本项目可能发生火灾爆炸的部位位于露天环境，燃烧物质与空气接触较充分，充分燃烧情况下燃烧产物主要为</w:t>
      </w:r>
      <w:r>
        <w:rPr>
          <w:rFonts w:hint="eastAsia" w:ascii="Times New Roman" w:hAnsi="Times New Roman"/>
          <w:bCs/>
          <w:color w:val="000000" w:themeColor="text1"/>
          <w:kern w:val="2"/>
          <w:highlight w:val="none"/>
          <w:lang w:val="en-US" w:eastAsia="zh-CN"/>
          <w14:textFill>
            <w14:solidFill>
              <w14:schemeClr w14:val="tx1"/>
            </w14:solidFill>
          </w14:textFill>
        </w:rPr>
        <w:t>SO</w:t>
      </w:r>
      <w:r>
        <w:rPr>
          <w:rFonts w:hint="eastAsia" w:ascii="Times New Roman" w:hAnsi="Times New Roman"/>
          <w:bCs/>
          <w:color w:val="000000" w:themeColor="text1"/>
          <w:kern w:val="2"/>
          <w:highlight w:val="none"/>
          <w:vertAlign w:val="subscript"/>
          <w:lang w:val="en-US" w:eastAsia="zh-CN"/>
          <w14:textFill>
            <w14:solidFill>
              <w14:schemeClr w14:val="tx1"/>
            </w14:solidFill>
          </w14:textFill>
        </w:rPr>
        <w:t>2</w:t>
      </w:r>
      <w:r>
        <w:rPr>
          <w:rFonts w:hint="eastAsia" w:ascii="Times New Roman" w:hAnsi="Times New Roman"/>
          <w:bCs/>
          <w:color w:val="000000" w:themeColor="text1"/>
          <w:kern w:val="2"/>
          <w:highlight w:val="none"/>
          <w:lang w:val="en-US"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CO</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，毒性较大的CO的量相对较少。且本项目处于农村环境，周边大气敏感点分散，且环境空气流通性较好，火灾爆炸燃烧产物对大气产生的影响较小。</w:t>
      </w:r>
      <w:bookmarkEnd w:id="376"/>
    </w:p>
    <w:p>
      <w:pPr>
        <w:pStyle w:val="4"/>
        <w:spacing w:before="0" w:beforeLines="0"/>
        <w:ind w:firstLine="480"/>
        <w:rPr>
          <w:b/>
          <w:color w:val="000000" w:themeColor="text1"/>
          <w:highlight w:val="none"/>
          <w:lang w:eastAsia="zh-CN"/>
          <w14:textFill>
            <w14:solidFill>
              <w14:schemeClr w14:val="tx1"/>
            </w14:solidFill>
          </w14:textFill>
        </w:rPr>
      </w:pPr>
      <w:bookmarkStart w:id="377" w:name="_Toc120173181"/>
      <w:r>
        <w:rPr>
          <w:color w:val="000000" w:themeColor="text1"/>
          <w:highlight w:val="none"/>
          <w:lang w:eastAsia="zh-CN"/>
          <w14:textFill>
            <w14:solidFill>
              <w14:schemeClr w14:val="tx1"/>
            </w14:solidFill>
          </w14:textFill>
        </w:rPr>
        <w:t>地表水环境风险影响分析</w:t>
      </w:r>
      <w:bookmarkEnd w:id="377"/>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（1）废水泄漏或外溢</w:t>
      </w:r>
      <w:r>
        <w:rPr>
          <w:rFonts w:hint="eastAsia" w:ascii="Times New Roman" w:hAnsi="Times New Roman"/>
          <w:b/>
          <w:color w:val="000000" w:themeColor="text1"/>
          <w:kern w:val="2"/>
          <w:highlight w:val="none"/>
          <w:lang w:eastAsia="zh-CN"/>
          <w14:textFill>
            <w14:solidFill>
              <w14:schemeClr w14:val="tx1"/>
            </w14:solidFill>
          </w14:textFill>
        </w:rPr>
        <w:t>风险</w:t>
      </w:r>
      <w:r>
        <w:rPr>
          <w:rFonts w:ascii="Times New Roman" w:hAnsi="Times New Roman"/>
          <w:b/>
          <w:color w:val="000000" w:themeColor="text1"/>
          <w:kern w:val="2"/>
          <w:highlight w:val="none"/>
          <w:lang w:eastAsia="zh-CN"/>
          <w14:textFill>
            <w14:solidFill>
              <w14:schemeClr w14:val="tx1"/>
            </w14:solidFill>
          </w14:textFill>
        </w:rPr>
        <w:t>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钻井废水、压裂废水、</w:t>
      </w:r>
      <w:r>
        <w:rPr>
          <w:rFonts w:hint="eastAsia" w:ascii="Times New Roman" w:hAnsi="Times New Roman"/>
          <w:bCs/>
          <w:color w:val="000000" w:themeColor="text1"/>
          <w:kern w:val="2"/>
          <w:highlight w:val="none"/>
          <w:lang w:eastAsia="zh-CN"/>
          <w14:textFill>
            <w14:solidFill>
              <w14:schemeClr w14:val="tx1"/>
            </w14:solidFill>
          </w14:textFill>
        </w:rPr>
        <w:t>采出水</w:t>
      </w:r>
      <w:r>
        <w:rPr>
          <w:rFonts w:ascii="Times New Roman" w:hAnsi="Times New Roman"/>
          <w:bCs/>
          <w:color w:val="000000" w:themeColor="text1"/>
          <w:kern w:val="2"/>
          <w:highlight w:val="none"/>
          <w:lang w:eastAsia="zh-CN"/>
          <w14:textFill>
            <w14:solidFill>
              <w14:schemeClr w14:val="tx1"/>
            </w14:solidFill>
          </w14:textFill>
        </w:rPr>
        <w:t>的危害主要表现在：pH值过高过低、可溶性盐含量高，含石油类。泄漏和外溢废水对地表水的影响一般有两种途径，一种是泄漏后直接进入水体；另一种是泄漏于地表，由降雨形成的地表径流将泄漏废水或受污染的土壤一起带入水体造成污染。由于本项目位于森林生态环境与农业生态环境中，周边主要为耕地与林地，项目附近有冲沟等，泄漏的废水可能随着降雨进入</w:t>
      </w:r>
      <w:r>
        <w:rPr>
          <w:rFonts w:hint="eastAsia" w:ascii="Times New Roman" w:hAnsi="Times New Roman"/>
          <w:bCs/>
          <w:color w:val="000000" w:themeColor="text1"/>
          <w:kern w:val="2"/>
          <w:highlight w:val="none"/>
          <w:lang w:eastAsia="zh-CN"/>
          <w14:textFill>
            <w14:solidFill>
              <w14:schemeClr w14:val="tx1"/>
            </w14:solidFill>
          </w14:textFill>
        </w:rPr>
        <w:t>对周边地表水水体</w:t>
      </w:r>
      <w:r>
        <w:rPr>
          <w:rFonts w:ascii="Times New Roman" w:hAnsi="Times New Roman"/>
          <w:bCs/>
          <w:color w:val="000000" w:themeColor="text1"/>
          <w:kern w:val="2"/>
          <w:highlight w:val="none"/>
          <w:lang w:eastAsia="zh-CN"/>
          <w14:textFill>
            <w14:solidFill>
              <w14:schemeClr w14:val="tx1"/>
            </w14:solidFill>
          </w14:textFill>
        </w:rPr>
        <w:t>，使地表水中的COD、BOD、石油类增高，影响水生生物的生长。</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钻井井场设置清污分流系统，使井场内废水经处理后进入泥浆不落地系统内，同时避免雨水流入废水系统增加负荷，项目高出地面的放喷池集污坑等池壁也可有效避免周边雨水进入废水之中。试采期</w:t>
      </w:r>
      <w:r>
        <w:rPr>
          <w:rFonts w:hint="eastAsia" w:ascii="Times New Roman" w:hAnsi="Times New Roman"/>
          <w:bCs/>
          <w:color w:val="000000" w:themeColor="text1"/>
          <w:kern w:val="2"/>
          <w:highlight w:val="none"/>
          <w:lang w:eastAsia="zh-CN"/>
          <w14:textFill>
            <w14:solidFill>
              <w14:schemeClr w14:val="tx1"/>
            </w14:solidFill>
          </w14:textFill>
        </w:rPr>
        <w:t>采出水</w:t>
      </w:r>
      <w:r>
        <w:rPr>
          <w:rFonts w:ascii="Times New Roman" w:hAnsi="Times New Roman"/>
          <w:bCs/>
          <w:color w:val="000000" w:themeColor="text1"/>
          <w:kern w:val="2"/>
          <w:highlight w:val="none"/>
          <w:lang w:eastAsia="zh-CN"/>
          <w14:textFill>
            <w14:solidFill>
              <w14:schemeClr w14:val="tx1"/>
            </w14:solidFill>
          </w14:textFill>
        </w:rPr>
        <w:t>于</w:t>
      </w:r>
      <w:r>
        <w:rPr>
          <w:rFonts w:hint="eastAsia" w:ascii="Times New Roman" w:hAnsi="Times New Roman"/>
          <w:bCs/>
          <w:color w:val="000000" w:themeColor="text1"/>
          <w:kern w:val="2"/>
          <w:highlight w:val="none"/>
          <w:lang w:eastAsia="zh-CN"/>
          <w14:textFill>
            <w14:solidFill>
              <w14:schemeClr w14:val="tx1"/>
            </w14:solidFill>
          </w14:textFill>
        </w:rPr>
        <w:t>酸液缓冲罐</w:t>
      </w:r>
      <w:r>
        <w:rPr>
          <w:rFonts w:ascii="Times New Roman" w:hAnsi="Times New Roman"/>
          <w:bCs/>
          <w:color w:val="000000" w:themeColor="text1"/>
          <w:kern w:val="2"/>
          <w:highlight w:val="none"/>
          <w:lang w:eastAsia="zh-CN"/>
          <w14:textFill>
            <w14:solidFill>
              <w14:schemeClr w14:val="tx1"/>
            </w14:solidFill>
          </w14:textFill>
        </w:rPr>
        <w:t>内暂存，</w:t>
      </w:r>
      <w:r>
        <w:rPr>
          <w:rFonts w:hint="eastAsia" w:ascii="Times New Roman" w:hAnsi="Times New Roman"/>
          <w:bCs/>
          <w:color w:val="000000" w:themeColor="text1"/>
          <w:kern w:val="2"/>
          <w:highlight w:val="none"/>
          <w:lang w:eastAsia="zh-CN"/>
          <w14:textFill>
            <w14:solidFill>
              <w14:schemeClr w14:val="tx1"/>
            </w14:solidFill>
          </w14:textFill>
        </w:rPr>
        <w:t>酸液缓冲罐</w:t>
      </w:r>
      <w:r>
        <w:rPr>
          <w:rFonts w:ascii="Times New Roman" w:hAnsi="Times New Roman"/>
          <w:bCs/>
          <w:color w:val="000000" w:themeColor="text1"/>
          <w:kern w:val="2"/>
          <w:highlight w:val="none"/>
          <w:lang w:eastAsia="zh-CN"/>
          <w14:textFill>
            <w14:solidFill>
              <w14:schemeClr w14:val="tx1"/>
            </w14:solidFill>
          </w14:textFill>
        </w:rPr>
        <w:t>外围设置有采取防渗处理的围堰，也有效防止</w:t>
      </w:r>
      <w:r>
        <w:rPr>
          <w:rFonts w:hint="eastAsia" w:ascii="Times New Roman" w:hAnsi="Times New Roman"/>
          <w:bCs/>
          <w:color w:val="000000" w:themeColor="text1"/>
          <w:kern w:val="2"/>
          <w:highlight w:val="none"/>
          <w:lang w:eastAsia="zh-CN"/>
          <w14:textFill>
            <w14:solidFill>
              <w14:schemeClr w14:val="tx1"/>
            </w14:solidFill>
          </w14:textFill>
        </w:rPr>
        <w:t>采出水</w:t>
      </w:r>
      <w:r>
        <w:rPr>
          <w:rFonts w:ascii="Times New Roman" w:hAnsi="Times New Roman"/>
          <w:bCs/>
          <w:color w:val="000000" w:themeColor="text1"/>
          <w:kern w:val="2"/>
          <w:highlight w:val="none"/>
          <w:lang w:eastAsia="zh-CN"/>
          <w14:textFill>
            <w14:solidFill>
              <w14:schemeClr w14:val="tx1"/>
            </w14:solidFill>
          </w14:textFill>
        </w:rPr>
        <w:t>外溢。因此只要加强管理，完善风险防范措施，发生废水外溢事故的概率较低。此外，工程也有相应的事故应急预案，事故时能及时采取控制措施，确保对地表水环境的影响降至最低限度。</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考虑到初期雨水以及井场内所有储水设备泄露收集处理不及时等极端情况时，集污坑规格不够，废水流出井场，对周围环境造成影响，要求建设单位（尤其如果项目施工在雨季时）应确保集污坑的利用效率，保证井场内废水能有效收集进入泥浆不落地装置或放喷池。建议建设单位适当加大集污坑的规格或者将集污坑改建为隔油污水池并做好防渗，增大废水储存规格，避免初期雨水控制不好或极端情况对附近水环境的污染，同时也能更加降低</w:t>
      </w:r>
      <w:r>
        <w:rPr>
          <w:rFonts w:hint="eastAsia" w:ascii="Times New Roman" w:hAnsi="Times New Roman"/>
          <w:bCs/>
          <w:color w:val="000000" w:themeColor="text1"/>
          <w:kern w:val="2"/>
          <w:highlight w:val="none"/>
          <w:lang w:eastAsia="zh-CN"/>
          <w14:textFill>
            <w14:solidFill>
              <w14:schemeClr w14:val="tx1"/>
            </w14:solidFill>
          </w14:textFill>
        </w:rPr>
        <w:t>污水泄漏</w:t>
      </w:r>
      <w:r>
        <w:rPr>
          <w:rFonts w:ascii="Times New Roman" w:hAnsi="Times New Roman"/>
          <w:bCs/>
          <w:color w:val="000000" w:themeColor="text1"/>
          <w:kern w:val="2"/>
          <w:highlight w:val="none"/>
          <w:lang w:eastAsia="zh-CN"/>
          <w14:textFill>
            <w14:solidFill>
              <w14:schemeClr w14:val="tx1"/>
            </w14:solidFill>
          </w14:textFill>
        </w:rPr>
        <w:t>对外环境（如地下水、耕地）的影响。本次环评要求构建</w:t>
      </w:r>
      <w:r>
        <w:rPr>
          <w:bCs/>
          <w:color w:val="000000" w:themeColor="text1"/>
          <w:kern w:val="2"/>
          <w:highlight w:val="none"/>
          <w:lang w:eastAsia="zh-CN"/>
          <w14:textFill>
            <w14:solidFill>
              <w14:schemeClr w14:val="tx1"/>
            </w14:solidFill>
          </w14:textFill>
        </w:rPr>
        <w:t>“三级”</w:t>
      </w:r>
      <w:r>
        <w:rPr>
          <w:rFonts w:ascii="Times New Roman" w:hAnsi="Times New Roman"/>
          <w:bCs/>
          <w:color w:val="000000" w:themeColor="text1"/>
          <w:kern w:val="2"/>
          <w:highlight w:val="none"/>
          <w:lang w:eastAsia="zh-CN"/>
          <w14:textFill>
            <w14:solidFill>
              <w14:schemeClr w14:val="tx1"/>
            </w14:solidFill>
          </w14:textFill>
        </w:rPr>
        <w:t>防控体系：具体如下：</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第一级防控措施是对存放废水和原料的罐池定期检查，确认罐池容量不超过设计容量，并及时清空，确保废水暂存容量足够；</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第二级防控措施是通过对可能发生废水泄露的罐、池区以及作业区等区域修建围堰，避免</w:t>
      </w:r>
      <w:r>
        <w:rPr>
          <w:rFonts w:hint="eastAsia" w:ascii="Times New Roman" w:hAnsi="Times New Roman"/>
          <w:bCs/>
          <w:color w:val="000000" w:themeColor="text1"/>
          <w:kern w:val="2"/>
          <w:highlight w:val="none"/>
          <w:lang w:eastAsia="zh-CN"/>
          <w14:textFill>
            <w14:solidFill>
              <w14:schemeClr w14:val="tx1"/>
            </w14:solidFill>
          </w14:textFill>
        </w:rPr>
        <w:t>泄漏</w:t>
      </w:r>
      <w:r>
        <w:rPr>
          <w:rFonts w:ascii="Times New Roman" w:hAnsi="Times New Roman"/>
          <w:bCs/>
          <w:color w:val="000000" w:themeColor="text1"/>
          <w:kern w:val="2"/>
          <w:highlight w:val="none"/>
          <w:lang w:eastAsia="zh-CN"/>
          <w14:textFill>
            <w14:solidFill>
              <w14:schemeClr w14:val="tx1"/>
            </w14:solidFill>
          </w14:textFill>
        </w:rPr>
        <w:t>废水散排进入井场其他区域；</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第三级防控措施是内环沟集污坑、方井、井场四周集水坑等废水汇集处低进高出，同时设置水泵，将废水抽至泥浆不落地区暂存罐或应急罐、放喷池，拦截可能流出井场外的废水，保持内环沟、集污坑、方井、泥浆不落地装置应急罐等常空。</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在废水外溢事故发生，集水坑拦截失效时，在集水坑附近等低洼区域以及外溢口处采用沙包、装土编织袋等拦截措施阻止废水进入外环境，同时保持泥浆不落地区暂存罐常空，通过泵将井场场内外溢废水引流至泥浆不落地区暂存罐或应急罐、放喷池，并及时处理转运。</w:t>
      </w:r>
      <w:r>
        <w:rPr>
          <w:rFonts w:hint="eastAsia" w:ascii="Times New Roman" w:hAnsi="Times New Roman"/>
          <w:bCs/>
          <w:color w:val="000000" w:themeColor="text1"/>
          <w:kern w:val="2"/>
          <w:highlight w:val="none"/>
          <w:lang w:eastAsia="zh-CN"/>
          <w14:textFill>
            <w14:solidFill>
              <w14:schemeClr w14:val="tx1"/>
            </w14:solidFill>
          </w14:textFill>
        </w:rPr>
        <w:t>因此，项目钻井施工时废水外溢事故对周边地表水水体</w:t>
      </w:r>
      <w:r>
        <w:rPr>
          <w:rFonts w:hint="eastAsia"/>
          <w:color w:val="000000" w:themeColor="text1"/>
          <w:szCs w:val="21"/>
          <w:highlight w:val="none"/>
          <w:lang w:eastAsia="zh-CN"/>
          <w14:textFill>
            <w14:solidFill>
              <w14:schemeClr w14:val="tx1"/>
            </w14:solidFill>
          </w14:textFill>
        </w:rPr>
        <w:t>产生影响的可能性较小。</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（2）油类物质的泄漏或外溢</w:t>
      </w:r>
      <w:r>
        <w:rPr>
          <w:rFonts w:hint="eastAsia" w:ascii="Times New Roman" w:hAnsi="Times New Roman"/>
          <w:b/>
          <w:color w:val="000000" w:themeColor="text1"/>
          <w:kern w:val="2"/>
          <w:highlight w:val="none"/>
          <w:lang w:eastAsia="zh-CN"/>
          <w14:textFill>
            <w14:solidFill>
              <w14:schemeClr w14:val="tx1"/>
            </w14:solidFill>
          </w14:textFill>
        </w:rPr>
        <w:t>风险分析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柴油及废油泄漏对地表水的影响一般有两种途径，一种是泄漏后直接进入水体；另一种是柴油或废油泄漏于地表，由降雨形成的地表径流将受污染的土壤一起带入水体造成污染。由于本项目位于农业生态环境中，主要为耕地和林地，项目附近有冲沟等，泄漏的柴油或废油可能随着降雨进入地表水，将产生如下危害：表层油在地表水体中可大大降低水体及动植物对氧的摄取，能引起某些生物死亡率的增加。因此，加强管理尽量杜绝风险事故发生是控制污染的主要手段，应加强对储油罐和废油罐的检查，以减少事故的发生。</w:t>
      </w:r>
      <w:r>
        <w:rPr>
          <w:rFonts w:ascii="Times New Roman" w:hAnsi="Times New Roman"/>
          <w:color w:val="000000" w:themeColor="text1"/>
          <w:highlight w:val="none"/>
          <w:lang w:eastAsia="zh-CN"/>
          <w14:textFill>
            <w14:solidFill>
              <w14:schemeClr w14:val="tx1"/>
            </w14:solidFill>
          </w14:textFill>
        </w:rPr>
        <w:t>钻井施工期油罐布置在井场外地势较高处，风险影响主要是柴油罐区的火灾爆炸。钻井期油罐设置在基础上，基础周边设置围栏、收油沟以及集污坑。油罐密闭，柴油发生大量</w:t>
      </w:r>
      <w:r>
        <w:rPr>
          <w:rFonts w:hint="eastAsia" w:ascii="Times New Roman" w:hAnsi="Times New Roman"/>
          <w:color w:val="000000" w:themeColor="text1"/>
          <w:highlight w:val="none"/>
          <w:lang w:eastAsia="zh-CN"/>
          <w14:textFill>
            <w14:solidFill>
              <w14:schemeClr w14:val="tx1"/>
            </w14:solidFill>
          </w14:textFill>
        </w:rPr>
        <w:t>泄漏</w:t>
      </w:r>
      <w:r>
        <w:rPr>
          <w:rFonts w:ascii="Times New Roman" w:hAnsi="Times New Roman"/>
          <w:color w:val="000000" w:themeColor="text1"/>
          <w:highlight w:val="none"/>
          <w:lang w:eastAsia="zh-CN"/>
          <w14:textFill>
            <w14:solidFill>
              <w14:schemeClr w14:val="tx1"/>
            </w14:solidFill>
          </w14:textFill>
        </w:rPr>
        <w:t>的几率很小，一般情况管道</w:t>
      </w:r>
      <w:r>
        <w:rPr>
          <w:rFonts w:hint="eastAsia" w:ascii="Times New Roman" w:hAnsi="Times New Roman"/>
          <w:color w:val="000000" w:themeColor="text1"/>
          <w:highlight w:val="none"/>
          <w:lang w:eastAsia="zh-CN"/>
          <w14:textFill>
            <w14:solidFill>
              <w14:schemeClr w14:val="tx1"/>
            </w14:solidFill>
          </w14:textFill>
        </w:rPr>
        <w:t>阀门泄漏，</w:t>
      </w:r>
      <w:r>
        <w:rPr>
          <w:rFonts w:ascii="Times New Roman" w:hAnsi="Times New Roman"/>
          <w:color w:val="000000" w:themeColor="text1"/>
          <w:highlight w:val="none"/>
          <w:lang w:eastAsia="zh-CN"/>
          <w14:textFill>
            <w14:solidFill>
              <w14:schemeClr w14:val="tx1"/>
            </w14:solidFill>
          </w14:textFill>
        </w:rPr>
        <w:t>少量跑冒漏滴均收集在集污坑内，可有效防止污染。钻井施工期设置废油桶集中收集暂存于泥浆不落地装置区临时堆放区内，钻井队综合利用或交由有资质的单位处理，废油在施工生产过程中随时利用，废油暂存量小，废油发生</w:t>
      </w:r>
      <w:r>
        <w:rPr>
          <w:rFonts w:hint="eastAsia" w:ascii="Times New Roman" w:hAnsi="Times New Roman"/>
          <w:color w:val="000000" w:themeColor="text1"/>
          <w:highlight w:val="none"/>
          <w:lang w:eastAsia="zh-CN"/>
          <w14:textFill>
            <w14:solidFill>
              <w14:schemeClr w14:val="tx1"/>
            </w14:solidFill>
          </w14:textFill>
        </w:rPr>
        <w:t>泄漏</w:t>
      </w:r>
      <w:r>
        <w:rPr>
          <w:rFonts w:ascii="Times New Roman" w:hAnsi="Times New Roman"/>
          <w:color w:val="000000" w:themeColor="text1"/>
          <w:highlight w:val="none"/>
          <w:lang w:eastAsia="zh-CN"/>
          <w14:textFill>
            <w14:solidFill>
              <w14:schemeClr w14:val="tx1"/>
            </w14:solidFill>
          </w14:textFill>
        </w:rPr>
        <w:t>并进入外环境的可能性很小。废油在生产过程中随时利用，废油暂存量小，废油发生</w:t>
      </w:r>
      <w:r>
        <w:rPr>
          <w:rFonts w:hint="eastAsia" w:ascii="Times New Roman" w:hAnsi="Times New Roman"/>
          <w:color w:val="000000" w:themeColor="text1"/>
          <w:highlight w:val="none"/>
          <w:lang w:eastAsia="zh-CN"/>
          <w14:textFill>
            <w14:solidFill>
              <w14:schemeClr w14:val="tx1"/>
            </w14:solidFill>
          </w14:textFill>
        </w:rPr>
        <w:t>泄漏</w:t>
      </w:r>
      <w:r>
        <w:rPr>
          <w:rFonts w:ascii="Times New Roman" w:hAnsi="Times New Roman"/>
          <w:color w:val="000000" w:themeColor="text1"/>
          <w:highlight w:val="none"/>
          <w:lang w:eastAsia="zh-CN"/>
          <w14:textFill>
            <w14:solidFill>
              <w14:schemeClr w14:val="tx1"/>
            </w14:solidFill>
          </w14:textFill>
        </w:rPr>
        <w:t>并进入外环境的可能性很小。</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尽管项目在钻井期存在对地表水环境产生影响的风险因素，但项目有完善的QHSE管理体系，以及有效的风险防范措施，发生事故的概率较低。此外，工程也有相应的事故应急预案，事故时能及时采取控制措施，确保</w:t>
      </w:r>
      <w:r>
        <w:rPr>
          <w:rFonts w:hint="eastAsia" w:ascii="Times New Roman" w:hAnsi="Times New Roman"/>
          <w:bCs/>
          <w:color w:val="000000" w:themeColor="text1"/>
          <w:kern w:val="2"/>
          <w:highlight w:val="none"/>
          <w:lang w:eastAsia="zh-CN"/>
          <w14:textFill>
            <w14:solidFill>
              <w14:schemeClr w14:val="tx1"/>
            </w14:solidFill>
          </w14:textFill>
        </w:rPr>
        <w:t>对周边地表水水体</w:t>
      </w:r>
      <w:r>
        <w:rPr>
          <w:rFonts w:hint="eastAsia"/>
          <w:color w:val="000000" w:themeColor="text1"/>
          <w:szCs w:val="21"/>
          <w:highlight w:val="none"/>
          <w:lang w:eastAsia="zh-CN"/>
          <w14:textFill>
            <w14:solidFill>
              <w14:schemeClr w14:val="tx1"/>
            </w14:solidFill>
          </w14:textFill>
        </w:rPr>
        <w:t>的</w:t>
      </w:r>
      <w:r>
        <w:rPr>
          <w:rFonts w:ascii="Times New Roman" w:hAnsi="Times New Roman"/>
          <w:bCs/>
          <w:color w:val="000000" w:themeColor="text1"/>
          <w:kern w:val="2"/>
          <w:highlight w:val="none"/>
          <w:lang w:eastAsia="zh-CN"/>
          <w14:textFill>
            <w14:solidFill>
              <w14:schemeClr w14:val="tx1"/>
            </w14:solidFill>
          </w14:textFill>
        </w:rPr>
        <w:t>环境影响降至最低限度。</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（3）</w:t>
      </w:r>
      <w:r>
        <w:rPr>
          <w:rFonts w:ascii="Times New Roman" w:hAnsi="Times New Roman"/>
          <w:b/>
          <w:bCs/>
          <w:color w:val="000000" w:themeColor="text1"/>
          <w:kern w:val="2"/>
          <w:highlight w:val="none"/>
          <w:lang w:eastAsia="zh-CN"/>
          <w14:textFill>
            <w14:solidFill>
              <w14:schemeClr w14:val="tx1"/>
            </w14:solidFill>
          </w14:textFill>
        </w:rPr>
        <w:t>物质外运过程事故</w:t>
      </w:r>
      <w:r>
        <w:rPr>
          <w:rFonts w:hint="eastAsia" w:ascii="Times New Roman" w:hAnsi="Times New Roman"/>
          <w:b/>
          <w:bCs/>
          <w:color w:val="000000" w:themeColor="text1"/>
          <w:kern w:val="2"/>
          <w:highlight w:val="none"/>
          <w:lang w:eastAsia="zh-CN"/>
          <w14:textFill>
            <w14:solidFill>
              <w14:schemeClr w14:val="tx1"/>
            </w14:solidFill>
          </w14:textFill>
        </w:rPr>
        <w:t>风险</w:t>
      </w:r>
      <w:r>
        <w:rPr>
          <w:rFonts w:ascii="Times New Roman" w:hAnsi="Times New Roman"/>
          <w:b/>
          <w:bCs/>
          <w:color w:val="000000" w:themeColor="text1"/>
          <w:kern w:val="2"/>
          <w:highlight w:val="none"/>
          <w:lang w:eastAsia="zh-CN"/>
          <w14:textFill>
            <w14:solidFill>
              <w14:schemeClr w14:val="tx1"/>
            </w14:solidFill>
          </w14:textFill>
        </w:rPr>
        <w:t>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钻井废水暂存于清洁生产操作平台的废水罐内，定期装车拉运至</w:t>
      </w:r>
      <w:r>
        <w:rPr>
          <w:rFonts w:hint="eastAsia" w:ascii="Times New Roman" w:hAnsi="Times New Roman"/>
          <w:bCs/>
          <w:color w:val="000000" w:themeColor="text1"/>
          <w:kern w:val="2"/>
          <w:highlight w:val="none"/>
          <w:lang w:eastAsia="zh-CN"/>
          <w14:textFill>
            <w14:solidFill>
              <w14:schemeClr w14:val="tx1"/>
            </w14:solidFill>
          </w14:textFill>
        </w:rPr>
        <w:t>赵家坝污水处理站</w:t>
      </w:r>
      <w:r>
        <w:rPr>
          <w:rFonts w:ascii="Times New Roman" w:hAnsi="Times New Roman"/>
          <w:bCs/>
          <w:color w:val="000000" w:themeColor="text1"/>
          <w:kern w:val="2"/>
          <w:highlight w:val="none"/>
          <w:lang w:eastAsia="zh-CN"/>
          <w14:textFill>
            <w14:solidFill>
              <w14:schemeClr w14:val="tx1"/>
            </w14:solidFill>
          </w14:textFill>
        </w:rPr>
        <w:t>达标后管输至</w:t>
      </w:r>
      <w:r>
        <w:rPr>
          <w:rFonts w:hint="eastAsia" w:ascii="Times New Roman" w:hAnsi="Times New Roman"/>
          <w:bCs/>
          <w:color w:val="000000" w:themeColor="text1"/>
          <w:kern w:val="2"/>
          <w:highlight w:val="none"/>
          <w:lang w:eastAsia="zh-CN"/>
          <w14:textFill>
            <w14:solidFill>
              <w14:schemeClr w14:val="tx1"/>
            </w14:solidFill>
          </w14:textFill>
        </w:rPr>
        <w:t>普光3井回注站</w:t>
      </w:r>
      <w:r>
        <w:rPr>
          <w:rFonts w:ascii="Times New Roman" w:hAnsi="Times New Roman"/>
          <w:bCs/>
          <w:color w:val="000000" w:themeColor="text1"/>
          <w:kern w:val="2"/>
          <w:highlight w:val="none"/>
          <w:lang w:eastAsia="zh-CN"/>
          <w14:textFill>
            <w14:solidFill>
              <w14:schemeClr w14:val="tx1"/>
            </w14:solidFill>
          </w14:textFill>
        </w:rPr>
        <w:t>回注；压裂废水和洗井废水暂存于放喷池</w:t>
      </w:r>
      <w:r>
        <w:rPr>
          <w:rFonts w:hint="eastAsia" w:ascii="Times New Roman" w:hAnsi="Times New Roman"/>
          <w:bCs/>
          <w:color w:val="000000" w:themeColor="text1"/>
          <w:kern w:val="2"/>
          <w:highlight w:val="none"/>
          <w:lang w:eastAsia="zh-CN"/>
          <w14:textFill>
            <w14:solidFill>
              <w14:schemeClr w14:val="tx1"/>
            </w14:solidFill>
          </w14:textFill>
        </w:rPr>
        <w:t>或压裂液储罐中</w:t>
      </w:r>
      <w:r>
        <w:rPr>
          <w:rFonts w:ascii="Times New Roman" w:hAnsi="Times New Roman"/>
          <w:bCs/>
          <w:color w:val="000000" w:themeColor="text1"/>
          <w:kern w:val="2"/>
          <w:highlight w:val="none"/>
          <w:lang w:eastAsia="zh-CN"/>
          <w14:textFill>
            <w14:solidFill>
              <w14:schemeClr w14:val="tx1"/>
            </w14:solidFill>
          </w14:textFill>
        </w:rPr>
        <w:t>，装车拉运至</w:t>
      </w:r>
      <w:r>
        <w:rPr>
          <w:rFonts w:hint="eastAsia" w:ascii="Times New Roman" w:hAnsi="Times New Roman"/>
          <w:bCs/>
          <w:color w:val="000000" w:themeColor="text1"/>
          <w:kern w:val="2"/>
          <w:highlight w:val="none"/>
          <w:lang w:eastAsia="zh-CN"/>
          <w14:textFill>
            <w14:solidFill>
              <w14:schemeClr w14:val="tx1"/>
            </w14:solidFill>
          </w14:textFill>
        </w:rPr>
        <w:t>赵家坝污水处理站</w:t>
      </w:r>
      <w:r>
        <w:rPr>
          <w:rFonts w:ascii="Times New Roman" w:hAnsi="Times New Roman"/>
          <w:bCs/>
          <w:color w:val="000000" w:themeColor="text1"/>
          <w:kern w:val="2"/>
          <w:highlight w:val="none"/>
          <w:lang w:eastAsia="zh-CN"/>
          <w14:textFill>
            <w14:solidFill>
              <w14:schemeClr w14:val="tx1"/>
            </w14:solidFill>
          </w14:textFill>
        </w:rPr>
        <w:t>达标后管输至</w:t>
      </w:r>
      <w:r>
        <w:rPr>
          <w:rFonts w:hint="eastAsia" w:ascii="Times New Roman" w:hAnsi="Times New Roman"/>
          <w:bCs/>
          <w:color w:val="000000" w:themeColor="text1"/>
          <w:kern w:val="2"/>
          <w:highlight w:val="none"/>
          <w:lang w:eastAsia="zh-CN"/>
          <w14:textFill>
            <w14:solidFill>
              <w14:schemeClr w14:val="tx1"/>
            </w14:solidFill>
          </w14:textFill>
        </w:rPr>
        <w:t>普光3井回注站</w:t>
      </w:r>
      <w:r>
        <w:rPr>
          <w:rFonts w:ascii="Times New Roman" w:hAnsi="Times New Roman"/>
          <w:bCs/>
          <w:color w:val="000000" w:themeColor="text1"/>
          <w:kern w:val="2"/>
          <w:highlight w:val="none"/>
          <w:lang w:eastAsia="zh-CN"/>
          <w14:textFill>
            <w14:solidFill>
              <w14:schemeClr w14:val="tx1"/>
            </w14:solidFill>
          </w14:textFill>
        </w:rPr>
        <w:t>回注；采出水（</w:t>
      </w:r>
      <w:r>
        <w:rPr>
          <w:rFonts w:hint="eastAsia" w:ascii="Times New Roman" w:hAnsi="Times New Roman"/>
          <w:bCs/>
          <w:color w:val="000000" w:themeColor="text1"/>
          <w:kern w:val="2"/>
          <w:highlight w:val="none"/>
          <w:lang w:eastAsia="zh-CN"/>
          <w14:textFill>
            <w14:solidFill>
              <w14:schemeClr w14:val="tx1"/>
            </w14:solidFill>
          </w14:textFill>
        </w:rPr>
        <w:t>采出水</w:t>
      </w:r>
      <w:r>
        <w:rPr>
          <w:rFonts w:ascii="Times New Roman" w:hAnsi="Times New Roman"/>
          <w:bCs/>
          <w:color w:val="000000" w:themeColor="text1"/>
          <w:kern w:val="2"/>
          <w:highlight w:val="none"/>
          <w:lang w:eastAsia="zh-CN"/>
          <w14:textFill>
            <w14:solidFill>
              <w14:schemeClr w14:val="tx1"/>
            </w14:solidFill>
          </w14:textFill>
        </w:rPr>
        <w:t>）暂存于</w:t>
      </w:r>
      <w:r>
        <w:rPr>
          <w:rFonts w:hint="eastAsia" w:ascii="Times New Roman" w:hAnsi="Times New Roman"/>
          <w:bCs/>
          <w:color w:val="000000" w:themeColor="text1"/>
          <w:kern w:val="2"/>
          <w:highlight w:val="none"/>
          <w:lang w:eastAsia="zh-CN"/>
          <w14:textFill>
            <w14:solidFill>
              <w14:schemeClr w14:val="tx1"/>
            </w14:solidFill>
          </w14:textFill>
        </w:rPr>
        <w:t>酸液缓冲罐</w:t>
      </w:r>
      <w:r>
        <w:rPr>
          <w:rFonts w:ascii="Times New Roman" w:hAnsi="Times New Roman"/>
          <w:bCs/>
          <w:color w:val="000000" w:themeColor="text1"/>
          <w:kern w:val="2"/>
          <w:highlight w:val="none"/>
          <w:lang w:eastAsia="zh-CN"/>
          <w14:textFill>
            <w14:solidFill>
              <w14:schemeClr w14:val="tx1"/>
            </w14:solidFill>
          </w14:textFill>
        </w:rPr>
        <w:t>，</w:t>
      </w:r>
      <w:r>
        <w:rPr>
          <w:rFonts w:hint="eastAsia" w:ascii="Times New Roman" w:hAnsi="Times New Roman"/>
          <w:bCs/>
          <w:color w:val="000000" w:themeColor="text1"/>
          <w:kern w:val="2"/>
          <w:highlight w:val="none"/>
          <w:lang w:eastAsia="zh-CN"/>
          <w14:textFill>
            <w14:solidFill>
              <w14:schemeClr w14:val="tx1"/>
            </w14:solidFill>
          </w14:textFill>
        </w:rPr>
        <w:t>后</w:t>
      </w:r>
      <w:r>
        <w:rPr>
          <w:rFonts w:ascii="Times New Roman" w:hAnsi="Times New Roman"/>
          <w:bCs/>
          <w:color w:val="000000" w:themeColor="text1"/>
          <w:kern w:val="2"/>
          <w:highlight w:val="none"/>
          <w:lang w:eastAsia="zh-CN"/>
          <w14:textFill>
            <w14:solidFill>
              <w14:schemeClr w14:val="tx1"/>
            </w14:solidFill>
          </w14:textFill>
        </w:rPr>
        <w:t>装车拉运至</w:t>
      </w:r>
      <w:r>
        <w:rPr>
          <w:rFonts w:hint="eastAsia" w:ascii="Times New Roman" w:hAnsi="Times New Roman"/>
          <w:bCs/>
          <w:color w:val="000000" w:themeColor="text1"/>
          <w:kern w:val="2"/>
          <w:highlight w:val="none"/>
          <w:lang w:eastAsia="zh-CN"/>
          <w14:textFill>
            <w14:solidFill>
              <w14:schemeClr w14:val="tx1"/>
            </w14:solidFill>
          </w14:textFill>
        </w:rPr>
        <w:t>赵家坝污水处理站</w:t>
      </w:r>
      <w:r>
        <w:rPr>
          <w:rFonts w:ascii="Times New Roman" w:hAnsi="Times New Roman"/>
          <w:bCs/>
          <w:color w:val="000000" w:themeColor="text1"/>
          <w:kern w:val="2"/>
          <w:highlight w:val="none"/>
          <w:lang w:eastAsia="zh-CN"/>
          <w14:textFill>
            <w14:solidFill>
              <w14:schemeClr w14:val="tx1"/>
            </w14:solidFill>
          </w14:textFill>
        </w:rPr>
        <w:t>达标后管输至</w:t>
      </w:r>
      <w:r>
        <w:rPr>
          <w:rFonts w:hint="eastAsia" w:ascii="Times New Roman" w:hAnsi="Times New Roman"/>
          <w:bCs/>
          <w:color w:val="000000" w:themeColor="text1"/>
          <w:kern w:val="2"/>
          <w:highlight w:val="none"/>
          <w:lang w:eastAsia="zh-CN"/>
          <w14:textFill>
            <w14:solidFill>
              <w14:schemeClr w14:val="tx1"/>
            </w14:solidFill>
          </w14:textFill>
        </w:rPr>
        <w:t>普光3井回注站回注，不外排。</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经调查，运输路线主要沿现有乡村道路、县道、国道等运输，现有道路路况较好，沿线环境保护目标主要为道路两侧居民及途经的地表水体，跨越点下游10km范围内均无集中式饮用水源取水口。运输单位应当根据物品危险特性采取相应的安全防护措施，并配备必要的防溢、防漏、防晒等防护用品和应急救援器材，转运时应避开大雾、暴雨等恶劣天气，在车辆行驶在乌江段旁边时，应减速慢行，观察并安全通过。</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本项目液体类物质转运采用罐体装载，固废采用密封袋装运输，罐体为钢板密封罐，发生翻车</w:t>
      </w:r>
      <w:r>
        <w:rPr>
          <w:rFonts w:hint="eastAsia" w:ascii="Times New Roman" w:hAnsi="Times New Roman"/>
          <w:bCs/>
          <w:color w:val="000000" w:themeColor="text1"/>
          <w:kern w:val="2"/>
          <w:highlight w:val="none"/>
          <w:lang w:eastAsia="zh-CN"/>
          <w14:textFill>
            <w14:solidFill>
              <w14:schemeClr w14:val="tx1"/>
            </w14:solidFill>
          </w14:textFill>
        </w:rPr>
        <w:t>泄漏</w:t>
      </w:r>
      <w:r>
        <w:rPr>
          <w:rFonts w:ascii="Times New Roman" w:hAnsi="Times New Roman"/>
          <w:bCs/>
          <w:color w:val="000000" w:themeColor="text1"/>
          <w:kern w:val="2"/>
          <w:highlight w:val="none"/>
          <w:lang w:eastAsia="zh-CN"/>
          <w14:textFill>
            <w14:solidFill>
              <w14:schemeClr w14:val="tx1"/>
            </w14:solidFill>
          </w14:textFill>
        </w:rPr>
        <w:t>的机率很小，且合格泥浆、返排液、钻井固废等无有毒有害物质，主要是含有机污染物，罐车输送的量约10t/车，一次运输量不大，不会产生严重后果。根据沿海对盐碱地改造的经验，一块盐碱地经2</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3次灌淡水浸泡后，便可种植水稻。达州地区自然降雨量大，受污染的植被、土壤、耕地经过几场雨后便可基本得到恢复。物质转运过程中发生事故污染的可能性极小，在环境所能接受的范围内。</w:t>
      </w:r>
    </w:p>
    <w:p>
      <w:pPr>
        <w:pStyle w:val="4"/>
        <w:spacing w:before="0" w:beforeLines="0"/>
        <w:ind w:firstLine="480"/>
        <w:rPr>
          <w:b/>
          <w:color w:val="000000" w:themeColor="text1"/>
          <w:highlight w:val="none"/>
          <w:lang w:eastAsia="zh-CN"/>
          <w14:textFill>
            <w14:solidFill>
              <w14:schemeClr w14:val="tx1"/>
            </w14:solidFill>
          </w14:textFill>
        </w:rPr>
      </w:pPr>
      <w:bookmarkStart w:id="378" w:name="_Toc120173182"/>
      <w:r>
        <w:rPr>
          <w:color w:val="000000" w:themeColor="text1"/>
          <w:highlight w:val="none"/>
          <w:lang w:eastAsia="zh-CN"/>
          <w14:textFill>
            <w14:solidFill>
              <w14:schemeClr w14:val="tx1"/>
            </w14:solidFill>
          </w14:textFill>
        </w:rPr>
        <w:t>地下水及土壤环境风险影响分析</w:t>
      </w:r>
      <w:bookmarkEnd w:id="378"/>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（1）井漏事故影响分析</w:t>
      </w:r>
    </w:p>
    <w:p>
      <w:pPr>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井漏是钻井过程中遇到复杂地层，钻井液或其他介质（固井水泥浆等）漏入地层孔隙、裂缝等空间的现象。若漏失地层与含水层之间存在较多的断裂或裂隙，漏失的钻井液就有可能顺着岩层断裂、裂隙进入地下水，造成地下水污染。另外，钻井过程可能破坏含水层结构，影响地下水流场。</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本项目钻井过程中对钻井液漏失量进行监控，发现钻井液漏失时，及时堵塞固井，各开完钻后及时下套管水泥固井，能有效避免钻井液漏失对环境造成污染。同时本项目不涉及表层钻井，钻井深度大于</w:t>
      </w:r>
      <w:r>
        <w:rPr>
          <w:rFonts w:hint="eastAsia" w:ascii="Times New Roman" w:hAnsi="Times New Roman"/>
          <w:color w:val="000000" w:themeColor="text1"/>
          <w:highlight w:val="none"/>
          <w:lang w:eastAsia="zh-CN"/>
          <w14:textFill>
            <w14:solidFill>
              <w14:schemeClr w14:val="tx1"/>
            </w14:solidFill>
          </w14:textFill>
        </w:rPr>
        <w:t>2</w:t>
      </w:r>
      <w:r>
        <w:rPr>
          <w:rFonts w:ascii="Times New Roman" w:hAnsi="Times New Roman"/>
          <w:color w:val="000000" w:themeColor="text1"/>
          <w:highlight w:val="none"/>
          <w:lang w:eastAsia="zh-CN"/>
          <w14:textFill>
            <w14:solidFill>
              <w14:schemeClr w14:val="tx1"/>
            </w14:solidFill>
          </w14:textFill>
        </w:rPr>
        <w:t>000m，因此井漏事故情景下不会对地下水和土壤造成污染影响。同时采取了事故监控井措施，能及时发现和处理对地下水环境的不利影响，因此对周边地下水影响小。</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（2）柴油、废油、钻井液、钻井废水、压裂返排液、</w:t>
      </w:r>
      <w:r>
        <w:rPr>
          <w:rFonts w:hint="eastAsia" w:ascii="Times New Roman" w:hAnsi="Times New Roman"/>
          <w:b/>
          <w:color w:val="000000" w:themeColor="text1"/>
          <w:kern w:val="2"/>
          <w:highlight w:val="none"/>
          <w:lang w:eastAsia="zh-CN"/>
          <w14:textFill>
            <w14:solidFill>
              <w14:schemeClr w14:val="tx1"/>
            </w14:solidFill>
          </w14:textFill>
        </w:rPr>
        <w:t>采出水</w:t>
      </w:r>
      <w:r>
        <w:rPr>
          <w:rFonts w:ascii="Times New Roman" w:hAnsi="Times New Roman"/>
          <w:b/>
          <w:color w:val="000000" w:themeColor="text1"/>
          <w:kern w:val="2"/>
          <w:highlight w:val="none"/>
          <w:lang w:eastAsia="zh-CN"/>
          <w14:textFill>
            <w14:solidFill>
              <w14:schemeClr w14:val="tx1"/>
            </w14:solidFill>
          </w14:textFill>
        </w:rPr>
        <w:t>等泄漏影响分析</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根据地下水环境影响分析章节预测结果，非正常工况，若放喷池发生渗漏或压裂施工井筒破裂压裂液漏失，污染物会大量进入地下水含水层，污染物扩散，但超标范围内居民水井分布</w:t>
      </w:r>
      <w:r>
        <w:rPr>
          <w:rFonts w:hint="eastAsia" w:ascii="Times New Roman" w:hAnsi="Times New Roman"/>
          <w:bCs/>
          <w:color w:val="000000" w:themeColor="text1"/>
          <w:kern w:val="2"/>
          <w:highlight w:val="none"/>
          <w:lang w:eastAsia="zh-CN"/>
          <w14:textFill>
            <w14:solidFill>
              <w14:schemeClr w14:val="tx1"/>
            </w14:solidFill>
          </w14:textFill>
        </w:rPr>
        <w:t>较少</w:t>
      </w:r>
      <w:r>
        <w:rPr>
          <w:rFonts w:ascii="Times New Roman" w:hAnsi="Times New Roman"/>
          <w:bCs/>
          <w:color w:val="000000" w:themeColor="text1"/>
          <w:kern w:val="2"/>
          <w:highlight w:val="none"/>
          <w:lang w:eastAsia="zh-CN"/>
          <w14:textFill>
            <w14:solidFill>
              <w14:schemeClr w14:val="tx1"/>
            </w14:solidFill>
          </w14:textFill>
        </w:rPr>
        <w:t>，因此对地下水环境影响较小。因此钻井平台施工阶段应加强场站内巡查，及时发现池、罐是否存在渗漏等异常，若发现罐体渗漏结合地下水污染超标和影响范围，建议以泄漏处两侧150m至下游划分为分散式水源禁止饮用带，同时设置地下水跟踪监测井，发现异常立即对下游邻近的居民水井进行取样监测，同时对居民进行告知。</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其他油类物质和钻井液、压裂返排液等均存在罐内，罐和基础地面进行了防渗处理，设置于地面基础上，四周设置了围堰，若发生泄漏能及时发现处理，污染物不会进入地下水或土壤环境，难以对地下水和土壤环境造成不利影响。同时若机械设备有少量油类物质泄漏于井场内，泄漏的柴油和废油在泄漏处呈点状分布，其在壤土中渗透能力不强，与水的</w:t>
      </w:r>
      <w:r>
        <w:rPr>
          <w:rFonts w:hint="eastAsia" w:ascii="Times New Roman" w:hAnsi="Times New Roman"/>
          <w:bCs/>
          <w:color w:val="000000" w:themeColor="text1"/>
          <w:kern w:val="2"/>
          <w:highlight w:val="none"/>
          <w:lang w:eastAsia="zh-CN"/>
          <w14:textFill>
            <w14:solidFill>
              <w14:schemeClr w14:val="tx1"/>
            </w14:solidFill>
          </w14:textFill>
        </w:rPr>
        <w:t>溶解度</w:t>
      </w:r>
      <w:r>
        <w:rPr>
          <w:rFonts w:ascii="Times New Roman" w:hAnsi="Times New Roman"/>
          <w:bCs/>
          <w:color w:val="000000" w:themeColor="text1"/>
          <w:kern w:val="2"/>
          <w:highlight w:val="none"/>
          <w:lang w:eastAsia="zh-CN"/>
          <w14:textFill>
            <w14:solidFill>
              <w14:schemeClr w14:val="tx1"/>
            </w14:solidFill>
          </w14:textFill>
        </w:rPr>
        <w:t>低，且易于发现。因此，泄漏的柴油、废油对当地地下水裂隙水水质影响较弱，对土壤污染仅限于接触油类物质少量井场内部分，污染有限。只要对泄漏的柴油、废油采取有效的回收措施，对浅层地下水和土壤环境不会产生明显影响。</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bookmarkStart w:id="379" w:name="_Hlk88498239"/>
      <w:r>
        <w:rPr>
          <w:rFonts w:ascii="Times New Roman" w:hAnsi="Times New Roman"/>
          <w:b/>
          <w:color w:val="000000" w:themeColor="text1"/>
          <w:kern w:val="2"/>
          <w:highlight w:val="none"/>
          <w:lang w:eastAsia="zh-CN"/>
          <w14:textFill>
            <w14:solidFill>
              <w14:schemeClr w14:val="tx1"/>
            </w14:solidFill>
          </w14:textFill>
        </w:rPr>
        <w:t>（3）套外返水风险影响</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套管腐蚀损坏的机率很小，固井质量是产生套管内外返水的控制因素。一旦由于固井质量问题而出现套外返水，将对地下水、土壤产生影响。沿套管外形成的环状空隙带上窜，在水头压力差的作用下直接进入各含水层，并随地下水的流动和在弥散作用下，在含水层中扩散迁移，将引起盐污染。</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固井水泥返至地面，地层水通过水泥固封断产生的裂纹和缝隙带出地层水的量也不会太大，会对含水层产生一定影响，可能对附近农户水井（山泉）水质产生影响，通过目前较好的固井工艺，这种深层地层水窜入表层的机率很小，对地下水和土壤环境影响小。</w:t>
      </w:r>
      <w:bookmarkEnd w:id="379"/>
    </w:p>
    <w:p>
      <w:pPr>
        <w:pStyle w:val="3"/>
        <w:spacing w:before="0" w:beforeLines="0"/>
        <w:rPr>
          <w:color w:val="000000" w:themeColor="text1"/>
          <w:highlight w:val="none"/>
          <w:lang w:eastAsia="zh-CN"/>
          <w14:textFill>
            <w14:solidFill>
              <w14:schemeClr w14:val="tx1"/>
            </w14:solidFill>
          </w14:textFill>
        </w:rPr>
      </w:pPr>
      <w:bookmarkStart w:id="380" w:name="5.3.5环境风险防范措施及应急要求"/>
      <w:bookmarkEnd w:id="380"/>
      <w:bookmarkStart w:id="381" w:name="_Toc2256"/>
      <w:r>
        <w:rPr>
          <w:color w:val="000000" w:themeColor="text1"/>
          <w:highlight w:val="none"/>
          <w:lang w:eastAsia="zh-CN"/>
          <w14:textFill>
            <w14:solidFill>
              <w14:schemeClr w14:val="tx1"/>
            </w14:solidFill>
          </w14:textFill>
        </w:rPr>
        <w:t>环境风险防范措施</w:t>
      </w:r>
      <w:bookmarkEnd w:id="381"/>
    </w:p>
    <w:p>
      <w:pPr>
        <w:pStyle w:val="4"/>
        <w:spacing w:before="0" w:beforeLines="0"/>
        <w:ind w:firstLine="480"/>
        <w:rPr>
          <w:b/>
          <w:color w:val="000000" w:themeColor="text1"/>
          <w:highlight w:val="none"/>
          <w:lang w:eastAsia="zh-CN"/>
          <w14:textFill>
            <w14:solidFill>
              <w14:schemeClr w14:val="tx1"/>
            </w14:solidFill>
          </w14:textFill>
        </w:rPr>
      </w:pPr>
      <w:bookmarkStart w:id="382" w:name="_Toc120173184"/>
      <w:r>
        <w:rPr>
          <w:color w:val="000000" w:themeColor="text1"/>
          <w:highlight w:val="none"/>
          <w:lang w:eastAsia="zh-CN"/>
          <w14:textFill>
            <w14:solidFill>
              <w14:schemeClr w14:val="tx1"/>
            </w14:solidFill>
          </w14:textFill>
        </w:rPr>
        <w:t>钻井过程风险防范措施</w:t>
      </w:r>
      <w:bookmarkEnd w:id="382"/>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（1）施工设计中的防井喷措施</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1）选择合理的压井液。新井投产和试油、试气施工应参照钻穿油、气层时钻井泥浆性能，认真选择合理的压井液，避免因压井液性能达不到施工要求而造成井喷污染；</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2）选择合理的射孔方式；</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 xml:space="preserve">3）规定上提钻具的速度，井内下有大直径工具（工具外径超过油层套管内径80%以上）的井，严禁高速起钻，防止因高速起钻引起抽汲作用造成井喷污染； </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4）对防喷装置的配备要有明确要求；</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5）选择使用有利于防止和控制井喷的井下管柱和工具，以适应突发事故的处理和补救措施的需要。</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（2）钻井作业中的井喷防范措施</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施工单位应</w:t>
      </w:r>
      <w:r>
        <w:rPr>
          <w:rFonts w:hint="eastAsia" w:cs="Times New Roman"/>
          <w:color w:val="000000" w:themeColor="text1"/>
          <w:highlight w:val="none"/>
          <w14:textFill>
            <w14:solidFill>
              <w14:schemeClr w14:val="tx1"/>
            </w14:solidFill>
          </w14:textFill>
        </w:rPr>
        <w:t>按照</w:t>
      </w:r>
      <w:r>
        <w:rPr>
          <w:rFonts w:cs="Times New Roman"/>
          <w:color w:val="000000" w:themeColor="text1"/>
          <w:highlight w:val="none"/>
          <w14:textFill>
            <w14:solidFill>
              <w14:schemeClr w14:val="tx1"/>
            </w14:solidFill>
          </w14:textFill>
        </w:rPr>
        <w:t>《石油天然气钻井健康、安全与环境管理体系指南》（SY/T6283-1997）、中国石油天然气集团公司《石油天然气钻井作业健康、安全与环境管理导则》及相关的井控技术标准和规范中的有关规定执行，并针对本工程情况制定具体的可操作的实施方案，主要包括：</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1）开钻前向全队职工、钻井现场的所有工作人员进行地质、工程、钻井液和井控装备等方面的技术交底，并提出具体要求；</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2）严格执行井控工作九项管理制度，落实溢流监测岗位、关井操作岗位和钻井队干部24h值班制度，井控准备工作及应急预案必须经验收合格后，方可钻开油气层；</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3）井控装备及其它专用工具、消防器材、防爆电路系统配备齐全、运转正常；</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4）每次起钻前必须活动方钻杆上、下旋塞一次，以保证其正常可靠；</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5）气层钻进中，必须在近钻头位置安装钻具回压阀，同时钻台上配备一只与钻具尺寸相符的回压阀，且备有相应的抢接工具，在大门坡道上准备一根防喷单根（钻杆下部有与钻铤扣相符的配合接头）；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6）按班组进行防喷演习，并达到规定要求；</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7）严格落实坐岗制度，无论钻井还是起下钻，或其它辅助作业，钻井班落实专人坐岗观察钻井液池液面变化和钻井液出口情况，录井人员除了在仪表上观察外，还对钻井液池液面变化和钻井液出口进行定时观察，定时测量进出口钻井液性能，两个岗都必须作好真实准确记录，值班干部必须对上述两个岗位工作情况进行定时和不定时检查，并当班签认；</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8）认真搞好随钻地层压力的监测工作中，发现地层压力异常、溢流、井涌等情况，应及时关井并调整钻井液密度，同时上报有关部门；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9）严格控制起下钻速度，起钻必须按规定灌满钻井液；</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10）加强井场设备的运行、保养和检查，保证设备的正常运行，设备检修必须按有关规定执行；</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11）钻井中遇到钻速突然加快、放散、井漏、气测及油气水显示异常等情况，应立即停钻观察，如发生溢流要按规定及时发出报警信号，并按正确的关井程序及时关井，关井求压后迅速实施压井作业；</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12）发生溢流后，根据关井压力，尽快在井口、地层和套管安全条件下压井，待井内平稳后才恢复钻井；</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13）关井压力不得超过井口装置的工作压力、套管抗内压强度的80％和地层破裂压力三者中的最小值；</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14）强化员工的爱岗敬业教育，严格执</w:t>
      </w:r>
      <w:r>
        <w:rPr>
          <w:rFonts w:hint="eastAsia" w:cs="Times New Roman"/>
          <w:color w:val="000000" w:themeColor="text1"/>
          <w:highlight w:val="none"/>
          <w14:textFill>
            <w14:solidFill>
              <w14:schemeClr w14:val="tx1"/>
            </w14:solidFill>
          </w14:textFill>
        </w:rPr>
        <w:t>行各</w:t>
      </w:r>
      <w:r>
        <w:rPr>
          <w:rFonts w:cs="Times New Roman"/>
          <w:color w:val="000000" w:themeColor="text1"/>
          <w:highlight w:val="none"/>
          <w14:textFill>
            <w14:solidFill>
              <w14:schemeClr w14:val="tx1"/>
            </w14:solidFill>
          </w14:textFill>
        </w:rPr>
        <w:t>项操作规程，确保钻井作业过程中不因操作失误导致井喷事故的发生。</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（3）防井喷装置</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1）以半封和全封防喷器为主体的防喷装置，包括高压闸门、自封、四通、套管头、过渡法兰等；</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2）以节流管汇为主体的井控管汇，包括放喷管线、压井管线等；</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3）井下管柱防喷工具，包括钻具、防喷单流阀等；</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4）具有净化、加大密度、原料储备及自动调配、自动灌装等功能的压井液储备系统；</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5）防止井喷失控的专用设备、设施，包括高压自封、不压井起下管柱装置等。</w:t>
      </w:r>
    </w:p>
    <w:p>
      <w:pPr>
        <w:ind w:firstLine="482"/>
        <w:rPr>
          <w:rFonts w:cs="Times New Roman"/>
          <w:b/>
          <w:bCs/>
          <w:color w:val="000000" w:themeColor="text1"/>
          <w:highlight w:val="none"/>
          <w14:textFill>
            <w14:solidFill>
              <w14:schemeClr w14:val="tx1"/>
            </w14:solidFill>
          </w14:textFill>
        </w:rPr>
      </w:pPr>
      <w:bookmarkStart w:id="383" w:name="_Hlk88499419"/>
      <w:r>
        <w:rPr>
          <w:rFonts w:cs="Times New Roman"/>
          <w:b/>
          <w:bCs/>
          <w:color w:val="000000" w:themeColor="text1"/>
          <w:highlight w:val="none"/>
          <w14:textFill>
            <w14:solidFill>
              <w14:schemeClr w14:val="tx1"/>
            </w14:solidFill>
          </w14:textFill>
        </w:rPr>
        <w:t>（4）井喷前期气侵、井涌防范措施</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1）选择合理的压井液。新井投产和试油、试气施工应参照钻穿油、气层时钻井泥浆性能，认真选择合理的压井液，避免因压井液性能达不到施工要求而造成井喷污染；</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2）选择合理的射孔方式；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3）规定上提钻具的速度。井内下有大直径工具（工具外径超过油层套管内径80%以上）的井，严禁高速起钻，防止因高速起钻引起抽汲作用造成井喷污染；</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4）发生气侵时，及时检查调整钻井液密度，发现井涌时及时关泵压井。</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（5）钻开气层前验收</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钻开气层时极容易发生井下事故从而导致环境污染事故。钻开气层前验收就是在钻开气层前对井队的安全和井控工作进行全面大检查，以消除事故隐患，实现安全生产和清洁生产。</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（6）钻井、完井防腐措施</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应加强油管腐蚀监测，掌握气井腐蚀状况，按井下作业流程检查油管腐蚀情况，记录每口作业井的油管腐蚀情况，根据井油管腐蚀情况进行专门的更换油管修井，以避免油管腐蚀穿孔、断落。</w:t>
      </w:r>
    </w:p>
    <w:p>
      <w:pPr>
        <w:pStyle w:val="4"/>
        <w:spacing w:before="0" w:beforeLines="0"/>
        <w:ind w:firstLine="480"/>
        <w:rPr>
          <w:b/>
          <w:color w:val="000000" w:themeColor="text1"/>
          <w:highlight w:val="none"/>
          <w:lang w:eastAsia="zh-CN"/>
          <w14:textFill>
            <w14:solidFill>
              <w14:schemeClr w14:val="tx1"/>
            </w14:solidFill>
          </w14:textFill>
        </w:rPr>
      </w:pPr>
      <w:bookmarkStart w:id="384" w:name="_Toc120173185"/>
      <w:r>
        <w:rPr>
          <w:color w:val="000000" w:themeColor="text1"/>
          <w:highlight w:val="none"/>
          <w:lang w:eastAsia="zh-CN"/>
          <w14:textFill>
            <w14:solidFill>
              <w14:schemeClr w14:val="tx1"/>
            </w14:solidFill>
          </w14:textFill>
        </w:rPr>
        <w:t>废水、油类外溢或</w:t>
      </w:r>
      <w:r>
        <w:rPr>
          <w:rFonts w:hint="eastAsia"/>
          <w:color w:val="000000" w:themeColor="text1"/>
          <w:highlight w:val="none"/>
          <w:lang w:eastAsia="zh-CN"/>
          <w14:textFill>
            <w14:solidFill>
              <w14:schemeClr w14:val="tx1"/>
            </w14:solidFill>
          </w14:textFill>
        </w:rPr>
        <w:t>泄漏</w:t>
      </w:r>
      <w:r>
        <w:rPr>
          <w:color w:val="000000" w:themeColor="text1"/>
          <w:highlight w:val="none"/>
          <w:lang w:eastAsia="zh-CN"/>
          <w14:textFill>
            <w14:solidFill>
              <w14:schemeClr w14:val="tx1"/>
            </w14:solidFill>
          </w14:textFill>
        </w:rPr>
        <w:t>等风险防范措施</w:t>
      </w:r>
      <w:bookmarkEnd w:id="384"/>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钻井期废水收集罐、试采期</w:t>
      </w:r>
      <w:r>
        <w:rPr>
          <w:rFonts w:hint="eastAsia" w:cs="Times New Roman"/>
          <w:color w:val="000000" w:themeColor="text1"/>
          <w:highlight w:val="none"/>
          <w:lang w:eastAsia="zh-CN"/>
          <w14:textFill>
            <w14:solidFill>
              <w14:schemeClr w14:val="tx1"/>
            </w14:solidFill>
          </w14:textFill>
        </w:rPr>
        <w:t>酸液缓冲罐</w:t>
      </w:r>
      <w:r>
        <w:rPr>
          <w:rFonts w:cs="Times New Roman"/>
          <w:color w:val="000000" w:themeColor="text1"/>
          <w:highlight w:val="none"/>
          <w14:textFill>
            <w14:solidFill>
              <w14:schemeClr w14:val="tx1"/>
            </w14:solidFill>
          </w14:textFill>
        </w:rPr>
        <w:t>通过设置围堰和防渗，放喷池通过加固池壁和防渗，降低垮塌风险；对井场排污沟及时清扫，保证排污沟畅通；集污坑和泥浆不落地装置加强保护管理，泥浆不落地装置设计时向集污坑倾斜，避免少量集水因围堰垮塌外流。由于项目区域地势高差较大，考虑到暴雨等情况下排水问题，建议对集污坑和泥浆不落地装置内集水进行及时清理，及时清掏，适当加大集污坑规格或者适当扩大其容量，确保集污坑有足够的容量，能够对初期雨水及时收集；加大外环沟和集水坑规格，外排沟系统应与周边泄洪沟有效连接，确保雨水能正常排放，不至于淹没井场；建议对井场雨水排放口（集水坑）进行适当扩建，对正常雨水进行隔油沉淀后外排。加强平时管理，保证放喷池、泥浆不落地装置的储罐内有足够空余容积，水位达到池体80%时应外运处理，可有效防止水体污染事故。若池体发生垮塌事故，立即封堵内外环沟与自然沟渠连通处，及时清理池内及排污沟内废水，池底废水清理完后立即重新修建池壁，并进一步加固。</w:t>
      </w:r>
      <w:r>
        <w:rPr>
          <w:color w:val="000000" w:themeColor="text1"/>
          <w:highlight w:val="none"/>
          <w14:textFill>
            <w14:solidFill>
              <w14:schemeClr w14:val="tx1"/>
            </w14:solidFill>
          </w14:textFill>
        </w:rPr>
        <w:t>试采期站内</w:t>
      </w:r>
      <w:r>
        <w:rPr>
          <w:rFonts w:hint="eastAsia"/>
          <w:color w:val="000000" w:themeColor="text1"/>
          <w:highlight w:val="none"/>
          <w:lang w:eastAsia="zh-CN"/>
          <w14:textFill>
            <w14:solidFill>
              <w14:schemeClr w14:val="tx1"/>
            </w14:solidFill>
          </w14:textFill>
        </w:rPr>
        <w:t>酸液缓冲罐</w:t>
      </w:r>
      <w:r>
        <w:rPr>
          <w:color w:val="000000" w:themeColor="text1"/>
          <w:highlight w:val="none"/>
          <w14:textFill>
            <w14:solidFill>
              <w14:schemeClr w14:val="tx1"/>
            </w14:solidFill>
          </w14:textFill>
        </w:rPr>
        <w:t>安装</w:t>
      </w:r>
      <w:r>
        <w:rPr>
          <w:rFonts w:hint="eastAsia"/>
          <w:color w:val="000000" w:themeColor="text1"/>
          <w:highlight w:val="none"/>
          <w14:textFill>
            <w14:solidFill>
              <w14:schemeClr w14:val="tx1"/>
            </w14:solidFill>
          </w14:textFill>
        </w:rPr>
        <w:t>外溢</w:t>
      </w:r>
      <w:r>
        <w:rPr>
          <w:color w:val="000000" w:themeColor="text1"/>
          <w:highlight w:val="none"/>
          <w14:textFill>
            <w14:solidFill>
              <w14:schemeClr w14:val="tx1"/>
            </w14:solidFill>
          </w14:textFill>
        </w:rPr>
        <w:t>报警器，以便及时发现外溢情况。设置围堰，围堰容积不小于单个储罐的容积，且罐区架空设置，地面进行防渗处理。</w:t>
      </w:r>
    </w:p>
    <w:p>
      <w:pPr>
        <w:pStyle w:val="4"/>
        <w:spacing w:before="0" w:beforeLines="0"/>
        <w:ind w:firstLine="480"/>
        <w:rPr>
          <w:b/>
          <w:color w:val="000000" w:themeColor="text1"/>
          <w:highlight w:val="none"/>
          <w:lang w:eastAsia="zh-CN"/>
          <w14:textFill>
            <w14:solidFill>
              <w14:schemeClr w14:val="tx1"/>
            </w14:solidFill>
          </w14:textFill>
        </w:rPr>
      </w:pPr>
      <w:bookmarkStart w:id="385" w:name="_Toc120173186"/>
      <w:r>
        <w:rPr>
          <w:color w:val="000000" w:themeColor="text1"/>
          <w:highlight w:val="none"/>
          <w:lang w:eastAsia="zh-CN"/>
          <w14:textFill>
            <w14:solidFill>
              <w14:schemeClr w14:val="tx1"/>
            </w14:solidFill>
          </w14:textFill>
        </w:rPr>
        <w:t>物质外运风险防范措施</w:t>
      </w:r>
      <w:bookmarkEnd w:id="385"/>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1）废水、钻井固废</w:t>
      </w:r>
      <w:r>
        <w:rPr>
          <w:rFonts w:hint="eastAsia" w:cs="Times New Roman"/>
          <w:color w:val="000000" w:themeColor="text1"/>
          <w:highlight w:val="none"/>
          <w14:textFill>
            <w14:solidFill>
              <w14:schemeClr w14:val="tx1"/>
            </w14:solidFill>
          </w14:textFill>
        </w:rPr>
        <w:t>等</w:t>
      </w:r>
      <w:r>
        <w:rPr>
          <w:rFonts w:cs="Times New Roman"/>
          <w:color w:val="000000" w:themeColor="text1"/>
          <w:highlight w:val="none"/>
          <w14:textFill>
            <w14:solidFill>
              <w14:schemeClr w14:val="tx1"/>
            </w14:solidFill>
          </w14:textFill>
        </w:rPr>
        <w:t>转运单位在开展运输工作前，应对运输人员进行相关安全环保知识培训，运输车辆、装卸工具必须符合安全环保要求，装卸过程中不得溢出和泄漏。严禁随意倾倒、排放或者向第三方转移废水。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2）运输前规划运输路线，废水、钻井固废</w:t>
      </w:r>
      <w:r>
        <w:rPr>
          <w:rFonts w:hint="eastAsia" w:cs="Times New Roman"/>
          <w:color w:val="000000" w:themeColor="text1"/>
          <w:highlight w:val="none"/>
          <w14:textFill>
            <w14:solidFill>
              <w14:schemeClr w14:val="tx1"/>
            </w14:solidFill>
          </w14:textFill>
        </w:rPr>
        <w:t>等</w:t>
      </w:r>
      <w:r>
        <w:rPr>
          <w:rFonts w:cs="Times New Roman"/>
          <w:color w:val="000000" w:themeColor="text1"/>
          <w:highlight w:val="none"/>
          <w14:textFill>
            <w14:solidFill>
              <w14:schemeClr w14:val="tx1"/>
            </w14:solidFill>
          </w14:textFill>
        </w:rPr>
        <w:t>转运过程中应严格按照规定的路线运输到相应的目的地；运输过程中应尽量避开环境敏感区，遇环境敏感区需减速慢行，废水、钻井固废转运应建立交接三联单制度，确保废水运至相应的目的地。</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3）废水、钻井固废</w:t>
      </w:r>
      <w:r>
        <w:rPr>
          <w:rFonts w:hint="eastAsia" w:cs="Times New Roman"/>
          <w:color w:val="000000" w:themeColor="text1"/>
          <w:highlight w:val="none"/>
          <w14:textFill>
            <w14:solidFill>
              <w14:schemeClr w14:val="tx1"/>
            </w14:solidFill>
          </w14:textFill>
        </w:rPr>
        <w:t>等</w:t>
      </w:r>
      <w:r>
        <w:rPr>
          <w:rFonts w:cs="Times New Roman"/>
          <w:color w:val="000000" w:themeColor="text1"/>
          <w:highlight w:val="none"/>
          <w14:textFill>
            <w14:solidFill>
              <w14:schemeClr w14:val="tx1"/>
            </w14:solidFill>
          </w14:textFill>
        </w:rPr>
        <w:t>转运必须使用密闭的车辆运输，并确保运输车辆车况处于良好状态。</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4）尽量避免雨天和大雾天运转废水。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5）本工程废水、钻井固废</w:t>
      </w:r>
      <w:r>
        <w:rPr>
          <w:rFonts w:hint="eastAsia" w:cs="Times New Roman"/>
          <w:color w:val="000000" w:themeColor="text1"/>
          <w:highlight w:val="none"/>
          <w14:textFill>
            <w14:solidFill>
              <w14:schemeClr w14:val="tx1"/>
            </w14:solidFill>
          </w14:textFill>
        </w:rPr>
        <w:t>等</w:t>
      </w:r>
      <w:r>
        <w:rPr>
          <w:rFonts w:cs="Times New Roman"/>
          <w:color w:val="000000" w:themeColor="text1"/>
          <w:highlight w:val="none"/>
          <w14:textFill>
            <w14:solidFill>
              <w14:schemeClr w14:val="tx1"/>
            </w14:solidFill>
          </w14:textFill>
        </w:rPr>
        <w:t>运输由专业单位负责实施，不得自行运输，也不得委托公司外其他单位运输。</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6）承包废水、钻井固废</w:t>
      </w:r>
      <w:r>
        <w:rPr>
          <w:rFonts w:hint="eastAsia" w:cs="Times New Roman"/>
          <w:color w:val="000000" w:themeColor="text1"/>
          <w:highlight w:val="none"/>
          <w14:textFill>
            <w14:solidFill>
              <w14:schemeClr w14:val="tx1"/>
            </w14:solidFill>
          </w14:textFill>
        </w:rPr>
        <w:t>等</w:t>
      </w:r>
      <w:r>
        <w:rPr>
          <w:rFonts w:cs="Times New Roman"/>
          <w:color w:val="000000" w:themeColor="text1"/>
          <w:highlight w:val="none"/>
          <w14:textFill>
            <w14:solidFill>
              <w14:schemeClr w14:val="tx1"/>
            </w14:solidFill>
          </w14:textFill>
        </w:rPr>
        <w:t>转运的承包商实施车辆登记制度，为每台车辆安装GPS系统，并纳入建设方的GPS监控系统平台，以便随时掌握废水、钻井固废运输车辆位置和行驶路线，确保废水、钻井固废转运至相应的目的地。</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7）废水、钻井固废</w:t>
      </w:r>
      <w:r>
        <w:rPr>
          <w:rFonts w:hint="eastAsia" w:cs="Times New Roman"/>
          <w:color w:val="000000" w:themeColor="text1"/>
          <w:highlight w:val="none"/>
          <w14:textFill>
            <w14:solidFill>
              <w14:schemeClr w14:val="tx1"/>
            </w14:solidFill>
          </w14:textFill>
        </w:rPr>
        <w:t>等</w:t>
      </w:r>
      <w:r>
        <w:rPr>
          <w:rFonts w:cs="Times New Roman"/>
          <w:color w:val="000000" w:themeColor="text1"/>
          <w:highlight w:val="none"/>
          <w14:textFill>
            <w14:solidFill>
              <w14:schemeClr w14:val="tx1"/>
            </w14:solidFill>
          </w14:textFill>
        </w:rPr>
        <w:t>运输车辆严格执行签认制度。签认单保存期不得少于二年，以便备查。</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8）废水、钻井固废</w:t>
      </w:r>
      <w:r>
        <w:rPr>
          <w:rFonts w:hint="eastAsia" w:cs="Times New Roman"/>
          <w:color w:val="000000" w:themeColor="text1"/>
          <w:highlight w:val="none"/>
          <w14:textFill>
            <w14:solidFill>
              <w14:schemeClr w14:val="tx1"/>
            </w14:solidFill>
          </w14:textFill>
        </w:rPr>
        <w:t>等</w:t>
      </w:r>
      <w:r>
        <w:rPr>
          <w:rFonts w:cs="Times New Roman"/>
          <w:color w:val="000000" w:themeColor="text1"/>
          <w:highlight w:val="none"/>
          <w14:textFill>
            <w14:solidFill>
              <w14:schemeClr w14:val="tx1"/>
            </w14:solidFill>
          </w14:textFill>
        </w:rPr>
        <w:t>转运单位应做好应急管理工作，做好风险防范识别，编制生产废水、钻井固废运输应急预案，每次废水、钻井固废运输任务都应制定运输方案和应急措施，严禁超速超载，路过环境敏感区需</w:t>
      </w:r>
      <w:r>
        <w:rPr>
          <w:rFonts w:hint="eastAsia" w:cs="Times New Roman"/>
          <w:color w:val="000000" w:themeColor="text1"/>
          <w:highlight w:val="none"/>
          <w14:textFill>
            <w14:solidFill>
              <w14:schemeClr w14:val="tx1"/>
            </w14:solidFill>
          </w14:textFill>
        </w:rPr>
        <w:t>减速慢行</w:t>
      </w:r>
      <w:r>
        <w:rPr>
          <w:rFonts w:cs="Times New Roman"/>
          <w:color w:val="000000" w:themeColor="text1"/>
          <w:highlight w:val="none"/>
          <w14:textFill>
            <w14:solidFill>
              <w14:schemeClr w14:val="tx1"/>
            </w14:solidFill>
          </w14:textFill>
        </w:rPr>
        <w:t>，安全驶离，强化运输过程的安全管理，防止因安全事故衍生成环保事故。</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9）废水、钻井固废</w:t>
      </w:r>
      <w:r>
        <w:rPr>
          <w:rFonts w:hint="eastAsia" w:cs="Times New Roman"/>
          <w:color w:val="000000" w:themeColor="text1"/>
          <w:highlight w:val="none"/>
          <w14:textFill>
            <w14:solidFill>
              <w14:schemeClr w14:val="tx1"/>
            </w14:solidFill>
          </w14:textFill>
        </w:rPr>
        <w:t>等</w:t>
      </w:r>
      <w:r>
        <w:rPr>
          <w:rFonts w:cs="Times New Roman"/>
          <w:color w:val="000000" w:themeColor="text1"/>
          <w:highlight w:val="none"/>
          <w14:textFill>
            <w14:solidFill>
              <w14:schemeClr w14:val="tx1"/>
            </w14:solidFill>
          </w14:textFill>
        </w:rPr>
        <w:t>产生单位和废水、钻井固废转运单位应建立健全管理制度和办法，加强与地方相关部门的联系和协调。废水运输过程中，废水、钻井固废产生单位、承运单位应做好相关记录，建立相关台账。在发生事故后应及时通报当地环保部门，并积极配合环保部门抢险。确保安全通过，同时要注意清洁运输，防止废水、钻井固废</w:t>
      </w:r>
      <w:r>
        <w:rPr>
          <w:rFonts w:hint="eastAsia" w:cs="Times New Roman"/>
          <w:color w:val="000000" w:themeColor="text1"/>
          <w:highlight w:val="none"/>
          <w14:textFill>
            <w14:solidFill>
              <w14:schemeClr w14:val="tx1"/>
            </w14:solidFill>
          </w14:textFill>
        </w:rPr>
        <w:t>等</w:t>
      </w:r>
      <w:r>
        <w:rPr>
          <w:rFonts w:cs="Times New Roman"/>
          <w:color w:val="000000" w:themeColor="text1"/>
          <w:highlight w:val="none"/>
          <w14:textFill>
            <w14:solidFill>
              <w14:schemeClr w14:val="tx1"/>
            </w14:solidFill>
          </w14:textFill>
        </w:rPr>
        <w:t>泄漏。</w:t>
      </w:r>
    </w:p>
    <w:p>
      <w:pPr>
        <w:pStyle w:val="4"/>
        <w:spacing w:before="0" w:beforeLines="0"/>
        <w:ind w:firstLine="480"/>
        <w:rPr>
          <w:b/>
          <w:color w:val="000000" w:themeColor="text1"/>
          <w:highlight w:val="none"/>
          <w:lang w:eastAsia="zh-CN"/>
          <w14:textFill>
            <w14:solidFill>
              <w14:schemeClr w14:val="tx1"/>
            </w14:solidFill>
          </w14:textFill>
        </w:rPr>
      </w:pPr>
      <w:bookmarkStart w:id="386" w:name="_Toc120173187"/>
      <w:r>
        <w:rPr>
          <w:color w:val="000000" w:themeColor="text1"/>
          <w:highlight w:val="none"/>
          <w:lang w:eastAsia="zh-CN"/>
          <w14:textFill>
            <w14:solidFill>
              <w14:schemeClr w14:val="tx1"/>
            </w14:solidFill>
          </w14:textFill>
        </w:rPr>
        <w:t>井漏防范措施</w:t>
      </w:r>
      <w:bookmarkEnd w:id="386"/>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不涉及浅层钻井，钻井深度大于4000m，即使发生井漏事故后仍不会对浅层地下水造成污染影响。从钻井工艺上优化尽可能的减少井漏事故对当地地下水环境的影响，在钻遇地下溶洞等不良地质时，漏失仅引起地下水浊度等物理指标变化，且工程上会采取快速钻井快速下管的施工工艺，因此对地下水尤其是对地下水饮用水源或水井影响不大，尽管如此，仍提出如下预防和应急措施：</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井场井站项目在施工建设前应充分研究地质设计资料和钻井等，必要时应采取钻探等方法进行调查分析，查明项目所在地的地下水分布情况、埋藏深度及岩溶发育情况等，并在此基础上优化钻井施工工艺、泥浆体系等，对钻井过程中可能发生的泥浆漏失的情况，应有所预见。</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2）采用强钻方式快速钻穿漏失层达到固井层位，针对这种情况应选用合理泥浆密度，实现近平衡压力钻井，降低泥浆环空压耗，降低泥浆激动压力，从而降低井筒中泥浆动压力，减小泥浆漏失量。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3）对钻井体系进行实时监控，并配备足够的堵漏材料，一旦发现井漏，立即采取堵漏措施，在压裂过程亦需监控压裂液的漏失情况，以防止压裂液的扩散污染。</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4）若发现地下水受到污染，立即告知村民，定期进行监测，直至污染影响消失。</w:t>
      </w:r>
    </w:p>
    <w:bookmarkEnd w:id="383"/>
    <w:p>
      <w:pPr>
        <w:pStyle w:val="4"/>
        <w:spacing w:before="0" w:beforeLines="0"/>
        <w:ind w:firstLine="480"/>
        <w:rPr>
          <w:b/>
          <w:color w:val="000000" w:themeColor="text1"/>
          <w:highlight w:val="none"/>
          <w:lang w:eastAsia="zh-CN"/>
          <w14:textFill>
            <w14:solidFill>
              <w14:schemeClr w14:val="tx1"/>
            </w14:solidFill>
          </w14:textFill>
        </w:rPr>
      </w:pPr>
      <w:bookmarkStart w:id="387" w:name="_Toc120173188"/>
      <w:r>
        <w:rPr>
          <w:color w:val="000000" w:themeColor="text1"/>
          <w:highlight w:val="none"/>
          <w:lang w:eastAsia="zh-CN"/>
          <w14:textFill>
            <w14:solidFill>
              <w14:schemeClr w14:val="tx1"/>
            </w14:solidFill>
          </w14:textFill>
        </w:rPr>
        <w:t>套外返水事故防范</w:t>
      </w:r>
      <w:bookmarkEnd w:id="387"/>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设计通过固井、水泥返至地面是防止套外返水的有效措施。固井质量的好坏是产生套管内外返水的控制因素。</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施工单位应严格按照钻井行业固井作业规范进行，确保固井质量，避免和减少出现固井裂纹、缝隙、窜槽。加强套管的防腐，防止在运输、下套管，作业时对外表面防护层的磨损及套管与钻柱之间的内磨损。套管是油气与地下水隔离的屏障，要防止腐蚀和破损。</w:t>
      </w:r>
    </w:p>
    <w:p>
      <w:pPr>
        <w:pStyle w:val="4"/>
        <w:spacing w:before="0" w:beforeLines="0"/>
        <w:ind w:firstLine="480"/>
        <w:rPr>
          <w:color w:val="000000" w:themeColor="text1"/>
          <w:highlight w:val="none"/>
          <w:lang w:eastAsia="zh-CN"/>
          <w14:textFill>
            <w14:solidFill>
              <w14:schemeClr w14:val="tx1"/>
            </w14:solidFill>
          </w14:textFill>
        </w:rPr>
      </w:pPr>
      <w:bookmarkStart w:id="388" w:name="_Toc120173189"/>
      <w:r>
        <w:rPr>
          <w:color w:val="000000" w:themeColor="text1"/>
          <w:highlight w:val="none"/>
          <w:lang w:eastAsia="zh-CN"/>
          <w14:textFill>
            <w14:solidFill>
              <w14:schemeClr w14:val="tx1"/>
            </w14:solidFill>
          </w14:textFill>
        </w:rPr>
        <w:t>油类使用、储运过程中的风险防范措施</w:t>
      </w:r>
      <w:bookmarkEnd w:id="388"/>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（1）提高</w:t>
      </w:r>
      <w:r>
        <w:rPr>
          <w:rFonts w:hint="eastAsia" w:cs="Times New Roman"/>
          <w:color w:val="000000" w:themeColor="text1"/>
          <w:highlight w:val="none"/>
          <w14:textFill>
            <w14:solidFill>
              <w14:schemeClr w14:val="tx1"/>
            </w14:solidFill>
          </w14:textFill>
        </w:rPr>
        <w:t>柴油</w:t>
      </w:r>
      <w:r>
        <w:rPr>
          <w:rFonts w:cs="Times New Roman"/>
          <w:color w:val="000000" w:themeColor="text1"/>
          <w:highlight w:val="none"/>
          <w14:textFill>
            <w14:solidFill>
              <w14:schemeClr w14:val="tx1"/>
            </w14:solidFill>
          </w14:textFill>
        </w:rPr>
        <w:t>危险性的认识。从</w:t>
      </w:r>
      <w:r>
        <w:rPr>
          <w:rFonts w:hint="eastAsia" w:cs="Times New Roman"/>
          <w:color w:val="000000" w:themeColor="text1"/>
          <w:highlight w:val="none"/>
          <w14:textFill>
            <w14:solidFill>
              <w14:schemeClr w14:val="tx1"/>
            </w14:solidFill>
          </w14:textFill>
        </w:rPr>
        <w:t>柴油</w:t>
      </w:r>
      <w:r>
        <w:rPr>
          <w:rFonts w:cs="Times New Roman"/>
          <w:color w:val="000000" w:themeColor="text1"/>
          <w:highlight w:val="none"/>
          <w14:textFill>
            <w14:solidFill>
              <w14:schemeClr w14:val="tx1"/>
            </w14:solidFill>
          </w14:textFill>
        </w:rPr>
        <w:t>的燃烧爆炸危险性分析可以看出，正常条件下，如炎热干燥的天气、附近存在火源、工作中违章操作、油</w:t>
      </w:r>
      <w:r>
        <w:rPr>
          <w:rFonts w:hint="eastAsia" w:cs="Times New Roman"/>
          <w:color w:val="000000" w:themeColor="text1"/>
          <w:highlight w:val="none"/>
          <w14:textFill>
            <w14:solidFill>
              <w14:schemeClr w14:val="tx1"/>
            </w14:solidFill>
          </w14:textFill>
        </w:rPr>
        <w:t>罐</w:t>
      </w:r>
      <w:r>
        <w:rPr>
          <w:rFonts w:cs="Times New Roman"/>
          <w:color w:val="000000" w:themeColor="text1"/>
          <w:highlight w:val="none"/>
          <w14:textFill>
            <w14:solidFill>
              <w14:schemeClr w14:val="tx1"/>
            </w14:solidFill>
          </w14:textFill>
        </w:rPr>
        <w:t>的安全设备、设施配备不合理或管理使用不当等，都有可能将</w:t>
      </w:r>
      <w:r>
        <w:rPr>
          <w:rFonts w:hint="eastAsia" w:cs="Times New Roman"/>
          <w:color w:val="000000" w:themeColor="text1"/>
          <w:highlight w:val="none"/>
          <w14:textFill>
            <w14:solidFill>
              <w14:schemeClr w14:val="tx1"/>
            </w14:solidFill>
          </w14:textFill>
        </w:rPr>
        <w:t>柴油</w:t>
      </w:r>
      <w:r>
        <w:rPr>
          <w:rFonts w:cs="Times New Roman"/>
          <w:color w:val="000000" w:themeColor="text1"/>
          <w:highlight w:val="none"/>
          <w14:textFill>
            <w14:solidFill>
              <w14:schemeClr w14:val="tx1"/>
            </w14:solidFill>
          </w14:textFill>
        </w:rPr>
        <w:t>引燃、引爆。</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（2）加强对</w:t>
      </w:r>
      <w:r>
        <w:rPr>
          <w:rFonts w:hint="eastAsia" w:cs="Times New Roman"/>
          <w:color w:val="000000" w:themeColor="text1"/>
          <w:highlight w:val="none"/>
          <w14:textFill>
            <w14:solidFill>
              <w14:schemeClr w14:val="tx1"/>
            </w14:solidFill>
          </w14:textFill>
        </w:rPr>
        <w:t>施工期</w:t>
      </w:r>
      <w:r>
        <w:rPr>
          <w:rFonts w:cs="Times New Roman"/>
          <w:color w:val="000000" w:themeColor="text1"/>
          <w:highlight w:val="none"/>
          <w14:textFill>
            <w14:solidFill>
              <w14:schemeClr w14:val="tx1"/>
            </w14:solidFill>
          </w14:textFill>
        </w:rPr>
        <w:t>柴油和废油的储存管理，应采取减少油品蒸发、防止形成爆炸性油品混合物的一次防护措施。工程采用油罐对柴油进行储存，确保呼吸阀、测量孔、接地装置等附件完整可靠，防止油气的产生和积聚。油罐区均设置有围堰，可防止油罐破损</w:t>
      </w:r>
      <w:r>
        <w:rPr>
          <w:rFonts w:hint="eastAsia" w:cs="Times New Roman"/>
          <w:color w:val="000000" w:themeColor="text1"/>
          <w:highlight w:val="none"/>
          <w14:textFill>
            <w14:solidFill>
              <w14:schemeClr w14:val="tx1"/>
            </w14:solidFill>
          </w14:textFill>
        </w:rPr>
        <w:t>泄漏</w:t>
      </w:r>
      <w:r>
        <w:rPr>
          <w:rFonts w:cs="Times New Roman"/>
          <w:color w:val="000000" w:themeColor="text1"/>
          <w:highlight w:val="none"/>
          <w14:textFill>
            <w14:solidFill>
              <w14:schemeClr w14:val="tx1"/>
            </w14:solidFill>
          </w14:textFill>
        </w:rPr>
        <w:t>的柴油污染地表土壤、地表水等。油罐区使用前底部及墙体内侧采用三油两布（沥青、玻璃纤维布）作防渗处理。油桶选择完好无损的油桶，置于防渗区，保持盖子紧盖，及时综合利用。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（3）按照危险物品贮存场地相关要求，对柴油和废油储存和使用场所设置标识标牌。</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柴油储存和使用场所内的通风、照明、通信、控制等电气设备的选型、安装、电力线路敷设等，必须符合现行国家标准《爆炸和火灾危险环境电力装置设计规范》的规定。加强油罐、油桶的管理及安全检查，防止发生结构安全事故引起重大泄</w:t>
      </w:r>
      <w:r>
        <w:rPr>
          <w:rFonts w:hint="eastAsia" w:cs="Times New Roman"/>
          <w:color w:val="000000" w:themeColor="text1"/>
          <w:highlight w:val="none"/>
          <w14:textFill>
            <w14:solidFill>
              <w14:schemeClr w14:val="tx1"/>
            </w14:solidFill>
          </w14:textFill>
        </w:rPr>
        <w:t>漏</w:t>
      </w:r>
      <w:r>
        <w:rPr>
          <w:rFonts w:cs="Times New Roman"/>
          <w:color w:val="000000" w:themeColor="text1"/>
          <w:highlight w:val="none"/>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6</w:t>
      </w:r>
      <w:r>
        <w:rPr>
          <w:rFonts w:cs="Times New Roman"/>
          <w:color w:val="000000" w:themeColor="text1"/>
          <w:highlight w:val="none"/>
          <w14:textFill>
            <w14:solidFill>
              <w14:schemeClr w14:val="tx1"/>
            </w14:solidFill>
          </w14:textFill>
        </w:rPr>
        <w:t>）建设方将</w:t>
      </w:r>
      <w:r>
        <w:rPr>
          <w:rFonts w:hint="eastAsia" w:cs="Times New Roman"/>
          <w:color w:val="000000" w:themeColor="text1"/>
          <w:highlight w:val="none"/>
          <w14:textFill>
            <w14:solidFill>
              <w14:schemeClr w14:val="tx1"/>
            </w14:solidFill>
          </w14:textFill>
        </w:rPr>
        <w:t>施工期</w:t>
      </w:r>
      <w:r>
        <w:rPr>
          <w:rFonts w:cs="Times New Roman"/>
          <w:color w:val="000000" w:themeColor="text1"/>
          <w:highlight w:val="none"/>
          <w14:textFill>
            <w14:solidFill>
              <w14:schemeClr w14:val="tx1"/>
            </w14:solidFill>
          </w14:textFill>
        </w:rPr>
        <w:t>柴油</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废油</w:t>
      </w:r>
      <w:r>
        <w:rPr>
          <w:rFonts w:hint="eastAsia" w:cs="Times New Roman"/>
          <w:color w:val="000000" w:themeColor="text1"/>
          <w:highlight w:val="none"/>
          <w14:textFill>
            <w14:solidFill>
              <w14:schemeClr w14:val="tx1"/>
            </w14:solidFill>
          </w14:textFill>
        </w:rPr>
        <w:t>、盐酸</w:t>
      </w:r>
      <w:r>
        <w:rPr>
          <w:rFonts w:cs="Times New Roman"/>
          <w:color w:val="000000" w:themeColor="text1"/>
          <w:highlight w:val="none"/>
          <w14:textFill>
            <w14:solidFill>
              <w14:schemeClr w14:val="tx1"/>
            </w14:solidFill>
          </w14:textFill>
        </w:rPr>
        <w:t>储存和运输列入环境事故应急处置预案，且应与当地政府的环境事故应急处置预案相衔接。</w:t>
      </w:r>
    </w:p>
    <w:p>
      <w:pPr>
        <w:pStyle w:val="4"/>
        <w:spacing w:before="0" w:beforeLines="0"/>
        <w:ind w:firstLine="480"/>
        <w:rPr>
          <w:b/>
          <w:color w:val="000000" w:themeColor="text1"/>
          <w:highlight w:val="none"/>
          <w:lang w:eastAsia="zh-CN"/>
          <w14:textFill>
            <w14:solidFill>
              <w14:schemeClr w14:val="tx1"/>
            </w14:solidFill>
          </w14:textFill>
        </w:rPr>
      </w:pPr>
      <w:bookmarkStart w:id="389" w:name="_Toc120173190"/>
      <w:r>
        <w:rPr>
          <w:color w:val="000000" w:themeColor="text1"/>
          <w:highlight w:val="none"/>
          <w:lang w:eastAsia="zh-CN"/>
          <w14:textFill>
            <w14:solidFill>
              <w14:schemeClr w14:val="tx1"/>
            </w14:solidFill>
          </w14:textFill>
        </w:rPr>
        <w:t>试采工程风险防范措施</w:t>
      </w:r>
      <w:bookmarkEnd w:id="389"/>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（1）场站</w:t>
      </w:r>
      <w:r>
        <w:rPr>
          <w:rFonts w:hint="eastAsia"/>
          <w:color w:val="000000" w:themeColor="text1"/>
          <w:highlight w:val="none"/>
          <w14:textFill>
            <w14:solidFill>
              <w14:schemeClr w14:val="tx1"/>
            </w14:solidFill>
          </w14:textFill>
        </w:rPr>
        <w:t>应</w:t>
      </w:r>
      <w:r>
        <w:rPr>
          <w:color w:val="000000" w:themeColor="text1"/>
          <w:highlight w:val="none"/>
          <w14:textFill>
            <w14:solidFill>
              <w14:schemeClr w14:val="tx1"/>
            </w14:solidFill>
          </w14:textFill>
        </w:rPr>
        <w:t>配备足够数量的正压式空气呼吸器及空气呼吸器气瓶压力相应的空气压缩机等。配备相应的安全设施，如井口安全系统、放散系统、灭火器、消防砂池、警示标志、逃生门、防雷和防静电措施、报警系统、风向标、高音喇叭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（2）站场周围设置明显的安全警示标志，并告知附近居民可能性危险、危害及安全注意事项。调查附近居民分布情况，掌握有效的联系方式等。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（3）设备和管线焊接和检验，应符合相关标准和规范要求。</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（4）场站的建设和布局，应严格按照设计规范要求进行设计，确保站场安全。</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（5）结合站场可能发生的事故类型，编制详细的应急救援预案，有针对性地进行宣传，并定期演练。</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（6）加强污水运输车辆的管理，防止运输过程发生事故导致废水泄露，污染环境；定期对污水进行转运，避免由于储存过多导致其外溢污染环境；加强</w:t>
      </w:r>
      <w:r>
        <w:rPr>
          <w:rFonts w:hint="eastAsia"/>
          <w:color w:val="000000" w:themeColor="text1"/>
          <w:highlight w:val="none"/>
          <w:lang w:eastAsia="zh-CN"/>
          <w14:textFill>
            <w14:solidFill>
              <w14:schemeClr w14:val="tx1"/>
            </w14:solidFill>
          </w14:textFill>
        </w:rPr>
        <w:t>酸液缓冲罐</w:t>
      </w:r>
      <w:r>
        <w:rPr>
          <w:color w:val="000000" w:themeColor="text1"/>
          <w:highlight w:val="none"/>
          <w14:textFill>
            <w14:solidFill>
              <w14:schemeClr w14:val="tx1"/>
            </w14:solidFill>
          </w14:textFill>
        </w:rPr>
        <w:t>的维护保养工作，避免由于腐蚀等造成其泄露污染环境。</w:t>
      </w:r>
    </w:p>
    <w:p>
      <w:pPr>
        <w:ind w:firstLine="480"/>
        <w:rPr>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（7）</w:t>
      </w:r>
      <w:r>
        <w:rPr>
          <w:rFonts w:hint="eastAsia"/>
          <w:color w:val="000000" w:themeColor="text1"/>
          <w:highlight w:val="none"/>
          <w:lang w:eastAsia="zh-CN"/>
          <w14:textFill>
            <w14:solidFill>
              <w14:schemeClr w14:val="tx1"/>
            </w14:solidFill>
          </w14:textFill>
        </w:rPr>
        <w:t>酸液缓冲罐</w:t>
      </w:r>
      <w:r>
        <w:rPr>
          <w:color w:val="000000" w:themeColor="text1"/>
          <w:highlight w:val="none"/>
          <w14:textFill>
            <w14:solidFill>
              <w14:schemeClr w14:val="tx1"/>
            </w14:solidFill>
          </w14:textFill>
        </w:rPr>
        <w:t>、设置防渗围堰，防止</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废水。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（8）自动控制系统。</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1）井场井站井口装置等相关工艺设施等实现自动控制、定期巡查；</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2）对本项目井场井站生产装置等全部工艺过程进行监视和控制，实现对整个试采区域的生产运行进行监控和调度管理；</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3）场站可实现对下列数据的采集和传递：站场/工艺设施的工艺变量、站场/工艺设施的阀门状态、设备状态、井口温度、压力、流量信息/计量参数、管道防腐参数等；</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4）可进行安全报警、装置气体泄漏检测；</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5）对井场井站进行远程监视，实现紧急情况下30s内各切断阀自动截断关停。</w:t>
      </w:r>
    </w:p>
    <w:p>
      <w:pPr>
        <w:pStyle w:val="4"/>
        <w:spacing w:before="0" w:beforeLines="0"/>
        <w:ind w:firstLine="480"/>
        <w:rPr>
          <w:b/>
          <w:color w:val="000000" w:themeColor="text1"/>
          <w:highlight w:val="none"/>
          <w:lang w:eastAsia="zh-CN"/>
          <w14:textFill>
            <w14:solidFill>
              <w14:schemeClr w14:val="tx1"/>
            </w14:solidFill>
          </w14:textFill>
        </w:rPr>
      </w:pPr>
      <w:bookmarkStart w:id="390" w:name="_Toc120173191"/>
      <w:r>
        <w:rPr>
          <w:color w:val="000000" w:themeColor="text1"/>
          <w:highlight w:val="none"/>
          <w:lang w:eastAsia="zh-CN"/>
          <w14:textFill>
            <w14:solidFill>
              <w14:schemeClr w14:val="tx1"/>
            </w14:solidFill>
          </w14:textFill>
        </w:rPr>
        <w:t>环境风险防范措施工程监理</w:t>
      </w:r>
      <w:bookmarkEnd w:id="390"/>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为确保工程环境风险防范措施合理有效地实施，可在钻采过程中引入工程监理制度，由监理单位负责环境风险防范措施的监理工作，并将环境监理内容纳入工程监理中，确</w:t>
      </w:r>
      <w:r>
        <w:rPr>
          <w:rFonts w:hint="eastAsia" w:cs="Times New Roman"/>
          <w:color w:val="000000" w:themeColor="text1"/>
          <w:highlight w:val="none"/>
          <w14:textFill>
            <w14:solidFill>
              <w14:schemeClr w14:val="tx1"/>
            </w14:solidFill>
          </w14:textFill>
        </w:rPr>
        <w:t>保各项</w:t>
      </w:r>
      <w:r>
        <w:rPr>
          <w:rFonts w:cs="Times New Roman"/>
          <w:color w:val="000000" w:themeColor="text1"/>
          <w:highlight w:val="none"/>
          <w14:textFill>
            <w14:solidFill>
              <w14:schemeClr w14:val="tx1"/>
            </w14:solidFill>
          </w14:textFill>
        </w:rPr>
        <w:t>措施得到合理有效的落实。</w:t>
      </w:r>
    </w:p>
    <w:p>
      <w:pPr>
        <w:pStyle w:val="4"/>
        <w:spacing w:before="0" w:beforeLines="0"/>
        <w:ind w:firstLine="480"/>
        <w:rPr>
          <w:b/>
          <w:color w:val="000000" w:themeColor="text1"/>
          <w:highlight w:val="none"/>
          <w:lang w:eastAsia="zh-CN"/>
          <w14:textFill>
            <w14:solidFill>
              <w14:schemeClr w14:val="tx1"/>
            </w14:solidFill>
          </w14:textFill>
        </w:rPr>
      </w:pPr>
      <w:bookmarkStart w:id="391" w:name="_Toc120173192"/>
      <w:r>
        <w:rPr>
          <w:color w:val="000000" w:themeColor="text1"/>
          <w:highlight w:val="none"/>
          <w:lang w:eastAsia="zh-CN"/>
          <w14:textFill>
            <w14:solidFill>
              <w14:schemeClr w14:val="tx1"/>
            </w14:solidFill>
          </w14:textFill>
        </w:rPr>
        <w:t>其他环境风险防范措施</w:t>
      </w:r>
      <w:bookmarkEnd w:id="391"/>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（1）公众安全防护</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按照本项目行业操作规范，需加强对井场附近居民宣传井喷的危害及相关知识。井队队长及安全员负责</w:t>
      </w:r>
      <w:r>
        <w:rPr>
          <w:rFonts w:hint="eastAsia" w:cs="Times New Roman"/>
          <w:color w:val="000000" w:themeColor="text1"/>
          <w:highlight w:val="none"/>
          <w14:textFill>
            <w14:solidFill>
              <w14:schemeClr w14:val="tx1"/>
            </w14:solidFill>
          </w14:textFill>
        </w:rPr>
        <w:t>制定</w:t>
      </w:r>
      <w:r>
        <w:rPr>
          <w:rFonts w:cs="Times New Roman"/>
          <w:color w:val="000000" w:themeColor="text1"/>
          <w:highlight w:val="none"/>
          <w14:textFill>
            <w14:solidFill>
              <w14:schemeClr w14:val="tx1"/>
            </w14:solidFill>
          </w14:textFill>
        </w:rPr>
        <w:t>应急培训计划，定期对应急组织机构成员和应急保障系统、应急信息的有关人员进行综合性应急培训并作好培训记录。应急演练应每个月开展一次，进入气层后半个月开展一次，通过演练掌握应急人员在应急抢险中对预案的熟悉程度和能力，二是加强抢险应急设备的维护保养，检查是否备足所需应急材料。</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根据按</w:t>
      </w:r>
      <w:r>
        <w:rPr>
          <w:rFonts w:cs="Times New Roman"/>
          <w:color w:val="000000" w:themeColor="text1"/>
          <w:highlight w:val="none"/>
          <w14:textFill>
            <w14:solidFill>
              <w14:schemeClr w14:val="tx1"/>
            </w14:solidFill>
          </w14:textFill>
        </w:rPr>
        <w:t>照钻井行业环境风险应急预案规范要求，</w:t>
      </w:r>
      <w:r>
        <w:rPr>
          <w:rFonts w:hint="eastAsia" w:cs="Times New Roman"/>
          <w:color w:val="000000" w:themeColor="text1"/>
          <w:highlight w:val="none"/>
          <w14:textFill>
            <w14:solidFill>
              <w14:schemeClr w14:val="tx1"/>
            </w14:solidFill>
          </w14:textFill>
        </w:rPr>
        <w:t>并结合中石化普光气田风险管控要求和《石油天然气井控技术规范》（GBT31033-2014）中井喷失控的处理要求，本次评价在</w:t>
      </w:r>
      <w:r>
        <w:rPr>
          <w:rFonts w:cs="Times New Roman"/>
          <w:color w:val="000000" w:themeColor="text1"/>
          <w:highlight w:val="none"/>
          <w14:textFill>
            <w14:solidFill>
              <w14:schemeClr w14:val="tx1"/>
            </w14:solidFill>
          </w14:textFill>
        </w:rPr>
        <w:t>发生井喷失控等风险事故时应及时撤离疏散井口周边0~</w:t>
      </w:r>
      <w:r>
        <w:rPr>
          <w:rFonts w:hint="eastAsia" w:cs="Times New Roman"/>
          <w:color w:val="000000" w:themeColor="text1"/>
          <w:highlight w:val="none"/>
          <w14:textFill>
            <w14:solidFill>
              <w14:schemeClr w14:val="tx1"/>
            </w14:solidFill>
          </w14:textFill>
        </w:rPr>
        <w:t>5</w:t>
      </w:r>
      <w:r>
        <w:rPr>
          <w:rFonts w:cs="Times New Roman"/>
          <w:color w:val="000000" w:themeColor="text1"/>
          <w:highlight w:val="none"/>
          <w14:textFill>
            <w14:solidFill>
              <w14:schemeClr w14:val="tx1"/>
            </w14:solidFill>
          </w14:textFill>
        </w:rPr>
        <w:t>00m范围</w:t>
      </w:r>
      <w:r>
        <w:rPr>
          <w:rFonts w:hint="eastAsia"/>
          <w:color w:val="000000" w:themeColor="text1"/>
          <w:highlight w:val="none"/>
          <w14:textFill>
            <w14:solidFill>
              <w14:schemeClr w14:val="tx1"/>
            </w14:solidFill>
          </w14:textFill>
        </w:rPr>
        <w:t>内</w:t>
      </w:r>
      <w:r>
        <w:rPr>
          <w:rFonts w:cs="Times New Roman"/>
          <w:color w:val="000000" w:themeColor="text1"/>
          <w:highlight w:val="none"/>
          <w14:textFill>
            <w14:solidFill>
              <w14:schemeClr w14:val="tx1"/>
            </w14:solidFill>
          </w14:textFill>
        </w:rPr>
        <w:t>居民和企业员工，保护周围居民生命安全和健康，同时井喷失控后，</w:t>
      </w:r>
      <w:r>
        <w:rPr>
          <w:rFonts w:hint="eastAsia" w:cs="Times New Roman"/>
          <w:color w:val="000000" w:themeColor="text1"/>
          <w:highlight w:val="none"/>
          <w14:textFill>
            <w14:solidFill>
              <w14:schemeClr w14:val="tx1"/>
            </w14:solidFill>
          </w14:textFill>
        </w:rPr>
        <w:t>应设置观察点，定时取样，测定井场各处天然气、硫化氢和二氧化碳含量，划分安全范围，并根据监测情况决定是否扩大撤离范围。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（2）钻井、储层改造期间配备应急点火系统及点火时间、点火管理</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钻井井控技术规程》（SY/T6426-2005），钻井现场仍按照含硫油气井配备自动、手动和高压高能电子点火三套独立点火系统，确保100%的点火成功率。钻井队在现场条件不能实施井控作业而决定放喷点火时，点火人员应佩戴防护器具，并在上风方向，离火口距离不得少于10m，用点火枪点火。</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（3）地质灾害防范</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对项目地周边开展详尽地质勘探工作，进而指导钻前施工和钻井施工，严防地质灾害环境影响诱发本项目环境风险。</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（4）夜间特别管理机制</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由于钻井工程特点需要24小时连续作业，所以应特别警惕夜间风险事故的防范和应急。严格落实井喷失控15min内及时点火以及应急预案确定的周边居民事故状态下的撤离方案，至压井作业完成。井场配备高音喇叭、防爆灯具，以便夜间事故及时通知周边居民，防爆灯具应布置在井场内风向标处，以便井场人员和周边较近居民可判断风向，带领其他人员撤离。井场实行轮班制度，保证夜间各岗位有相应值班人员。对居民进行公众教育、培训中应强调夜间自救内容，要求居民夜间保持通讯设备的畅通，夜间不关手机等，在钻开气层前后及钻开过程中夜间保持一定的警惕性。</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（5）运输路由要求及风险防范</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废物、回用钻井液、钻井固废等运输均由有资质单位负责运输，不能利用的废油、含油抹布手套等危废由钻井队委托具有危废道路运输经营许可证单位运输。转运废物工作中要加强对车辆的监督和管理，采取转运联单制度，规范转运台账，避免私拉乱倒的现象发生。</w:t>
      </w:r>
    </w:p>
    <w:p>
      <w:pPr>
        <w:pStyle w:val="3"/>
        <w:spacing w:before="0" w:beforeLines="0"/>
        <w:rPr>
          <w:color w:val="000000" w:themeColor="text1"/>
          <w:highlight w:val="none"/>
          <w:lang w:eastAsia="zh-CN"/>
          <w14:textFill>
            <w14:solidFill>
              <w14:schemeClr w14:val="tx1"/>
            </w14:solidFill>
          </w14:textFill>
        </w:rPr>
      </w:pPr>
      <w:bookmarkStart w:id="392" w:name="_Toc80793281"/>
      <w:bookmarkStart w:id="393" w:name="_Toc7448"/>
      <w:r>
        <w:rPr>
          <w:color w:val="000000" w:themeColor="text1"/>
          <w:highlight w:val="none"/>
          <w:lang w:eastAsia="zh-CN"/>
          <w14:textFill>
            <w14:solidFill>
              <w14:schemeClr w14:val="tx1"/>
            </w14:solidFill>
          </w14:textFill>
        </w:rPr>
        <w:t>应急</w:t>
      </w:r>
      <w:bookmarkEnd w:id="392"/>
      <w:r>
        <w:rPr>
          <w:color w:val="000000" w:themeColor="text1"/>
          <w:highlight w:val="none"/>
          <w:lang w:eastAsia="zh-CN"/>
          <w14:textFill>
            <w14:solidFill>
              <w14:schemeClr w14:val="tx1"/>
            </w14:solidFill>
          </w14:textFill>
        </w:rPr>
        <w:t>措施</w:t>
      </w:r>
      <w:bookmarkEnd w:id="393"/>
    </w:p>
    <w:p>
      <w:pPr>
        <w:pStyle w:val="4"/>
        <w:spacing w:before="0" w:beforeLines="0"/>
        <w:ind w:firstLine="480"/>
        <w:rPr>
          <w:b/>
          <w:color w:val="000000" w:themeColor="text1"/>
          <w:highlight w:val="none"/>
          <w:lang w:eastAsia="zh-CN"/>
          <w14:textFill>
            <w14:solidFill>
              <w14:schemeClr w14:val="tx1"/>
            </w14:solidFill>
          </w14:textFill>
        </w:rPr>
      </w:pPr>
      <w:bookmarkStart w:id="394" w:name="_Toc120173194"/>
      <w:r>
        <w:rPr>
          <w:color w:val="000000" w:themeColor="text1"/>
          <w:highlight w:val="none"/>
          <w:lang w:eastAsia="zh-CN"/>
          <w14:textFill>
            <w14:solidFill>
              <w14:schemeClr w14:val="tx1"/>
            </w14:solidFill>
          </w14:textFill>
        </w:rPr>
        <w:t>井喷及井喷失控应急处理预案</w:t>
      </w:r>
      <w:bookmarkEnd w:id="394"/>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根据事态发展变化情况，事故现场抢险指挥部根据应急领导小组的指令并充分考虑专家和有关意见的基础上，依法采取紧急措施，并注意做好以下工作：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（1）井喷失控后严防着火和爆炸。应立即停钻机、机房柴油机，切断井架、钻台、机泵房等处全部照明灯和用电设备的电源，熄灭一切火源，需要时打开专用探照灯，并组织警戒。</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（2）立即向当地政府报告，协助当地政府作好井口</w:t>
      </w:r>
      <w:r>
        <w:rPr>
          <w:rFonts w:hint="eastAsia" w:cs="Times New Roman"/>
          <w:color w:val="000000" w:themeColor="text1"/>
          <w:highlight w:val="none"/>
          <w:lang w:val="en-US" w:eastAsia="zh-CN"/>
          <w14:textFill>
            <w14:solidFill>
              <w14:schemeClr w14:val="tx1"/>
            </w14:solidFill>
          </w14:textFill>
        </w:rPr>
        <w:t>50</w:t>
      </w:r>
      <w:r>
        <w:rPr>
          <w:rFonts w:cs="Times New Roman"/>
          <w:color w:val="000000" w:themeColor="text1"/>
          <w:highlight w:val="none"/>
          <w14:textFill>
            <w14:solidFill>
              <w14:schemeClr w14:val="tx1"/>
            </w14:solidFill>
          </w14:textFill>
        </w:rPr>
        <w:t>0</w:t>
      </w:r>
      <w:r>
        <w:rPr>
          <w:rFonts w:hint="eastAsia" w:cs="Times New Roman"/>
          <w:color w:val="000000" w:themeColor="text1"/>
          <w:highlight w:val="none"/>
          <w14:textFill>
            <w14:solidFill>
              <w14:schemeClr w14:val="tx1"/>
            </w14:solidFill>
          </w14:textFill>
        </w:rPr>
        <w:t>0</w:t>
      </w:r>
      <w:r>
        <w:rPr>
          <w:rFonts w:cs="Times New Roman"/>
          <w:color w:val="000000" w:themeColor="text1"/>
          <w:highlight w:val="none"/>
          <w14:textFill>
            <w14:solidFill>
              <w14:schemeClr w14:val="tx1"/>
            </w14:solidFill>
          </w14:textFill>
        </w:rPr>
        <w:t>m范围内散居农户和企业员工，以及</w:t>
      </w:r>
      <w:r>
        <w:rPr>
          <w:rFonts w:hint="eastAsia" w:cs="Times New Roman"/>
          <w:color w:val="000000" w:themeColor="text1"/>
          <w:highlight w:val="none"/>
          <w14:textFill>
            <w14:solidFill>
              <w14:schemeClr w14:val="tx1"/>
            </w14:solidFill>
          </w14:textFill>
        </w:rPr>
        <w:t>周边</w:t>
      </w:r>
      <w:r>
        <w:rPr>
          <w:rFonts w:cs="Times New Roman"/>
          <w:color w:val="000000" w:themeColor="text1"/>
          <w:highlight w:val="none"/>
          <w14:textFill>
            <w14:solidFill>
              <w14:schemeClr w14:val="tx1"/>
            </w14:solidFill>
          </w14:textFill>
        </w:rPr>
        <w:t>场镇居民、学校、医院、企业等的疏散工作。此外，事故时应根据井喷的实际情况，确定扩大疏散范围。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设置观察点，定时取样，监测（大气/空气）中的天然气、硫化氢和二氧化碳含量等，划分安全范围，并根据对监测结果和井喷事故的严重程度及时进行研判，若井喷事故较为严重，监测（大气/空气）中的天然气、硫化氢和二氧化碳含量等浓度较高，可将撤离疏散距离扩大。</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（4）迅速成立现场抢险领导小组，根据失控状况制定抢险方案，统一指挥、组织和协调抢险工作。抢险方案</w:t>
      </w:r>
      <w:r>
        <w:rPr>
          <w:rFonts w:hint="eastAsia" w:cs="Times New Roman"/>
          <w:color w:val="000000" w:themeColor="text1"/>
          <w:highlight w:val="none"/>
          <w:lang w:eastAsia="zh-CN"/>
          <w14:textFill>
            <w14:solidFill>
              <w14:schemeClr w14:val="tx1"/>
            </w14:solidFill>
          </w14:textFill>
        </w:rPr>
        <w:t>制定</w:t>
      </w:r>
      <w:r>
        <w:rPr>
          <w:rFonts w:cs="Times New Roman"/>
          <w:color w:val="000000" w:themeColor="text1"/>
          <w:highlight w:val="none"/>
          <w14:textFill>
            <w14:solidFill>
              <w14:schemeClr w14:val="tx1"/>
            </w14:solidFill>
          </w14:textFill>
        </w:rPr>
        <w:t>及实施，要把环境保护同时考虑，同时实施，防止出现次生环境事故。</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（5）当井喷失控时，应立即通知并协助当地政府疏散井口</w:t>
      </w:r>
      <w:r>
        <w:rPr>
          <w:rFonts w:hint="eastAsia" w:cs="Times New Roman"/>
          <w:color w:val="000000" w:themeColor="text1"/>
          <w:highlight w:val="none"/>
          <w14:textFill>
            <w14:solidFill>
              <w14:schemeClr w14:val="tx1"/>
            </w14:solidFill>
          </w14:textFill>
        </w:rPr>
        <w:t>5</w:t>
      </w:r>
      <w:r>
        <w:rPr>
          <w:rFonts w:cs="Times New Roman"/>
          <w:color w:val="000000" w:themeColor="text1"/>
          <w:highlight w:val="none"/>
          <w14:textFill>
            <w14:solidFill>
              <w14:schemeClr w14:val="tx1"/>
            </w14:solidFill>
          </w14:textFill>
        </w:rPr>
        <w:t>00m范围内的散居农户，以及场镇居民、学校、医院、企业等环境敏感点和社会关注点，根据检测情况，考虑风向、地形、人口密度、受污染程度等情况及时作出风险和危害程度评估，决定是否扩大撤离范围；关停生产设施；请求援助。</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（6）在确保人员安全的前提下，将氧气瓶、油罐等易燃易爆物品撤离危险区。</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（7）在进行处置井喷事故的同时，充分考虑到事故和次生事故对环境可能造成的威胁，要严密制定并采取保护措施，防止事态扩大和引发次生灾害。</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（8）在事故处理结束后，确认作业现场及其周边环境安全的情况下，和地方政府商定撤离群众的返回时间。</w:t>
      </w:r>
    </w:p>
    <w:p>
      <w:pPr>
        <w:pStyle w:val="4"/>
        <w:spacing w:before="0" w:beforeLines="0"/>
        <w:ind w:firstLine="480"/>
        <w:rPr>
          <w:b/>
          <w:color w:val="000000" w:themeColor="text1"/>
          <w:highlight w:val="none"/>
          <w:lang w:eastAsia="zh-CN"/>
          <w14:textFill>
            <w14:solidFill>
              <w14:schemeClr w14:val="tx1"/>
            </w14:solidFill>
          </w14:textFill>
        </w:rPr>
      </w:pPr>
      <w:bookmarkStart w:id="395" w:name="_Toc120173195"/>
      <w:r>
        <w:rPr>
          <w:color w:val="000000" w:themeColor="text1"/>
          <w:highlight w:val="none"/>
          <w:lang w:eastAsia="zh-CN"/>
          <w14:textFill>
            <w14:solidFill>
              <w14:schemeClr w14:val="tx1"/>
            </w14:solidFill>
          </w14:textFill>
        </w:rPr>
        <w:t>井喷或场站</w:t>
      </w:r>
      <w:r>
        <w:rPr>
          <w:rFonts w:hint="eastAsia"/>
          <w:color w:val="000000" w:themeColor="text1"/>
          <w:highlight w:val="none"/>
          <w:lang w:eastAsia="zh-CN"/>
          <w14:textFill>
            <w14:solidFill>
              <w14:schemeClr w14:val="tx1"/>
            </w14:solidFill>
          </w14:textFill>
        </w:rPr>
        <w:t>泄漏</w:t>
      </w:r>
      <w:r>
        <w:rPr>
          <w:color w:val="000000" w:themeColor="text1"/>
          <w:highlight w:val="none"/>
          <w:lang w:eastAsia="zh-CN"/>
          <w14:textFill>
            <w14:solidFill>
              <w14:schemeClr w14:val="tx1"/>
            </w14:solidFill>
          </w14:textFill>
        </w:rPr>
        <w:t>应急疏散预案</w:t>
      </w:r>
      <w:bookmarkEnd w:id="395"/>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当井喷或天然气试采期间出现失控时，应立即通知并协助当地政府疏散井口</w:t>
      </w:r>
      <w:r>
        <w:rPr>
          <w:rFonts w:hint="eastAsia" w:cs="Times New Roman"/>
          <w:color w:val="000000" w:themeColor="text1"/>
          <w:highlight w:val="none"/>
          <w14:textFill>
            <w14:solidFill>
              <w14:schemeClr w14:val="tx1"/>
            </w14:solidFill>
          </w14:textFill>
        </w:rPr>
        <w:t>5</w:t>
      </w:r>
      <w:r>
        <w:rPr>
          <w:rFonts w:cs="Times New Roman"/>
          <w:color w:val="000000" w:themeColor="text1"/>
          <w:highlight w:val="none"/>
          <w14:textFill>
            <w14:solidFill>
              <w14:schemeClr w14:val="tx1"/>
            </w14:solidFill>
          </w14:textFill>
        </w:rPr>
        <w:t>00m范围内的散居农户等，周边较近的场镇居民、学校师生、医院医护人员和病人等。根据监测情况，考虑风向、地形、人口密度、受污染程度等情况及时作出风险和危害程度评估，决定是否扩大撤离范围。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为了保障每位员工和井场周围群众的生命安全，应按正确的方法和方向撤离，每位接到撤离通知的员工和群众应按下列程序撤离：</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（1）群众由当地政府组织撤离，井队员工由井队组织撤离；</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逃生时要注意风向，一要沿上风（逆风）方向逃生，二要沿着地面上的高处跑。建议撤离时根据风向，根据所在地道路分布情况转移至高处安全集合点，同时建设单位应引导周边群众撤离。撤离路线应根据实际风险进行调整，原则就是往上风向撤离。项目撤离路线均不受周边地形限制，项目区域主导风为东北风，撤离路线不位于下风向，因此撤离路线是合理的。</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所在的普光气田区域5km范围内各村镇均已设置有应急高音喇叭，能够对区域范围内所有居民点进行覆盖，且主要村镇均已设置有应急安置点，各村镇联系人已在中原油田普光分公司应急指挥中心办公室存档，应急措施完善，能够确保发生风险事故后第一时间启动应急预案与撤离方案，具体方案见中原油田普光分公司编制有《中原油田普光分公司环境应急预案2021年4月》，项目所在区域路网及交通条件较好，能够确保</w:t>
      </w:r>
      <w:r>
        <w:rPr>
          <w:rFonts w:hint="eastAsia" w:cs="Times New Roman"/>
          <w:color w:val="000000" w:themeColor="text1"/>
          <w:highlight w:val="none"/>
          <w14:textFill>
            <w14:solidFill>
              <w14:schemeClr w14:val="tx1"/>
            </w14:solidFill>
          </w14:textFill>
        </w:rPr>
        <w:t>50</w:t>
      </w:r>
      <w:r>
        <w:rPr>
          <w:rFonts w:cs="Times New Roman"/>
          <w:color w:val="000000" w:themeColor="text1"/>
          <w:highlight w:val="none"/>
          <w14:textFill>
            <w14:solidFill>
              <w14:schemeClr w14:val="tx1"/>
            </w14:solidFill>
          </w14:textFill>
        </w:rPr>
        <w:t>0m范围内的居民均能及时有效的撤离至安全的应急安置点。</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（3）时间就是生命，紧急逃生时，不要因收贵重物品等事宜延误时间，并且要轻装撤离逃生。</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（4）当所处位置离井场很远时，则只要偏离风向往离井场越来越远的方向逃生即可。</w:t>
      </w:r>
    </w:p>
    <w:p>
      <w:pPr>
        <w:pStyle w:val="4"/>
        <w:spacing w:before="0" w:beforeLines="0"/>
        <w:ind w:firstLine="480"/>
        <w:rPr>
          <w:b/>
          <w:color w:val="000000" w:themeColor="text1"/>
          <w:highlight w:val="none"/>
          <w:lang w:eastAsia="zh-CN"/>
          <w14:textFill>
            <w14:solidFill>
              <w14:schemeClr w14:val="tx1"/>
            </w14:solidFill>
          </w14:textFill>
        </w:rPr>
      </w:pPr>
      <w:bookmarkStart w:id="396" w:name="_Toc120173196"/>
      <w:r>
        <w:rPr>
          <w:color w:val="000000" w:themeColor="text1"/>
          <w:highlight w:val="none"/>
          <w:lang w:eastAsia="zh-CN"/>
          <w14:textFill>
            <w14:solidFill>
              <w14:schemeClr w14:val="tx1"/>
            </w14:solidFill>
          </w14:textFill>
        </w:rPr>
        <w:t>天然气窜层泄漏进入地表应急措施</w:t>
      </w:r>
      <w:bookmarkEnd w:id="396"/>
    </w:p>
    <w:p>
      <w:pPr>
        <w:ind w:firstLine="480"/>
        <w:rPr>
          <w:color w:val="000000" w:themeColor="text1"/>
          <w:highlight w:val="none"/>
          <w14:textFill>
            <w14:solidFill>
              <w14:schemeClr w14:val="tx1"/>
            </w14:solidFill>
          </w14:textFill>
        </w:rPr>
      </w:pPr>
      <w:bookmarkStart w:id="397" w:name="_Toc120173197"/>
      <w:r>
        <w:rPr>
          <w:color w:val="000000" w:themeColor="text1"/>
          <w:highlight w:val="none"/>
          <w14:textFill>
            <w14:solidFill>
              <w14:schemeClr w14:val="tx1"/>
            </w14:solidFill>
          </w14:textFill>
        </w:rPr>
        <w:t>由于天然气窜层</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时，压力小，速率低，不会出现井喷式的</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只要及时组织人员撤离，并及时采取事故应对措施一般情况下不会引起人员伤亡。应对此类事故措施主要是通过加强对钻井返空介质的监测来及时了解井下状况，采取措施避免井漏气窜的发生，钻前加强对周边500m居民的教育培训，遇到此类事故应立即撤离并远离泄露点。企业在泄露点周边设置便携监测仪确定浓度，根据浓度确定具体撤离范围。气窜发生时及应立即采取井下堵漏措施，并通过井口放喷管放喷燃烧泄压，减少周边地表泄露点</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量，此类环境风险是可控的。</w:t>
      </w:r>
    </w:p>
    <w:p>
      <w:pPr>
        <w:pStyle w:val="4"/>
        <w:spacing w:before="0" w:beforeLines="0"/>
        <w:ind w:firstLine="480"/>
        <w:rPr>
          <w:b/>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t>井漏环境风险事故应急措施</w:t>
      </w:r>
      <w:bookmarkEnd w:id="397"/>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发生井漏时必须利用各种堵漏材料，处理井漏的规定流程如下：</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（1）分析井漏发生的原因，确定漏层位置、类型及漏失严重程度。</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（2）保质保量的配置堵漏泥浆。</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（3）施工时如果能起钻，应尽可能采用光钻杆，下至漏层顶部。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（4）使用正确的堵剂注入方法，确保堵剂进入漏层近井筒处。</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（5）施工过程中要不停地活动钻具，避免卡钻。</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（6）凡采用桥堵剂堵漏，要卸掉循环管线及泵中的滤清器、筛网等，防止堵塞憋泵伤人。</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（7）憋压试漏时要缓慢进行，压力一般不能过大，避免造成新的诱导裂缝。</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（8）施工完成后，各种资料必须收集整理齐全、准确。</w:t>
      </w:r>
    </w:p>
    <w:p>
      <w:pPr>
        <w:pStyle w:val="4"/>
        <w:spacing w:before="0" w:beforeLines="0"/>
        <w:ind w:firstLine="480"/>
        <w:rPr>
          <w:color w:val="000000" w:themeColor="text1"/>
          <w:highlight w:val="none"/>
          <w:lang w:eastAsia="zh-CN"/>
          <w14:textFill>
            <w14:solidFill>
              <w14:schemeClr w14:val="tx1"/>
            </w14:solidFill>
          </w14:textFill>
        </w:rPr>
      </w:pPr>
      <w:bookmarkStart w:id="398" w:name="_Toc120173198"/>
      <w:r>
        <w:rPr>
          <w:color w:val="000000" w:themeColor="text1"/>
          <w:highlight w:val="none"/>
          <w:lang w:eastAsia="zh-CN"/>
          <w14:textFill>
            <w14:solidFill>
              <w14:schemeClr w14:val="tx1"/>
            </w14:solidFill>
          </w14:textFill>
        </w:rPr>
        <w:t>废水、油类物质</w:t>
      </w:r>
      <w:r>
        <w:rPr>
          <w:rFonts w:hint="eastAsia"/>
          <w:color w:val="000000" w:themeColor="text1"/>
          <w:highlight w:val="none"/>
          <w:lang w:eastAsia="zh-CN"/>
          <w14:textFill>
            <w14:solidFill>
              <w14:schemeClr w14:val="tx1"/>
            </w14:solidFill>
          </w14:textFill>
        </w:rPr>
        <w:t>泄漏</w:t>
      </w:r>
      <w:r>
        <w:rPr>
          <w:color w:val="000000" w:themeColor="text1"/>
          <w:highlight w:val="none"/>
          <w:lang w:eastAsia="zh-CN"/>
          <w14:textFill>
            <w14:solidFill>
              <w14:schemeClr w14:val="tx1"/>
            </w14:solidFill>
          </w14:textFill>
        </w:rPr>
        <w:t>应急措施</w:t>
      </w:r>
      <w:bookmarkEnd w:id="398"/>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（1）当钻井废水或油类物质油外溢时，应及时围堵，并及时进行清理，确保废水、柴油不进入河流中。</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（2）对受泄露钻井废水或油污染的土壤进行清理和置换，确保农业生产不受影响，同时避免雨水冲刷进入河流中。</w:t>
      </w:r>
    </w:p>
    <w:p>
      <w:pPr>
        <w:pStyle w:val="4"/>
        <w:spacing w:before="0" w:beforeLines="0"/>
        <w:ind w:firstLine="480"/>
        <w:rPr>
          <w:color w:val="000000" w:themeColor="text1"/>
          <w:highlight w:val="none"/>
          <w:lang w:eastAsia="zh-CN"/>
          <w14:textFill>
            <w14:solidFill>
              <w14:schemeClr w14:val="tx1"/>
            </w14:solidFill>
          </w14:textFill>
        </w:rPr>
      </w:pPr>
      <w:bookmarkStart w:id="399" w:name="_Toc120173199"/>
      <w:r>
        <w:rPr>
          <w:color w:val="000000" w:themeColor="text1"/>
          <w:highlight w:val="none"/>
          <w:lang w:eastAsia="zh-CN"/>
          <w14:textFill>
            <w14:solidFill>
              <w14:schemeClr w14:val="tx1"/>
            </w14:solidFill>
          </w14:textFill>
        </w:rPr>
        <w:t>外运过程应急措施</w:t>
      </w:r>
      <w:bookmarkEnd w:id="399"/>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废水外运均采用密闭罐车运输，固废采用密封袋装运输，罐体为钢板密封罐，发生翻车</w:t>
      </w:r>
      <w:r>
        <w:rPr>
          <w:rFonts w:hint="eastAsia" w:cs="Times New Roman"/>
          <w:color w:val="000000" w:themeColor="text1"/>
          <w:highlight w:val="none"/>
          <w14:textFill>
            <w14:solidFill>
              <w14:schemeClr w14:val="tx1"/>
            </w14:solidFill>
          </w14:textFill>
        </w:rPr>
        <w:t>泄漏</w:t>
      </w:r>
      <w:r>
        <w:rPr>
          <w:rFonts w:cs="Times New Roman"/>
          <w:color w:val="000000" w:themeColor="text1"/>
          <w:highlight w:val="none"/>
          <w14:textFill>
            <w14:solidFill>
              <w14:schemeClr w14:val="tx1"/>
            </w14:solidFill>
          </w14:textFill>
        </w:rPr>
        <w:t>的机率很小，且合格泥浆、返排液、钻井固废等无有毒有害物质，主要是含有机污染物，罐车输送的量约10t/车，一次运输量不大，发生事故时对环境也不会造成重大环境影响。一旦发生事故，井场废水外溢造成环境污染时，现场人员应及时向上级汇报并视情况向当地生态环境局汇报，同时采取有力措施，防止污染扩大。应急抢险应以尽量减少泄</w:t>
      </w:r>
      <w:r>
        <w:rPr>
          <w:rFonts w:hint="eastAsia" w:cs="Times New Roman"/>
          <w:color w:val="000000" w:themeColor="text1"/>
          <w:highlight w:val="none"/>
          <w14:textFill>
            <w14:solidFill>
              <w14:schemeClr w14:val="tx1"/>
            </w14:solidFill>
          </w14:textFill>
        </w:rPr>
        <w:t>漏</w:t>
      </w:r>
      <w:r>
        <w:rPr>
          <w:rFonts w:cs="Times New Roman"/>
          <w:color w:val="000000" w:themeColor="text1"/>
          <w:highlight w:val="none"/>
          <w14:textFill>
            <w14:solidFill>
              <w14:schemeClr w14:val="tx1"/>
            </w14:solidFill>
          </w14:textFill>
        </w:rPr>
        <w:t>量、控制废水扩散范围为基本原则。施工单位须制定出应急救援预案和与当地政府和有关部门建立相衔接的应急救援体系，并按规定程序报批后进行宣传和演练，加强信息交流，建立与相关方面的通讯联络系统。</w:t>
      </w:r>
    </w:p>
    <w:p>
      <w:pPr>
        <w:pStyle w:val="4"/>
        <w:spacing w:before="0" w:beforeLines="0"/>
        <w:ind w:firstLine="480"/>
        <w:rPr>
          <w:color w:val="000000" w:themeColor="text1"/>
          <w:highlight w:val="none"/>
          <w:lang w:eastAsia="zh-CN"/>
          <w14:textFill>
            <w14:solidFill>
              <w14:schemeClr w14:val="tx1"/>
            </w14:solidFill>
          </w14:textFill>
        </w:rPr>
      </w:pPr>
      <w:bookmarkStart w:id="400" w:name="_Toc120173200"/>
      <w:r>
        <w:rPr>
          <w:color w:val="000000" w:themeColor="text1"/>
          <w:highlight w:val="none"/>
          <w:lang w:eastAsia="zh-CN"/>
          <w14:textFill>
            <w14:solidFill>
              <w14:schemeClr w14:val="tx1"/>
            </w14:solidFill>
          </w14:textFill>
        </w:rPr>
        <w:t>套外返水的应急措施</w:t>
      </w:r>
      <w:bookmarkEnd w:id="400"/>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套外返水若是固井质量问题应采用工程措施进行封堵、封隔，消除套外返水情况。对受盐污染地下水采用抽采方式减缓污染，加快恢复。</w:t>
      </w:r>
    </w:p>
    <w:p>
      <w:pPr>
        <w:pStyle w:val="4"/>
        <w:spacing w:before="0" w:beforeLines="0"/>
        <w:ind w:firstLine="480"/>
        <w:rPr>
          <w:color w:val="000000" w:themeColor="text1"/>
          <w:highlight w:val="none"/>
          <w:lang w:eastAsia="zh-CN"/>
          <w14:textFill>
            <w14:solidFill>
              <w14:schemeClr w14:val="tx1"/>
            </w14:solidFill>
          </w14:textFill>
        </w:rPr>
      </w:pPr>
      <w:bookmarkStart w:id="401" w:name="_Toc120173201"/>
      <w:r>
        <w:rPr>
          <w:color w:val="000000" w:themeColor="text1"/>
          <w:highlight w:val="none"/>
          <w:lang w:eastAsia="zh-CN"/>
          <w14:textFill>
            <w14:solidFill>
              <w14:schemeClr w14:val="tx1"/>
            </w14:solidFill>
          </w14:textFill>
        </w:rPr>
        <w:t>事故发生后外环境污染物的消除方案</w:t>
      </w:r>
      <w:bookmarkEnd w:id="401"/>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当发生天然气扩散时，应及时进行井控，争取最短时间控制井喷源头，尽可能切断</w:t>
      </w:r>
      <w:r>
        <w:rPr>
          <w:rFonts w:cs="Times New Roman"/>
          <w:bCs/>
          <w:color w:val="000000" w:themeColor="text1"/>
          <w:highlight w:val="none"/>
          <w14:textFill>
            <w14:solidFill>
              <w14:schemeClr w14:val="tx1"/>
            </w14:solidFill>
          </w14:textFill>
        </w:rPr>
        <w:t>泄漏</w:t>
      </w:r>
      <w:r>
        <w:rPr>
          <w:rFonts w:cs="Times New Roman"/>
          <w:color w:val="000000" w:themeColor="text1"/>
          <w:highlight w:val="none"/>
          <w14:textFill>
            <w14:solidFill>
              <w14:schemeClr w14:val="tx1"/>
            </w14:solidFill>
          </w14:textFill>
        </w:rPr>
        <w:t>源。天然气扩散时间短，通过空气流动自然扩散降低空气中可燃气体浓度。井喷失控点燃后可通过空气流动自然扩散和自然降雨降低空气中污染物浓度。对洒水收集的废水经收集后单独处理达标排放。</w:t>
      </w:r>
    </w:p>
    <w:p>
      <w:pPr>
        <w:pStyle w:val="4"/>
        <w:spacing w:before="0" w:beforeLines="0"/>
        <w:ind w:firstLine="480"/>
        <w:rPr>
          <w:color w:val="000000" w:themeColor="text1"/>
          <w:highlight w:val="none"/>
          <w:lang w:eastAsia="zh-CN"/>
          <w14:textFill>
            <w14:solidFill>
              <w14:schemeClr w14:val="tx1"/>
            </w14:solidFill>
          </w14:textFill>
        </w:rPr>
      </w:pPr>
      <w:bookmarkStart w:id="402" w:name="_Toc120173202"/>
      <w:r>
        <w:rPr>
          <w:color w:val="000000" w:themeColor="text1"/>
          <w:highlight w:val="none"/>
          <w:lang w:eastAsia="zh-CN"/>
          <w14:textFill>
            <w14:solidFill>
              <w14:schemeClr w14:val="tx1"/>
            </w14:solidFill>
          </w14:textFill>
        </w:rPr>
        <w:t>宣传、培训和演习</w:t>
      </w:r>
      <w:bookmarkEnd w:id="402"/>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公众信息交流。各级政府、天然气开采企业要按规定向公众和员工说明天然气开采的危险性及发生事故可能造成的危害，广泛宣传应急救援有关法律法规和天然气开采事故预防、避险、避灾、自救、互救的常识。</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培训。天然气开采有关应急救援队伍按照有关规定参加业务培训；天然气开发企业按照有关规定对员工进行应急培训；各级安全生产监督管理部门负责对应急救援培训情况进行监督检查。各级应急救援管理机构加强应急管理、救援人员的上岗前培训和常规性培训。</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（3）演习。普光分公司及所属单位每年至少组织一次环境事故应急的桌面演练或全面演习，并将演习总结报应急办公室。</w:t>
      </w:r>
    </w:p>
    <w:p>
      <w:pPr>
        <w:pStyle w:val="4"/>
        <w:spacing w:before="0" w:beforeLines="0"/>
        <w:ind w:firstLine="480"/>
        <w:rPr>
          <w:color w:val="000000" w:themeColor="text1"/>
          <w:highlight w:val="none"/>
          <w:lang w:eastAsia="zh-CN"/>
          <w14:textFill>
            <w14:solidFill>
              <w14:schemeClr w14:val="tx1"/>
            </w14:solidFill>
          </w14:textFill>
        </w:rPr>
      </w:pPr>
      <w:bookmarkStart w:id="403" w:name="_Toc120173203"/>
      <w:r>
        <w:rPr>
          <w:color w:val="000000" w:themeColor="text1"/>
          <w:highlight w:val="none"/>
          <w:lang w:eastAsia="zh-CN"/>
          <w14:textFill>
            <w14:solidFill>
              <w14:schemeClr w14:val="tx1"/>
            </w14:solidFill>
          </w14:textFill>
        </w:rPr>
        <w:t>风险管理措施</w:t>
      </w:r>
      <w:bookmarkEnd w:id="403"/>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普光分公司成立专门的</w:t>
      </w:r>
      <w:r>
        <w:rPr>
          <w:rFonts w:hint="eastAsia" w:cs="Times New Roman"/>
          <w:color w:val="000000" w:themeColor="text1"/>
          <w:highlight w:val="none"/>
          <w14:textFill>
            <w14:solidFill>
              <w14:schemeClr w14:val="tx1"/>
            </w14:solidFill>
          </w14:textFill>
        </w:rPr>
        <w:t>机构</w:t>
      </w:r>
      <w:r>
        <w:rPr>
          <w:rFonts w:cs="Times New Roman"/>
          <w:color w:val="000000" w:themeColor="text1"/>
          <w:highlight w:val="none"/>
          <w14:textFill>
            <w14:solidFill>
              <w14:schemeClr w14:val="tx1"/>
            </w14:solidFill>
          </w14:textFill>
        </w:rPr>
        <w:t>应对油气勘探、开发等生产经营过程中可能发生的重大突发事故，最大限度地保障人民群众生命和财产安全，减轻事故灾害。普光分公司建立了详细周密的应急救援体系，设立了三级应急救援网络。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普光分公司应急领导小组负责所属范围内所有重、特大事故的应急管理。定期组织、检查、审核等五个专业事故应急小组职责履行情况。发生重大事故，专业应急小组进行应急指挥、调度、抢险、施救、现场调查、恢复生产等工作，普光分公司应急领导小组协调有关工作。对特大事故，普光分公司应急领导小组直接负责事故现场指挥、调度、抢险、施救、恢复生产，并会同地方政府、股份公司开展事故调查等工作。</w:t>
      </w:r>
    </w:p>
    <w:p>
      <w:pPr>
        <w:pStyle w:val="4"/>
        <w:spacing w:before="0" w:beforeLines="0"/>
        <w:ind w:firstLine="480"/>
        <w:rPr>
          <w:color w:val="000000" w:themeColor="text1"/>
          <w:highlight w:val="none"/>
          <w:lang w:eastAsia="zh-CN"/>
          <w14:textFill>
            <w14:solidFill>
              <w14:schemeClr w14:val="tx1"/>
            </w14:solidFill>
          </w14:textFill>
        </w:rPr>
      </w:pPr>
      <w:bookmarkStart w:id="404" w:name="_Toc120173204"/>
      <w:r>
        <w:rPr>
          <w:color w:val="000000" w:themeColor="text1"/>
          <w:highlight w:val="none"/>
          <w:lang w:eastAsia="zh-CN"/>
          <w14:textFill>
            <w14:solidFill>
              <w14:schemeClr w14:val="tx1"/>
            </w14:solidFill>
          </w14:textFill>
        </w:rPr>
        <w:t>应急联动</w:t>
      </w:r>
      <w:bookmarkEnd w:id="404"/>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（1）上层联动：本项目所在的达州市、宣汉县、</w:t>
      </w:r>
      <w:r>
        <w:rPr>
          <w:rFonts w:hint="eastAsia" w:cs="Times New Roman"/>
          <w:color w:val="000000" w:themeColor="text1"/>
          <w:highlight w:val="none"/>
          <w14:textFill>
            <w14:solidFill>
              <w14:schemeClr w14:val="tx1"/>
            </w14:solidFill>
          </w14:textFill>
        </w:rPr>
        <w:t>毛坝镇</w:t>
      </w:r>
      <w:r>
        <w:rPr>
          <w:rFonts w:cs="Times New Roman"/>
          <w:color w:val="000000" w:themeColor="text1"/>
          <w:highlight w:val="none"/>
          <w14:textFill>
            <w14:solidFill>
              <w14:schemeClr w14:val="tx1"/>
            </w14:solidFill>
          </w14:textFill>
        </w:rPr>
        <w:t>政府均设置有应急管理办公室，工程的建设和运行得到了当地各级政府的大力支持，因此，在企业自身建立并完善应急响应机制的前提下，与地方进一步强化应急联动，应急联动具有可行性。</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（2）下层联动：开展项目周边人居调查工作，结合项目周边人员分布情况，落实紧急情况下的应急联络人，确保有效组织环境风险事故下的应急撤离。</w:t>
      </w:r>
    </w:p>
    <w:p>
      <w:pPr>
        <w:pStyle w:val="4"/>
        <w:spacing w:before="0" w:beforeLines="0"/>
        <w:ind w:firstLine="480"/>
        <w:rPr>
          <w:color w:val="000000" w:themeColor="text1"/>
          <w:highlight w:val="none"/>
          <w:lang w:eastAsia="zh-CN"/>
          <w14:textFill>
            <w14:solidFill>
              <w14:schemeClr w14:val="tx1"/>
            </w14:solidFill>
          </w14:textFill>
        </w:rPr>
      </w:pPr>
      <w:bookmarkStart w:id="405" w:name="_Toc120173205"/>
      <w:r>
        <w:rPr>
          <w:color w:val="000000" w:themeColor="text1"/>
          <w:highlight w:val="none"/>
          <w:lang w:eastAsia="zh-CN"/>
          <w14:textFill>
            <w14:solidFill>
              <w14:schemeClr w14:val="tx1"/>
            </w14:solidFill>
          </w14:textFill>
        </w:rPr>
        <w:t>普光分公司应急预案体系介绍</w:t>
      </w:r>
      <w:bookmarkEnd w:id="405"/>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（1）备案情况</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中原油田普光分公司编制有《中原油田普光分公司环境应急预案（202</w:t>
      </w:r>
      <w:r>
        <w:rPr>
          <w:rFonts w:hint="eastAsia" w:cs="Times New Roman"/>
          <w:color w:val="000000" w:themeColor="text1"/>
          <w:highlight w:val="none"/>
          <w14:textFill>
            <w14:solidFill>
              <w14:schemeClr w14:val="tx1"/>
            </w14:solidFill>
          </w14:textFill>
        </w:rPr>
        <w:t>4</w:t>
      </w:r>
      <w:r>
        <w:rPr>
          <w:rFonts w:cs="Times New Roman"/>
          <w:color w:val="000000" w:themeColor="text1"/>
          <w:highlight w:val="none"/>
          <w14:textFill>
            <w14:solidFill>
              <w14:schemeClr w14:val="tx1"/>
            </w14:solidFill>
          </w14:textFill>
        </w:rPr>
        <w:t>年4月》，202</w:t>
      </w:r>
      <w:r>
        <w:rPr>
          <w:rFonts w:hint="eastAsia" w:cs="Times New Roman"/>
          <w:color w:val="000000" w:themeColor="text1"/>
          <w:highlight w:val="none"/>
          <w14:textFill>
            <w14:solidFill>
              <w14:schemeClr w14:val="tx1"/>
            </w14:solidFill>
          </w14:textFill>
        </w:rPr>
        <w:t>4</w:t>
      </w:r>
      <w:r>
        <w:rPr>
          <w:rFonts w:cs="Times New Roman"/>
          <w:color w:val="000000" w:themeColor="text1"/>
          <w:highlight w:val="none"/>
          <w14:textFill>
            <w14:solidFill>
              <w14:schemeClr w14:val="tx1"/>
            </w14:solidFill>
          </w14:textFill>
        </w:rPr>
        <w:t>年</w:t>
      </w:r>
      <w:r>
        <w:rPr>
          <w:rFonts w:hint="eastAsia" w:cs="Times New Roman"/>
          <w:color w:val="000000" w:themeColor="text1"/>
          <w:highlight w:val="none"/>
          <w14:textFill>
            <w14:solidFill>
              <w14:schemeClr w14:val="tx1"/>
            </w14:solidFill>
          </w14:textFill>
        </w:rPr>
        <w:t>4</w:t>
      </w:r>
      <w:r>
        <w:rPr>
          <w:rFonts w:cs="Times New Roman"/>
          <w:color w:val="000000" w:themeColor="text1"/>
          <w:highlight w:val="none"/>
          <w14:textFill>
            <w14:solidFill>
              <w14:schemeClr w14:val="tx1"/>
            </w14:solidFill>
          </w14:textFill>
        </w:rPr>
        <w:t>月</w:t>
      </w:r>
      <w:r>
        <w:rPr>
          <w:rFonts w:hint="eastAsia" w:cs="Times New Roman"/>
          <w:color w:val="000000" w:themeColor="text1"/>
          <w:highlight w:val="none"/>
          <w14:textFill>
            <w14:solidFill>
              <w14:schemeClr w14:val="tx1"/>
            </w14:solidFill>
          </w14:textFill>
        </w:rPr>
        <w:t>11</w:t>
      </w:r>
      <w:r>
        <w:rPr>
          <w:rFonts w:cs="Times New Roman"/>
          <w:color w:val="000000" w:themeColor="text1"/>
          <w:highlight w:val="none"/>
          <w14:textFill>
            <w14:solidFill>
              <w14:schemeClr w14:val="tx1"/>
            </w14:solidFill>
          </w14:textFill>
        </w:rPr>
        <w:t>日，达州市环保局同意备案（备案号：</w:t>
      </w:r>
      <w:r>
        <w:rPr>
          <w:rFonts w:hint="eastAsia" w:cs="Times New Roman"/>
          <w:color w:val="000000" w:themeColor="text1"/>
          <w:highlight w:val="none"/>
          <w14:textFill>
            <w14:solidFill>
              <w14:schemeClr w14:val="tx1"/>
            </w14:solidFill>
          </w14:textFill>
        </w:rPr>
        <w:t>511722-2024-016-L</w:t>
      </w:r>
      <w:r>
        <w:rPr>
          <w:rFonts w:cs="Times New Roman"/>
          <w:color w:val="000000" w:themeColor="text1"/>
          <w:highlight w:val="none"/>
          <w14:textFill>
            <w14:solidFill>
              <w14:schemeClr w14:val="tx1"/>
            </w14:solidFill>
          </w14:textFill>
        </w:rPr>
        <w:t>），详见附件。</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（2）应急预案体系</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1）体系介绍</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普光分公司应急预案体系见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_Ref142923787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4133850" cy="2638425"/>
            <wp:effectExtent l="0" t="0" r="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04"/>
                    <a:stretch>
                      <a:fillRect/>
                    </a:stretch>
                  </pic:blipFill>
                  <pic:spPr>
                    <a:xfrm>
                      <a:off x="0" y="0"/>
                      <a:ext cx="4133850" cy="2638425"/>
                    </a:xfrm>
                    <a:prstGeom prst="rect">
                      <a:avLst/>
                    </a:prstGeom>
                  </pic:spPr>
                </pic:pic>
              </a:graphicData>
            </a:graphic>
          </wp:inline>
        </w:drawing>
      </w:r>
    </w:p>
    <w:p>
      <w:pPr>
        <w:pStyle w:val="165"/>
        <w:rPr>
          <w:color w:val="000000" w:themeColor="text1"/>
          <w:highlight w:val="none"/>
          <w14:textFill>
            <w14:solidFill>
              <w14:schemeClr w14:val="tx1"/>
            </w14:solidFill>
          </w14:textFill>
        </w:rPr>
      </w:pPr>
      <w:bookmarkStart w:id="406" w:name="_Ref142923787"/>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40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普光分公司应急预案体系图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专项应急预案包括高含H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S泄漏环境应急预案、火灾爆炸环境应急预案、水体环境污染应急预案、大气环境污染应急预案等。此外，普光分公司应急救援中心还编制了水体污染事件环境应急监测预案和H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S泄漏应急监测预案。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2）普光分公司应急预案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普光分公司综合应急预案框架见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_Ref142923793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2</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，普光分公司专项应急预案框架见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_Ref142923797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3</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keepNext/>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5274310" cy="5882640"/>
            <wp:effectExtent l="0" t="0" r="2540" b="3810"/>
            <wp:docPr id="28" name="图片 28" descr="综合应急预案框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综合应急预案框架图.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5274310" cy="5882640"/>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407" w:name="_Ref142923793"/>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407"/>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普光分公司综合应急预案框架图</w:t>
      </w: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4810125" cy="5380355"/>
            <wp:effectExtent l="0" t="0" r="9525" b="0"/>
            <wp:docPr id="33" name="图片 33" descr="应急预案结构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应急预案结构图.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4824575" cy="5396332"/>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408" w:name="_Ref142923797"/>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408"/>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普光分公司专项应急预案框架图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（3）普光分公司应急组织机构</w:t>
      </w:r>
    </w:p>
    <w:p>
      <w:pPr>
        <w:pStyle w:val="95"/>
        <w:rPr>
          <w:color w:val="000000" w:themeColor="text1"/>
          <w:highlight w:val="none"/>
          <w:lang w:eastAsia="zh-CN"/>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5274310" cy="420243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7"/>
                    <a:stretch>
                      <a:fillRect/>
                    </a:stretch>
                  </pic:blipFill>
                  <pic:spPr>
                    <a:xfrm>
                      <a:off x="0" y="0"/>
                      <a:ext cx="5274310" cy="4202430"/>
                    </a:xfrm>
                    <a:prstGeom prst="rect">
                      <a:avLst/>
                    </a:prstGeom>
                  </pic:spPr>
                </pic:pic>
              </a:graphicData>
            </a:graphic>
          </wp:inline>
        </w:drawing>
      </w:r>
      <w:r>
        <w:rPr>
          <w:rStyle w:val="166"/>
          <w:rFonts w:hint="eastAsia"/>
          <w:color w:val="000000" w:themeColor="text1"/>
          <w:highlight w:val="none"/>
          <w:lang w:eastAsia="zh-CN"/>
          <w14:textFill>
            <w14:solidFill>
              <w14:schemeClr w14:val="tx1"/>
            </w14:solidFill>
          </w14:textFill>
        </w:rPr>
        <w:t>图</w:t>
      </w:r>
      <w:r>
        <w:rPr>
          <w:rStyle w:val="166"/>
          <w:color w:val="000000" w:themeColor="text1"/>
          <w:highlight w:val="none"/>
          <w:lang w:eastAsia="zh-CN"/>
          <w14:textFill>
            <w14:solidFill>
              <w14:schemeClr w14:val="tx1"/>
            </w14:solidFill>
          </w14:textFill>
        </w:rPr>
        <w:fldChar w:fldCharType="begin"/>
      </w:r>
      <w:r>
        <w:rPr>
          <w:rStyle w:val="166"/>
          <w:color w:val="000000" w:themeColor="text1"/>
          <w:highlight w:val="none"/>
          <w:lang w:eastAsia="zh-CN"/>
          <w14:textFill>
            <w14:solidFill>
              <w14:schemeClr w14:val="tx1"/>
            </w14:solidFill>
          </w14:textFill>
        </w:rPr>
        <w:instrText xml:space="preserve"> </w:instrText>
      </w:r>
      <w:r>
        <w:rPr>
          <w:rStyle w:val="166"/>
          <w:rFonts w:hint="eastAsia"/>
          <w:color w:val="000000" w:themeColor="text1"/>
          <w:highlight w:val="none"/>
          <w:lang w:eastAsia="zh-CN"/>
          <w14:textFill>
            <w14:solidFill>
              <w14:schemeClr w14:val="tx1"/>
            </w14:solidFill>
          </w14:textFill>
        </w:rPr>
        <w:instrText xml:space="preserve">STYLEREF 2 \s</w:instrText>
      </w:r>
      <w:r>
        <w:rPr>
          <w:rStyle w:val="166"/>
          <w:color w:val="000000" w:themeColor="text1"/>
          <w:highlight w:val="none"/>
          <w:lang w:eastAsia="zh-CN"/>
          <w14:textFill>
            <w14:solidFill>
              <w14:schemeClr w14:val="tx1"/>
            </w14:solidFill>
          </w14:textFill>
        </w:rPr>
        <w:instrText xml:space="preserve"> </w:instrText>
      </w:r>
      <w:r>
        <w:rPr>
          <w:rStyle w:val="166"/>
          <w:color w:val="000000" w:themeColor="text1"/>
          <w:highlight w:val="none"/>
          <w:lang w:eastAsia="zh-CN"/>
          <w14:textFill>
            <w14:solidFill>
              <w14:schemeClr w14:val="tx1"/>
            </w14:solidFill>
          </w14:textFill>
        </w:rPr>
        <w:fldChar w:fldCharType="separate"/>
      </w:r>
      <w:r>
        <w:rPr>
          <w:rStyle w:val="166"/>
          <w:color w:val="000000" w:themeColor="text1"/>
          <w:highlight w:val="none"/>
          <w:lang w:eastAsia="zh-CN"/>
          <w14:textFill>
            <w14:solidFill>
              <w14:schemeClr w14:val="tx1"/>
            </w14:solidFill>
          </w14:textFill>
        </w:rPr>
        <w:t>6.6</w:t>
      </w:r>
      <w:r>
        <w:rPr>
          <w:rStyle w:val="166"/>
          <w:color w:val="000000" w:themeColor="text1"/>
          <w:highlight w:val="none"/>
          <w:lang w:eastAsia="zh-CN"/>
          <w14:textFill>
            <w14:solidFill>
              <w14:schemeClr w14:val="tx1"/>
            </w14:solidFill>
          </w14:textFill>
        </w:rPr>
        <w:fldChar w:fldCharType="end"/>
      </w:r>
      <w:r>
        <w:rPr>
          <w:rStyle w:val="166"/>
          <w:color w:val="000000" w:themeColor="text1"/>
          <w:highlight w:val="none"/>
          <w:lang w:eastAsia="zh-CN"/>
          <w14:textFill>
            <w14:solidFill>
              <w14:schemeClr w14:val="tx1"/>
            </w14:solidFill>
          </w14:textFill>
        </w:rPr>
        <w:noBreakHyphen/>
      </w:r>
      <w:r>
        <w:rPr>
          <w:rStyle w:val="166"/>
          <w:color w:val="000000" w:themeColor="text1"/>
          <w:highlight w:val="none"/>
          <w:lang w:eastAsia="zh-CN"/>
          <w14:textFill>
            <w14:solidFill>
              <w14:schemeClr w14:val="tx1"/>
            </w14:solidFill>
          </w14:textFill>
        </w:rPr>
        <w:fldChar w:fldCharType="begin"/>
      </w:r>
      <w:r>
        <w:rPr>
          <w:rStyle w:val="166"/>
          <w:color w:val="000000" w:themeColor="text1"/>
          <w:highlight w:val="none"/>
          <w:lang w:eastAsia="zh-CN"/>
          <w14:textFill>
            <w14:solidFill>
              <w14:schemeClr w14:val="tx1"/>
            </w14:solidFill>
          </w14:textFill>
        </w:rPr>
        <w:instrText xml:space="preserve"> </w:instrText>
      </w:r>
      <w:r>
        <w:rPr>
          <w:rStyle w:val="166"/>
          <w:rFonts w:hint="eastAsia"/>
          <w:color w:val="000000" w:themeColor="text1"/>
          <w:highlight w:val="none"/>
          <w:lang w:eastAsia="zh-CN"/>
          <w14:textFill>
            <w14:solidFill>
              <w14:schemeClr w14:val="tx1"/>
            </w14:solidFill>
          </w14:textFill>
        </w:rPr>
        <w:instrText xml:space="preserve">SEQ 图 \* ARABIC \s 2</w:instrText>
      </w:r>
      <w:r>
        <w:rPr>
          <w:rStyle w:val="166"/>
          <w:color w:val="000000" w:themeColor="text1"/>
          <w:highlight w:val="none"/>
          <w:lang w:eastAsia="zh-CN"/>
          <w14:textFill>
            <w14:solidFill>
              <w14:schemeClr w14:val="tx1"/>
            </w14:solidFill>
          </w14:textFill>
        </w:rPr>
        <w:instrText xml:space="preserve"> </w:instrText>
      </w:r>
      <w:r>
        <w:rPr>
          <w:rStyle w:val="166"/>
          <w:color w:val="000000" w:themeColor="text1"/>
          <w:highlight w:val="none"/>
          <w:lang w:eastAsia="zh-CN"/>
          <w14:textFill>
            <w14:solidFill>
              <w14:schemeClr w14:val="tx1"/>
            </w14:solidFill>
          </w14:textFill>
        </w:rPr>
        <w:fldChar w:fldCharType="separate"/>
      </w:r>
      <w:r>
        <w:rPr>
          <w:rStyle w:val="166"/>
          <w:rFonts w:hint="eastAsia"/>
          <w:color w:val="000000" w:themeColor="text1"/>
          <w:highlight w:val="none"/>
          <w:lang w:eastAsia="zh-CN"/>
          <w14:textFill>
            <w14:solidFill>
              <w14:schemeClr w14:val="tx1"/>
            </w14:solidFill>
          </w14:textFill>
        </w:rPr>
        <w:t>4</w:t>
      </w:r>
      <w:r>
        <w:rPr>
          <w:rStyle w:val="166"/>
          <w:color w:val="000000" w:themeColor="text1"/>
          <w:highlight w:val="none"/>
          <w:lang w:eastAsia="zh-CN"/>
          <w14:textFill>
            <w14:solidFill>
              <w14:schemeClr w14:val="tx1"/>
            </w14:solidFill>
          </w14:textFill>
        </w:rPr>
        <w:fldChar w:fldCharType="end"/>
      </w:r>
      <w:r>
        <w:rPr>
          <w:rStyle w:val="166"/>
          <w:color w:val="000000" w:themeColor="text1"/>
          <w:highlight w:val="none"/>
          <w:lang w:eastAsia="zh-CN"/>
          <w14:textFill>
            <w14:solidFill>
              <w14:schemeClr w14:val="tx1"/>
            </w14:solidFill>
          </w14:textFill>
        </w:rPr>
        <w:t xml:space="preserve"> </w:t>
      </w:r>
      <w:r>
        <w:rPr>
          <w:rStyle w:val="166"/>
          <w:rFonts w:hint="eastAsia"/>
          <w:color w:val="000000" w:themeColor="text1"/>
          <w:highlight w:val="none"/>
          <w:lang w:eastAsia="zh-CN"/>
          <w14:textFill>
            <w14:solidFill>
              <w14:schemeClr w14:val="tx1"/>
            </w14:solidFill>
          </w14:textFill>
        </w:rPr>
        <w:t>应急管理组织机构框图</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（4）应急响应</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1）分类与分级</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分类</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分公司各所属单位应根据应急事件的发生过程、性质和机理，按照工业生产事件、公共卫生事件、自然灾害事件和社会安全事件的类别，经危害识别、风险评估，确定单位内可能发生或易发生的应急事件。</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分级</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为了有效处置各类突发事件，按照突发事件的性质、危害程度、可控性、影响范围、人员伤亡和财产损失等因素，并依据机构设置情况，由高到低分为五个级别：Ⅰ（中国石化）级、Ⅱ（中原油田）级、Ⅲ（分公司）级、Ⅳ（厂）级、Ⅴ（车间、区）级等。</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2）响应程序</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应急启动条件</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符合以下条件之一时，应启动本预案：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a）中原油田要求分公司启动应急预案时；</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b）市、县级人民政府要求分公司启动应急预案时；</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c）发生Ⅲ（分公司）级及Ⅲ级以上事件时；</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d）所属单位请求时。</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应急指令</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发生突发事件时，应急指令下达程序见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_Ref142923854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5</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color w:val="000000" w:themeColor="text1"/>
          <w:highlight w:val="none"/>
          <w:lang w:eastAsia="zh-CN"/>
          <w14:textFill>
            <w14:solidFill>
              <w14:schemeClr w14:val="tx1"/>
            </w14:solidFill>
          </w14:textFill>
        </w:rPr>
        <w:drawing>
          <wp:inline distT="0" distB="0" distL="0" distR="0">
            <wp:extent cx="5274310" cy="4931410"/>
            <wp:effectExtent l="0" t="0" r="254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08"/>
                    <a:stretch>
                      <a:fillRect/>
                    </a:stretch>
                  </pic:blipFill>
                  <pic:spPr>
                    <a:xfrm>
                      <a:off x="0" y="0"/>
                      <a:ext cx="5274310" cy="4931410"/>
                    </a:xfrm>
                    <a:prstGeom prst="rect">
                      <a:avLst/>
                    </a:prstGeom>
                  </pic:spPr>
                </pic:pic>
              </a:graphicData>
            </a:graphic>
          </wp:inline>
        </w:drawing>
      </w:r>
    </w:p>
    <w:p>
      <w:pPr>
        <w:pStyle w:val="165"/>
        <w:rPr>
          <w:color w:val="000000" w:themeColor="text1"/>
          <w:highlight w:val="none"/>
          <w14:textFill>
            <w14:solidFill>
              <w14:schemeClr w14:val="tx1"/>
            </w14:solidFill>
          </w14:textFill>
        </w:rPr>
      </w:pPr>
      <w:bookmarkStart w:id="409" w:name="_Ref142923854"/>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fldChar w:fldCharType="end"/>
      </w:r>
      <w:bookmarkEnd w:id="40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普光分公司应急指令下达程序框图</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应急处置</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当符合应急预案启动条件时，分公司应急指挥中心应立即下达启动本预案的指令，并按照本预案中相应专项应急预案的要求实施应急处置。</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当事件难以控制时，分公司应急指挥中心应请求启动相应的应急预案，并向市级政府应急管理办公室报告，请求支援。</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（5）应急结束</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经应急处置后，现场应急指挥部确认满足专项应急预案终止条件时，向分公司应急指挥中心报告，分公司应急指挥中心可下达应急终止指令。</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应急终止后，现场应急指挥部负责编写应急总结，应急指挥中心办公室负责对现场应急指挥部的应急总结、值班记录等资料进行汇总、归档，经理办公室负责起草分公司应急指挥中心的应急总结上报材料。现场应急指挥部向事件调查组移交相关材料。分公司应急指挥中心负责向中原油田上报应急总结。</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（6）应急保障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1）应急队伍保障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分公司应急救援队伍由采气厂、净化厂、应急救援中心和社会应急资源组成。应急队伍配备必要的人员、装备等，平时加强应急队伍的业务培训和应急演练，提高应急人员业务水平；与社会应急资源签订互助协议，提供应急期间的</w:t>
      </w:r>
      <w:r>
        <w:rPr>
          <w:rFonts w:hint="eastAsia" w:cs="Times New Roman"/>
          <w:color w:val="000000" w:themeColor="text1"/>
          <w:highlight w:val="none"/>
          <w14:textFill>
            <w14:solidFill>
              <w14:schemeClr w14:val="tx1"/>
            </w14:solidFill>
          </w14:textFill>
        </w:rPr>
        <w:t>消防</w:t>
      </w:r>
      <w:r>
        <w:rPr>
          <w:rFonts w:cs="Times New Roman"/>
          <w:color w:val="000000" w:themeColor="text1"/>
          <w:highlight w:val="none"/>
          <w14:textFill>
            <w14:solidFill>
              <w14:schemeClr w14:val="tx1"/>
            </w14:solidFill>
          </w14:textFill>
        </w:rPr>
        <w:t>、医疗卫生、治安保卫、交通维护和运输等应急救援力量的保障。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2）财力保障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事件处置过程中的费用，由计划财务部门负责保障；事件应急处置结束后，各级应急指挥中心办公室对应急处置费用进行整理汇总，计划财务部给予核销。</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3）物资保障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分公司应急物资由物资保障部应急物资、应急救援中心应急物资、所属单位应急物资和社会救援物资组成。为满足应急处置的需求，同社会救援物资单位签订协议，在应急状态下，由分公司应急指挥中心统一调配使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4）通信保障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生产服务中心负责建立、完善应急通讯网络系统，在应急工作中确保应急通信畅通。</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5）技术保障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天然气技术管理部负责建立由各专业领域技术、经验丰富的人员组成技术专家组，结合事故发生厂所属技术力量，为事故的应急处置提供技术支持。</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6）基本生活保障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分公司应急指挥中心应会同事发地人民政府做好抢险队伍、受灾员工和疏散群众的基本生活保障工作。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7）人员防护</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按照国家法律法规、标准、规范的要求，应急救援人员配备安全职业防护装备，严格按照救援程序开展应急救援工作，确保人员安全。在生产区域内岗位人员配备安全职业防护装备，建立紧急集合点。</w:t>
      </w:r>
    </w:p>
    <w:p>
      <w:pPr>
        <w:pStyle w:val="4"/>
        <w:spacing w:before="0" w:beforeLines="0"/>
        <w:ind w:firstLine="480"/>
        <w:rPr>
          <w:b/>
          <w:color w:val="000000" w:themeColor="text1"/>
          <w:highlight w:val="none"/>
          <w:lang w:eastAsia="zh-CN"/>
          <w14:textFill>
            <w14:solidFill>
              <w14:schemeClr w14:val="tx1"/>
            </w14:solidFill>
          </w14:textFill>
        </w:rPr>
      </w:pPr>
      <w:bookmarkStart w:id="410" w:name="_Toc120173206"/>
      <w:r>
        <w:rPr>
          <w:color w:val="000000" w:themeColor="text1"/>
          <w:highlight w:val="none"/>
          <w:lang w:eastAsia="zh-CN"/>
          <w14:textFill>
            <w14:solidFill>
              <w14:schemeClr w14:val="tx1"/>
            </w14:solidFill>
          </w14:textFill>
        </w:rPr>
        <w:t>本项目环境风险应急预案</w:t>
      </w:r>
      <w:bookmarkEnd w:id="410"/>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（1）钻井</w:t>
      </w:r>
      <w:bookmarkStart w:id="411" w:name="OLE_LINK363"/>
      <w:bookmarkStart w:id="412" w:name="OLE_LINK364"/>
      <w:r>
        <w:rPr>
          <w:rFonts w:cs="Times New Roman"/>
          <w:b/>
          <w:color w:val="000000" w:themeColor="text1"/>
          <w:highlight w:val="none"/>
          <w14:textFill>
            <w14:solidFill>
              <w14:schemeClr w14:val="tx1"/>
            </w14:solidFill>
          </w14:textFill>
        </w:rPr>
        <w:t>过程</w:t>
      </w:r>
      <w:bookmarkEnd w:id="411"/>
      <w:bookmarkEnd w:id="412"/>
      <w:r>
        <w:rPr>
          <w:rFonts w:cs="Times New Roman"/>
          <w:b/>
          <w:color w:val="000000" w:themeColor="text1"/>
          <w:highlight w:val="none"/>
          <w14:textFill>
            <w14:solidFill>
              <w14:schemeClr w14:val="tx1"/>
            </w14:solidFill>
          </w14:textFill>
        </w:rPr>
        <w:t>风险应急预案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环评要求建设单位在钻井工程施工前编制</w:t>
      </w:r>
      <w:r>
        <w:rPr>
          <w:rFonts w:hint="eastAsia" w:cs="Times New Roman"/>
          <w:color w:val="000000" w:themeColor="text1"/>
          <w:highlight w:val="none"/>
          <w14:textFill>
            <w14:solidFill>
              <w14:schemeClr w14:val="tx1"/>
            </w14:solidFill>
          </w14:textFill>
        </w:rPr>
        <w:t>本项目</w:t>
      </w:r>
      <w:r>
        <w:rPr>
          <w:rFonts w:cs="Times New Roman"/>
          <w:color w:val="000000" w:themeColor="text1"/>
          <w:highlight w:val="none"/>
          <w14:textFill>
            <w14:solidFill>
              <w14:schemeClr w14:val="tx1"/>
            </w14:solidFill>
          </w14:textFill>
        </w:rPr>
        <w:t>钻井工程专项应急预案，并在地方生态环境主管部门进行备案。根据前述环境风险事故分析，本次评价将针对本项目钻井作业的特点，结合企业制定的应急预案，提出环境风险事故应急预案编制要求，供企业及有关部门参考。</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1）应急预案编制内容及要求</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根据前述环境风险事故分析，本</w:t>
      </w:r>
      <w:r>
        <w:rPr>
          <w:rFonts w:hint="eastAsia" w:cs="Times New Roman"/>
          <w:color w:val="000000" w:themeColor="text1"/>
          <w:highlight w:val="none"/>
          <w14:textFill>
            <w14:solidFill>
              <w14:schemeClr w14:val="tx1"/>
            </w14:solidFill>
          </w14:textFill>
        </w:rPr>
        <w:t>项目</w:t>
      </w:r>
      <w:r>
        <w:rPr>
          <w:rFonts w:cs="Times New Roman"/>
          <w:color w:val="000000" w:themeColor="text1"/>
          <w:highlight w:val="none"/>
          <w14:textFill>
            <w14:solidFill>
              <w14:schemeClr w14:val="tx1"/>
            </w14:solidFill>
          </w14:textFill>
        </w:rPr>
        <w:t>环境风险事故应急预案编制要求见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_Ref142859473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413" w:name="_Ref14285947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41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应急预案主要内容一览表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538"/>
        <w:gridCol w:w="1079"/>
        <w:gridCol w:w="6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blHeader/>
          <w:jc w:val="center"/>
        </w:trPr>
        <w:tc>
          <w:tcPr>
            <w:tcW w:w="538" w:type="dxa"/>
            <w:vAlign w:val="center"/>
          </w:tcPr>
          <w:p>
            <w:pPr>
              <w:pStyle w:val="260"/>
              <w:spacing w:line="240" w:lineRule="auto"/>
              <w:ind w:firstLine="0" w:firstLineChars="0"/>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序号</w:t>
            </w:r>
          </w:p>
        </w:tc>
        <w:tc>
          <w:tcPr>
            <w:tcW w:w="1079" w:type="dxa"/>
            <w:vAlign w:val="center"/>
          </w:tcPr>
          <w:p>
            <w:pPr>
              <w:pStyle w:val="260"/>
              <w:spacing w:line="240" w:lineRule="auto"/>
              <w:ind w:firstLine="0" w:firstLineChars="0"/>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项目</w:t>
            </w:r>
          </w:p>
        </w:tc>
        <w:tc>
          <w:tcPr>
            <w:tcW w:w="6603" w:type="dxa"/>
            <w:vAlign w:val="center"/>
          </w:tcPr>
          <w:p>
            <w:pPr>
              <w:pStyle w:val="260"/>
              <w:spacing w:line="240" w:lineRule="auto"/>
              <w:ind w:firstLine="0" w:firstLineChars="0"/>
              <w:rPr>
                <w:b/>
                <w:color w:val="000000" w:themeColor="text1"/>
                <w:sz w:val="21"/>
                <w:szCs w:val="21"/>
                <w:highlight w:val="none"/>
                <w14:textFill>
                  <w14:solidFill>
                    <w14:schemeClr w14:val="tx1"/>
                  </w14:solidFill>
                </w14:textFill>
              </w:rPr>
            </w:pPr>
            <w:r>
              <w:rPr>
                <w:b/>
                <w:color w:val="000000" w:themeColor="text1"/>
                <w:sz w:val="21"/>
                <w:szCs w:val="21"/>
                <w:highlight w:val="none"/>
                <w14:textFill>
                  <w14:solidFill>
                    <w14:schemeClr w14:val="tx1"/>
                  </w14:solidFill>
                </w14:textFill>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应急计划区</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危险目标：钻井地层</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环境保护目标：测试放喷时，井口周边0～500m为紧急撤离范围。当发生井喷失控时，一般撤离范围可根据监测情况决定。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应急组织机构、人员</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组织机构为中原油田普光分公司，钻井队及其管理单位、当地政府。</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关键依靠钻井队、当地政府。</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充分、重点发挥地方镇乡、村级政府的组织能力，纳入应急组织机构中。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3</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预案分级</w:t>
            </w:r>
          </w:p>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响应条件</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规定预案的级别及分级响应程序：</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把重大环境污染事故定为三级，涉及组织单位为中原油田普光分公司、钻井队和当地环保部门。</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井喷及井喷失控定为一级。涉及组织单位为中原油田普光分公司、钻井队及其管理单位、当地政府。响应程度依次增强。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4</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应急救援</w:t>
            </w:r>
          </w:p>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保障</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应急设施，设备与器材等：</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井场配备H</w:t>
            </w:r>
            <w:r>
              <w:rPr>
                <w:color w:val="000000" w:themeColor="text1"/>
                <w:sz w:val="21"/>
                <w:szCs w:val="21"/>
                <w:highlight w:val="none"/>
                <w:vertAlign w:val="subscript"/>
                <w14:textFill>
                  <w14:solidFill>
                    <w14:schemeClr w14:val="tx1"/>
                  </w14:solidFill>
                </w14:textFill>
              </w:rPr>
              <w:t>2</w:t>
            </w:r>
            <w:r>
              <w:rPr>
                <w:color w:val="000000" w:themeColor="text1"/>
                <w:sz w:val="21"/>
                <w:szCs w:val="21"/>
                <w:highlight w:val="none"/>
                <w14:textFill>
                  <w14:solidFill>
                    <w14:schemeClr w14:val="tx1"/>
                  </w14:solidFill>
                </w14:textFill>
              </w:rPr>
              <w:t>S测试、防毒、医疗、消防、疏散等应急设施。</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钻开气层前通知当地医院、消防队等方面救援保障力量以及钻井队主管部门、普光分公司的应急救援单位。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报警、通讯联络方式</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规定应急状态下的报警通讯方式、通知方式和交通保障、管制：</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协调井队通过广播系统和电话通知。至少在1个小组设2个电话联络点。小组通知人员应指定4人负责通知本小组内的居民。并电话通知当地交警队负责交通保障、管制，不允许非救援车辆进入危险井口周边区域。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应急环境监测、抢险、救援及控制</w:t>
            </w:r>
          </w:p>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措施</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环境应急监测可组织协调当地环境监测中心站。</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抢险、救援组织协调当地消防队、医院和钻井主管部门及普光分公司的应急队伍。</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控制措施主要由钻井队和其管理部门、普光分公司等部门共同协商控制。</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井喷失控的关键控制措施：应立即组织撤离井口周边500m的居民。同时保证井喷失控在15min内点火，燃烧泄漏天然气。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7</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应急检测、防护措施、清除泄漏措施和器材</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应急检测、防护采用井队配备的设备和消防队伍的设备，必要可增加普光分公司、钻井队主管部门的检测防护设备。清除泄漏必要时可通过消防车喷雾状水溶解将大气污染物转化为地表水污染物。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8</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人员紧急撤离、疏散，应急剂量控制、撤离组织计划</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紧急撤离区：井口外500m范围为紧急撤离区。撤离路线应根据钻井井场风向标，沿发生事故时的上风向方向或侧风向远离事故源方向撤离。通过高音喇叭、广播、电话及时通知周边各户居民，保证全部及时通知撤离。</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一般撤离区：当发生井喷失控时，一般撤离范围可根据监测情况决定。在发生事故时应自发和在应急组织机构的带领下及时撤离。撤离路线应根据钻井井场风向标，沿发生事故时的上风向或侧风向方向远离事故源方向撤离。由于涉及人员多，应通过应急组织机构负责组织撤离，通过广播系统和电话系统通知。由于远处居民不能看到风向标，在通知撤离时要由专业人员根据风向标说明撤离方向。可通过广播系统和电话系统通知，应通过协调村委会通过电话通知到小组，各组至少设立2个联络点。小组负责人指定4人负责通知小组内的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9</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事故应急救援关闭程序与恢复措施</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规定应急状态终止程序事故现场善后处理，恢复措施邻近区域解除事故警戒及善后恢复措施</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（1）井喷失控得到控制，伤亡人员得到全部救援和安置，危险区域的居民全部撤离。</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（2）恢复措施：对事故伤亡情况进行统计，应做好详细的记录并存档。行政领导组应尽快协调各</w:t>
            </w:r>
            <w:r>
              <w:rPr>
                <w:rFonts w:hint="eastAsia"/>
                <w:color w:val="000000" w:themeColor="text1"/>
                <w:sz w:val="21"/>
                <w:szCs w:val="21"/>
                <w:highlight w:val="none"/>
                <w14:textFill>
                  <w14:solidFill>
                    <w14:schemeClr w14:val="tx1"/>
                  </w14:solidFill>
                </w14:textFill>
              </w:rPr>
              <w:t>部门</w:t>
            </w:r>
            <w:r>
              <w:rPr>
                <w:color w:val="000000" w:themeColor="text1"/>
                <w:sz w:val="21"/>
                <w:szCs w:val="21"/>
                <w:highlight w:val="none"/>
                <w14:textFill>
                  <w14:solidFill>
                    <w14:schemeClr w14:val="tx1"/>
                  </w14:solidFill>
                </w14:textFill>
              </w:rPr>
              <w:t>做好医疗救护工作，包括医疗经费的提供、受伤人员的住院安排与护理以及善后赔偿等；钻井队主管单位配合相关部门人员对受损设备尽快安排修复并投入生产使用。钻井队主管部门、普光分公司、当地政府成立事故调查小组，调查原因并按“四不放过”的原则进行事故处理；做出事故调查报告，同时总结事件教训，实行安全事故的教育培训，杜绝类似事件的再次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10</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应急培训</w:t>
            </w:r>
          </w:p>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计划</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应急计划制定后，平时安排人员培训与演练：</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着重在钻含气层前的演练，把井口周边500m范围内居民纳入培训、演练队伍。井队安全监督要对井队全体员工进行应急救援培训，提高员工的应急救援能力。加强对组织人员向井场附近居民宣传H</w:t>
            </w:r>
            <w:r>
              <w:rPr>
                <w:color w:val="000000" w:themeColor="text1"/>
                <w:sz w:val="21"/>
                <w:szCs w:val="21"/>
                <w:highlight w:val="none"/>
                <w:vertAlign w:val="subscript"/>
                <w14:textFill>
                  <w14:solidFill>
                    <w14:schemeClr w14:val="tx1"/>
                  </w14:solidFill>
                </w14:textFill>
              </w:rPr>
              <w:t>2</w:t>
            </w:r>
            <w:r>
              <w:rPr>
                <w:color w:val="000000" w:themeColor="text1"/>
                <w:sz w:val="21"/>
                <w:szCs w:val="21"/>
                <w:highlight w:val="none"/>
                <w14:textFill>
                  <w14:solidFill>
                    <w14:schemeClr w14:val="tx1"/>
                  </w14:solidFill>
                </w14:textFill>
              </w:rPr>
              <w:t>S和井喷的危害及相关知识。井队队长及安全员负责</w:t>
            </w:r>
            <w:r>
              <w:rPr>
                <w:rFonts w:hint="eastAsia"/>
                <w:color w:val="000000" w:themeColor="text1"/>
                <w:sz w:val="21"/>
                <w:szCs w:val="21"/>
                <w:highlight w:val="none"/>
                <w14:textFill>
                  <w14:solidFill>
                    <w14:schemeClr w14:val="tx1"/>
                  </w14:solidFill>
                </w14:textFill>
              </w:rPr>
              <w:t>制定</w:t>
            </w:r>
            <w:r>
              <w:rPr>
                <w:color w:val="000000" w:themeColor="text1"/>
                <w:sz w:val="21"/>
                <w:szCs w:val="21"/>
                <w:highlight w:val="none"/>
                <w14:textFill>
                  <w14:solidFill>
                    <w14:schemeClr w14:val="tx1"/>
                  </w14:solidFill>
                </w14:textFill>
              </w:rPr>
              <w:t>应急培训计划，定期对应急组织机构成员和应急保障系统、应急信息的有关人员进行综合性应急培训并做好培训记录。应急演练应每个月开展一次，进入气层后半个月开展一次，通过演练掌握应急人员在应急抢险中对预案的熟悉程度和能力，二是加强抢险应急设备的维护保养，检查是否备足所需应急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11</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公众教育和信息</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bookmarkStart w:id="414" w:name="OLE_LINK417"/>
            <w:bookmarkStart w:id="415" w:name="OLE_LINK418"/>
            <w:r>
              <w:rPr>
                <w:color w:val="000000" w:themeColor="text1"/>
                <w:sz w:val="21"/>
                <w:szCs w:val="21"/>
                <w:highlight w:val="none"/>
                <w14:textFill>
                  <w14:solidFill>
                    <w14:schemeClr w14:val="tx1"/>
                  </w14:solidFill>
                </w14:textFill>
              </w:rPr>
              <w:t>对井场邻近地区开展公众教育、培训和发布有关信息：</w:t>
            </w:r>
            <w:bookmarkEnd w:id="414"/>
            <w:bookmarkEnd w:id="415"/>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安全距离内居民进行公众教育，发宣传册。钻井工程前，要向可能危及居民安全范围内进行H</w:t>
            </w:r>
            <w:r>
              <w:rPr>
                <w:color w:val="000000" w:themeColor="text1"/>
                <w:sz w:val="21"/>
                <w:szCs w:val="21"/>
                <w:highlight w:val="none"/>
                <w:vertAlign w:val="subscript"/>
                <w14:textFill>
                  <w14:solidFill>
                    <w14:schemeClr w14:val="tx1"/>
                  </w14:solidFill>
                </w14:textFill>
              </w:rPr>
              <w:t>2</w:t>
            </w:r>
            <w:r>
              <w:rPr>
                <w:color w:val="000000" w:themeColor="text1"/>
                <w:sz w:val="21"/>
                <w:szCs w:val="21"/>
                <w:highlight w:val="none"/>
                <w14:textFill>
                  <w14:solidFill>
                    <w14:schemeClr w14:val="tx1"/>
                  </w14:solidFill>
                </w14:textFill>
              </w:rPr>
              <w:t>S安全知识和遇紧急情况时的应急预案教育，提出紧急情况下的安全撤离要求。</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施工单位应主动联系当地政府，对紧急撤离区范围内的居民通过发放宣传册普及安全知识，内容应有危害程度、防范应急救护措施。同时应在进入含硫气层前对500m范围内的居民进行应急演练一次。对一般撤离区范围居民发放宣传册普及安全知识，内容应有危害程度、防范应急救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12</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夜间特别管理机制</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井场配备高音喇叭、防爆灯具，以便夜间事故及时通知周边较近距离的居民，防爆灯具应布置在井场内风向标处，以便井场人员和周边较近居民可判断风向，带领其他人员撤离。</w:t>
            </w:r>
          </w:p>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井场实行轮班制度，保证夜间各岗位有相应值班人员。对居民进行公众教育、培训中应强调夜间自救内容，要求居民夜间保持通讯设备的畅通，夜间不关手机等教育。强调在钻气层期间夜间保持一定的警惕，提出在夜间事故报警后应立即穿少量衣服，及时保证人员撤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538"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13</w:t>
            </w:r>
          </w:p>
        </w:tc>
        <w:tc>
          <w:tcPr>
            <w:tcW w:w="1079" w:type="dxa"/>
            <w:vAlign w:val="center"/>
          </w:tcPr>
          <w:p>
            <w:pPr>
              <w:pStyle w:val="260"/>
              <w:spacing w:line="240" w:lineRule="auto"/>
              <w:ind w:firstLine="0" w:firstLineChars="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备案</w:t>
            </w:r>
          </w:p>
        </w:tc>
        <w:tc>
          <w:tcPr>
            <w:tcW w:w="6603" w:type="dxa"/>
            <w:vAlign w:val="center"/>
          </w:tcPr>
          <w:p>
            <w:pPr>
              <w:pStyle w:val="260"/>
              <w:spacing w:line="240" w:lineRule="auto"/>
              <w:ind w:firstLine="0" w:firstLineChars="0"/>
              <w:jc w:val="left"/>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将本项目钻井工程应急预案报送地方环保部门备案。</w:t>
            </w:r>
          </w:p>
        </w:tc>
      </w:tr>
    </w:tbl>
    <w:p>
      <w:pPr>
        <w:spacing w:before="120" w:beforeLines="50"/>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2）宣传、培训和演习</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公众信息交流：各级政府、各陆上石油天然气开采企业要按规定向公众和员工说明陆上石油天然气开采的危险性及发生事故可能造成的危害，广泛宣传应急救援有关法律法规和陆上石油天然气开采事故预防、避险、避灾、自救、互救的常识。</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培训：陆上石油天然气开采有关应急救援队伍按照有关规定参加业务培训；陆上石油天然气开采企业按照有关规定对员工进行应急培训；各级安全生产监督管理部门负责对应急救援培训情况进行监督检查。各级应急救援管理机构加强应急管理、救援人员的上岗前培训和常规性培训。</w:t>
      </w:r>
    </w:p>
    <w:p>
      <w:pPr>
        <w:ind w:firstLine="480"/>
        <w:rPr>
          <w:rFonts w:cs="Times New Roman"/>
          <w:color w:val="000000" w:themeColor="text1"/>
          <w:highlight w:val="none"/>
          <w14:textFill>
            <w14:solidFill>
              <w14:schemeClr w14:val="tx1"/>
            </w14:solidFill>
          </w14:textFill>
        </w:rPr>
      </w:pPr>
      <w:bookmarkStart w:id="416" w:name="OLE_LINK185"/>
      <w:bookmarkStart w:id="417" w:name="OLE_LINK186"/>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演习：陆上石油天然气开采企业按有关规定定期组织应急救援演习；中石化有关专业应急机构和地方人民政府根据自身实际情况定期组织陆上石油天然气开采事故应急救援演习，并于演习结束后向安全监管总局提交书面总结。应急指挥中心每年会同有关部门和地方政府组织一次应急演习。</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普光分公司及所属单位每年至少组织一次井喷失控事故应急演习，并将演习总结报应急指挥中心办公室。</w:t>
      </w:r>
    </w:p>
    <w:bookmarkEnd w:id="416"/>
    <w:bookmarkEnd w:id="417"/>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3）</w:t>
      </w:r>
      <w:r>
        <w:rPr>
          <w:rFonts w:hint="eastAsia" w:cs="Times New Roman"/>
          <w:b/>
          <w:color w:val="000000" w:themeColor="text1"/>
          <w:highlight w:val="none"/>
          <w14:textFill>
            <w14:solidFill>
              <w14:schemeClr w14:val="tx1"/>
            </w14:solidFill>
          </w14:textFill>
        </w:rPr>
        <w:t>放喷</w:t>
      </w:r>
      <w:r>
        <w:rPr>
          <w:rFonts w:cs="Times New Roman"/>
          <w:b/>
          <w:color w:val="000000" w:themeColor="text1"/>
          <w:highlight w:val="none"/>
          <w14:textFill>
            <w14:solidFill>
              <w14:schemeClr w14:val="tx1"/>
            </w14:solidFill>
          </w14:textFill>
        </w:rPr>
        <w:t>池垮塌、污染物外溢的应急预案</w:t>
      </w:r>
    </w:p>
    <w:p>
      <w:pPr>
        <w:ind w:firstLine="480"/>
        <w:rPr>
          <w:rFonts w:cs="Times New Roman"/>
          <w:color w:val="000000" w:themeColor="text1"/>
          <w:highlight w:val="none"/>
          <w14:textFill>
            <w14:solidFill>
              <w14:schemeClr w14:val="tx1"/>
            </w14:solidFill>
          </w14:textFill>
        </w:rPr>
      </w:pPr>
      <w:bookmarkStart w:id="418" w:name="OLE_LINK192"/>
      <w:bookmarkStart w:id="419" w:name="OLE_LINK191"/>
      <w:r>
        <w:rPr>
          <w:rFonts w:cs="Times New Roman"/>
          <w:color w:val="000000" w:themeColor="text1"/>
          <w:highlight w:val="none"/>
          <w14:textFill>
            <w14:solidFill>
              <w14:schemeClr w14:val="tx1"/>
            </w14:solidFill>
          </w14:textFill>
        </w:rPr>
        <w:t>因山洪等发生污水池垮塌、污染物外溢事故时，现场工作人员应立即向现场应急领导小组组长报告；组长应立即安排人员采取堵塞沟渠或筑隔离带，拦截外溢的泥浆污染物，用泵、人工回收等方法及时清理回收废泥浆，防止污染继续扩大，同时修复</w:t>
      </w:r>
      <w:r>
        <w:rPr>
          <w:rFonts w:hint="eastAsia" w:cs="Times New Roman"/>
          <w:color w:val="000000" w:themeColor="text1"/>
          <w:highlight w:val="none"/>
          <w14:textFill>
            <w14:solidFill>
              <w14:schemeClr w14:val="tx1"/>
            </w14:solidFill>
          </w14:textFill>
        </w:rPr>
        <w:t>放喷</w:t>
      </w:r>
      <w:r>
        <w:rPr>
          <w:rFonts w:cs="Times New Roman"/>
          <w:color w:val="000000" w:themeColor="text1"/>
          <w:highlight w:val="none"/>
          <w14:textFill>
            <w14:solidFill>
              <w14:schemeClr w14:val="tx1"/>
            </w14:solidFill>
          </w14:textFill>
        </w:rPr>
        <w:t>池，彻底消除污染事故隐患。</w:t>
      </w:r>
      <w:bookmarkEnd w:id="418"/>
      <w:bookmarkEnd w:id="419"/>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对于受污染的居民饮用水井，现场应急领导小组组长安排人员在井口处设</w:t>
      </w:r>
      <w:r>
        <w:rPr>
          <w:rFonts w:ascii="宋体" w:hAnsi="宋体" w:cs="Times New Roman"/>
          <w:color w:val="000000" w:themeColor="text1"/>
          <w:highlight w:val="none"/>
          <w14:textFill>
            <w14:solidFill>
              <w14:schemeClr w14:val="tx1"/>
            </w14:solidFill>
          </w14:textFill>
        </w:rPr>
        <w:t>置“不准饮用”</w:t>
      </w:r>
      <w:r>
        <w:rPr>
          <w:rFonts w:cs="Times New Roman"/>
          <w:color w:val="000000" w:themeColor="text1"/>
          <w:highlight w:val="none"/>
          <w14:textFill>
            <w14:solidFill>
              <w14:schemeClr w14:val="tx1"/>
            </w14:solidFill>
          </w14:textFill>
        </w:rPr>
        <w:t>警示牌。派人通知各饮用水住户，告知井水被污染的情况和不准饮用的信息。用水泵抽尽井内受污染的水源</w:t>
      </w:r>
      <w:r>
        <w:rPr>
          <w:rFonts w:ascii="宋体" w:hAnsi="宋体" w:cs="Times New Roman"/>
          <w:color w:val="000000" w:themeColor="text1"/>
          <w:highlight w:val="none"/>
          <w14:textFill>
            <w14:solidFill>
              <w14:schemeClr w14:val="tx1"/>
            </w14:solidFill>
          </w14:textFill>
        </w:rPr>
        <w:t>。通知监测机构对</w:t>
      </w:r>
      <w:r>
        <w:rPr>
          <w:rFonts w:hint="eastAsia" w:ascii="宋体" w:hAnsi="宋体" w:cs="Times New Roman"/>
          <w:color w:val="000000" w:themeColor="text1"/>
          <w:highlight w:val="none"/>
          <w14:textFill>
            <w14:solidFill>
              <w14:schemeClr w14:val="tx1"/>
            </w14:solidFill>
          </w14:textFill>
        </w:rPr>
        <w:t>水井</w:t>
      </w:r>
      <w:r>
        <w:rPr>
          <w:rFonts w:ascii="宋体" w:hAnsi="宋体" w:cs="Times New Roman"/>
          <w:color w:val="000000" w:themeColor="text1"/>
          <w:highlight w:val="none"/>
          <w14:textFill>
            <w14:solidFill>
              <w14:schemeClr w14:val="tx1"/>
            </w14:solidFill>
          </w14:textFill>
        </w:rPr>
        <w:t>水取样检测，确认没有污染后，经地方生态环境局确认后，移走“不准饮用”的警示牌，告知当地饮用水住户可饮用的信息</w:t>
      </w:r>
      <w:r>
        <w:rPr>
          <w:rFonts w:cs="Times New Roman"/>
          <w:color w:val="000000" w:themeColor="text1"/>
          <w:highlight w:val="none"/>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如果污染控制措施失败，污染继续扩大，钻井队已无能力继续控制时，则报当地政府及生态环境局，请求立即给予应急救援。同时配合上级有关人员对污染事故进行处理。</w:t>
      </w:r>
    </w:p>
    <w:p>
      <w:pPr>
        <w:ind w:firstLine="482"/>
        <w:rPr>
          <w:rFonts w:cs="Times New Roman"/>
          <w:color w:val="000000" w:themeColor="text1"/>
          <w:highlight w:val="none"/>
          <w14:textFill>
            <w14:solidFill>
              <w14:schemeClr w14:val="tx1"/>
            </w14:solidFill>
          </w14:textFill>
        </w:rPr>
      </w:pPr>
      <w:bookmarkStart w:id="420" w:name="OLE_LINK196"/>
      <w:bookmarkStart w:id="421" w:name="OLE_LINK195"/>
      <w:r>
        <w:rPr>
          <w:rFonts w:cs="Times New Roman"/>
          <w:b/>
          <w:color w:val="000000" w:themeColor="text1"/>
          <w:highlight w:val="none"/>
          <w14:textFill>
            <w14:solidFill>
              <w14:schemeClr w14:val="tx1"/>
            </w14:solidFill>
          </w14:textFill>
        </w:rPr>
        <w:t>4）发生火灾、爆炸的应急预</w:t>
      </w:r>
      <w:bookmarkEnd w:id="420"/>
      <w:bookmarkEnd w:id="421"/>
      <w:r>
        <w:rPr>
          <w:rFonts w:cs="Times New Roman"/>
          <w:b/>
          <w:color w:val="000000" w:themeColor="text1"/>
          <w:highlight w:val="none"/>
          <w14:textFill>
            <w14:solidFill>
              <w14:schemeClr w14:val="tx1"/>
            </w14:solidFill>
          </w14:textFill>
        </w:rPr>
        <w:t>案</w:t>
      </w:r>
    </w:p>
    <w:p>
      <w:pPr>
        <w:ind w:firstLine="480"/>
        <w:rPr>
          <w:rFonts w:cs="Times New Roman"/>
          <w:color w:val="000000" w:themeColor="text1"/>
          <w:highlight w:val="none"/>
          <w14:textFill>
            <w14:solidFill>
              <w14:schemeClr w14:val="tx1"/>
            </w14:solidFill>
          </w14:textFill>
        </w:rPr>
      </w:pPr>
      <w:bookmarkStart w:id="422" w:name="OLE_LINK201"/>
      <w:bookmarkStart w:id="423" w:name="OLE_LINK202"/>
      <w:r>
        <w:rPr>
          <w:rFonts w:cs="Times New Roman"/>
          <w:color w:val="000000" w:themeColor="text1"/>
          <w:highlight w:val="none"/>
          <w14:textFill>
            <w14:solidFill>
              <w14:schemeClr w14:val="tx1"/>
            </w14:solidFill>
          </w14:textFill>
        </w:rPr>
        <w:t>当施工期间发生火灾、爆炸事故时应马上关井转入抢险救援工作。</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放喷燃烧筒等设备发生火灾爆炸，设备设施破坏，现场指挥应立即指挥各工段岗位紧急停车，按紧急停车操作规程执行。</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因爆炸损坏井场液体装置发生泄漏，当班班长立即组织人员用雾状水喷淋泄漏源，岗位当班操作人员开关设备的相关阀门等措施处理事故。</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初期火灾应采取现场灭火器材和消防车结合扑救方式消除，严重火灾、爆炸事故要立即通知地方公安消防部门。</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轻症烧、灼伤、机械挫伤、中毒、触电和其他轻伤人员由现场医护人员医治处理、重症人员由专车、专业医护人员陪护送就近县级以上医院医治。</w:t>
      </w:r>
    </w:p>
    <w:bookmarkEnd w:id="422"/>
    <w:bookmarkEnd w:id="423"/>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5）井喷及井喷失控应急处理预案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井喷时立即启动应急预案，根据事态发展变化情况，事故现场抢险指挥部根据应急领导小组的指令并充分考虑专家和有关意见的基础上，依法采取紧急措施，并注意做好以下工作：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a、井喷失控后严防着火和爆炸。应立即停钻机、机房柴油机，切断井架、钻台、机泵房等处全部照明灯和用电设备的电源，熄灭一切火源，需要时打开专用探照灯，并组织警戒。</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b、立即向当地政府报告，协助当地政府作好井口</w:t>
      </w:r>
      <w:r>
        <w:rPr>
          <w:rFonts w:hint="eastAsia" w:cs="Times New Roman"/>
          <w:color w:val="000000" w:themeColor="text1"/>
          <w:highlight w:val="none"/>
          <w14:textFill>
            <w14:solidFill>
              <w14:schemeClr w14:val="tx1"/>
            </w14:solidFill>
          </w14:textFill>
        </w:rPr>
        <w:t>5000</w:t>
      </w:r>
      <w:r>
        <w:rPr>
          <w:rFonts w:cs="Times New Roman"/>
          <w:color w:val="000000" w:themeColor="text1"/>
          <w:highlight w:val="none"/>
          <w14:textFill>
            <w14:solidFill>
              <w14:schemeClr w14:val="tx1"/>
            </w14:solidFill>
          </w14:textFill>
        </w:rPr>
        <w:t>m范围内居民的疏散工作，同时通报普光分公司应急指挥中心办公室。</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c、设置观察点，定时取样，监测（大气/空气）中的（天然气、H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S和二氧化碳含量/有毒有害气体（如H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S）的浓度），划分安全范围。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d、迅速成立现场抢险领导小组，根据失控状况制定抢险方案，统一指挥、组织和协调抢险工作。抢险方案</w:t>
      </w:r>
      <w:r>
        <w:rPr>
          <w:rFonts w:hint="eastAsia" w:cs="Times New Roman"/>
          <w:color w:val="000000" w:themeColor="text1"/>
          <w:highlight w:val="none"/>
          <w:lang w:eastAsia="zh-CN"/>
          <w14:textFill>
            <w14:solidFill>
              <w14:schemeClr w14:val="tx1"/>
            </w14:solidFill>
          </w14:textFill>
        </w:rPr>
        <w:t>制定</w:t>
      </w:r>
      <w:r>
        <w:rPr>
          <w:rFonts w:cs="Times New Roman"/>
          <w:color w:val="000000" w:themeColor="text1"/>
          <w:highlight w:val="none"/>
          <w14:textFill>
            <w14:solidFill>
              <w14:schemeClr w14:val="tx1"/>
            </w14:solidFill>
          </w14:textFill>
        </w:rPr>
        <w:t>及实施，要把环境保护同时考虑，同时实施，防止出现次生环境事故。</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e、继续监测污染区有毒有害气体的浓度，根据监测情况决定是否扩大撤离范围。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f、当空气中H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S浓度达到15mg/m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（10ppm）的阈限值时，现场应：</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安排专人观察风向、风速确定危险区。</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切断危险区不防爆电器的电源。</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安排专人佩戴正压式空气呼吸器到危险区检测泄漏点。</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非作业人员撤入安全区。</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rFonts w:cs="Times New Roman"/>
          <w:color w:val="000000" w:themeColor="text1"/>
          <w:highlight w:val="none"/>
          <w14:textFill>
            <w14:solidFill>
              <w14:schemeClr w14:val="tx1"/>
            </w14:solidFill>
          </w14:textFill>
        </w:rPr>
        <w:t>继续监测空气中H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S浓度（进行监测）。</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g、当空气中H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S浓度达到30mg/m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（20ppm）的安全临界浓度时，应：</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启动报警音响，戴上正压式空气呼吸器。</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实施井控程序，控制H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S泄漏源。</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切断作业现场所有可能的着火源。</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立即向上级部门报告。</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rFonts w:cs="Times New Roman"/>
          <w:color w:val="000000" w:themeColor="text1"/>
          <w:highlight w:val="none"/>
          <w14:textFill>
            <w14:solidFill>
              <w14:schemeClr w14:val="tx1"/>
            </w14:solidFill>
          </w14:textFill>
        </w:rPr>
        <w:t>指派专人在井口100m、500m、1000m和5000m处进行H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S监测，需要时监测点可适当加密。</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⑥</w:t>
      </w:r>
      <w:r>
        <w:rPr>
          <w:rFonts w:cs="Times New Roman"/>
          <w:color w:val="000000" w:themeColor="text1"/>
          <w:highlight w:val="none"/>
          <w14:textFill>
            <w14:solidFill>
              <w14:schemeClr w14:val="tx1"/>
            </w14:solidFill>
          </w14:textFill>
        </w:rPr>
        <w:t>设立警戒区，任何人未经许可不得入内。</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⑦</w:t>
      </w:r>
      <w:r>
        <w:rPr>
          <w:rFonts w:cs="Times New Roman"/>
          <w:color w:val="000000" w:themeColor="text1"/>
          <w:highlight w:val="none"/>
          <w14:textFill>
            <w14:solidFill>
              <w14:schemeClr w14:val="tx1"/>
            </w14:solidFill>
          </w14:textFill>
        </w:rPr>
        <w:t>撤离现场的非应急处置人员。</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⑧</w:t>
      </w:r>
      <w:r>
        <w:rPr>
          <w:rFonts w:cs="Times New Roman"/>
          <w:color w:val="000000" w:themeColor="text1"/>
          <w:highlight w:val="none"/>
          <w14:textFill>
            <w14:solidFill>
              <w14:schemeClr w14:val="tx1"/>
            </w14:solidFill>
          </w14:textFill>
        </w:rPr>
        <w:t>清点现场人员。</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⑨</w:t>
      </w:r>
      <w:r>
        <w:rPr>
          <w:rFonts w:cs="Times New Roman"/>
          <w:color w:val="000000" w:themeColor="text1"/>
          <w:highlight w:val="none"/>
          <w14:textFill>
            <w14:solidFill>
              <w14:schemeClr w14:val="tx1"/>
            </w14:solidFill>
          </w14:textFill>
        </w:rPr>
        <w:t>通知救援机构，救护人员进入戒备状态。</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h、当井喷失控时，应采取如下措施：</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立即通知并协助当地政府疏散井口</w:t>
      </w:r>
      <w:r>
        <w:rPr>
          <w:rFonts w:hint="eastAsia" w:cs="Times New Roman"/>
          <w:color w:val="000000" w:themeColor="text1"/>
          <w:highlight w:val="none"/>
          <w14:textFill>
            <w14:solidFill>
              <w14:schemeClr w14:val="tx1"/>
            </w14:solidFill>
          </w14:textFill>
        </w:rPr>
        <w:t>500</w:t>
      </w:r>
      <w:r>
        <w:rPr>
          <w:rFonts w:cs="Times New Roman"/>
          <w:color w:val="000000" w:themeColor="text1"/>
          <w:highlight w:val="none"/>
          <w14:textFill>
            <w14:solidFill>
              <w14:schemeClr w14:val="tx1"/>
            </w14:solidFill>
          </w14:textFill>
        </w:rPr>
        <w:t>0m范围内的居民和其他人员，根据监测情况，考虑风向、地形、人口密度、受污染程度等情况及时作出风险和危害程度评估，决定是否扩大撤离范围。</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关停生产设施。</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请求援助。</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i、当井喷失控、空气中H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S浓度达到150mg/m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（100ppm）的危险临界浓度时，现场作业人员应按预案立即撤离井场，通知当地政府和其他有关机构，同时向上级主管部门报告。</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j、在确保人员安全前提下，将氧气瓶、油罐等易燃易爆物品撤离危险区。</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k、点火条件及点火时间</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含硫化氢天然气井出现井喷事故征兆时，现场作业人员应立即进行点火准备工作；</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井喷失控后，在5min内完成井口点火燃烧泄漏天然气，将H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S燃烧转化为SO</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和H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O。</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l、含硫气井井口点火程序：</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含硫气井井喷或井喷失控事故发生后，应防止着火和爆炸。</w:t>
      </w:r>
    </w:p>
    <w:p>
      <w:pPr>
        <w:ind w:firstLine="480"/>
        <w:rPr>
          <w:rFonts w:cs="Times New Roman"/>
          <w:color w:val="000000" w:themeColor="text1"/>
          <w:highlight w:val="none"/>
          <w14:textFill>
            <w14:solidFill>
              <w14:schemeClr w14:val="tx1"/>
            </w14:solidFill>
          </w14:textFill>
        </w:rPr>
      </w:pPr>
      <w:bookmarkStart w:id="424" w:name="OLE_LINK206"/>
      <w:bookmarkStart w:id="425" w:name="OLE_LINK207"/>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发</w:t>
      </w:r>
      <w:bookmarkEnd w:id="424"/>
      <w:bookmarkEnd w:id="425"/>
      <w:r>
        <w:rPr>
          <w:rFonts w:cs="Times New Roman"/>
          <w:color w:val="000000" w:themeColor="text1"/>
          <w:highlight w:val="none"/>
          <w14:textFill>
            <w14:solidFill>
              <w14:schemeClr w14:val="tx1"/>
            </w14:solidFill>
          </w14:textFill>
        </w:rPr>
        <w:t>生井喷后应采取措施控制井喷，若井口压力有可能超过允许关井压力，需点火放喷时，井场应先点火后放喷。</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井喷失控后，在人员的生命受到巨大威胁、人员撤离无望、失控井无希望得到控制的情况下，作为最后手段应按抢险作业程序对油气井井口实施点火。</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气井点火程序的相关内容应在应急预案中予以明确。油气井点火决策人宜由建设单位代表或其授权的现场负责人来担任，并列入应急预案中。</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rFonts w:cs="Times New Roman"/>
          <w:color w:val="000000" w:themeColor="text1"/>
          <w:highlight w:val="none"/>
          <w14:textFill>
            <w14:solidFill>
              <w14:schemeClr w14:val="tx1"/>
            </w14:solidFill>
          </w14:textFill>
        </w:rPr>
        <w:t>井场应配备自动点火装置，并备用手动点火器具。点火人员佩戴防护器具，在上风方向，尽量远离井口使用移动点火器具点火；其他人员集中到上风方向的安全区。</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⑥</w:t>
      </w:r>
      <w:r>
        <w:rPr>
          <w:rFonts w:cs="Times New Roman"/>
          <w:color w:val="000000" w:themeColor="text1"/>
          <w:highlight w:val="none"/>
          <w14:textFill>
            <w14:solidFill>
              <w14:schemeClr w14:val="tx1"/>
            </w14:solidFill>
          </w14:textFill>
        </w:rPr>
        <w:t>点火后应对下风方向尤其是井场生活区、周围集中居住区、医院、学校等人员聚集场所的二氧化硫的浓度进行监测。</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⑦</w:t>
      </w:r>
      <w:r>
        <w:rPr>
          <w:rFonts w:cs="Times New Roman"/>
          <w:color w:val="000000" w:themeColor="text1"/>
          <w:highlight w:val="none"/>
          <w14:textFill>
            <w14:solidFill>
              <w14:schemeClr w14:val="tx1"/>
            </w14:solidFill>
          </w14:textFill>
        </w:rPr>
        <w:t>、井喷发生后，及时安排消防车、救护车、医护人员和技安人员到现场。</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⑧</w:t>
      </w:r>
      <w:r>
        <w:rPr>
          <w:rFonts w:cs="Times New Roman"/>
          <w:color w:val="000000" w:themeColor="text1"/>
          <w:highlight w:val="none"/>
          <w14:textFill>
            <w14:solidFill>
              <w14:schemeClr w14:val="tx1"/>
            </w14:solidFill>
          </w14:textFill>
        </w:rPr>
        <w:t>、在邻近江河、湖泊、环境敏感区以及交通干线等地区，要在进行处置井喷事故的同时，充分考虑到事故和次生事故对环境可能造成的威胁，要严密制定并采取对环境敏感区和易受损资源的保护措施，防止事态扩大和引发次生灾害。</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⑨</w:t>
      </w:r>
      <w:r>
        <w:rPr>
          <w:rFonts w:cs="Times New Roman"/>
          <w:color w:val="000000" w:themeColor="text1"/>
          <w:highlight w:val="none"/>
          <w14:textFill>
            <w14:solidFill>
              <w14:schemeClr w14:val="tx1"/>
            </w14:solidFill>
          </w14:textFill>
        </w:rPr>
        <w:t>、在事故处理结束后，确认作业现场及其周边环境安全的情况下，和地方政府商定撤离群众的返回时间。</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6）H</w:t>
      </w:r>
      <w:r>
        <w:rPr>
          <w:rFonts w:cs="Times New Roman"/>
          <w:b/>
          <w:color w:val="000000" w:themeColor="text1"/>
          <w:highlight w:val="none"/>
          <w:vertAlign w:val="subscript"/>
          <w14:textFill>
            <w14:solidFill>
              <w14:schemeClr w14:val="tx1"/>
            </w14:solidFill>
          </w14:textFill>
        </w:rPr>
        <w:t>2</w:t>
      </w:r>
      <w:r>
        <w:rPr>
          <w:rFonts w:cs="Times New Roman"/>
          <w:b/>
          <w:color w:val="000000" w:themeColor="text1"/>
          <w:highlight w:val="none"/>
          <w14:textFill>
            <w14:solidFill>
              <w14:schemeClr w14:val="tx1"/>
            </w14:solidFill>
          </w14:textFill>
        </w:rPr>
        <w:t>S中毒应急救援预案</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在钻井作业中严格执行《硫化氢环境钻井场所作业安全规范》（SY/T 5087-2017）的规定；在可能存在H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S的场所设立H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S中毒的警示标志和风向标，作业人员尽可能在上风口位置作业；为避免H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S外溢造成人、牲畜伤亡，在即将钻入含H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S地层时，实施现场警戒施工当天应提前疏散村民及牲口，疏散的范围由应急领导小组确定，提前24小时通知当地村社干部。</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在井场按规定配置H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S检测仪，并保证其灵敏可靠；在可能产生H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S的场所工作的员工每人配备防毒面具和空（氧）气呼吸器，并保证有效使用；</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向周围居民进行井喷和防H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S中毒的防护知识的宣传，并调查了解附近居民的分布情况，掌握其最有效的联系方式；</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听到H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S报警信号后立即戴上防毒面具或氧气呼吸器；</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rFonts w:cs="Times New Roman"/>
          <w:color w:val="000000" w:themeColor="text1"/>
          <w:highlight w:val="none"/>
          <w14:textFill>
            <w14:solidFill>
              <w14:schemeClr w14:val="tx1"/>
            </w14:solidFill>
          </w14:textFill>
        </w:rPr>
        <w:t>发出警报信号（鸣喇叭），全队处于应急状态；当班人员按“四七”动作控制井口；非当班人员立即赶到井场作救护准备；卫生员准备担架、氧气袋和急救箱到井场；HSE监督（安全员）检查空气呼吸器并搬出备用；</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⑥</w:t>
      </w:r>
      <w:r>
        <w:rPr>
          <w:rFonts w:cs="Times New Roman"/>
          <w:color w:val="000000" w:themeColor="text1"/>
          <w:highlight w:val="none"/>
          <w14:textFill>
            <w14:solidFill>
              <w14:schemeClr w14:val="tx1"/>
            </w14:solidFill>
          </w14:textFill>
        </w:rPr>
        <w:t>救护人员戴好空气呼吸器到岗位检查井口是否控制住，有无人员中毒；若发现有人员中毒立即抬至空气流通处施行现场急救，同时与挂钩医院联系；</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⑦</w:t>
      </w:r>
      <w:r>
        <w:rPr>
          <w:rFonts w:cs="Times New Roman"/>
          <w:color w:val="000000" w:themeColor="text1"/>
          <w:highlight w:val="none"/>
          <w14:textFill>
            <w14:solidFill>
              <w14:schemeClr w14:val="tx1"/>
            </w14:solidFill>
          </w14:textFill>
        </w:rPr>
        <w:t>由队长和钻井技术员组织处理消除井内的H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S外逸工作。</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7）应急疏散预案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当井喷失控时，应立即通知并协助当地政府疏散井口</w:t>
      </w:r>
      <w:r>
        <w:rPr>
          <w:rFonts w:hint="eastAsia" w:cs="Times New Roman"/>
          <w:color w:val="000000" w:themeColor="text1"/>
          <w:highlight w:val="none"/>
          <w14:textFill>
            <w14:solidFill>
              <w14:schemeClr w14:val="tx1"/>
            </w14:solidFill>
          </w14:textFill>
        </w:rPr>
        <w:t>500</w:t>
      </w:r>
      <w:r>
        <w:rPr>
          <w:rFonts w:cs="Times New Roman"/>
          <w:color w:val="000000" w:themeColor="text1"/>
          <w:highlight w:val="none"/>
          <w14:textFill>
            <w14:solidFill>
              <w14:schemeClr w14:val="tx1"/>
            </w14:solidFill>
          </w14:textFill>
        </w:rPr>
        <w:t>0m范围内的居民和其他人员，根据监测情况，考虑风向、地形、人口密度、受污染程度等情况及时作出风险和危害程度评估，决定是否扩大撤离范围。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a、疏散方向原则</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总体原则为远离泄漏源。</w:t>
      </w: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首先向远离泄漏源的方向撤离；</w:t>
      </w: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其次向上风向或侧风向撤离；</w:t>
      </w: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向高处撤离；</w:t>
      </w: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向交通方便处撤离。</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b、考虑高程情况下应急撤离路径选择原则</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首先确保应急撤离路径为远离泄漏源的路径；</w:t>
      </w: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选择与泄漏源同一高程或高程增加的应急撤离路径；</w:t>
      </w: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选择交通方便的主要应急撤离路径。</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c、井场人员撤离方式方法</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指挥小组根据对事故发展的预测，撤离警报发出后，调度组将井场两处出口通道开至最大，指挥井场内人员及车辆离开，并禁止再次进入，同时指挥外部救援车辆有序进入场区进行事故抢险。</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岗位操作人员，根据当班调度的指令，采取控制事故扩大的措施进行紧急工艺处理（含紧急停车）。非事故岗位人员按照要求关闭电器设备后，并根据当时风向撤离井场前后两集合点。并根据毒物扩散情况，适时撤离到安全地点。撤离时全体人员带上应急自救器材，发现有人受伤时，应先判断环境的安全性再进行救助。人员清点，由后勤保障组长或安全环保组组长指定人员统计应到人数，并及时报告领导小组，以便及时了解是否存在员工滞留在事故区。全体人员在指定的安全点停留，直到警报解除。</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d、周边区域的单位、村居人员的疏散方式方法</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指挥小组根据事故发展趋势的预测，通过警报器向周边单位、村居民发出疏散警报，警报一声表示井场发生严重事故；连续警报不停，告知周边单位、村居人员要进行疏散。对外联系组立即通过电话报告</w:t>
      </w:r>
      <w:r>
        <w:rPr>
          <w:rFonts w:hint="eastAsia" w:cs="Times New Roman"/>
          <w:color w:val="000000" w:themeColor="text1"/>
          <w:highlight w:val="none"/>
          <w14:textFill>
            <w14:solidFill>
              <w14:schemeClr w14:val="tx1"/>
            </w14:solidFill>
          </w14:textFill>
        </w:rPr>
        <w:t>毛坝</w:t>
      </w:r>
      <w:r>
        <w:rPr>
          <w:rFonts w:cs="Times New Roman"/>
          <w:color w:val="000000" w:themeColor="text1"/>
          <w:highlight w:val="none"/>
          <w14:textFill>
            <w14:solidFill>
              <w14:schemeClr w14:val="tx1"/>
            </w14:solidFill>
          </w14:textFill>
        </w:rPr>
        <w:t>镇、宣汉县政府等行政主管部门，申请联动应急救援，同时通知周边单位，村居负责人。周边单位、村居负责人立即组织本单位、村居人员，根据自己所处的位置，徒步有序地疏散到乡镇设定的安全集合点。疏散人员要带上湿毛巾衣物，当闻到臭鸡蛋气味时将口鼻捂住。疏散时HSE管理组、后勤保障组、对外关系组应全力配</w:t>
      </w:r>
      <w:bookmarkStart w:id="426" w:name="OLE_LINK216"/>
      <w:bookmarkStart w:id="427" w:name="OLE_LINK210"/>
      <w:r>
        <w:rPr>
          <w:rFonts w:cs="Times New Roman"/>
          <w:color w:val="000000" w:themeColor="text1"/>
          <w:highlight w:val="none"/>
          <w14:textFill>
            <w14:solidFill>
              <w14:schemeClr w14:val="tx1"/>
            </w14:solidFill>
          </w14:textFill>
        </w:rPr>
        <w:t>合</w:t>
      </w:r>
      <w:bookmarkEnd w:id="426"/>
      <w:bookmarkEnd w:id="427"/>
      <w:r>
        <w:rPr>
          <w:rFonts w:cs="Times New Roman"/>
          <w:color w:val="000000" w:themeColor="text1"/>
          <w:highlight w:val="none"/>
          <w14:textFill>
            <w14:solidFill>
              <w14:schemeClr w14:val="tx1"/>
            </w14:solidFill>
          </w14:textFill>
        </w:rPr>
        <w:t>乡镇政府的疏散工作。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周边居民安全须知和硫化氢泄漏逃生方向示意图见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_Ref142924083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6</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，静风条件下硫化氢泄漏逃生方向示意图见</w:t>
      </w: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REF _Ref142924088 \h  \* MERGEFORMAT </w:instrText>
      </w:r>
      <w:r>
        <w:rPr>
          <w:rFonts w:cs="Times New Roman"/>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7</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95"/>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0" distR="0">
            <wp:extent cx="8740140" cy="4572000"/>
            <wp:effectExtent l="0" t="0" r="381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8740140" cy="4572000"/>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428" w:name="_Ref142924083"/>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fldChar w:fldCharType="end"/>
      </w:r>
      <w:bookmarkEnd w:id="428"/>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周边居民安全须知和硫化氢泄漏逃生方向示意图</w:t>
      </w:r>
    </w:p>
    <w:p>
      <w:pPr>
        <w:ind w:firstLine="480"/>
        <w:rPr>
          <w:rFonts w:cs="Times New Roman"/>
          <w:color w:val="000000" w:themeColor="text1"/>
          <w:highlight w:val="none"/>
          <w14:textFill>
            <w14:solidFill>
              <w14:schemeClr w14:val="tx1"/>
            </w14:solidFill>
          </w14:textFill>
        </w:rPr>
      </w:pPr>
    </w:p>
    <w:p>
      <w:pPr>
        <w:ind w:firstLine="480"/>
        <w:rPr>
          <w:rFonts w:cs="Times New Roman"/>
          <w:color w:val="000000" w:themeColor="text1"/>
          <w:highlight w:val="none"/>
          <w14:textFill>
            <w14:solidFill>
              <w14:schemeClr w14:val="tx1"/>
            </w14:solidFill>
          </w14:textFill>
        </w:rPr>
        <w:sectPr>
          <w:pgSz w:w="16840" w:h="11910" w:orient="landscape"/>
          <w:pgMar w:top="1800" w:right="1440" w:bottom="1800" w:left="1440" w:header="964" w:footer="964" w:gutter="0"/>
          <w:cols w:space="720" w:num="1"/>
          <w:docGrid w:linePitch="326" w:charSpace="0"/>
        </w:sectPr>
      </w:pPr>
    </w:p>
    <w:p>
      <w:pPr>
        <w:pStyle w:val="95"/>
        <w:rPr>
          <w:color w:val="000000" w:themeColor="text1"/>
          <w:highlight w:val="none"/>
          <w14:textFill>
            <w14:solidFill>
              <w14:schemeClr w14:val="tx1"/>
            </w14:solidFill>
          </w14:textFill>
        </w:rPr>
      </w:pPr>
      <w:r>
        <w:rPr>
          <w:rFonts w:eastAsia="宋体"/>
          <w:color w:val="000000" w:themeColor="text1"/>
          <w:highlight w:val="none"/>
          <w14:textFill>
            <w14:solidFill>
              <w14:schemeClr w14:val="tx1"/>
            </w14:solidFill>
          </w14:textFill>
        </w:rPr>
        <w:drawing>
          <wp:inline distT="0" distB="0" distL="0" distR="0">
            <wp:extent cx="5250180" cy="3634740"/>
            <wp:effectExtent l="0" t="0" r="7620" b="3810"/>
            <wp:docPr id="152" name="图片 152" descr="不同风向撤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不同风向撤离图"/>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5250180" cy="3634740"/>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429" w:name="_Ref142924088"/>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6.6</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w:t>
      </w:r>
      <w:r>
        <w:rPr>
          <w:color w:val="000000" w:themeColor="text1"/>
          <w:highlight w:val="none"/>
          <w14:textFill>
            <w14:solidFill>
              <w14:schemeClr w14:val="tx1"/>
            </w14:solidFill>
          </w14:textFill>
        </w:rPr>
        <w:fldChar w:fldCharType="end"/>
      </w:r>
      <w:bookmarkEnd w:id="42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静风条件下硫化氢泄漏逃生方向示意图</w:t>
      </w:r>
    </w:p>
    <w:p>
      <w:pPr>
        <w:ind w:firstLine="480"/>
        <w:rPr>
          <w:rFonts w:cs="Times New Roman"/>
          <w:color w:val="000000" w:themeColor="text1"/>
          <w:highlight w:val="none"/>
          <w14:textFill>
            <w14:solidFill>
              <w14:schemeClr w14:val="tx1"/>
            </w14:solidFill>
          </w14:textFill>
        </w:rPr>
      </w:pPr>
    </w:p>
    <w:p>
      <w:pPr>
        <w:ind w:firstLine="482"/>
        <w:rPr>
          <w:rFonts w:cs="Times New Roman"/>
          <w:b/>
          <w:color w:val="000000" w:themeColor="text1"/>
          <w:highlight w:val="none"/>
          <w14:textFill>
            <w14:solidFill>
              <w14:schemeClr w14:val="tx1"/>
            </w14:solidFill>
          </w14:textFill>
        </w:rPr>
      </w:pPr>
      <w:r>
        <w:rPr>
          <w:rFonts w:hint="eastAsia" w:cs="Times New Roman"/>
          <w:b/>
          <w:color w:val="000000" w:themeColor="text1"/>
          <w:highlight w:val="none"/>
          <w14:textFill>
            <w14:solidFill>
              <w14:schemeClr w14:val="tx1"/>
            </w14:solidFill>
          </w14:textFill>
        </w:rPr>
        <w:t>8</w:t>
      </w:r>
      <w:r>
        <w:rPr>
          <w:rFonts w:cs="Times New Roman"/>
          <w:b/>
          <w:color w:val="000000" w:themeColor="text1"/>
          <w:highlight w:val="none"/>
          <w14:textFill>
            <w14:solidFill>
              <w14:schemeClr w14:val="tx1"/>
            </w14:solidFill>
          </w14:textFill>
        </w:rPr>
        <w:t>）废水转运事故应急预案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为防止环境污染，建设单位应制定废水转运事故应急预案。</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发生废水泄漏或者交通事故等导致废水外泄时，现场拉运工作人员和驾驶员在向主管部门报告的同时，应立即采取有效措施，切断废水与河流、农田等之间的泄漏途径，防止废水进入河流或者农田，阻止事态扩大。</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建设单位应立即组织人员赶赴现场指挥应急抢险，了解掌握事故动态，采取有效措施，组织实施抢救，防止事态扩大；严格保护事故现场，维护现场秩序，收集相关证据；及时将污染情况和应急工作情况上报。</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结合废水转运应急预案，建设单位定期组织进行应急预案演习和培训，提高废水罐车司机和拉运工作人员对突发环境事件的应急处置能力。</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发生事故后，应由当地专业环境监测队伍负责对事故现场进行环境监测，对事故性质、参数与后果进行评估。监测方案可参照《突发环境事件应急监测技术规范》（HJ 589-2010）制定。</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（2）试采过程风险应急预案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根据前述环境风险事故分析，本次评价将针对本项目试采作业的特点，结合企业制定的应急预案，提出试采期环境风险事故应急预案编制要求，供企业及有关部门参考。</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1）通讯联络方式</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报告方式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通常方式有：捎口信、固定电话、移动电话、传真和网络。</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作业区向分公司报告，除非特别紧急的情况采用电话报告外，其它一律书面报告（电传）。</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作业区向当地镇、县、市级政府及其职能部门报告事故时，采用先电话告</w:t>
      </w:r>
      <w:r>
        <w:rPr>
          <w:rFonts w:hint="eastAsia" w:cs="Times New Roman"/>
          <w:color w:val="000000" w:themeColor="text1"/>
          <w:highlight w:val="none"/>
          <w14:textFill>
            <w14:solidFill>
              <w14:schemeClr w14:val="tx1"/>
            </w14:solidFill>
          </w14:textFill>
        </w:rPr>
        <w:t>知</w:t>
      </w:r>
      <w:r>
        <w:rPr>
          <w:rFonts w:cs="Times New Roman"/>
          <w:color w:val="000000" w:themeColor="text1"/>
          <w:highlight w:val="none"/>
          <w14:textFill>
            <w14:solidFill>
              <w14:schemeClr w14:val="tx1"/>
            </w14:solidFill>
          </w14:textFill>
        </w:rPr>
        <w:t>，后附书面报告。</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作业区向村社报告事故时，采用电话或口头报告形式。</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报警方式，作业区确认事故后，对社会公众报警的方式为：电告当地市、区、镇人民政府和所属村社。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电告110、119。</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电告社会团体或企事业单位。</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用高音喇叭通知社会居民或采用口信，一传十，十传百的方式。借助天然气救险车的扩音设备，巡回告</w:t>
      </w:r>
      <w:r>
        <w:rPr>
          <w:rFonts w:hint="eastAsia" w:cs="Times New Roman"/>
          <w:color w:val="000000" w:themeColor="text1"/>
          <w:highlight w:val="none"/>
          <w14:textFill>
            <w14:solidFill>
              <w14:schemeClr w14:val="tx1"/>
            </w14:solidFill>
          </w14:textFill>
        </w:rPr>
        <w:t>知</w:t>
      </w:r>
      <w:r>
        <w:rPr>
          <w:rFonts w:cs="Times New Roman"/>
          <w:color w:val="000000" w:themeColor="text1"/>
          <w:highlight w:val="none"/>
          <w14:textFill>
            <w14:solidFill>
              <w14:schemeClr w14:val="tx1"/>
            </w14:solidFill>
          </w14:textFill>
        </w:rPr>
        <w:t>。</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2）应急响应</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险情发生后，应急指挥启动应急预案；</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应急小组立即形成，由应急指挥组组长统一发布应急指挥命令；</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生产抢修组负责现场流程的切换，协调、配合抢险单位实施应急抢险工作，以及在应急情况下现场人员的疏散（考虑该工程</w:t>
      </w:r>
      <w:r>
        <w:rPr>
          <w:rFonts w:hint="eastAsia" w:cs="Times New Roman"/>
          <w:color w:val="000000" w:themeColor="text1"/>
          <w:highlight w:val="none"/>
          <w14:textFill>
            <w14:solidFill>
              <w14:schemeClr w14:val="tx1"/>
            </w14:solidFill>
          </w14:textFill>
        </w:rPr>
        <w:t>距离</w:t>
      </w:r>
      <w:r>
        <w:rPr>
          <w:rFonts w:cs="Times New Roman"/>
          <w:color w:val="000000" w:themeColor="text1"/>
          <w:highlight w:val="none"/>
          <w14:textFill>
            <w14:solidFill>
              <w14:schemeClr w14:val="tx1"/>
            </w14:solidFill>
          </w14:textFill>
        </w:rPr>
        <w:t>居民房屋近的特点，还应组织附近居民的疏散）；</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安全监护组负责现场可燃气体的检测，安全警戒线的设置，并配合相关单位实施应急救援；</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rFonts w:cs="Times New Roman"/>
          <w:color w:val="000000" w:themeColor="text1"/>
          <w:highlight w:val="none"/>
          <w14:textFill>
            <w14:solidFill>
              <w14:schemeClr w14:val="tx1"/>
            </w14:solidFill>
          </w14:textFill>
        </w:rPr>
        <w:t>通讯联络组负责建立抢险单位、救援单位及地方政府有关部门的联络；</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⑥</w:t>
      </w:r>
      <w:r>
        <w:rPr>
          <w:rFonts w:cs="Times New Roman"/>
          <w:color w:val="000000" w:themeColor="text1"/>
          <w:highlight w:val="none"/>
          <w14:textFill>
            <w14:solidFill>
              <w14:schemeClr w14:val="tx1"/>
            </w14:solidFill>
          </w14:textFill>
        </w:rPr>
        <w:t>后勤保障组负责抢险物资组织，后勤、车辆的保障；</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⑦</w:t>
      </w:r>
      <w:r>
        <w:rPr>
          <w:rFonts w:cs="Times New Roman"/>
          <w:color w:val="000000" w:themeColor="text1"/>
          <w:highlight w:val="none"/>
          <w14:textFill>
            <w14:solidFill>
              <w14:schemeClr w14:val="tx1"/>
            </w14:solidFill>
          </w14:textFill>
        </w:rPr>
        <w:t>站场发生异常情况（大面积泄漏、火灾、爆炸）；</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⑧</w:t>
      </w:r>
      <w:r>
        <w:rPr>
          <w:rFonts w:cs="Times New Roman"/>
          <w:color w:val="000000" w:themeColor="text1"/>
          <w:highlight w:val="none"/>
          <w14:textFill>
            <w14:solidFill>
              <w14:schemeClr w14:val="tx1"/>
            </w14:solidFill>
          </w14:textFill>
        </w:rPr>
        <w:t>集气站值班人员在站控室按下装置ESD按钮，实行全站ESD紧急关断，生产系统闭式放空，同时即向应急指挥汇报起火部位、情况；</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⑨</w:t>
      </w:r>
      <w:r>
        <w:rPr>
          <w:rFonts w:cs="Times New Roman"/>
          <w:color w:val="000000" w:themeColor="text1"/>
          <w:highlight w:val="none"/>
          <w14:textFill>
            <w14:solidFill>
              <w14:schemeClr w14:val="tx1"/>
            </w14:solidFill>
          </w14:textFill>
        </w:rPr>
        <w:t>应急指挥下令启动事故应急预案，在控制室向现场下达应急指令；</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⑩</w:t>
      </w:r>
      <w:r>
        <w:rPr>
          <w:rFonts w:cs="Times New Roman"/>
          <w:color w:val="000000" w:themeColor="text1"/>
          <w:highlight w:val="none"/>
          <w14:textFill>
            <w14:solidFill>
              <w14:schemeClr w14:val="tx1"/>
            </w14:solidFill>
          </w14:textFill>
        </w:rPr>
        <w:t>通讯联络组迅速打电话报警，向中原油田普光分公司、中国石油化工股份有限公司汇报现场情况，并联系抢险单位实施紧急抢险工作，同时向有关地方政府机构通报情况，请求救援；</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⑪</w:t>
      </w:r>
      <w:r>
        <w:rPr>
          <w:rFonts w:cs="Times New Roman"/>
          <w:color w:val="000000" w:themeColor="text1"/>
          <w:highlight w:val="none"/>
          <w14:textFill>
            <w14:solidFill>
              <w14:schemeClr w14:val="tx1"/>
            </w14:solidFill>
          </w14:textFill>
        </w:rPr>
        <w:t>生产抢修组人员立即切断生产现场电源，并对现场流程切断情况进行确认；</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⑫</w:t>
      </w:r>
      <w:r>
        <w:rPr>
          <w:rFonts w:cs="Times New Roman"/>
          <w:color w:val="000000" w:themeColor="text1"/>
          <w:highlight w:val="none"/>
          <w14:textFill>
            <w14:solidFill>
              <w14:schemeClr w14:val="tx1"/>
            </w14:solidFill>
          </w14:textFill>
        </w:rPr>
        <w:t>如现场存在火情，现场抢修组使用固定式消防系统和移动式灭火器进行灭火；</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⑬</w:t>
      </w:r>
      <w:r>
        <w:rPr>
          <w:rFonts w:cs="Times New Roman"/>
          <w:color w:val="000000" w:themeColor="text1"/>
          <w:highlight w:val="none"/>
          <w14:textFill>
            <w14:solidFill>
              <w14:schemeClr w14:val="tx1"/>
            </w14:solidFill>
          </w14:textFill>
        </w:rPr>
        <w:t>安全监护组负责在现场进行检测，在影响距离外设置警戒线，进行安全监护；</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⑭</w:t>
      </w:r>
      <w:r>
        <w:rPr>
          <w:rFonts w:cs="Times New Roman"/>
          <w:color w:val="000000" w:themeColor="text1"/>
          <w:highlight w:val="none"/>
          <w14:textFill>
            <w14:solidFill>
              <w14:schemeClr w14:val="tx1"/>
            </w14:solidFill>
          </w14:textFill>
        </w:rPr>
        <w:t>抢修现场严禁使用非防爆用具，车辆一律熄火站外停放，确因工作需要进入现场的车辆必须</w:t>
      </w:r>
      <w:r>
        <w:rPr>
          <w:rFonts w:hint="eastAsia" w:cs="Times New Roman"/>
          <w:color w:val="000000" w:themeColor="text1"/>
          <w:highlight w:val="none"/>
          <w14:textFill>
            <w14:solidFill>
              <w14:schemeClr w14:val="tx1"/>
            </w14:solidFill>
          </w14:textFill>
        </w:rPr>
        <w:t>佩戴</w:t>
      </w:r>
      <w:r>
        <w:rPr>
          <w:rFonts w:cs="Times New Roman"/>
          <w:color w:val="000000" w:themeColor="text1"/>
          <w:highlight w:val="none"/>
          <w14:textFill>
            <w14:solidFill>
              <w14:schemeClr w14:val="tx1"/>
            </w14:solidFill>
          </w14:textFill>
        </w:rPr>
        <w:t>防火帽，经安全监护组确认安全后，按指定路线行进；</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⑮</w:t>
      </w:r>
      <w:r>
        <w:rPr>
          <w:rFonts w:cs="Times New Roman"/>
          <w:color w:val="000000" w:themeColor="text1"/>
          <w:highlight w:val="none"/>
          <w14:textFill>
            <w14:solidFill>
              <w14:schemeClr w14:val="tx1"/>
            </w14:solidFill>
          </w14:textFill>
        </w:rPr>
        <w:t>后勤保障组负责组织相关的应急抢险物资；</w:t>
      </w:r>
    </w:p>
    <w:p>
      <w:pPr>
        <w:ind w:firstLine="480"/>
        <w:rPr>
          <w:rFonts w:cs="Times New Roman"/>
          <w:color w:val="000000" w:themeColor="text1"/>
          <w:highlight w:val="none"/>
          <w14:textFill>
            <w14:solidFill>
              <w14:schemeClr w14:val="tx1"/>
            </w14:solidFill>
          </w14:textFill>
        </w:rPr>
      </w:pPr>
      <w:r>
        <w:rPr>
          <w:rFonts w:ascii="Cambria Math" w:hAnsi="Cambria Math" w:cs="Cambria Math"/>
          <w:color w:val="000000" w:themeColor="text1"/>
          <w:highlight w:val="none"/>
          <w14:textFill>
            <w14:solidFill>
              <w14:schemeClr w14:val="tx1"/>
            </w14:solidFill>
          </w14:textFill>
        </w:rPr>
        <w:t>⑯</w:t>
      </w:r>
      <w:r>
        <w:rPr>
          <w:rFonts w:cs="Times New Roman"/>
          <w:color w:val="000000" w:themeColor="text1"/>
          <w:highlight w:val="none"/>
          <w14:textFill>
            <w14:solidFill>
              <w14:schemeClr w14:val="tx1"/>
            </w14:solidFill>
          </w14:textFill>
        </w:rPr>
        <w:t>若现场情况无法控制，现场抢修组组织现场人员进行撤离。</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3）事故应急处理措施</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a、硫化氢泄漏应急疏散预案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硫化氢气体泄漏时，必须立即向当地政府报告，同时通知事故影响范围内的厂矿企业和居民立即撤离，并组织和协助当地政府作好事故影响范围内居民的疏散工作。根据当地情况，应立即组织周边居民向管道上风向方向进行撤离。考虑风向、地形、人口密度、受影响程度等情况及时作出风险和危害程度评估，决定是否扩大撤离范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为了在紧急突发事件情况下防止H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S中毒，保障每位员工和站场周围群众的生命安全，应按正确的方法和方向撤离，每位接到撤离通知的员工和群众应按下列程序撤离：</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群众由当地政府组织撤离，</w:t>
      </w:r>
      <w:r>
        <w:rPr>
          <w:rFonts w:cs="Times New Roman"/>
          <w:color w:val="000000" w:themeColor="text1"/>
          <w:highlight w:val="none"/>
          <w:lang w:val="en-GB"/>
          <w14:textFill>
            <w14:solidFill>
              <w14:schemeClr w14:val="tx1"/>
            </w14:solidFill>
          </w14:textFill>
        </w:rPr>
        <w:t>集气站员工由集气站</w:t>
      </w:r>
      <w:r>
        <w:rPr>
          <w:rFonts w:cs="Times New Roman"/>
          <w:color w:val="000000" w:themeColor="text1"/>
          <w:highlight w:val="none"/>
          <w14:textFill>
            <w14:solidFill>
              <w14:schemeClr w14:val="tx1"/>
            </w14:solidFill>
          </w14:textFill>
        </w:rPr>
        <w:t>组织撤离；</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lang w:val="en-GB"/>
          <w14:textFill>
            <w14:solidFill>
              <w14:schemeClr w14:val="tx1"/>
            </w14:solidFill>
          </w14:textFill>
        </w:rPr>
        <w:t>集气站</w:t>
      </w:r>
      <w:r>
        <w:rPr>
          <w:rFonts w:cs="Times New Roman"/>
          <w:color w:val="000000" w:themeColor="text1"/>
          <w:highlight w:val="none"/>
          <w14:textFill>
            <w14:solidFill>
              <w14:schemeClr w14:val="tx1"/>
            </w14:solidFill>
          </w14:textFill>
        </w:rPr>
        <w:t>操作人员戴上正压式空气呼吸器撤离逃生；</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无正压式空气呼吸器者用干净湿毛巾捂住口鼻逃生；</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逃生时要注意风向，一要沿上风（逆风）方向逃生，二要沿着地面上的高处跑，不要接触低凹处的水源。若所处位置沿上风方向逃生时的近道要经过H</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S严重污染区，则横向绕道避开站场吹来的下风，到达非污染区后，再沿上风方向逃生（离站场越远越好）；若所处位置在站场下风方向的较远处，且风速较小，不能沿上风方向逃生而又无横向逃生小道时，可以最快捷的方式顺风逃生到有横向绕道的地方，再横向逃生避开污染区后向上风方向及沿着地面上的高点方向逃生；</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rFonts w:cs="Times New Roman"/>
          <w:color w:val="000000" w:themeColor="text1"/>
          <w:highlight w:val="none"/>
          <w14:textFill>
            <w14:solidFill>
              <w14:schemeClr w14:val="tx1"/>
            </w14:solidFill>
          </w14:textFill>
        </w:rPr>
        <w:t>时间就是生命，紧急逃生时，不要因收贵重物品等事宜延误时间，并且要轻装撤离逃生；</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⑥</w:t>
      </w:r>
      <w:r>
        <w:rPr>
          <w:rFonts w:cs="Times New Roman"/>
          <w:color w:val="000000" w:themeColor="text1"/>
          <w:highlight w:val="none"/>
          <w14:textFill>
            <w14:solidFill>
              <w14:schemeClr w14:val="tx1"/>
            </w14:solidFill>
          </w14:textFill>
        </w:rPr>
        <w:t>当所处位置离站场很远时，则只要偏离风向往离站场越来越远的方向逃生即可。</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b、硫化氢中毒应急救援预案</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场站内需设置硫化氢气体泄漏检测报警系统，对站场天然气泄漏进行检测及报警。硫化氢气体检测报警系统由现场探测器、控制器及配套报警喇叭等设备组成。工艺设备区及井口安装固定式硫化氢探测器，现场探测器的检测信号采用铠装控制电缆敷设至控制器，控制器接收到超标信号，传送至配套喇叭进行报警。RTU的数据上传至集气站控制室、脱硫净化厂中控室。硫化氢气体检测报警1级报警值10mg，2级报警值20mg，工作人员应根据报警值采取相应处理措施。同时在站内设置便携式硫化氢气体检测报警仪1套，对天然气泄漏进行定期巡检。</w:t>
      </w:r>
      <w:r>
        <w:rPr>
          <w:rFonts w:cs="Times New Roman"/>
          <w:bCs/>
          <w:color w:val="000000" w:themeColor="text1"/>
          <w:highlight w:val="none"/>
          <w14:textFill>
            <w14:solidFill>
              <w14:schemeClr w14:val="tx1"/>
            </w14:solidFill>
          </w14:textFill>
        </w:rPr>
        <w:t>在可能产生硫化氢的场所工作的员工每人配备防毒面具和空（氧）气呼吸器，并保证有效使用；</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②</w:t>
      </w:r>
      <w:r>
        <w:rPr>
          <w:rFonts w:cs="Times New Roman"/>
          <w:bCs/>
          <w:color w:val="000000" w:themeColor="text1"/>
          <w:highlight w:val="none"/>
          <w14:textFill>
            <w14:solidFill>
              <w14:schemeClr w14:val="tx1"/>
            </w14:solidFill>
          </w14:textFill>
        </w:rPr>
        <w:t>向周围居民进行防硫化氢中毒的防护知识的宣传，并调查了解附近居民的分布情况，掌握其最有效的联系方式；</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③</w:t>
      </w:r>
      <w:r>
        <w:rPr>
          <w:rFonts w:cs="Times New Roman"/>
          <w:bCs/>
          <w:color w:val="000000" w:themeColor="text1"/>
          <w:highlight w:val="none"/>
          <w14:textFill>
            <w14:solidFill>
              <w14:schemeClr w14:val="tx1"/>
            </w14:solidFill>
          </w14:textFill>
        </w:rPr>
        <w:t>听到硫化氢报警信号后立即戴上防毒面具或氧气呼吸器；</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④</w:t>
      </w:r>
      <w:r>
        <w:rPr>
          <w:rFonts w:cs="Times New Roman"/>
          <w:bCs/>
          <w:color w:val="000000" w:themeColor="text1"/>
          <w:highlight w:val="none"/>
          <w14:textFill>
            <w14:solidFill>
              <w14:schemeClr w14:val="tx1"/>
            </w14:solidFill>
          </w14:textFill>
        </w:rPr>
        <w:t>发出警报信号（鸣喇叭），全队处于应急状态；工作人员需立即赶往现场，按</w:t>
      </w:r>
      <w:r>
        <w:rPr>
          <w:rFonts w:ascii="宋体" w:hAnsi="宋体" w:cs="Times New Roman"/>
          <w:bCs/>
          <w:color w:val="000000" w:themeColor="text1"/>
          <w:highlight w:val="none"/>
          <w14:textFill>
            <w14:solidFill>
              <w14:schemeClr w14:val="tx1"/>
            </w14:solidFill>
          </w14:textFill>
        </w:rPr>
        <w:t>“四七”</w:t>
      </w:r>
      <w:r>
        <w:rPr>
          <w:rFonts w:cs="Times New Roman"/>
          <w:bCs/>
          <w:color w:val="000000" w:themeColor="text1"/>
          <w:highlight w:val="none"/>
          <w14:textFill>
            <w14:solidFill>
              <w14:schemeClr w14:val="tx1"/>
            </w14:solidFill>
          </w14:textFill>
        </w:rPr>
        <w:t>动作控制井口至脱硫塔前区域；做好站场救护准备；卫生员准备担架、氧气袋和急救箱到站场；HSE监督（安全员）检查空气呼吸器并搬出备用；</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⑤</w:t>
      </w:r>
      <w:r>
        <w:rPr>
          <w:rFonts w:cs="Times New Roman"/>
          <w:bCs/>
          <w:color w:val="000000" w:themeColor="text1"/>
          <w:highlight w:val="none"/>
          <w14:textFill>
            <w14:solidFill>
              <w14:schemeClr w14:val="tx1"/>
            </w14:solidFill>
          </w14:textFill>
        </w:rPr>
        <w:t>救护人员戴好空气呼吸器到岗位检查井口区域是否控制住，有无人员中毒；若发现有人员中毒立即抬至空气流通处施行现场急救，同时与挂钩医院联系；</w:t>
      </w:r>
    </w:p>
    <w:p>
      <w:pPr>
        <w:ind w:firstLine="480"/>
        <w:rPr>
          <w:rFonts w:cs="Times New Roman"/>
          <w:bCs/>
          <w:color w:val="000000" w:themeColor="text1"/>
          <w:highlight w:val="none"/>
          <w14:textFill>
            <w14:solidFill>
              <w14:schemeClr w14:val="tx1"/>
            </w14:solidFill>
          </w14:textFill>
        </w:rPr>
      </w:pPr>
      <w:r>
        <w:rPr>
          <w:rFonts w:hint="eastAsia" w:ascii="宋体" w:hAnsi="宋体" w:cs="宋体"/>
          <w:bCs/>
          <w:color w:val="000000" w:themeColor="text1"/>
          <w:highlight w:val="none"/>
          <w14:textFill>
            <w14:solidFill>
              <w14:schemeClr w14:val="tx1"/>
            </w14:solidFill>
          </w14:textFill>
        </w:rPr>
        <w:t>⑥</w:t>
      </w:r>
      <w:r>
        <w:rPr>
          <w:rFonts w:cs="Times New Roman"/>
          <w:bCs/>
          <w:color w:val="000000" w:themeColor="text1"/>
          <w:highlight w:val="none"/>
          <w14:textFill>
            <w14:solidFill>
              <w14:schemeClr w14:val="tx1"/>
            </w14:solidFill>
          </w14:textFill>
        </w:rPr>
        <w:t>由技术员组织处理消除井内的H</w:t>
      </w:r>
      <w:r>
        <w:rPr>
          <w:rFonts w:cs="Times New Roman"/>
          <w:bCs/>
          <w:color w:val="000000" w:themeColor="text1"/>
          <w:highlight w:val="none"/>
          <w:vertAlign w:val="subscript"/>
          <w14:textFill>
            <w14:solidFill>
              <w14:schemeClr w14:val="tx1"/>
            </w14:solidFill>
          </w14:textFill>
        </w:rPr>
        <w:t>2</w:t>
      </w:r>
      <w:r>
        <w:rPr>
          <w:rFonts w:cs="Times New Roman"/>
          <w:bCs/>
          <w:color w:val="000000" w:themeColor="text1"/>
          <w:highlight w:val="none"/>
          <w14:textFill>
            <w14:solidFill>
              <w14:schemeClr w14:val="tx1"/>
            </w14:solidFill>
          </w14:textFill>
        </w:rPr>
        <w:t>S外逸工作。</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4）应急监测</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按照《中国石油化工股份有限公司中原油田普光分公司环境突发环境事故应急预案》要求开展应急监测。</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5）事故后的恢复程序</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当恢复生产后，善后工作由现场人员负责具体落实，主要包括以下内容：</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对现场进行清理，撤除所有的机具设备。</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恢复地貌、植被；疏通河道、交通。</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根据事故破坏情况，进行评估，按照相关法律，进行赔偿。</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t>做好各项记录，进行归档整理。</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6）应急培训与演练</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应急培训和演练是培养和提高各岗位操作人员以及其他人员的日常应急处理能力的重要手段。按照《中国石油化工股份有限公司中原油田普光分公司环境突发环境事故应急预案》要求执行应急培训与演练。</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highlight w:val="none"/>
          <w14:textFill>
            <w14:solidFill>
              <w14:schemeClr w14:val="tx1"/>
            </w14:solidFill>
          </w14:textFill>
        </w:rPr>
        <w:t>根据调查了解，本项目所在的普光气田自勘探开发以来未发生过井喷或废水、固废泄露导致周边河流、地下水与土壤污染的事故发生，因此本项目拟采取的环境风险防范措施有效可行。</w:t>
      </w:r>
    </w:p>
    <w:p>
      <w:pPr>
        <w:pStyle w:val="3"/>
        <w:spacing w:before="0" w:beforeLines="0"/>
        <w:rPr>
          <w:color w:val="000000" w:themeColor="text1"/>
          <w:highlight w:val="none"/>
          <w:lang w:eastAsia="zh-CN"/>
          <w14:textFill>
            <w14:solidFill>
              <w14:schemeClr w14:val="tx1"/>
            </w14:solidFill>
          </w14:textFill>
        </w:rPr>
      </w:pPr>
      <w:bookmarkStart w:id="430" w:name="5.3.7分析结论"/>
      <w:bookmarkEnd w:id="430"/>
      <w:bookmarkStart w:id="431" w:name="_Toc32644"/>
      <w:r>
        <w:rPr>
          <w:color w:val="000000" w:themeColor="text1"/>
          <w:highlight w:val="none"/>
          <w:lang w:eastAsia="zh-CN"/>
          <w14:textFill>
            <w14:solidFill>
              <w14:schemeClr w14:val="tx1"/>
            </w14:solidFill>
          </w14:textFill>
        </w:rPr>
        <w:t>分析结论</w:t>
      </w:r>
      <w:bookmarkEnd w:id="431"/>
    </w:p>
    <w:p>
      <w:pPr>
        <w:ind w:firstLine="480"/>
        <w:rPr>
          <w:rFonts w:cs="Times New Roman"/>
          <w:color w:val="000000" w:themeColor="text1"/>
          <w:szCs w:val="26"/>
          <w:highlight w:val="none"/>
          <w14:textFill>
            <w14:solidFill>
              <w14:schemeClr w14:val="tx1"/>
            </w14:solidFill>
          </w14:textFill>
        </w:rPr>
      </w:pPr>
      <w:r>
        <w:rPr>
          <w:rFonts w:cs="Times New Roman"/>
          <w:color w:val="000000" w:themeColor="text1"/>
          <w:szCs w:val="26"/>
          <w:highlight w:val="none"/>
          <w14:textFill>
            <w14:solidFill>
              <w14:schemeClr w14:val="tx1"/>
            </w14:solidFill>
          </w14:textFill>
        </w:rPr>
        <w:t>本工程地质条件、钻井深度、地层压力、天然气含量等综合试采条件在行业的试采井中属于中等不利，环境风险大小处于</w:t>
      </w:r>
      <w:r>
        <w:rPr>
          <w:rFonts w:hint="eastAsia" w:ascii="宋体" w:hAnsi="宋体" w:cs="宋体"/>
          <w:color w:val="000000" w:themeColor="text1"/>
          <w:szCs w:val="26"/>
          <w:highlight w:val="none"/>
          <w14:textFill>
            <w14:solidFill>
              <w14:schemeClr w14:val="tx1"/>
            </w14:solidFill>
          </w14:textFill>
        </w:rPr>
        <w:t>“引入风险削减措施”级</w:t>
      </w:r>
      <w:r>
        <w:rPr>
          <w:rFonts w:cs="Times New Roman"/>
          <w:color w:val="000000" w:themeColor="text1"/>
          <w:szCs w:val="26"/>
          <w:highlight w:val="none"/>
          <w14:textFill>
            <w14:solidFill>
              <w14:schemeClr w14:val="tx1"/>
            </w14:solidFill>
          </w14:textFill>
        </w:rPr>
        <w:t>别，与工程地层情况类似的相邻井在钻井中未发生井喷失控事故，发生可能诱发井喷失控的不良现象很少，仅表现为井漏，未出现井喷情况。废水、固废、油类物质等设置于罐内或池内，井场分区分级防渗，发生</w:t>
      </w:r>
      <w:r>
        <w:rPr>
          <w:rFonts w:cs="Times New Roman"/>
          <w:bCs/>
          <w:color w:val="000000" w:themeColor="text1"/>
          <w:szCs w:val="26"/>
          <w:highlight w:val="none"/>
          <w14:textFill>
            <w14:solidFill>
              <w14:schemeClr w14:val="tx1"/>
            </w14:solidFill>
          </w14:textFill>
        </w:rPr>
        <w:t>泄漏</w:t>
      </w:r>
      <w:r>
        <w:rPr>
          <w:rFonts w:cs="Times New Roman"/>
          <w:color w:val="000000" w:themeColor="text1"/>
          <w:szCs w:val="26"/>
          <w:highlight w:val="none"/>
          <w14:textFill>
            <w14:solidFill>
              <w14:schemeClr w14:val="tx1"/>
            </w14:solidFill>
          </w14:textFill>
        </w:rPr>
        <w:t>可能性低且有完善应急处置措施。项目发生风险事故的机率小，风险事故对人身安全、健康、环境的后果影响小，但是要尽量采取风险防范措施尽量避免事故发生，同时完善环境风险应急措施，组织编制、学习、演练应急预案以便在事故发生后将影响降低到最小程度，在采取以上措施后，可将工程环境风险控制在可接受范围内，本项目环境风险可接受。</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6.7</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建设项目环境风险简单分析内容表</w:t>
      </w:r>
    </w:p>
    <w:tbl>
      <w:tblPr>
        <w:tblStyle w:val="5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5"/>
        <w:gridCol w:w="1265"/>
        <w:gridCol w:w="2291"/>
        <w:gridCol w:w="1079"/>
        <w:gridCol w:w="1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建设项目名称</w:t>
            </w:r>
          </w:p>
        </w:tc>
        <w:tc>
          <w:tcPr>
            <w:tcW w:w="3888" w:type="pct"/>
            <w:gridSpan w:val="4"/>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大湾408-3井钻井及试采工程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建设地点</w:t>
            </w:r>
          </w:p>
        </w:tc>
        <w:tc>
          <w:tcPr>
            <w:tcW w:w="3888" w:type="pct"/>
            <w:gridSpan w:val="4"/>
            <w:vAlign w:val="center"/>
          </w:tcPr>
          <w:p>
            <w:pPr>
              <w:pStyle w:val="297"/>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14:textFill>
                  <w14:solidFill>
                    <w14:schemeClr w14:val="tx1"/>
                  </w14:solidFill>
                </w14:textFill>
              </w:rPr>
              <w:t>宣汉县</w:t>
            </w:r>
            <w:r>
              <w:rPr>
                <w:rFonts w:hint="eastAsia"/>
                <w:color w:val="000000" w:themeColor="text1"/>
                <w:highlight w:val="none"/>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1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地理坐标</w:t>
            </w:r>
          </w:p>
        </w:tc>
        <w:tc>
          <w:tcPr>
            <w:tcW w:w="74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经度</w:t>
            </w:r>
          </w:p>
        </w:tc>
        <w:tc>
          <w:tcPr>
            <w:tcW w:w="1344"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107.81227112</w:t>
            </w:r>
            <w:r>
              <w:rPr>
                <w:color w:val="000000" w:themeColor="text1"/>
                <w:highlight w:val="none"/>
                <w14:textFill>
                  <w14:solidFill>
                    <w14:schemeClr w14:val="tx1"/>
                  </w14:solidFill>
                </w14:textFill>
              </w:rPr>
              <w:t>°东</w:t>
            </w:r>
          </w:p>
        </w:tc>
        <w:tc>
          <w:tcPr>
            <w:tcW w:w="633"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纬度</w:t>
            </w:r>
          </w:p>
        </w:tc>
        <w:tc>
          <w:tcPr>
            <w:tcW w:w="1169" w:type="pct"/>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31.64315210</w:t>
            </w:r>
            <w:r>
              <w:rPr>
                <w:color w:val="000000" w:themeColor="text1"/>
                <w:highlight w:val="none"/>
                <w14:textFill>
                  <w14:solidFill>
                    <w14:schemeClr w14:val="tx1"/>
                  </w14:solidFill>
                </w14:textFill>
              </w:rPr>
              <w:t>°北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11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主要危险物质及分布</w:t>
            </w:r>
          </w:p>
        </w:tc>
        <w:tc>
          <w:tcPr>
            <w:tcW w:w="6628"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1、施工期：柴油、白油及废油，总量为</w:t>
            </w: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6.085t，油罐暂存井场防渗区内，白油暂存</w:t>
            </w:r>
            <w:r>
              <w:rPr>
                <w:rFonts w:hint="eastAsia"/>
                <w:color w:val="000000" w:themeColor="text1"/>
                <w:highlight w:val="none"/>
                <w14:textFill>
                  <w14:solidFill>
                    <w14:schemeClr w14:val="tx1"/>
                  </w14:solidFill>
                </w14:textFill>
              </w:rPr>
              <w:t>于油桶</w:t>
            </w:r>
            <w:r>
              <w:rPr>
                <w:color w:val="000000" w:themeColor="text1"/>
                <w:highlight w:val="none"/>
                <w14:textFill>
                  <w14:solidFill>
                    <w14:schemeClr w14:val="tx1"/>
                  </w14:solidFill>
                </w14:textFill>
              </w:rPr>
              <w:t>区，废油</w:t>
            </w:r>
            <w:r>
              <w:rPr>
                <w:rFonts w:hint="eastAsia"/>
                <w:color w:val="000000" w:themeColor="text1"/>
                <w:highlight w:val="none"/>
                <w14:textFill>
                  <w14:solidFill>
                    <w14:schemeClr w14:val="tx1"/>
                  </w14:solidFill>
                </w14:textFill>
              </w:rPr>
              <w:t>及废含油抹布手套</w:t>
            </w:r>
            <w:r>
              <w:rPr>
                <w:color w:val="000000" w:themeColor="text1"/>
                <w:highlight w:val="none"/>
                <w14:textFill>
                  <w14:solidFill>
                    <w14:schemeClr w14:val="tx1"/>
                  </w14:solidFill>
                </w14:textFill>
              </w:rPr>
              <w:t>设置废油桶集中收集暂存于泥浆不落地装置区临时堆放区内，钻井队综合利用或交由有资质的单位处理；甲烷井喷失控</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量为</w:t>
            </w:r>
            <w:r>
              <w:rPr>
                <w:rFonts w:hint="eastAsia"/>
                <w:color w:val="000000" w:themeColor="text1"/>
                <w:highlight w:val="none"/>
                <w14:textFill>
                  <w14:solidFill>
                    <w14:schemeClr w14:val="tx1"/>
                  </w14:solidFill>
                </w14:textFill>
              </w:rPr>
              <w:t>8.15t，硫化氢</w:t>
            </w:r>
            <w:r>
              <w:rPr>
                <w:color w:val="000000" w:themeColor="text1"/>
                <w:highlight w:val="none"/>
                <w14:textFill>
                  <w14:solidFill>
                    <w14:schemeClr w14:val="tx1"/>
                  </w14:solidFill>
                </w14:textFill>
              </w:rPr>
              <w:t>井喷失控</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量为</w:t>
            </w:r>
            <w:r>
              <w:rPr>
                <w:rFonts w:hint="eastAsia"/>
                <w:color w:val="000000" w:themeColor="text1"/>
                <w:highlight w:val="none"/>
                <w14:textFill>
                  <w14:solidFill>
                    <w14:schemeClr w14:val="tx1"/>
                  </w14:solidFill>
                </w14:textFill>
              </w:rPr>
              <w:t>4.04t；储层改造阶段柴油约16t盐酸折算后约4.5t临时存于罐车内</w:t>
            </w:r>
            <w:r>
              <w:rPr>
                <w:color w:val="000000" w:themeColor="text1"/>
                <w:highlight w:val="none"/>
                <w14:textFill>
                  <w14:solidFill>
                    <w14:schemeClr w14:val="tx1"/>
                  </w14:solidFill>
                </w14:textFill>
              </w:rPr>
              <w:t>。</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2、试采期站内：甲烷设备在线量为0.</w:t>
            </w:r>
            <w:r>
              <w:rPr>
                <w:rFonts w:hint="eastAsia"/>
                <w:color w:val="000000" w:themeColor="text1"/>
                <w:highlight w:val="none"/>
                <w14:textFill>
                  <w14:solidFill>
                    <w14:schemeClr w14:val="tx1"/>
                  </w14:solidFill>
                </w14:textFill>
              </w:rPr>
              <w:t>26</w:t>
            </w:r>
            <w:r>
              <w:rPr>
                <w:color w:val="000000" w:themeColor="text1"/>
                <w:highlight w:val="none"/>
                <w14:textFill>
                  <w14:solidFill>
                    <w14:schemeClr w14:val="tx1"/>
                  </w14:solidFill>
                </w14:textFill>
              </w:rPr>
              <w:t>t</w:t>
            </w:r>
            <w:r>
              <w:rPr>
                <w:rFonts w:hint="eastAsia"/>
                <w:color w:val="000000" w:themeColor="text1"/>
                <w:highlight w:val="none"/>
                <w14:textFill>
                  <w14:solidFill>
                    <w14:schemeClr w14:val="tx1"/>
                  </w14:solidFill>
                </w14:textFill>
              </w:rPr>
              <w:t>，硫化氢</w:t>
            </w:r>
            <w:r>
              <w:rPr>
                <w:color w:val="000000" w:themeColor="text1"/>
                <w:highlight w:val="none"/>
                <w14:textFill>
                  <w14:solidFill>
                    <w14:schemeClr w14:val="tx1"/>
                  </w14:solidFill>
                </w14:textFill>
              </w:rPr>
              <w:t>设备在线量为0.</w:t>
            </w:r>
            <w:r>
              <w:rPr>
                <w:rFonts w:hint="eastAsia"/>
                <w:color w:val="000000" w:themeColor="text1"/>
                <w:highlight w:val="none"/>
                <w14:textFill>
                  <w14:solidFill>
                    <w14:schemeClr w14:val="tx1"/>
                  </w14:solidFill>
                </w14:textFill>
              </w:rPr>
              <w:t>13</w:t>
            </w:r>
            <w:r>
              <w:rPr>
                <w:color w:val="000000" w:themeColor="text1"/>
                <w:highlight w:val="none"/>
                <w14:textFill>
                  <w14:solidFill>
                    <w14:schemeClr w14:val="tx1"/>
                  </w14:solidFill>
                </w14:textFill>
              </w:rPr>
              <w:t>t。</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3、试采期</w:t>
            </w:r>
            <w:r>
              <w:rPr>
                <w:rFonts w:hint="eastAsia"/>
                <w:color w:val="000000" w:themeColor="text1"/>
                <w:highlight w:val="none"/>
                <w14:textFill>
                  <w14:solidFill>
                    <w14:schemeClr w14:val="tx1"/>
                  </w14:solidFill>
                </w14:textFill>
              </w:rPr>
              <w:t>集输管线</w:t>
            </w:r>
            <w:r>
              <w:rPr>
                <w:color w:val="000000" w:themeColor="text1"/>
                <w:highlight w:val="none"/>
                <w14:textFill>
                  <w14:solidFill>
                    <w14:schemeClr w14:val="tx1"/>
                  </w14:solidFill>
                </w14:textFill>
              </w:rPr>
              <w:t>甲烷在线量为</w:t>
            </w:r>
            <w:r>
              <w:rPr>
                <w:rFonts w:hint="eastAsia"/>
                <w:color w:val="000000" w:themeColor="text1"/>
                <w:highlight w:val="none"/>
                <w14:textFill>
                  <w14:solidFill>
                    <w14:schemeClr w14:val="tx1"/>
                  </w14:solidFill>
                </w14:textFill>
              </w:rPr>
              <w:t>0.0049</w:t>
            </w:r>
            <w:r>
              <w:rPr>
                <w:color w:val="000000" w:themeColor="text1"/>
                <w:highlight w:val="none"/>
                <w14:textFill>
                  <w14:solidFill>
                    <w14:schemeClr w14:val="tx1"/>
                  </w14:solidFill>
                </w14:textFill>
              </w:rPr>
              <w:t>t</w:t>
            </w:r>
            <w:r>
              <w:rPr>
                <w:rFonts w:hint="eastAsia"/>
                <w:color w:val="000000" w:themeColor="text1"/>
                <w:highlight w:val="none"/>
                <w14:textFill>
                  <w14:solidFill>
                    <w14:schemeClr w14:val="tx1"/>
                  </w14:solidFill>
                </w14:textFill>
              </w:rPr>
              <w:t>，硫化氢</w:t>
            </w:r>
            <w:r>
              <w:rPr>
                <w:color w:val="000000" w:themeColor="text1"/>
                <w:highlight w:val="none"/>
                <w14:textFill>
                  <w14:solidFill>
                    <w14:schemeClr w14:val="tx1"/>
                  </w14:solidFill>
                </w14:textFill>
              </w:rPr>
              <w:t>在线量为</w:t>
            </w:r>
            <w:r>
              <w:rPr>
                <w:rFonts w:hint="eastAsia"/>
                <w:color w:val="000000" w:themeColor="text1"/>
                <w:highlight w:val="none"/>
                <w14:textFill>
                  <w14:solidFill>
                    <w14:schemeClr w14:val="tx1"/>
                  </w14:solidFill>
                </w14:textFill>
              </w:rPr>
              <w:t>0.002</w:t>
            </w:r>
            <w:r>
              <w:rPr>
                <w:color w:val="000000" w:themeColor="text1"/>
                <w:highlight w:val="none"/>
                <w14:textFill>
                  <w14:solidFill>
                    <w14:schemeClr w14:val="tx1"/>
                  </w14:solidFill>
                </w14:textFill>
              </w:rPr>
              <w:t>t</w:t>
            </w:r>
            <w:r>
              <w:rPr>
                <w:rFonts w:hint="eastAsia"/>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4" w:hRule="atLeast"/>
        </w:trPr>
        <w:tc>
          <w:tcPr>
            <w:tcW w:w="11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环境影响途径及危害后果</w:t>
            </w:r>
          </w:p>
        </w:tc>
        <w:tc>
          <w:tcPr>
            <w:tcW w:w="6628" w:type="dxa"/>
            <w:gridSpan w:val="4"/>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油类危害途径及危害后果为：柴油在使用、储运过程中的风险主要来自于柴油罐自身缺陷、人员误操作、老化等造成的泄漏以及外部破坏产生的事故以及柴油拉运至井场过程中出现交通事故可能引起柴油泄漏污染水体、土壤；</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甲烷、硫化氢危害途径及危害后果为：当钻进气层后，遇到高压气流，因各种原因使井内压力不能平衡地层压力时而造成井喷和井喷失控事故；其中可能造成最大危害的是井喷失控喷射出的天然气扩散中毒影响环境空气及破坏植被，天然气遇火燃烧爆炸造成冲击波和热辐射伤人、伤亡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9" w:hRule="atLeast"/>
        </w:trPr>
        <w:tc>
          <w:tcPr>
            <w:tcW w:w="1112" w:type="pc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风险防范措施要求</w:t>
            </w:r>
          </w:p>
        </w:tc>
        <w:tc>
          <w:tcPr>
            <w:tcW w:w="6628" w:type="dxa"/>
            <w:gridSpan w:val="4"/>
            <w:vAlign w:val="center"/>
          </w:tcPr>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制定应急救援预案并定期演练；</w:t>
            </w:r>
          </w:p>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配备完善的放空系统、安全截断系统、可燃气体报警系统；</w:t>
            </w:r>
          </w:p>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③</w:t>
            </w:r>
            <w:r>
              <w:rPr>
                <w:color w:val="000000" w:themeColor="text1"/>
                <w:highlight w:val="none"/>
                <w14:textFill>
                  <w14:solidFill>
                    <w14:schemeClr w14:val="tx1"/>
                  </w14:solidFill>
                </w14:textFill>
              </w:rPr>
              <w:t>按照相关规范进行了防爆、防雷、防静电设计；</w:t>
            </w:r>
          </w:p>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与站场周边的居民和当地村委会建立联络沟通机制，完善应急监控能力；</w:t>
            </w:r>
          </w:p>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⑤</w:t>
            </w:r>
            <w:r>
              <w:rPr>
                <w:color w:val="000000" w:themeColor="text1"/>
                <w:highlight w:val="none"/>
                <w14:textFill>
                  <w14:solidFill>
                    <w14:schemeClr w14:val="tx1"/>
                  </w14:solidFill>
                </w14:textFill>
              </w:rPr>
              <w:t>定期对站场设备及管线进行巡检，检查设备及管线有无漏点，确保其设备完好，无泄漏发生；</w:t>
            </w:r>
          </w:p>
          <w:p>
            <w:pPr>
              <w:pStyle w:val="297"/>
              <w:jc w:val="left"/>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⑥</w:t>
            </w:r>
            <w:r>
              <w:rPr>
                <w:color w:val="000000" w:themeColor="text1"/>
                <w:highlight w:val="none"/>
                <w14:textFill>
                  <w14:solidFill>
                    <w14:schemeClr w14:val="tx1"/>
                  </w14:solidFill>
                </w14:textFill>
              </w:rPr>
              <w:t>钻井期做好分区分级防渗，设置围堰，试采期对</w:t>
            </w:r>
            <w:r>
              <w:rPr>
                <w:rFonts w:hint="eastAsia"/>
                <w:color w:val="000000" w:themeColor="text1"/>
                <w:highlight w:val="none"/>
                <w:lang w:eastAsia="zh-CN"/>
                <w14:textFill>
                  <w14:solidFill>
                    <w14:schemeClr w14:val="tx1"/>
                  </w14:solidFill>
                </w14:textFill>
              </w:rPr>
              <w:t>酸液缓冲罐</w:t>
            </w:r>
            <w:r>
              <w:rPr>
                <w:color w:val="000000" w:themeColor="text1"/>
                <w:highlight w:val="none"/>
                <w14:textFill>
                  <w14:solidFill>
                    <w14:schemeClr w14:val="tx1"/>
                  </w14:solidFill>
                </w14:textFill>
              </w:rPr>
              <w:t>等进行地面硬化、防渗，做好防雨、防晒措施；修建围堰，防止油类泄漏进入周围环境。</w:t>
            </w:r>
          </w:p>
        </w:tc>
      </w:tr>
    </w:tbl>
    <w:p>
      <w:pPr>
        <w:ind w:firstLine="480"/>
        <w:jc w:val="center"/>
        <w:rPr>
          <w:rFonts w:cs="Times New Roman"/>
          <w:color w:val="000000" w:themeColor="text1"/>
          <w:szCs w:val="24"/>
          <w:highlight w:val="none"/>
          <w14:textFill>
            <w14:solidFill>
              <w14:schemeClr w14:val="tx1"/>
            </w14:solidFill>
          </w14:textFill>
        </w:rPr>
      </w:pP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br w:type="page"/>
      </w:r>
    </w:p>
    <w:p>
      <w:pPr>
        <w:ind w:firstLine="0" w:firstLineChars="0"/>
        <w:rPr>
          <w:color w:val="000000" w:themeColor="text1"/>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2"/>
        <w:rPr>
          <w:color w:val="000000" w:themeColor="text1"/>
          <w:highlight w:val="none"/>
          <w:lang w:eastAsia="zh-CN"/>
          <w14:textFill>
            <w14:solidFill>
              <w14:schemeClr w14:val="tx1"/>
            </w14:solidFill>
          </w14:textFill>
        </w:rPr>
      </w:pPr>
      <w:bookmarkStart w:id="432" w:name="_Toc27428"/>
      <w:r>
        <w:rPr>
          <w:color w:val="000000" w:themeColor="text1"/>
          <w:highlight w:val="none"/>
          <w:lang w:eastAsia="zh-CN"/>
          <w14:textFill>
            <w14:solidFill>
              <w14:schemeClr w14:val="tx1"/>
            </w14:solidFill>
          </w14:textFill>
        </w:rPr>
        <w:t>环境保护措施及其可行性论证</w:t>
      </w:r>
      <w:bookmarkEnd w:id="432"/>
    </w:p>
    <w:p>
      <w:pPr>
        <w:pStyle w:val="3"/>
        <w:spacing w:before="0" w:beforeLines="0"/>
        <w:rPr>
          <w:color w:val="000000" w:themeColor="text1"/>
          <w:highlight w:val="none"/>
          <w:lang w:eastAsia="zh-CN"/>
          <w14:textFill>
            <w14:solidFill>
              <w14:schemeClr w14:val="tx1"/>
            </w14:solidFill>
          </w14:textFill>
        </w:rPr>
      </w:pPr>
      <w:bookmarkStart w:id="433" w:name="_bookmark32"/>
      <w:bookmarkEnd w:id="433"/>
      <w:bookmarkStart w:id="434" w:name="6.1施工期环境保护措施及可行性分析"/>
      <w:bookmarkEnd w:id="434"/>
      <w:bookmarkStart w:id="435" w:name="_Toc23947"/>
      <w:r>
        <w:rPr>
          <w:color w:val="000000" w:themeColor="text1"/>
          <w:highlight w:val="none"/>
          <w:lang w:eastAsia="zh-CN"/>
          <w14:textFill>
            <w14:solidFill>
              <w14:schemeClr w14:val="tx1"/>
            </w14:solidFill>
          </w14:textFill>
        </w:rPr>
        <w:t>施工期环境保护措施及可行性分析</w:t>
      </w:r>
      <w:bookmarkEnd w:id="435"/>
    </w:p>
    <w:p>
      <w:pPr>
        <w:pStyle w:val="4"/>
        <w:spacing w:before="0" w:beforeLines="0"/>
        <w:ind w:firstLine="480"/>
        <w:rPr>
          <w:b/>
          <w:color w:val="000000" w:themeColor="text1"/>
          <w:highlight w:val="none"/>
          <w:lang w:eastAsia="zh-CN"/>
          <w14:textFill>
            <w14:solidFill>
              <w14:schemeClr w14:val="tx1"/>
            </w14:solidFill>
          </w14:textFill>
        </w:rPr>
      </w:pPr>
      <w:bookmarkStart w:id="436" w:name="6.1.1施工废气防治措施及可行性分析"/>
      <w:bookmarkEnd w:id="436"/>
      <w:bookmarkStart w:id="437" w:name="_Toc120173210"/>
      <w:r>
        <w:rPr>
          <w:color w:val="000000" w:themeColor="text1"/>
          <w:highlight w:val="none"/>
          <w:lang w:eastAsia="zh-CN"/>
          <w14:textFill>
            <w14:solidFill>
              <w14:schemeClr w14:val="tx1"/>
            </w14:solidFill>
          </w14:textFill>
        </w:rPr>
        <w:t>施工期生态环境保护措施及可行性分析</w:t>
      </w:r>
      <w:bookmarkEnd w:id="437"/>
    </w:p>
    <w:p>
      <w:pPr>
        <w:ind w:firstLine="480"/>
        <w:rPr>
          <w:color w:val="000000" w:themeColor="text1"/>
          <w:highlight w:val="none"/>
          <w14:textFill>
            <w14:solidFill>
              <w14:schemeClr w14:val="tx1"/>
            </w14:solidFill>
          </w14:textFill>
        </w:rPr>
      </w:pPr>
      <w:r>
        <w:rPr>
          <w:color w:val="000000" w:themeColor="text1"/>
          <w:highlight w:val="none"/>
          <w:lang w:bidi="ar"/>
          <w14:textFill>
            <w14:solidFill>
              <w14:schemeClr w14:val="tx1"/>
            </w14:solidFill>
          </w14:textFill>
        </w:rPr>
        <w:t>坚持尊重自然、顺应自然、保护自然的理念，采取自然的恢复措施或绿色修复工艺，避免生态保护措</w:t>
      </w:r>
      <w:r>
        <w:rPr>
          <w:rFonts w:hint="eastAsia"/>
          <w:color w:val="000000" w:themeColor="text1"/>
          <w:highlight w:val="none"/>
          <w:lang w:bidi="ar"/>
          <w14:textFill>
            <w14:solidFill>
              <w14:schemeClr w14:val="tx1"/>
            </w14:solidFill>
          </w14:textFill>
        </w:rPr>
        <w:t>施对</w:t>
      </w:r>
      <w:r>
        <w:rPr>
          <w:color w:val="000000" w:themeColor="text1"/>
          <w:highlight w:val="none"/>
          <w:lang w:bidi="ar"/>
          <w14:textFill>
            <w14:solidFill>
              <w14:schemeClr w14:val="tx1"/>
            </w14:solidFill>
          </w14:textFill>
        </w:rPr>
        <w:t>自身的不利影响。</w:t>
      </w:r>
    </w:p>
    <w:p>
      <w:pPr>
        <w:ind w:firstLine="480"/>
        <w:rPr>
          <w:color w:val="000000" w:themeColor="text1"/>
          <w:highlight w:val="none"/>
          <w:lang w:bidi="ar"/>
          <w14:textFill>
            <w14:solidFill>
              <w14:schemeClr w14:val="tx1"/>
            </w14:solidFill>
          </w14:textFill>
        </w:rPr>
      </w:pPr>
      <w:r>
        <w:rPr>
          <w:color w:val="000000" w:themeColor="text1"/>
          <w:highlight w:val="none"/>
          <w14:textFill>
            <w14:solidFill>
              <w14:schemeClr w14:val="tx1"/>
            </w14:solidFill>
          </w14:textFill>
        </w:rPr>
        <w:t>本工程建设过程中，将不可避免地对施工区的植被、动植物、景观和周围环境产生一定影响。</w:t>
      </w:r>
      <w:r>
        <w:rPr>
          <w:rFonts w:hint="eastAsia"/>
          <w:color w:val="000000" w:themeColor="text1"/>
          <w:highlight w:val="none"/>
          <w14:textFill>
            <w14:solidFill>
              <w14:schemeClr w14:val="tx1"/>
            </w14:solidFill>
          </w14:textFill>
        </w:rPr>
        <w:t>这些</w:t>
      </w:r>
      <w:r>
        <w:rPr>
          <w:color w:val="000000" w:themeColor="text1"/>
          <w:highlight w:val="none"/>
          <w14:textFill>
            <w14:solidFill>
              <w14:schemeClr w14:val="tx1"/>
            </w14:solidFill>
          </w14:textFill>
        </w:rPr>
        <w:t>影响是暂时性的，可通过采取自然或人工辅助措施的方法加以恢复，通过采取人工措施的方法提高占</w:t>
      </w:r>
      <w:r>
        <w:rPr>
          <w:rFonts w:hint="eastAsia"/>
          <w:color w:val="000000" w:themeColor="text1"/>
          <w:highlight w:val="none"/>
          <w14:textFill>
            <w14:solidFill>
              <w14:schemeClr w14:val="tx1"/>
            </w14:solidFill>
          </w14:textFill>
        </w:rPr>
        <w:t>用</w:t>
      </w:r>
      <w:r>
        <w:rPr>
          <w:color w:val="000000" w:themeColor="text1"/>
          <w:highlight w:val="none"/>
          <w14:textFill>
            <w14:solidFill>
              <w14:schemeClr w14:val="tx1"/>
            </w14:solidFill>
          </w14:textFill>
        </w:rPr>
        <w:t>地区植被覆盖率，使区域生态系统的结构和功能整体得到逐步改善，完全恢复，乃至更</w:t>
      </w:r>
      <w:r>
        <w:rPr>
          <w:color w:val="000000" w:themeColor="text1"/>
          <w:highlight w:val="none"/>
          <w:lang w:bidi="ar"/>
          <w14:textFill>
            <w14:solidFill>
              <w14:schemeClr w14:val="tx1"/>
            </w14:solidFill>
          </w14:textFill>
        </w:rPr>
        <w:t>为高效。</w:t>
      </w:r>
    </w:p>
    <w:p>
      <w:pPr>
        <w:pStyle w:val="5"/>
        <w:ind w:firstLine="480"/>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生态保护的宣传</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在施工期需认真做好生态保护的宣传和监督工作，如印发宣传册、制作宣传栏、定期开展宣传活动等。绝不能超计划占用耕地、林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pStyle w:val="5"/>
        <w:ind w:firstLine="480"/>
        <w:rPr>
          <w:color w:val="000000" w:themeColor="text1"/>
          <w:highlight w:val="none"/>
          <w:lang w:bidi="ar"/>
          <w14:textFill>
            <w14:solidFill>
              <w14:schemeClr w14:val="tx1"/>
            </w14:solidFill>
          </w14:textFill>
        </w:rPr>
      </w:pPr>
      <w:r>
        <w:rPr>
          <w:color w:val="000000" w:themeColor="text1"/>
          <w:highlight w:val="none"/>
          <w:lang w:bidi="ar"/>
          <w14:textFill>
            <w14:solidFill>
              <w14:schemeClr w14:val="tx1"/>
            </w14:solidFill>
          </w14:textFill>
        </w:rPr>
        <w:t>避让、减缓措施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（1）土地与植被保护措施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施工期间为充分的保护评价范围现有土地和植被，可采取如下保护措施：</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优先采用生态友好的工程建设技术、工艺及材料。</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根据施工总体平面布置，严格规范施工范围，确定施工用地范围，进行标桩划界，禁止施工人员进入非施工占地区，严禁任意越界破坏周围植被。</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color w:val="000000" w:themeColor="text1"/>
          <w:highlight w:val="none"/>
          <w14:textFill>
            <w14:solidFill>
              <w14:schemeClr w14:val="tx1"/>
            </w14:solidFill>
          </w14:textFill>
        </w:rPr>
        <w:t xml:space="preserve">做好环卫工作，废弃物应合理堆放，及时处置，禁止乱丢垃圾和废弃物，严禁场内污水进入外环沟，确保周边环境不被污染。 </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在项目建设过程中，强化临时占地的及时复耕复垦，对可以恢复的临时占地及时进行植被恢复。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（2）水土流失的防治对策措施</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在施工过程中合理安排施工进度，施工尽量避开雨天和大风天；分段施工，减少风蚀导致的水土流失。</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严格按照有关项目施工规范进行施工，划定施工作业范围和路线，不得扩大施工作业范围，尽可能减少对土壤和植被的破坏以及由此引发的水土流失。</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bCs/>
          <w:color w:val="000000" w:themeColor="text1"/>
          <w:highlight w:val="none"/>
          <w14:textFill>
            <w14:solidFill>
              <w14:schemeClr w14:val="tx1"/>
            </w14:solidFill>
          </w14:textFill>
        </w:rPr>
        <w:t>在井场站场施工，设置一定围挡，减少施工过程中水土流失量</w:t>
      </w:r>
      <w:r>
        <w:rPr>
          <w:rFonts w:hint="eastAsia"/>
          <w:bCs/>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弃土场先挡后弃，表土堆场做好遮盖及围挡措施</w:t>
      </w:r>
      <w:r>
        <w:rPr>
          <w:rFonts w:hint="eastAsia"/>
          <w:bCs/>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用塑料薄膜或草席覆盖，</w:t>
      </w:r>
      <w:r>
        <w:rPr>
          <w:rFonts w:hint="eastAsia"/>
          <w:color w:val="000000" w:themeColor="text1"/>
          <w:highlight w:val="none"/>
          <w14:textFill>
            <w14:solidFill>
              <w14:schemeClr w14:val="tx1"/>
            </w14:solidFill>
          </w14:textFill>
        </w:rPr>
        <w:t>同时设置挡土墙和排水沟，</w:t>
      </w:r>
      <w:r>
        <w:rPr>
          <w:color w:val="000000" w:themeColor="text1"/>
          <w:highlight w:val="none"/>
          <w14:textFill>
            <w14:solidFill>
              <w14:schemeClr w14:val="tx1"/>
            </w14:solidFill>
          </w14:textFill>
        </w:rPr>
        <w:t>以防止雨水冲刷和风扬。</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施工中合理安排</w:t>
      </w:r>
      <w:r>
        <w:rPr>
          <w:rFonts w:hint="eastAsia"/>
          <w:color w:val="000000" w:themeColor="text1"/>
          <w:highlight w:val="none"/>
          <w14:textFill>
            <w14:solidFill>
              <w14:schemeClr w14:val="tx1"/>
            </w14:solidFill>
          </w14:textFill>
        </w:rPr>
        <w:t>施工</w:t>
      </w:r>
      <w:r>
        <w:rPr>
          <w:color w:val="000000" w:themeColor="text1"/>
          <w:highlight w:val="none"/>
          <w14:textFill>
            <w14:solidFill>
              <w14:schemeClr w14:val="tx1"/>
            </w14:solidFill>
          </w14:textFill>
        </w:rPr>
        <w:t>项目顺序，分段施工，在先期施工完成后必须立即做好护坡、护脚、边沟、排水沟等防护项目及排水设施建设，做好坡面水保和植被恢复措施，对于坡面项目应及时采取临时防护措施或植物措施加以防护以减少水土流失。</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⑤</w:t>
      </w:r>
      <w:r>
        <w:rPr>
          <w:color w:val="000000" w:themeColor="text1"/>
          <w:highlight w:val="none"/>
          <w14:textFill>
            <w14:solidFill>
              <w14:schemeClr w14:val="tx1"/>
            </w14:solidFill>
          </w14:textFill>
        </w:rPr>
        <w:t>在降雨排水相对困难的区域，应加大边沟，将排水集中于边沟排除或蒸发，有条件的施工区域将降雨排水引至附近河道或排水渠中。</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⑥</w:t>
      </w:r>
      <w:r>
        <w:rPr>
          <w:color w:val="000000" w:themeColor="text1"/>
          <w:highlight w:val="none"/>
          <w14:textFill>
            <w14:solidFill>
              <w14:schemeClr w14:val="tx1"/>
            </w14:solidFill>
          </w14:textFill>
        </w:rPr>
        <w:t>妥善处理施工中产生的废弃物及清洗设备的废水及生活污水，严禁直接排入周边，对于施工过程中产生的不能利用的废弃土石不得将任意裸露弃置，做到随挖随填，以免遇强降雨引起严重的水土流失。</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⑦</w:t>
      </w:r>
      <w:r>
        <w:rPr>
          <w:color w:val="000000" w:themeColor="text1"/>
          <w:highlight w:val="none"/>
          <w14:textFill>
            <w14:solidFill>
              <w14:schemeClr w14:val="tx1"/>
            </w14:solidFill>
          </w14:textFill>
        </w:rPr>
        <w:t>在所有工作面完工后，应立即进行裸露区的植被恢复，包括开挖的坡面。恢复时根据其实际情况，因地制宜地对各类施工迹地进行绿化恢复，尽量减少项目区内的施工痕迹。施工迹地的绿化恢复过程中尽量采用当地树种、草种，最好是利用原自然植被的建群种进行恢复。建群种在整个植被中盖度最大，生物量最大，占有空间也最大，并在建造群落、改造环境以及物质与能量交换中作用最突出。具体可采取人工栽植幼苗的方式，遵循夹杂混合种植、密度适宜、杜绝纯林的原则。</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（3）对陆生野生动物保护措施</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加强宣传野生动物保护法规，打击捕杀野生动物的行为</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增强</w:t>
      </w:r>
      <w:r>
        <w:rPr>
          <w:color w:val="000000" w:themeColor="text1"/>
          <w:highlight w:val="none"/>
          <w14:textFill>
            <w14:solidFill>
              <w14:schemeClr w14:val="tx1"/>
            </w14:solidFill>
          </w14:textFill>
        </w:rPr>
        <w:t>施工人员的保护意识，施工人员必须遵守《中华人民共和国野生动物保护法》，严禁捕猎保护动物，特别是重点保护野生动物。</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防止动物生境污染</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color w:val="000000" w:themeColor="text1"/>
          <w:highlight w:val="none"/>
          <w14:textFill>
            <w14:solidFill>
              <w14:schemeClr w14:val="tx1"/>
            </w14:solidFill>
          </w14:textFill>
        </w:rPr>
        <w:t>杜绝夜间施工，以保证自然生态系统和野生动物栖息地的稳定。</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对野生动物具体保护方案</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鸟类：</w:t>
      </w: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尽量减少施工对植被的破坏，保证施工后植被的恢复。</w:t>
      </w: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增强人们的环境保护意识，加强对重点保护野生动物的保护，严禁非法猎捕保护鸟类及对人类有益的鸟类。</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4</w:t>
      </w:r>
      <w:r>
        <w:rPr>
          <w:color w:val="000000" w:themeColor="text1"/>
          <w:highlight w:val="none"/>
          <w14:textFill>
            <w14:solidFill>
              <w14:schemeClr w14:val="tx1"/>
            </w14:solidFill>
          </w14:textFill>
        </w:rPr>
        <w:t>）外来入侵植物防范措施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目前防止外来物种入侵的方法主要有植物检疫、人工方法防治、化学方法防治、生物防治等。结合工程特点，要求加大宣传力度，对外来物种的危害以及传播途径向施工人员进行宣传；对现有的外来种，利用工程施工的机会，对有种子的植物要现场烧毁，以防种子扩散，在临时占地的地方要及时绿化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在施工占地区或裸地绿化应采取相应的防范措施，在选择绿化树种和水土保持植物中不使用外来入侵植物，尽可能使用乡土树种。</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恢复和补偿措施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陆生植物</w:t>
      </w:r>
      <w:r>
        <w:rPr>
          <w:color w:val="000000" w:themeColor="text1"/>
          <w:highlight w:val="none"/>
          <w:lang w:bidi="ar"/>
          <w14:textFill>
            <w14:solidFill>
              <w14:schemeClr w14:val="tx1"/>
            </w14:solidFill>
          </w14:textFill>
        </w:rPr>
        <w:t>恢复原则是优先使用原生表土和选用乡土物种，防止外来生物入侵，构建与周边生态环境相协调的植物群落，最终形成可自我维持的生态系统。生态修复的目标主要包括：恢复植被和土壤，保证一定的植被覆盖度和土壤肥力；维持物种种类和组成，保护生物多样性；实现生物群落的恢复，提高生态系统的生产力和自我维持力；维持生境的连通性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（1）表土剥离及堆存</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工程建设过程伴随着土石方开挖、回填活动，不可避免地对</w:t>
      </w:r>
      <w:r>
        <w:rPr>
          <w:rFonts w:hint="eastAsia"/>
          <w:color w:val="000000" w:themeColor="text1"/>
          <w:highlight w:val="none"/>
          <w14:textFill>
            <w14:solidFill>
              <w14:schemeClr w14:val="tx1"/>
            </w14:solidFill>
          </w14:textFill>
        </w:rPr>
        <w:t>耕地</w:t>
      </w:r>
      <w:r>
        <w:rPr>
          <w:color w:val="000000" w:themeColor="text1"/>
          <w:highlight w:val="none"/>
          <w14:textFill>
            <w14:solidFill>
              <w14:schemeClr w14:val="tx1"/>
            </w14:solidFill>
          </w14:textFill>
        </w:rPr>
        <w:t>造成破坏，毁坏地表植被、挖损和埋压土地、破坏地表土壤等，不仅降低了土壤抗蚀能力，加剧了评价区水土流失。根据区域环境的特点，需针对性地开展表土剥离和堆存，尽可能的减少水土流失。</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剥离区域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施工结束后需要复绿的区域都应列为表土剥离区域，但在实际设计中应根据具体情况分析确定，如根据施工区域土层厚度、肥沃程度及后续植物措施搭配等确定。</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对于</w:t>
      </w:r>
      <w:r>
        <w:rPr>
          <w:rFonts w:hint="eastAsia"/>
          <w:color w:val="000000" w:themeColor="text1"/>
          <w:highlight w:val="none"/>
          <w14:textFill>
            <w14:solidFill>
              <w14:schemeClr w14:val="tx1"/>
            </w14:solidFill>
          </w14:textFill>
        </w:rPr>
        <w:t>新增</w:t>
      </w:r>
      <w:r>
        <w:rPr>
          <w:color w:val="000000" w:themeColor="text1"/>
          <w:highlight w:val="none"/>
          <w14:textFill>
            <w14:solidFill>
              <w14:schemeClr w14:val="tx1"/>
            </w14:solidFill>
          </w14:textFill>
        </w:rPr>
        <w:t>占地区，在开工前，应首先剥离表层土，将其暂时堆放在表土堆存场，用塑料薄膜或草席覆盖，以防止雨水冲刷和风扬，作为项目完工后覆土造地或绿化的回填表土之用。</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剥离厚度</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现场调查，剥离区表层土的厚度平均为20cm，厚的可达30cm，但在具体的设计中应根据剥离区域土壤耕植层厚度及后期复绿所需回填量来确定剥离厚度。由于区域内表土厚度存在差异，对土层深厚、肥沃的地方可适当深剥，对土层较薄、肥力不高的地方可适当浅剥，在总量控制（用多少剥多少）的前提下应尽量将剥离区域内最肥沃的部分土壤剥离出来。</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占地区的草地表土厚度一般在30cm以内，表土剥离中应控制剥离厚度，剥离厚度过大，否则给保存带来不便，下部生土如混进表土，致使土地生产力下降。</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color w:val="000000" w:themeColor="text1"/>
          <w:highlight w:val="none"/>
          <w14:textFill>
            <w14:solidFill>
              <w14:schemeClr w14:val="tx1"/>
            </w14:solidFill>
          </w14:textFill>
        </w:rPr>
        <w:t>保存及保护</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a）表土临时堆存应尽量占用场内空闲地，如场内无适合堆处则应另行征地，表土保存过程中应设有临时防护措施。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b）根据剥离量和堆放条件，先用塑料彩条布或薄膜覆盖即可，四周用编制土袋临时挡护，编织袋外0.5m</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1.0m处设临时排水沟，堆积形成后可利用铲车或推土机对顶部和边坡稍作压实，顶部应向外侧做成一定坡度，便于排水。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c）如保存期较长，超过1个生长季，可撒播草籽临时绿化，草种应该选择有培肥地力的（豆科）牧草。如堆放在渣场，一般应集中堆放在渣场下游或者两侧地势平缓处，避开低洼及水流汇集处。</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④</w:t>
      </w:r>
      <w:r>
        <w:rPr>
          <w:color w:val="000000" w:themeColor="text1"/>
          <w:highlight w:val="none"/>
          <w14:textFill>
            <w14:solidFill>
              <w14:schemeClr w14:val="tx1"/>
            </w14:solidFill>
          </w14:textFill>
        </w:rPr>
        <w:t>回填利用</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a）为提高草皮成活率，植草皮前应先覆土，覆土应控制厚度，一般为3cm</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5cm，覆土时应适当压实，增加与边坡粘合力，避免剥落或因含水量增加与草皮一起顺坡向下滑移，如采用框格植草护坡，也应在框格内覆土。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b）表土回填及整地过程中应地面与周边地形相协调，应避免出现中间低四周高，以避免雨天造成洼地积水。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c）临时占地利用完毕后应先铲除地表泥结石层，然后回填表土进行全面整地，全面整地后地面高度应与周边相一致，以利于复绿。</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（2）恢复措施与技术</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植被恢复措施与技术</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a）对因施工期间破坏的草地植被和生境、临时占用的草地植被及各种施工迹地，工程结束后应该尽量通过实施生态恢复措施使其逐步得到恢复。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b）在植被恢复或其他生态恢复活动中，应该依照适地适树、原生性、特有性、实用性的基本科学原则，种植当地生态系统中原有的重要的各种植物种类，乔、灌、草植物有机搭配。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c）在采集种子或繁殖体时，要根据不同树种和植物，注意选择具有生长正常、健壮、结实率高等优良性状的种源。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d）不能营造单一树种的单优群落，要营造为混交林，以最大限度保证群落丰富及生物多样性。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e）尽量利用自然更新的方式恢复植被，并且注意恢复过程中的环境保护，同时加强管护，要通过围栏等措施防止人、畜破坏。</w:t>
      </w:r>
    </w:p>
    <w:p>
      <w:pPr>
        <w:ind w:firstLine="480"/>
        <w:rPr>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color w:val="000000" w:themeColor="text1"/>
          <w:highlight w:val="none"/>
          <w14:textFill>
            <w14:solidFill>
              <w14:schemeClr w14:val="tx1"/>
            </w14:solidFill>
          </w14:textFill>
        </w:rPr>
        <w:t>植物资源恢复措施及技术</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a）对各施工区发现的重要植物要认真清查登记、备案。以便在今后植物资源的恢复中作为选择植物种类的依据。</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b）种植原生种，杜绝外来种。在植被恢复或其他生态恢复活动中，避免外来种可能对当地的生态系统造成无可挽回的破坏。</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c）多种植当地的特有植物。</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d）注意采种时间、种源选择，以及造林时间。造林时，严格执行苗木检验，做好苗木保护，提高造林质量，保证成活率。加强抚育管理和管护，使植被尽快恢复。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e）植物种类选择</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进行植被恢复时，根据适地适树、原生性、特有性、观赏性等原则，应该采用有生态价值或经济价值的当地特有的原生植物，尤其是那些被项目建设破坏的重要物种。第一，可以恢复和增加当地植物多样性；第二，可以使植被恢复和绿化具有地方特色；第三，就地取材，可以降低绿化成本；第四，选择有一定经济价值的原生种类，可以增加一定的经济收入。</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（3）资金保障</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设立生态补偿专项经费，将野生动植物的保护和监测费用、工程地形地貌恢复费用纳入生态补偿费，确保生态恢复资金足额到位。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（4）项目占地恢复及复垦要求</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施工期占地内容为井场及边坡、主放喷池及管线、副放喷池及边坡、副放喷管线及施工便道、表土堆放区、弃土区、生活营区，</w:t>
      </w:r>
      <w:r>
        <w:rPr>
          <w:rFonts w:cs="Times New Roman"/>
          <w:bCs/>
          <w:color w:val="000000" w:themeColor="text1"/>
          <w:szCs w:val="24"/>
          <w:highlight w:val="none"/>
          <w14:textFill>
            <w14:solidFill>
              <w14:schemeClr w14:val="tx1"/>
            </w14:solidFill>
          </w14:textFill>
        </w:rPr>
        <w:t>总面积</w:t>
      </w:r>
      <w:r>
        <w:rPr>
          <w:rFonts w:hint="eastAsia" w:cs="Times New Roman"/>
          <w:bCs/>
          <w:color w:val="000000" w:themeColor="text1"/>
          <w:szCs w:val="24"/>
          <w:highlight w:val="none"/>
          <w14:textFill>
            <w14:solidFill>
              <w14:schemeClr w14:val="tx1"/>
            </w14:solidFill>
          </w14:textFill>
        </w:rPr>
        <w:t>1.7314</w:t>
      </w:r>
      <w:r>
        <w:rPr>
          <w:rFonts w:cs="Times New Roman"/>
          <w:bCs/>
          <w:color w:val="000000" w:themeColor="text1"/>
          <w:szCs w:val="24"/>
          <w:highlight w:val="none"/>
          <w14:textFill>
            <w14:solidFill>
              <w14:schemeClr w14:val="tx1"/>
            </w14:solidFill>
          </w14:textFill>
        </w:rPr>
        <w:t>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，占地类型以</w:t>
      </w:r>
      <w:r>
        <w:rPr>
          <w:rFonts w:cs="Times New Roman"/>
          <w:bCs/>
          <w:color w:val="000000" w:themeColor="text1"/>
          <w:kern w:val="0"/>
          <w:szCs w:val="24"/>
          <w:highlight w:val="none"/>
          <w14:textFill>
            <w14:solidFill>
              <w14:schemeClr w14:val="tx1"/>
            </w14:solidFill>
          </w14:textFill>
        </w:rPr>
        <w:t>新建井场及边坡</w:t>
      </w:r>
      <w:r>
        <w:rPr>
          <w:rFonts w:cs="Times New Roman"/>
          <w:bCs/>
          <w:color w:val="000000" w:themeColor="text1"/>
          <w:szCs w:val="24"/>
          <w:highlight w:val="none"/>
          <w14:textFill>
            <w14:solidFill>
              <w14:schemeClr w14:val="tx1"/>
            </w14:solidFill>
          </w14:textFill>
        </w:rPr>
        <w:t>为主，面积0.7hm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；占地地类以乔木林地植被为主，面积0.8254hm</w:t>
      </w:r>
      <w:r>
        <w:rPr>
          <w:rFonts w:cs="Times New Roman"/>
          <w:bCs/>
          <w:color w:val="000000" w:themeColor="text1"/>
          <w:szCs w:val="24"/>
          <w:highlight w:val="none"/>
          <w:vertAlign w:val="superscript"/>
          <w14:textFill>
            <w14:solidFill>
              <w14:schemeClr w14:val="tx1"/>
            </w14:solidFill>
          </w14:textFill>
        </w:rPr>
        <w:t>2</w:t>
      </w:r>
      <w:r>
        <w:rPr>
          <w:rFonts w:cs="Times New Roman"/>
          <w:bCs/>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退役后，在相关设施拆除后，需在占地区进行植被复绿，复绿采用乔、灌、草植物有机搭配方式，择具有生长正常、健壮、结实率高等优良性状的种源，树种主要采用本地麻栎、青冈、栓皮栎、竹林为主的乔木树种，结合马桑、黄荆、火棘、荚蒾等相关灌草丛，严控外来物种的入侵，对复绿植被做好生态监测，加强管护，保证成效，使植被尽快恢复</w:t>
      </w:r>
      <w:r>
        <w:rPr>
          <w:rFonts w:cs="Times New Roman"/>
          <w:color w:val="000000" w:themeColor="text1"/>
          <w:szCs w:val="24"/>
          <w:highlight w:val="none"/>
          <w14:textFill>
            <w14:solidFill>
              <w14:schemeClr w14:val="tx1"/>
            </w14:solidFill>
          </w14:textFill>
        </w:rPr>
        <w:t>。</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永久基本农田复垦</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本项目严格缴纳复垦保证金，根据《土地复垦条例实施办法》有关规定办理土地复垦费用预存手续</w:t>
      </w:r>
      <w:r>
        <w:rPr>
          <w:rFonts w:hint="eastAsia" w:cs="Times New Roman"/>
          <w:bCs/>
          <w:color w:val="000000" w:themeColor="text1"/>
          <w:highlight w:val="none"/>
          <w14:textFill>
            <w14:solidFill>
              <w14:schemeClr w14:val="tx1"/>
            </w14:solidFill>
          </w14:textFill>
        </w:rPr>
        <w:t>。并及时编制土地复垦方案，复垦方案需要求永久基本农田在用地手续到期后及时开展复垦，并要求恢复至不低于现有土壤环境质量现状。</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临时用地复垦</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项目开工建设前需编制</w:t>
      </w:r>
      <w:r>
        <w:rPr>
          <w:color w:val="000000" w:themeColor="text1"/>
          <w:highlight w:val="none"/>
          <w14:textFill>
            <w14:solidFill>
              <w14:schemeClr w14:val="tx1"/>
            </w14:solidFill>
          </w14:textFill>
        </w:rPr>
        <w:t>临时用地土地复垦方案报告书</w:t>
      </w:r>
      <w:r>
        <w:rPr>
          <w:rFonts w:hint="eastAsia"/>
          <w:color w:val="000000" w:themeColor="text1"/>
          <w:highlight w:val="none"/>
          <w14:textFill>
            <w14:solidFill>
              <w14:schemeClr w14:val="tx1"/>
            </w14:solidFill>
          </w14:textFill>
        </w:rPr>
        <w:t>，并按照</w:t>
      </w:r>
      <w:r>
        <w:rPr>
          <w:color w:val="000000" w:themeColor="text1"/>
          <w:highlight w:val="none"/>
          <w14:textFill>
            <w14:solidFill>
              <w14:schemeClr w14:val="tx1"/>
            </w14:solidFill>
          </w14:textFill>
        </w:rPr>
        <w:t>复垦方案报告书</w:t>
      </w:r>
      <w:r>
        <w:rPr>
          <w:rFonts w:hint="eastAsia"/>
          <w:color w:val="000000" w:themeColor="text1"/>
          <w:highlight w:val="none"/>
          <w14:textFill>
            <w14:solidFill>
              <w14:schemeClr w14:val="tx1"/>
            </w14:solidFill>
          </w14:textFill>
        </w:rPr>
        <w:t>要求及时开展复垦，主要复垦流程如下：</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（1）</w:t>
      </w:r>
      <w:r>
        <w:rPr>
          <w:rFonts w:cs="Times New Roman"/>
          <w:bCs/>
          <w:color w:val="000000" w:themeColor="text1"/>
          <w:highlight w:val="none"/>
          <w14:textFill>
            <w14:solidFill>
              <w14:schemeClr w14:val="tx1"/>
            </w14:solidFill>
          </w14:textFill>
        </w:rPr>
        <w:t>表土剥离工程</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主体工程开始前一个月，根据项目区各临时用地地块实地勘测和土壤剖面观察，对项目范围内除表土堆放区的区域进行表土剥离，对水田剥离30cm，旱地剥离40cm，林地剥离30cm，其他地类表土达不到复耕表土要求，剥离意义不大，不进行剥离。将剥离的表土有序堆放至表土堆放区，对于放喷池表土层下层进行挖方，将挖方产生的土块、碎石有序堆放至表土堆放区，与剥离的表土进行分层堆放。最后要对表土堆放区撒播草籽和无纺布遮盖，并挖边沟以防止水土和土壤肥力流失</w:t>
      </w:r>
      <w:r>
        <w:rPr>
          <w:rFonts w:hint="eastAsia" w:cs="Times New Roman"/>
          <w:bCs/>
          <w:color w:val="000000" w:themeColor="text1"/>
          <w:highlight w:val="none"/>
          <w14:textFill>
            <w14:solidFill>
              <w14:schemeClr w14:val="tx1"/>
            </w14:solidFill>
          </w14:textFill>
        </w:rPr>
        <w:t>。</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（2）拆除工程</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工程建设完成后拆除无后续开发利用计划的场地内的建筑和构筑物，利用拆除的废渣填充放喷池及清水池的深挖坑（若放喷池及清水池有后续开发计划则保留并按要求办理临时用地续征手续）；拆除后对场地废弃物进行清理，清理厚度取1</w:t>
      </w:r>
      <w:r>
        <w:rPr>
          <w:rFonts w:cs="Times New Roman"/>
          <w:bCs/>
          <w:color w:val="000000" w:themeColor="text1"/>
          <w:highlight w:val="none"/>
          <w14:textFill>
            <w14:solidFill>
              <w14:schemeClr w14:val="tx1"/>
            </w14:solidFill>
          </w14:textFill>
        </w:rPr>
        <w:t>0</w:t>
      </w:r>
      <w:r>
        <w:rPr>
          <w:rFonts w:hint="eastAsia" w:cs="Times New Roman"/>
          <w:bCs/>
          <w:color w:val="000000" w:themeColor="text1"/>
          <w:highlight w:val="none"/>
          <w14:textFill>
            <w14:solidFill>
              <w14:schemeClr w14:val="tx1"/>
            </w14:solidFill>
          </w14:textFill>
        </w:rPr>
        <w:t>cm。</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（3）土壤重构工程</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工程建设完成后，先将表土堆放区内由放喷池表土层下层挖方而产生的土块、碎石回填至放喷池及清水池，再将表土堆放区的耕作土回填，表土堆放区复垦为旱地，其土壤耕作层厚度达到旱地耕作要求的最小土壤厚度时，项目区未回填的地块不用表土堆放区的表土进行回填，用外买表土回填。回填厚度设计为：复垦永久基本农田区域的水田回填60cm，旱地回填50cm；一般耕地的区域旱地回填40cm，林地回填30cm。</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耕作层土壤覆土后采用平地机和人工平地相结合的方式进行土地平整，修建田埂并进行深翻和土壤改良。复垦区由于机械和人工作业的缘故，土壤一般比较紧实，可采用耙、深松翻等措施，调高土壤空隙度，改良土壤结构。项目区内土地面积比较小，复垦单元之间有一定距离和坡度等差异，所以设计多个地块，分别通过清理、平整、覆土等工程措施，平整翻耕，并填平补齐地面，保证地面复垦为水田的土地坡度小于15°，旱地的土地坡度小于25°，将拟损毁的土地复垦为可供农业利用的土地。</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生态景观影响减缓措施</w:t>
      </w:r>
    </w:p>
    <w:p>
      <w:pPr>
        <w:ind w:firstLine="480"/>
        <w:rPr>
          <w:rFonts w:cs="Times New Roman"/>
          <w:color w:val="000000" w:themeColor="text1"/>
          <w:highlight w:val="none"/>
          <w14:textFill>
            <w14:solidFill>
              <w14:schemeClr w14:val="tx1"/>
            </w14:solidFill>
          </w14:textFill>
        </w:rPr>
      </w:pPr>
      <w:bookmarkStart w:id="438" w:name="_Hlk89361264"/>
      <w:r>
        <w:rPr>
          <w:rFonts w:cs="Times New Roman"/>
          <w:color w:val="000000" w:themeColor="text1"/>
          <w:highlight w:val="none"/>
          <w14:textFill>
            <w14:solidFill>
              <w14:schemeClr w14:val="tx1"/>
            </w14:solidFill>
          </w14:textFill>
        </w:rPr>
        <w:t>本项目在施工期采取如下生态景观减缓措施。</w:t>
      </w:r>
    </w:p>
    <w:bookmarkEnd w:id="438"/>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（1）对施工弃土进行严格管理，做到随挖随填；</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（2）进一步做好环卫工作，废弃物应合理堆放，及时处置，禁止乱丢垃圾和废弃物，严禁场内污水进入外环沟，确保周边环境不被污染；</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（3）施工人员应严格按照设计路线和场地范围活动，减少对道路和井场周围植被的破坏；</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lang w:val="en-US" w:eastAsia="zh-CN"/>
          <w14:textFill>
            <w14:solidFill>
              <w14:schemeClr w14:val="tx1"/>
            </w14:solidFill>
          </w14:textFill>
        </w:rPr>
        <w:t>4</w:t>
      </w:r>
      <w:r>
        <w:rPr>
          <w:rFonts w:cs="Times New Roman"/>
          <w:bCs/>
          <w:color w:val="000000" w:themeColor="text1"/>
          <w:highlight w:val="none"/>
          <w14:textFill>
            <w14:solidFill>
              <w14:schemeClr w14:val="tx1"/>
            </w14:solidFill>
          </w14:textFill>
        </w:rPr>
        <w:t>）在项目建设过程中，对可以恢复的临时占地及时恢复，项目完成后应及时和规划部门和当地居民或村委会协商临时用地恢复使用恢复要求，及时对项目临时占地进行恢复，力求提高当地生态景观观感。</w:t>
      </w:r>
    </w:p>
    <w:p>
      <w:pPr>
        <w:pStyle w:val="5"/>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永久基本农田、公益林保护方案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在项目建设中应当尽可能减少对土地的占用，严格在征地红线范围内施工，最大限度节约土地资源</w:t>
      </w:r>
      <w:r>
        <w:rPr>
          <w:rFonts w:hint="eastAsia" w:cs="Times New Roman"/>
          <w:color w:val="000000" w:themeColor="text1"/>
          <w:highlight w:val="none"/>
          <w14:textFill>
            <w14:solidFill>
              <w14:schemeClr w14:val="tx1"/>
            </w14:solidFill>
          </w14:textFill>
        </w:rPr>
        <w:t>。</w:t>
      </w:r>
    </w:p>
    <w:p>
      <w:pPr>
        <w:ind w:firstLine="480"/>
        <w:rPr>
          <w:bCs/>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项目管线施工前，建设单位应针对管线</w:t>
      </w:r>
      <w:r>
        <w:rPr>
          <w:rFonts w:hint="eastAsia"/>
          <w:color w:val="000000" w:themeColor="text1"/>
          <w:highlight w:val="none"/>
          <w:lang w:val="en-US" w:eastAsia="zh-CN"/>
          <w14:textFill>
            <w14:solidFill>
              <w14:schemeClr w14:val="tx1"/>
            </w14:solidFill>
          </w14:textFill>
        </w:rPr>
        <w:t>周边天然林、</w:t>
      </w:r>
      <w:r>
        <w:rPr>
          <w:rFonts w:hint="eastAsia"/>
          <w:color w:val="000000" w:themeColor="text1"/>
          <w:highlight w:val="none"/>
          <w14:textFill>
            <w14:solidFill>
              <w14:schemeClr w14:val="tx1"/>
            </w14:solidFill>
          </w14:textFill>
        </w:rPr>
        <w:t>公益林，制定相关保护方案，具体要求如下：</w:t>
      </w:r>
      <w:r>
        <w:rPr>
          <w:rFonts w:hint="eastAsia" w:ascii="宋体" w:hAnsi="宋体" w:cs="宋体"/>
          <w:color w:val="000000" w:themeColor="text1"/>
          <w:highlight w:val="none"/>
          <w14:textFill>
            <w14:solidFill>
              <w14:schemeClr w14:val="tx1"/>
            </w14:solidFill>
          </w14:textFill>
        </w:rPr>
        <w:t>①</w:t>
      </w:r>
      <w:r>
        <w:rPr>
          <w:color w:val="000000" w:themeColor="text1"/>
          <w:szCs w:val="24"/>
          <w:highlight w:val="none"/>
          <w14:textFill>
            <w14:solidFill>
              <w14:schemeClr w14:val="tx1"/>
            </w14:solidFill>
          </w14:textFill>
        </w:rPr>
        <w:t>优化施工方案，严格控制施工作业面，必须避免超挖破坏周边</w:t>
      </w:r>
      <w:r>
        <w:rPr>
          <w:rFonts w:hint="eastAsia"/>
          <w:color w:val="000000" w:themeColor="text1"/>
          <w:szCs w:val="24"/>
          <w:highlight w:val="none"/>
          <w14:textFill>
            <w14:solidFill>
              <w14:schemeClr w14:val="tx1"/>
            </w14:solidFill>
          </w14:textFill>
        </w:rPr>
        <w:t>天然林、公益林</w:t>
      </w:r>
      <w:r>
        <w:rPr>
          <w:color w:val="000000" w:themeColor="text1"/>
          <w:szCs w:val="24"/>
          <w:highlight w:val="none"/>
          <w14:textFill>
            <w14:solidFill>
              <w14:schemeClr w14:val="tx1"/>
            </w14:solidFill>
          </w14:textFill>
        </w:rPr>
        <w:t>植被。</w:t>
      </w:r>
      <w:r>
        <w:rPr>
          <w:rFonts w:hint="eastAsia" w:ascii="宋体" w:hAnsi="宋体" w:cs="宋体"/>
          <w:color w:val="000000" w:themeColor="text1"/>
          <w:szCs w:val="24"/>
          <w:highlight w:val="none"/>
          <w14:textFill>
            <w14:solidFill>
              <w14:schemeClr w14:val="tx1"/>
            </w14:solidFill>
          </w14:textFill>
        </w:rPr>
        <w:t>②</w:t>
      </w:r>
      <w:r>
        <w:rPr>
          <w:color w:val="000000" w:themeColor="text1"/>
          <w:szCs w:val="24"/>
          <w:highlight w:val="none"/>
          <w14:textFill>
            <w14:solidFill>
              <w14:schemeClr w14:val="tx1"/>
            </w14:solidFill>
          </w14:textFill>
        </w:rPr>
        <w:t>严格按照施工方案要求将弃土、弃渣等运往指定场地，禁止在非施工区任何位置随意堆放。</w:t>
      </w:r>
      <w:r>
        <w:rPr>
          <w:rFonts w:hint="eastAsia" w:ascii="宋体" w:hAnsi="宋体" w:cs="宋体"/>
          <w:color w:val="000000" w:themeColor="text1"/>
          <w:szCs w:val="24"/>
          <w:highlight w:val="none"/>
          <w14:textFill>
            <w14:solidFill>
              <w14:schemeClr w14:val="tx1"/>
            </w14:solidFill>
          </w14:textFill>
        </w:rPr>
        <w:t>③</w:t>
      </w:r>
      <w:r>
        <w:rPr>
          <w:color w:val="000000" w:themeColor="text1"/>
          <w:szCs w:val="24"/>
          <w:highlight w:val="none"/>
          <w14:textFill>
            <w14:solidFill>
              <w14:schemeClr w14:val="tx1"/>
            </w14:solidFill>
          </w14:textFill>
        </w:rPr>
        <w:t>施工过程中，施工单位应加强防火知识宣传教育，增强员工和附近居民的防火意识，杜绝火灾的发生</w:t>
      </w:r>
      <w:r>
        <w:rPr>
          <w:bCs/>
          <w:color w:val="000000" w:themeColor="text1"/>
          <w:highlight w:val="none"/>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pPr>
      <w:r>
        <w:rPr>
          <w:rFonts w:hint="eastAsia"/>
          <w:bCs/>
          <w:color w:val="000000" w:themeColor="text1"/>
          <w:highlight w:val="none"/>
          <w14:textFill>
            <w14:solidFill>
              <w14:schemeClr w14:val="tx1"/>
            </w14:solidFill>
          </w14:textFill>
        </w:rPr>
        <w:t>项目施工前，由于本项目仅利旧设施（主放喷池、清水池占用基本农田）因此，对基本农田的保护措施主要为后期结束后采取的恢复措施，</w:t>
      </w:r>
      <w:r>
        <w:rPr>
          <w:rFonts w:hint="eastAsia"/>
          <w:color w:val="000000" w:themeColor="text1"/>
          <w:highlight w:val="none"/>
          <w14:textFill>
            <w14:solidFill>
              <w14:schemeClr w14:val="tx1"/>
            </w14:solidFill>
          </w14:textFill>
        </w:rPr>
        <w:t>具体要求如下：</w:t>
      </w:r>
      <w:r>
        <w:rPr>
          <w:rFonts w:hint="eastAsia" w:ascii="宋体" w:hAnsi="宋体" w:cs="宋体"/>
          <w:color w:val="000000" w:themeColor="text1"/>
          <w:highlight w:val="none"/>
          <w14:textFill>
            <w14:solidFill>
              <w14:schemeClr w14:val="tx1"/>
            </w14:solidFill>
          </w14:textFill>
        </w:rPr>
        <w:t>①</w:t>
      </w:r>
      <w:r>
        <w:rPr>
          <w:color w:val="000000" w:themeColor="text1"/>
          <w:highlight w:val="none"/>
          <w14:textFill>
            <w14:solidFill>
              <w14:schemeClr w14:val="tx1"/>
            </w14:solidFill>
          </w14:textFill>
        </w:rPr>
        <w:t>在施工结束后，对开挖破坏段耕地质量的恢复，除补偿因临时占地对农田产量的直接损失外，还将考虑施工结束后因土壤结构破坏、养分流失而造成的影响，对农作物产量的间接损失以及土壤恢复进行补偿，以用于耕作层土恢复。</w:t>
      </w:r>
      <w:r>
        <w:rPr>
          <w:rFonts w:hint="eastAsia" w:ascii="宋体" w:hAnsi="宋体" w:cs="宋体"/>
          <w:color w:val="000000" w:themeColor="text1"/>
          <w:szCs w:val="24"/>
          <w:highlight w:val="none"/>
          <w14:textFill>
            <w14:solidFill>
              <w14:schemeClr w14:val="tx1"/>
            </w14:solidFill>
          </w14:textFill>
        </w:rPr>
        <w:t>②</w:t>
      </w:r>
      <w:r>
        <w:rPr>
          <w:rFonts w:cs="Times New Roman"/>
          <w:bCs/>
          <w:color w:val="000000" w:themeColor="text1"/>
          <w:highlight w:val="none"/>
          <w14:textFill>
            <w14:solidFill>
              <w14:schemeClr w14:val="tx1"/>
            </w14:solidFill>
          </w14:textFill>
        </w:rPr>
        <w:t>本项目严格缴纳复垦保证金，根据《土地复垦条例实施办法》有关规定办理土地复垦费用预存手续</w:t>
      </w:r>
      <w:r>
        <w:rPr>
          <w:rFonts w:hint="eastAsia" w:cs="Times New Roman"/>
          <w:bCs/>
          <w:color w:val="000000" w:themeColor="text1"/>
          <w:highlight w:val="none"/>
          <w14:textFill>
            <w14:solidFill>
              <w14:schemeClr w14:val="tx1"/>
            </w14:solidFill>
          </w14:textFill>
        </w:rPr>
        <w:t>。并及时编制土地复垦方案，复垦方案需要求永久基本农田在用地手续到期后及时开展复垦，并要求恢复至不低于现有土壤环境质量现状。</w:t>
      </w:r>
    </w:p>
    <w:p>
      <w:pPr>
        <w:pStyle w:val="5"/>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水土流失预防措施</w:t>
      </w:r>
    </w:p>
    <w:p>
      <w:pPr>
        <w:ind w:firstLine="480"/>
        <w:rPr>
          <w:rFonts w:cs="Times New Roman"/>
          <w:color w:val="000000" w:themeColor="text1"/>
          <w:highlight w:val="none"/>
          <w14:textFill>
            <w14:solidFill>
              <w14:schemeClr w14:val="tx1"/>
            </w14:solidFill>
          </w14:textFill>
        </w:rPr>
      </w:pPr>
      <w:bookmarkStart w:id="439" w:name="_Hlk89361285"/>
      <w:r>
        <w:rPr>
          <w:rFonts w:cs="Times New Roman"/>
          <w:color w:val="000000" w:themeColor="text1"/>
          <w:highlight w:val="none"/>
          <w14:textFill>
            <w14:solidFill>
              <w14:schemeClr w14:val="tx1"/>
            </w14:solidFill>
          </w14:textFill>
        </w:rPr>
        <w:t>根据《中华人民共和国长江保护法》（2021年3月1日实施）第六十一条：</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t>长江流域水土流失重点预防区和重点治理区的县级以上地方人民政府应当采取措施，防治水土流失。生态保护红线范围内的水土流失地块，以自然恢复为主，按照规定有计划地实施退耕还林还草还湿；划入自然保护地核心保护区的</w:t>
      </w:r>
      <w:r>
        <w:rPr>
          <w:rFonts w:hint="eastAsia" w:cs="Times New Roman"/>
          <w:color w:val="000000" w:themeColor="text1"/>
          <w:highlight w:val="none"/>
          <w14:textFill>
            <w14:solidFill>
              <w14:schemeClr w14:val="tx1"/>
            </w14:solidFill>
          </w14:textFill>
        </w:rPr>
        <w:t>永久</w:t>
      </w:r>
      <w:r>
        <w:rPr>
          <w:rFonts w:cs="Times New Roman"/>
          <w:color w:val="000000" w:themeColor="text1"/>
          <w:highlight w:val="none"/>
          <w14:textFill>
            <w14:solidFill>
              <w14:schemeClr w14:val="tx1"/>
            </w14:solidFill>
          </w14:textFill>
        </w:rPr>
        <w:t>基本农田，依法有序退出并予以补划。</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t>禁止在长江流域水土流失严重、生态脆弱的区域开展可能造成水土流失的生产建设活动。确因国家发展战略和国计民生需要建设的，应当经科学论证，并依法办理审批手续。</w:t>
      </w:r>
    </w:p>
    <w:p>
      <w:pPr>
        <w:ind w:firstLine="480"/>
        <w:rPr>
          <w:rFonts w:cs="Times New Roman"/>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t>长江流域县级以上地方人民政府应当对石漠化的土地因地制宜采取综合治理措施，修复生态系统，防止土地石漠化蔓延。</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本项目位于长江流域水土流失重点治理区，本项目未位于生态红线范围内，本项目新增用地</w:t>
      </w:r>
      <w:r>
        <w:rPr>
          <w:rFonts w:hint="eastAsia" w:cs="Times New Roman"/>
          <w:color w:val="000000" w:themeColor="text1"/>
          <w:highlight w:val="none"/>
          <w14:textFill>
            <w14:solidFill>
              <w14:schemeClr w14:val="tx1"/>
            </w14:solidFill>
          </w14:textFill>
        </w:rPr>
        <w:t>面积小</w:t>
      </w:r>
      <w:r>
        <w:rPr>
          <w:rFonts w:cs="Times New Roman"/>
          <w:color w:val="000000" w:themeColor="text1"/>
          <w:highlight w:val="none"/>
          <w14:textFill>
            <w14:solidFill>
              <w14:schemeClr w14:val="tx1"/>
            </w14:solidFill>
          </w14:textFill>
        </w:rPr>
        <w:t>，本项目为天然气钻井与试采项目，且将依法办理审批手续。本项目所在地植被茂盛，周边树林分布广泛，水土流失现象不明显，不涉及石漠化等。综上所述，本项目与《中华人民共和国长江保护法》相符。</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本项目在施工期拟采取如下水保措施</w:t>
      </w:r>
      <w:bookmarkEnd w:id="439"/>
      <w:r>
        <w:rPr>
          <w:rFonts w:cs="Times New Roman"/>
          <w:color w:val="000000" w:themeColor="text1"/>
          <w:highlight w:val="none"/>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（1）在施工过程中合理安排施工进度，施工尽量避开雨天和大风天；分段施工，未留疏松地面，减少风蚀导致的水土流失。</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（2）划定施工作业范围和路线，不得扩大施工作业范围，尽可能减少对土壤和农作物的破坏以及由此引发的水土流失。</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（3）在施工中破坏植被的地段，施工结束后，必须及时进行植被恢复工作，减轻水土流失。</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（4）在井场站场施工，设置一定围挡，减少施工过程中水土流失量。</w:t>
      </w:r>
    </w:p>
    <w:p>
      <w:pPr>
        <w:ind w:firstLine="480"/>
        <w:rPr>
          <w:rFonts w:cs="Times New Roman"/>
          <w:bCs/>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（5）</w:t>
      </w:r>
      <w:r>
        <w:rPr>
          <w:rFonts w:cs="Times New Roman"/>
          <w:bCs/>
          <w:color w:val="000000" w:themeColor="text1"/>
          <w:highlight w:val="none"/>
          <w14:textFill>
            <w14:solidFill>
              <w14:schemeClr w14:val="tx1"/>
            </w14:solidFill>
          </w14:textFill>
        </w:rPr>
        <w:t>加强对水土流失的综合治理，严格按照水土保持方案做好水土保持工作。</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（6）在施工过程中及时将土石方回填、夯实，避免长时间堆放，同时尽量减少堆放坡度；</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（7）表土堆场采用编织袋装土压边作为临时拦挡。在表土堆场底端截排水沟交汇处设置临时沉沙池，场地内的雨水汇集后经沉沙池沉淀后排放。</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（8）挖方在边坡未修整前，如遇中到大雨或暴雨，应立即用花胶布覆盖边坡，以免被雨水浸泡和冲刷。开挖的土方在未进行填实和进行地表恢复前，在遇大风或大雨，应用</w:t>
      </w:r>
      <w:r>
        <w:rPr>
          <w:rFonts w:hint="eastAsia" w:cs="Times New Roman"/>
          <w:bCs/>
          <w:color w:val="000000" w:themeColor="text1"/>
          <w:highlight w:val="none"/>
          <w:lang w:eastAsia="zh-CN"/>
          <w14:textFill>
            <w14:solidFill>
              <w14:schemeClr w14:val="tx1"/>
            </w14:solidFill>
          </w14:textFill>
        </w:rPr>
        <w:t>篷布</w:t>
      </w:r>
      <w:r>
        <w:rPr>
          <w:rFonts w:hint="eastAsia" w:cs="Times New Roman"/>
          <w:bCs/>
          <w:color w:val="000000" w:themeColor="text1"/>
          <w:highlight w:val="none"/>
          <w14:textFill>
            <w14:solidFill>
              <w14:schemeClr w14:val="tx1"/>
            </w14:solidFill>
          </w14:textFill>
        </w:rPr>
        <w:t>遮盖，以减少水蚀和风蚀量。</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（9）工程场地建设时，严格控制施工区域，严禁超挖。</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（10）在施工时应特别注意边坡坡度，边坡坡度应严格符合设计边坡坡度的要求，不得使挖方边坡陡于设计边坡坡度，否则边坡既不稳定，又增加了挖方量，容易造成余土。</w:t>
      </w:r>
    </w:p>
    <w:p>
      <w:pPr>
        <w:ind w:firstLine="480"/>
        <w:rPr>
          <w:rFonts w:cs="Times New Roman"/>
          <w:bCs/>
          <w:color w:val="000000" w:themeColor="text1"/>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11）道路工程用条石护基，并修建排水沟，路面采用碎石铺垫，防止雨水冲刷。井场周围设置挡土、水墙，井场内设施基础采用水泥砼，其余地面均为碎石铺垫。井场内外设置排水、截水沟，减少雨水对施工场地冲刷，排水沟两侧及沟底均为水泥砂浆抹面。</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以上生态保护措施为川东北地区钻采工程常见措施，成熟可靠，能有效降低项目建设对区域生态环境的影响。</w:t>
      </w:r>
    </w:p>
    <w:p>
      <w:pPr>
        <w:pStyle w:val="4"/>
        <w:spacing w:before="0" w:beforeLines="0"/>
        <w:ind w:firstLine="480"/>
        <w:rPr>
          <w:b/>
          <w:color w:val="000000" w:themeColor="text1"/>
          <w:highlight w:val="none"/>
          <w:lang w:eastAsia="zh-CN"/>
          <w14:textFill>
            <w14:solidFill>
              <w14:schemeClr w14:val="tx1"/>
            </w14:solidFill>
          </w14:textFill>
        </w:rPr>
      </w:pPr>
      <w:bookmarkStart w:id="440" w:name="_Toc120173211"/>
      <w:r>
        <w:rPr>
          <w:color w:val="000000" w:themeColor="text1"/>
          <w:highlight w:val="none"/>
          <w:lang w:eastAsia="zh-CN"/>
          <w14:textFill>
            <w14:solidFill>
              <w14:schemeClr w14:val="tx1"/>
            </w14:solidFill>
          </w14:textFill>
        </w:rPr>
        <w:t>施工期大气污染防治措施及可行性分析</w:t>
      </w:r>
      <w:bookmarkEnd w:id="440"/>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1、钻前工程</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针对钻前工程产生的施工扬尘，</w:t>
      </w:r>
      <w:r>
        <w:rPr>
          <w:rFonts w:cs="Times New Roman"/>
          <w:color w:val="000000" w:themeColor="text1"/>
          <w:szCs w:val="24"/>
          <w:highlight w:val="none"/>
          <w14:textFill>
            <w14:solidFill>
              <w14:schemeClr w14:val="tx1"/>
            </w14:solidFill>
          </w14:textFill>
        </w:rPr>
        <w:t>施工单位</w:t>
      </w:r>
      <w:r>
        <w:rPr>
          <w:rFonts w:hint="eastAsia" w:cs="Times New Roman"/>
          <w:color w:val="000000" w:themeColor="text1"/>
          <w:szCs w:val="24"/>
          <w:highlight w:val="none"/>
          <w14:textFill>
            <w14:solidFill>
              <w14:schemeClr w14:val="tx1"/>
            </w14:solidFill>
          </w14:textFill>
        </w:rPr>
        <w:t>拟</w:t>
      </w:r>
      <w:r>
        <w:rPr>
          <w:rFonts w:cs="Times New Roman"/>
          <w:color w:val="000000" w:themeColor="text1"/>
          <w:szCs w:val="24"/>
          <w:highlight w:val="none"/>
          <w14:textFill>
            <w14:solidFill>
              <w14:schemeClr w14:val="tx1"/>
            </w14:solidFill>
          </w14:textFill>
        </w:rPr>
        <w:t>采取硬化进出口、冲洗、洒水等措施控制扬尘。对露天堆放河沙、石粉、水泥、灰浆、灰膏等易扬撒的物料予以覆盖，对开挖施工作业面（点）洒水降尘，临时表土堆场洒水、覆盖降尘，密闭运输渣土、砂石等易撒漏扬散物质</w:t>
      </w:r>
      <w:r>
        <w:rPr>
          <w:rFonts w:hint="eastAsia" w:cs="Times New Roman"/>
          <w:color w:val="000000" w:themeColor="text1"/>
          <w:szCs w:val="24"/>
          <w:highlight w:val="none"/>
          <w14:textFill>
            <w14:solidFill>
              <w14:schemeClr w14:val="tx1"/>
            </w14:solidFill>
          </w14:textFill>
        </w:rPr>
        <w:t>；针对施工机械废气，施工单位拟采取</w:t>
      </w:r>
      <w:r>
        <w:rPr>
          <w:rFonts w:cs="Times New Roman"/>
          <w:color w:val="000000" w:themeColor="text1"/>
          <w:szCs w:val="24"/>
          <w:highlight w:val="none"/>
          <w14:textFill>
            <w14:solidFill>
              <w14:schemeClr w14:val="tx1"/>
            </w14:solidFill>
          </w14:textFill>
        </w:rPr>
        <w:t>选用尾气排放达标机械车辆，加强保养维护</w:t>
      </w:r>
      <w:r>
        <w:rPr>
          <w:rFonts w:hint="eastAsia" w:cs="Times New Roman"/>
          <w:color w:val="000000" w:themeColor="text1"/>
          <w:szCs w:val="24"/>
          <w:highlight w:val="none"/>
          <w14:textFill>
            <w14:solidFill>
              <w14:schemeClr w14:val="tx1"/>
            </w14:solidFill>
          </w14:textFill>
        </w:rPr>
        <w:t>等措施来减少废气的排放量。</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由于钻前工程施工工时不长，施工人员不多，不会对当地环境空气造成明显不利影响，对周围环境影响是可接受的</w:t>
      </w:r>
      <w:r>
        <w:rPr>
          <w:rFonts w:hint="eastAsia" w:cs="Times New Roman"/>
          <w:color w:val="000000" w:themeColor="text1"/>
          <w:szCs w:val="24"/>
          <w:highlight w:val="none"/>
          <w14:textFill>
            <w14:solidFill>
              <w14:schemeClr w14:val="tx1"/>
            </w14:solidFill>
          </w14:textFill>
        </w:rPr>
        <w:t>，且上述措施为施工扬尘抑制及减少施工机械废气产生所采取的常用措施，能够有效减少钻前施工阶段的废气影响，措施可行。</w:t>
      </w:r>
    </w:p>
    <w:p>
      <w:pPr>
        <w:pStyle w:val="52"/>
        <w:spacing w:after="0"/>
        <w:ind w:firstLine="480" w:firstLineChars="200"/>
        <w:rPr>
          <w:rFonts w:eastAsia="黑体"/>
          <w:color w:val="000000" w:themeColor="text1"/>
          <w:sz w:val="24"/>
          <w:highlight w:val="none"/>
          <w14:textFill>
            <w14:solidFill>
              <w14:schemeClr w14:val="tx1"/>
            </w14:solidFill>
          </w14:textFill>
        </w:rPr>
      </w:pPr>
      <w:r>
        <w:rPr>
          <w:rFonts w:hint="eastAsia" w:eastAsia="黑体"/>
          <w:color w:val="000000" w:themeColor="text1"/>
          <w:sz w:val="24"/>
          <w:highlight w:val="none"/>
          <w14:textFill>
            <w14:solidFill>
              <w14:schemeClr w14:val="tx1"/>
            </w14:solidFill>
          </w14:textFill>
        </w:rPr>
        <w:t>2、钻井工程</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（1）</w:t>
      </w:r>
      <w:r>
        <w:rPr>
          <w:rFonts w:cs="Times New Roman"/>
          <w:b/>
          <w:bCs/>
          <w:color w:val="000000" w:themeColor="text1"/>
          <w:szCs w:val="24"/>
          <w:highlight w:val="none"/>
          <w14:textFill>
            <w14:solidFill>
              <w14:schemeClr w14:val="tx1"/>
            </w14:solidFill>
          </w14:textFill>
        </w:rPr>
        <w:t>备用柴油发电机废气减缓措施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钻井过程中备用柴油机燃油废气，可以通过采用节能环保型柴油动力系统设备（自带消烟除尘装置），并适当提高排气筒高度（6m以上），减少污染物排放量与大气环境影响，其影响为临时性，将随网电的正常使用和钻井工程的结束而消除，污染减缓措施可行。</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（2）</w:t>
      </w:r>
      <w:r>
        <w:rPr>
          <w:rFonts w:cs="Times New Roman"/>
          <w:b/>
          <w:bCs/>
          <w:color w:val="000000" w:themeColor="text1"/>
          <w:szCs w:val="24"/>
          <w:highlight w:val="none"/>
          <w14:textFill>
            <w14:solidFill>
              <w14:schemeClr w14:val="tx1"/>
            </w14:solidFill>
          </w14:textFill>
        </w:rPr>
        <w:t>无组织挥发性废气减缓措施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为天然气钻井及试采工程，因此，除燃油机械使用过程中产生的少量无组织挥发性有机物排放外，还有少量钻井施工过程中无组织排放源。因此，本项目无组织挥发性有机物排放量小，通过自然扩散可有效降低其影响，污染减缓措施可行。</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（3）事故放喷</w:t>
      </w:r>
      <w:r>
        <w:rPr>
          <w:rFonts w:cs="Times New Roman"/>
          <w:b/>
          <w:bCs/>
          <w:color w:val="000000" w:themeColor="text1"/>
          <w:szCs w:val="24"/>
          <w:highlight w:val="none"/>
          <w14:textFill>
            <w14:solidFill>
              <w14:schemeClr w14:val="tx1"/>
            </w14:solidFill>
          </w14:textFill>
        </w:rPr>
        <w:t>废气减缓措施</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事故放喷是由于地层高压异常导致的，在石油天然气行业是低概率事件。事故放喷主产物是</w:t>
      </w:r>
      <w:r>
        <w:rPr>
          <w:rFonts w:hint="eastAsia" w:cs="Times New Roman"/>
          <w:color w:val="000000" w:themeColor="text1"/>
          <w:highlight w:val="none"/>
          <w14:textFill>
            <w14:solidFill>
              <w14:schemeClr w14:val="tx1"/>
            </w14:solidFill>
          </w14:textFill>
        </w:rPr>
        <w:t>含硫天然气</w:t>
      </w:r>
      <w:r>
        <w:rPr>
          <w:rFonts w:cs="Times New Roman"/>
          <w:color w:val="000000" w:themeColor="text1"/>
          <w:highlight w:val="none"/>
          <w14:textFill>
            <w14:solidFill>
              <w14:schemeClr w14:val="tx1"/>
            </w14:solidFill>
          </w14:textFill>
        </w:rPr>
        <w:t>燃烧后产生的</w:t>
      </w:r>
      <w:r>
        <w:rPr>
          <w:rFonts w:hint="eastAsia" w:cs="Times New Roman"/>
          <w:color w:val="000000" w:themeColor="text1"/>
          <w:highlight w:val="none"/>
          <w:lang w:val="en-US" w:eastAsia="zh-CN"/>
          <w14:textFill>
            <w14:solidFill>
              <w14:schemeClr w14:val="tx1"/>
            </w14:solidFill>
          </w14:textFill>
        </w:rPr>
        <w:t>SO</w:t>
      </w:r>
      <w:r>
        <w:rPr>
          <w:rFonts w:hint="eastAsia" w:cs="Times New Roman"/>
          <w:color w:val="000000" w:themeColor="text1"/>
          <w:highlight w:val="none"/>
          <w:vertAlign w:val="subscript"/>
          <w:lang w:val="en-US" w:eastAsia="zh-CN"/>
          <w14:textFill>
            <w14:solidFill>
              <w14:schemeClr w14:val="tx1"/>
            </w14:solidFill>
          </w14:textFill>
        </w:rPr>
        <w:t>2</w:t>
      </w:r>
      <w:r>
        <w:rPr>
          <w:rFonts w:hint="eastAsia" w:cs="Times New Roman"/>
          <w:color w:val="000000" w:themeColor="text1"/>
          <w:highlight w:val="none"/>
          <w:lang w:val="en-US" w:eastAsia="zh-CN"/>
          <w14:textFill>
            <w14:solidFill>
              <w14:schemeClr w14:val="tx1"/>
            </w14:solidFill>
          </w14:textFill>
        </w:rPr>
        <w:t>、</w:t>
      </w:r>
      <w:r>
        <w:rPr>
          <w:rFonts w:cs="Times New Roman"/>
          <w:color w:val="000000" w:themeColor="text1"/>
          <w:highlight w:val="none"/>
          <w14:textFill>
            <w14:solidFill>
              <w14:schemeClr w14:val="tx1"/>
            </w14:solidFill>
          </w14:textFill>
        </w:rPr>
        <w:t>CO</w:t>
      </w:r>
      <w:r>
        <w:rPr>
          <w:rFonts w:cs="Times New Roman"/>
          <w:color w:val="000000" w:themeColor="text1"/>
          <w:highlight w:val="none"/>
          <w:vertAlign w:val="subscript"/>
          <w14:textFill>
            <w14:solidFill>
              <w14:schemeClr w14:val="tx1"/>
            </w14:solidFill>
          </w14:textFill>
        </w:rPr>
        <w:t>2</w:t>
      </w:r>
      <w:r>
        <w:rPr>
          <w:rFonts w:cs="Times New Roman"/>
          <w:color w:val="000000" w:themeColor="text1"/>
          <w:highlight w:val="none"/>
          <w14:textFill>
            <w14:solidFill>
              <w14:schemeClr w14:val="tx1"/>
            </w14:solidFill>
          </w14:textFill>
        </w:rPr>
        <w:t>。事故放喷时间持续较短，且通过专用的放喷管线将天然气引至放喷池进行点火放喷，事故放喷时间短，属临时排放，且建设单位在发生事故放喷时制定了紧急预案，对周边居民实施临时疏散，因此事故放喷对周边人群健康基本无影响。该措施满足《陆上石油天然气开采工业大气污染物排放标准》（GB39728-2020）相关要求，措施有效可行。</w:t>
      </w:r>
    </w:p>
    <w:p>
      <w:pPr>
        <w:ind w:firstLine="480"/>
        <w:rPr>
          <w:rFonts w:eastAsia="黑体" w:cs="Times New Roman"/>
          <w:color w:val="000000" w:themeColor="text1"/>
          <w:szCs w:val="24"/>
          <w:highlight w:val="none"/>
          <w14:textFill>
            <w14:solidFill>
              <w14:schemeClr w14:val="tx1"/>
            </w14:solidFill>
          </w14:textFill>
        </w:rPr>
      </w:pPr>
      <w:r>
        <w:rPr>
          <w:rFonts w:eastAsia="黑体" w:cs="Times New Roman"/>
          <w:color w:val="000000" w:themeColor="text1"/>
          <w:szCs w:val="24"/>
          <w:highlight w:val="none"/>
          <w14:textFill>
            <w14:solidFill>
              <w14:schemeClr w14:val="tx1"/>
            </w14:solidFill>
          </w14:textFill>
        </w:rPr>
        <w:t>3、</w:t>
      </w:r>
      <w:r>
        <w:rPr>
          <w:rFonts w:hint="eastAsia" w:eastAsia="黑体" w:cs="Times New Roman"/>
          <w:color w:val="000000" w:themeColor="text1"/>
          <w:szCs w:val="24"/>
          <w:highlight w:val="none"/>
          <w14:textFill>
            <w14:solidFill>
              <w14:schemeClr w14:val="tx1"/>
            </w14:solidFill>
          </w14:textFill>
        </w:rPr>
        <w:t>储层改造工程废气</w:t>
      </w:r>
      <w:r>
        <w:rPr>
          <w:rFonts w:eastAsia="黑体" w:cs="Times New Roman"/>
          <w:color w:val="000000" w:themeColor="text1"/>
          <w:szCs w:val="24"/>
          <w:highlight w:val="none"/>
          <w14:textFill>
            <w14:solidFill>
              <w14:schemeClr w14:val="tx1"/>
            </w14:solidFill>
          </w14:textFill>
        </w:rPr>
        <w:t>减缓措施</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（1）压裂作业废气减缓措施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为减缓压裂期间机械、车辆尾气造成的环境空气污染，施工单位应定期对运输车辆进行维护和保养，尽量使用清洁燃料，保证发动机正常运行，使汽车燃料充分燃烧，能有效减少尾气中污染物排放，污染减缓措施可行。</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（2）</w:t>
      </w:r>
      <w:r>
        <w:rPr>
          <w:rFonts w:cs="Times New Roman"/>
          <w:b/>
          <w:bCs/>
          <w:color w:val="000000" w:themeColor="text1"/>
          <w:szCs w:val="24"/>
          <w:highlight w:val="none"/>
          <w14:textFill>
            <w14:solidFill>
              <w14:schemeClr w14:val="tx1"/>
            </w14:solidFill>
          </w14:textFill>
        </w:rPr>
        <w:t>完井测试废气减缓措施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测试放喷的天然气经专用放喷管线引至放喷池后点火燃烧，放喷管口高为1m，采用短火焰灼烧器，修建放喷池及挡墙减少辐射影响。正对燃烧筒的墙高5.3m，下部厚0.5m，上部墙厚0.24m，两侧墙高4.3m，厚0.5m；内层均采用耐火砖修建。放喷池地势较为空旷，并清除周边25m范围内的杂草、杂树，放喷池内储存约1.0m深的清水，有利于燃烧废气的扩散和减少热辐射污染。本项目气井</w:t>
      </w:r>
      <w:r>
        <w:rPr>
          <w:rFonts w:hint="eastAsia" w:cs="Times New Roman"/>
          <w:color w:val="000000" w:themeColor="text1"/>
          <w:szCs w:val="24"/>
          <w:highlight w:val="none"/>
          <w14:textFill>
            <w14:solidFill>
              <w14:schemeClr w14:val="tx1"/>
            </w14:solidFill>
          </w14:textFill>
        </w:rPr>
        <w:t>为含硫化氢</w:t>
      </w:r>
      <w:r>
        <w:rPr>
          <w:rFonts w:cs="Times New Roman"/>
          <w:color w:val="000000" w:themeColor="text1"/>
          <w:szCs w:val="24"/>
          <w:highlight w:val="none"/>
          <w14:textFill>
            <w14:solidFill>
              <w14:schemeClr w14:val="tx1"/>
            </w14:solidFill>
          </w14:textFill>
        </w:rPr>
        <w:t>天然气井，其燃烧主要产物为</w:t>
      </w:r>
      <w:r>
        <w:rPr>
          <w:rFonts w:hint="eastAsia" w:cs="Times New Roman"/>
          <w:color w:val="000000" w:themeColor="text1"/>
          <w:szCs w:val="24"/>
          <w:highlight w:val="none"/>
          <w14:textFill>
            <w14:solidFill>
              <w14:schemeClr w14:val="tx1"/>
            </w14:solidFill>
          </w14:textFill>
        </w:rPr>
        <w:t>SO</w:t>
      </w:r>
      <w:r>
        <w:rPr>
          <w:rFonts w:hint="eastAsia" w:cs="Times New Roman"/>
          <w:color w:val="000000" w:themeColor="text1"/>
          <w:szCs w:val="24"/>
          <w:highlight w:val="none"/>
          <w:vertAlign w:val="subscript"/>
          <w14:textFill>
            <w14:solidFill>
              <w14:schemeClr w14:val="tx1"/>
            </w14:solidFill>
          </w14:textFill>
        </w:rPr>
        <w:t>2</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CO</w:t>
      </w:r>
      <w:r>
        <w:rPr>
          <w:rFonts w:cs="Times New Roman"/>
          <w:color w:val="000000" w:themeColor="text1"/>
          <w:szCs w:val="24"/>
          <w:highlight w:val="none"/>
          <w:vertAlign w:val="subscript"/>
          <w14:textFill>
            <w14:solidFill>
              <w14:schemeClr w14:val="tx1"/>
            </w14:solidFill>
          </w14:textFill>
        </w:rPr>
        <w:t>2</w:t>
      </w:r>
      <w:r>
        <w:rPr>
          <w:rFonts w:cs="Times New Roman"/>
          <w:color w:val="000000" w:themeColor="text1"/>
          <w:szCs w:val="24"/>
          <w:highlight w:val="none"/>
          <w14:textFill>
            <w14:solidFill>
              <w14:schemeClr w14:val="tx1"/>
            </w14:solidFill>
          </w14:textFill>
        </w:rPr>
        <w:t>、水蒸气、NOx、颗粒物等。针对测试放喷废气主要采用地面灼烧处理，同时应对测试放喷时周边居民进行临时疏散。除了必要的放喷测试放空外，建议建设单位采取先建内外部集输管网的方式及时将井下天然气接管外输，减少天然气放空量。该措施满足《陆上石油天然气开采工业大气污染物排放标准》（GB39728-2020）相关要求，措施有效可行。</w:t>
      </w:r>
    </w:p>
    <w:p>
      <w:pPr>
        <w:pStyle w:val="52"/>
        <w:spacing w:after="0"/>
        <w:ind w:firstLine="480" w:firstLineChars="200"/>
        <w:rPr>
          <w:rFonts w:eastAsia="黑体"/>
          <w:color w:val="000000" w:themeColor="text1"/>
          <w:sz w:val="24"/>
          <w:highlight w:val="none"/>
          <w14:textFill>
            <w14:solidFill>
              <w14:schemeClr w14:val="tx1"/>
            </w14:solidFill>
          </w14:textFill>
        </w:rPr>
      </w:pPr>
      <w:r>
        <w:rPr>
          <w:rFonts w:hint="eastAsia" w:eastAsia="黑体"/>
          <w:color w:val="000000" w:themeColor="text1"/>
          <w:sz w:val="24"/>
          <w:highlight w:val="none"/>
          <w14:textFill>
            <w14:solidFill>
              <w14:schemeClr w14:val="tx1"/>
            </w14:solidFill>
          </w14:textFill>
        </w:rPr>
        <w:t>4、油气集输工程</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油气集输工程在进行试采井站和集输管线建设时产生的废气主要为</w:t>
      </w:r>
      <w:r>
        <w:rPr>
          <w:rFonts w:cs="Times New Roman"/>
          <w:color w:val="000000" w:themeColor="text1"/>
          <w:szCs w:val="24"/>
          <w:highlight w:val="none"/>
          <w14:textFill>
            <w14:solidFill>
              <w14:schemeClr w14:val="tx1"/>
            </w14:solidFill>
          </w14:textFill>
        </w:rPr>
        <w:t>施工扬尘</w:t>
      </w:r>
      <w:r>
        <w:rPr>
          <w:rFonts w:hint="eastAsia" w:cs="Times New Roman"/>
          <w:color w:val="000000" w:themeColor="text1"/>
          <w:szCs w:val="24"/>
          <w:highlight w:val="none"/>
          <w14:textFill>
            <w14:solidFill>
              <w14:schemeClr w14:val="tx1"/>
            </w14:solidFill>
          </w14:textFill>
        </w:rPr>
        <w:t>及</w:t>
      </w:r>
      <w:r>
        <w:rPr>
          <w:rFonts w:cs="Times New Roman"/>
          <w:color w:val="000000" w:themeColor="text1"/>
          <w:szCs w:val="24"/>
          <w:highlight w:val="none"/>
          <w14:textFill>
            <w14:solidFill>
              <w14:schemeClr w14:val="tx1"/>
            </w14:solidFill>
          </w14:textFill>
        </w:rPr>
        <w:t>施工机械和运输车辆尾气</w:t>
      </w:r>
      <w:r>
        <w:rPr>
          <w:rFonts w:hint="eastAsia" w:cs="Times New Roman"/>
          <w:color w:val="000000" w:themeColor="text1"/>
          <w:szCs w:val="24"/>
          <w:highlight w:val="none"/>
          <w14:textFill>
            <w14:solidFill>
              <w14:schemeClr w14:val="tx1"/>
            </w14:solidFill>
          </w14:textFill>
        </w:rPr>
        <w:t>，其污染特性与处置方式与钻前工程类似，主要通过</w:t>
      </w:r>
      <w:r>
        <w:rPr>
          <w:rFonts w:cs="Times New Roman"/>
          <w:color w:val="000000" w:themeColor="text1"/>
          <w:szCs w:val="24"/>
          <w:highlight w:val="none"/>
          <w14:textFill>
            <w14:solidFill>
              <w14:schemeClr w14:val="tx1"/>
            </w14:solidFill>
          </w14:textFill>
        </w:rPr>
        <w:t>定期洒水抑尘</w:t>
      </w:r>
      <w:r>
        <w:rPr>
          <w:rFonts w:hint="eastAsia" w:cs="Times New Roman"/>
          <w:color w:val="000000" w:themeColor="text1"/>
          <w:szCs w:val="24"/>
          <w:highlight w:val="none"/>
          <w14:textFill>
            <w14:solidFill>
              <w14:schemeClr w14:val="tx1"/>
            </w14:solidFill>
          </w14:textFill>
        </w:rPr>
        <w:t>及</w:t>
      </w:r>
      <w:r>
        <w:rPr>
          <w:rFonts w:cs="Times New Roman"/>
          <w:color w:val="000000" w:themeColor="text1"/>
          <w:szCs w:val="24"/>
          <w:highlight w:val="none"/>
          <w14:textFill>
            <w14:solidFill>
              <w14:schemeClr w14:val="tx1"/>
            </w14:solidFill>
          </w14:textFill>
        </w:rPr>
        <w:t>选用尾气排放达标机械车辆，加强保养维护</w:t>
      </w:r>
      <w:r>
        <w:rPr>
          <w:rFonts w:hint="eastAsia" w:cs="Times New Roman"/>
          <w:color w:val="000000" w:themeColor="text1"/>
          <w:szCs w:val="24"/>
          <w:highlight w:val="none"/>
          <w14:textFill>
            <w14:solidFill>
              <w14:schemeClr w14:val="tx1"/>
            </w14:solidFill>
          </w14:textFill>
        </w:rPr>
        <w:t>等减少废气影响，该措施能够满足项目废气处置要求。少量焊接烟尘</w:t>
      </w:r>
      <w:r>
        <w:rPr>
          <w:rFonts w:hint="eastAsia" w:cs="Times New Roman"/>
          <w:bCs/>
          <w:color w:val="000000" w:themeColor="text1"/>
          <w:highlight w:val="none"/>
          <w14:textFill>
            <w14:solidFill>
              <w14:schemeClr w14:val="tx1"/>
            </w14:solidFill>
          </w14:textFill>
        </w:rPr>
        <w:t>采用自带焊烟净化器处理后排放，防腐废气自然扩散</w:t>
      </w:r>
      <w:r>
        <w:rPr>
          <w:rFonts w:hint="eastAsia" w:cs="Times New Roman"/>
          <w:color w:val="000000" w:themeColor="text1"/>
          <w:szCs w:val="24"/>
          <w:highlight w:val="none"/>
          <w14:textFill>
            <w14:solidFill>
              <w14:schemeClr w14:val="tx1"/>
            </w14:solidFill>
          </w14:textFill>
        </w:rPr>
        <w:t>，措施可行</w:t>
      </w:r>
      <w:r>
        <w:rPr>
          <w:rFonts w:hint="eastAsia" w:cs="Times New Roman"/>
          <w:bCs/>
          <w:color w:val="000000" w:themeColor="text1"/>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综上所述，本项目施工期各类废气处置措施在川东北地区钻采工程中已实施多年，具有较好的借鉴经验。</w:t>
      </w:r>
      <w:r>
        <w:rPr>
          <w:rFonts w:hint="eastAsia" w:cs="Times New Roman"/>
          <w:color w:val="000000" w:themeColor="text1"/>
          <w:szCs w:val="24"/>
          <w:highlight w:val="none"/>
          <w14:textFill>
            <w14:solidFill>
              <w14:schemeClr w14:val="tx1"/>
            </w14:solidFill>
          </w14:textFill>
        </w:rPr>
        <w:t>本项目周边</w:t>
      </w:r>
      <w:r>
        <w:rPr>
          <w:rFonts w:cs="Times New Roman"/>
          <w:color w:val="000000" w:themeColor="text1"/>
          <w:szCs w:val="24"/>
          <w:highlight w:val="none"/>
          <w14:textFill>
            <w14:solidFill>
              <w14:schemeClr w14:val="tx1"/>
            </w14:solidFill>
          </w14:textFill>
        </w:rPr>
        <w:t>中石化川东北地区钻采工程采用相同废气处理措施，到目前为止，中原油田普光分公司未收到废气污染的环保投诉。因此，本项目施工期废气治理措施从经济和环保角度分析是合理、可行的。</w:t>
      </w:r>
    </w:p>
    <w:p>
      <w:pPr>
        <w:pStyle w:val="4"/>
        <w:spacing w:before="0" w:beforeLines="0"/>
        <w:ind w:firstLine="480"/>
        <w:rPr>
          <w:b/>
          <w:color w:val="000000" w:themeColor="text1"/>
          <w:highlight w:val="none"/>
          <w:lang w:eastAsia="zh-CN"/>
          <w14:textFill>
            <w14:solidFill>
              <w14:schemeClr w14:val="tx1"/>
            </w14:solidFill>
          </w14:textFill>
        </w:rPr>
      </w:pPr>
      <w:bookmarkStart w:id="441" w:name="_Toc120173212"/>
      <w:r>
        <w:rPr>
          <w:color w:val="000000" w:themeColor="text1"/>
          <w:highlight w:val="none"/>
          <w:lang w:eastAsia="zh-CN"/>
          <w14:textFill>
            <w14:solidFill>
              <w14:schemeClr w14:val="tx1"/>
            </w14:solidFill>
          </w14:textFill>
        </w:rPr>
        <w:t>施工期废水污染防治措施及可行性分析</w:t>
      </w:r>
      <w:bookmarkEnd w:id="441"/>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1、钻前工程</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钻前工程废水由施工废水和生活污水两部分组成。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（1）施工废水经沉淀处理后循环使用，不外排。</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（2）生活污水来自施工人员，施工期间生活污水产生量小，钻前工程人员生活污水依托周边农户已建设施处理。</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上述措施为钻前施工阶段常用的废水处理措施，能够有效处置钻前施工阶段产生的生活污水和施工废水，做到</w:t>
      </w:r>
      <w:r>
        <w:rPr>
          <w:rFonts w:cs="Times New Roman"/>
          <w:color w:val="000000" w:themeColor="text1"/>
          <w:szCs w:val="24"/>
          <w:highlight w:val="none"/>
          <w14:textFill>
            <w14:solidFill>
              <w14:schemeClr w14:val="tx1"/>
            </w14:solidFill>
          </w14:textFill>
        </w:rPr>
        <w:t>现场无生活污水排放，不会对井场周边地表水产生影响</w:t>
      </w:r>
      <w:r>
        <w:rPr>
          <w:rFonts w:hint="eastAsia" w:cs="Times New Roman"/>
          <w:color w:val="000000" w:themeColor="text1"/>
          <w:szCs w:val="24"/>
          <w:highlight w:val="none"/>
          <w14:textFill>
            <w14:solidFill>
              <w14:schemeClr w14:val="tx1"/>
            </w14:solidFill>
          </w14:textFill>
        </w:rPr>
        <w:t>，措施可行。</w:t>
      </w:r>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2、钻井工程</w:t>
      </w:r>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（1）</w:t>
      </w:r>
      <w:r>
        <w:rPr>
          <w:rFonts w:eastAsia="黑体" w:cs="Times New Roman"/>
          <w:color w:val="000000" w:themeColor="text1"/>
          <w:szCs w:val="24"/>
          <w:highlight w:val="none"/>
          <w14:textFill>
            <w14:solidFill>
              <w14:schemeClr w14:val="tx1"/>
            </w14:solidFill>
          </w14:textFill>
        </w:rPr>
        <w:t>治理措施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1）钻井废水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钻井泥浆大多数回用于项目本身，先经固控设备固液分离后，合格泥浆直接进入泥浆循环罐回用，不合格泥浆和设备冲洗废水、洗井废水等经泥浆不落地处理后的钻井废水约90%回用于钻井过程，约10%暂存于泥浆不落地装置内，定期用密闭罐车拉运至</w:t>
      </w:r>
      <w:r>
        <w:rPr>
          <w:rFonts w:hint="eastAsia" w:cs="Times New Roman"/>
          <w:color w:val="000000" w:themeColor="text1"/>
          <w:szCs w:val="24"/>
          <w:highlight w:val="none"/>
          <w14:textFill>
            <w14:solidFill>
              <w14:schemeClr w14:val="tx1"/>
            </w14:solidFill>
          </w14:textFill>
        </w:rPr>
        <w:t>赵家坝污水处理站</w:t>
      </w:r>
      <w:r>
        <w:rPr>
          <w:rFonts w:cs="Times New Roman"/>
          <w:color w:val="000000" w:themeColor="text1"/>
          <w:szCs w:val="24"/>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管输至</w:t>
      </w:r>
      <w:r>
        <w:rPr>
          <w:rFonts w:hint="eastAsia" w:cs="Times New Roman"/>
          <w:color w:val="000000" w:themeColor="text1"/>
          <w:szCs w:val="24"/>
          <w:highlight w:val="none"/>
          <w14:textFill>
            <w14:solidFill>
              <w14:schemeClr w14:val="tx1"/>
            </w14:solidFill>
          </w14:textFill>
        </w:rPr>
        <w:t>普光3井回注站</w:t>
      </w:r>
      <w:r>
        <w:rPr>
          <w:rFonts w:cs="Times New Roman"/>
          <w:color w:val="000000" w:themeColor="text1"/>
          <w:szCs w:val="24"/>
          <w:highlight w:val="none"/>
          <w14:textFill>
            <w14:solidFill>
              <w14:schemeClr w14:val="tx1"/>
            </w14:solidFill>
          </w14:textFill>
        </w:rPr>
        <w:t>回注，不外排；固体为钻井固废用密闭罐车及时就近交给依法取得生态环境部门关于利用和处置相关工业固体废物项目环评批复、具有处理处置相应固体废物能力并配套建设有废气、废水、固废等污染物治理设施的单位进行资源化利用。</w:t>
      </w:r>
      <w:r>
        <w:rPr>
          <w:rFonts w:cs="Times New Roman"/>
          <w:color w:val="000000" w:themeColor="text1"/>
          <w:highlight w:val="none"/>
          <w14:textFill>
            <w14:solidFill>
              <w14:schemeClr w14:val="tx1"/>
            </w14:solidFill>
          </w14:textFill>
        </w:rPr>
        <w:t>项目钻井期间钻井废水、洗井废水回收及处置措施工艺流程如下。</w:t>
      </w:r>
      <w:bookmarkStart w:id="442" w:name="_Hlk107247128"/>
    </w:p>
    <w:p>
      <w:pPr>
        <w:pStyle w:val="95"/>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3194050</wp:posOffset>
                </wp:positionH>
                <wp:positionV relativeFrom="paragraph">
                  <wp:posOffset>774065</wp:posOffset>
                </wp:positionV>
                <wp:extent cx="381000" cy="341630"/>
                <wp:effectExtent l="4445" t="4445" r="14605" b="15875"/>
                <wp:wrapNone/>
                <wp:docPr id="81" name="文本框 81"/>
                <wp:cNvGraphicFramePr/>
                <a:graphic xmlns:a="http://schemas.openxmlformats.org/drawingml/2006/main">
                  <a:graphicData uri="http://schemas.microsoft.com/office/word/2010/wordprocessingShape">
                    <wps:wsp>
                      <wps:cNvSpPr txBox="1"/>
                      <wps:spPr>
                        <a:xfrm>
                          <a:off x="4337050" y="3188970"/>
                          <a:ext cx="381000" cy="34163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5"/>
                                <w:szCs w:val="15"/>
                              </w:rPr>
                            </w:pPr>
                            <w:r>
                              <w:rPr>
                                <w:rFonts w:hint="eastAsia"/>
                                <w:sz w:val="15"/>
                                <w:szCs w:val="15"/>
                              </w:rPr>
                              <w:t>罐装</w:t>
                            </w:r>
                          </w:p>
                        </w:txbxContent>
                      </wps:txbx>
                      <wps:bodyPr rot="0" spcFirstLastPara="0" vertOverflow="overflow" horzOverflow="overflow" vert="horz" wrap="square" lIns="0" tIns="0" rIns="0" bIns="0" numCol="1" spcCol="0" rtlCol="0" fromWordArt="0" anchor="ctr" anchorCtr="0" forceAA="0" upright="1" compatLnSpc="1">
                        <a:noAutofit/>
                      </wps:bodyPr>
                    </wps:wsp>
                  </a:graphicData>
                </a:graphic>
              </wp:anchor>
            </w:drawing>
          </mc:Choice>
          <mc:Fallback>
            <w:pict>
              <v:shape id="_x0000_s1026" o:spid="_x0000_s1026" o:spt="202" type="#_x0000_t202" style="position:absolute;left:0pt;margin-left:251.5pt;margin-top:60.95pt;height:26.9pt;width:30pt;z-index:251680768;v-text-anchor:middle;mso-width-relative:page;mso-height-relative:page;" fillcolor="#FFFFFF" filled="t" stroked="t" coordsize="21600,21600" o:gfxdata="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Lom77XAAAACwEAAA8AAAAAAAAAAQAgAAAAIgAAAGRycy9kb3ducmV2Lnht&#10;bFBLAQIUABQAAAAIAIdO4kDQohDebAIAANoEAAAOAAAAAAAAAAEAIAAAACYBAABkcnMvZTJvRG9j&#10;LnhtbFBLBQYAAAAABgAGAFkBAAAEBgAAAAA=&#10;">
                <v:fill on="t" focussize="0,0"/>
                <v:stroke color="#000000" miterlimit="8" joinstyle="miter"/>
                <v:imagedata o:title=""/>
                <o:lock v:ext="edit" aspectratio="f"/>
                <v:textbox inset="0mm,0mm,0mm,0mm">
                  <w:txbxContent>
                    <w:p>
                      <w:pPr>
                        <w:spacing w:line="240" w:lineRule="auto"/>
                        <w:ind w:firstLine="0" w:firstLineChars="0"/>
                        <w:jc w:val="center"/>
                        <w:rPr>
                          <w:sz w:val="15"/>
                          <w:szCs w:val="15"/>
                        </w:rPr>
                      </w:pPr>
                      <w:r>
                        <w:rPr>
                          <w:rFonts w:hint="eastAsia"/>
                          <w:sz w:val="15"/>
                          <w:szCs w:val="15"/>
                        </w:rPr>
                        <w:t>罐装</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4699000</wp:posOffset>
                </wp:positionH>
                <wp:positionV relativeFrom="paragraph">
                  <wp:posOffset>833755</wp:posOffset>
                </wp:positionV>
                <wp:extent cx="391795" cy="243205"/>
                <wp:effectExtent l="4445" t="4445" r="22860" b="19050"/>
                <wp:wrapNone/>
                <wp:docPr id="76" name="文本框 76"/>
                <wp:cNvGraphicFramePr/>
                <a:graphic xmlns:a="http://schemas.openxmlformats.org/drawingml/2006/main">
                  <a:graphicData uri="http://schemas.microsoft.com/office/word/2010/wordprocessingShape">
                    <wps:wsp>
                      <wps:cNvSpPr txBox="1"/>
                      <wps:spPr>
                        <a:xfrm>
                          <a:off x="0" y="0"/>
                          <a:ext cx="391795" cy="24320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4"/>
                                <w:szCs w:val="14"/>
                              </w:rPr>
                            </w:pPr>
                            <w:r>
                              <w:rPr>
                                <w:rFonts w:hint="eastAsia"/>
                                <w:sz w:val="14"/>
                                <w:szCs w:val="14"/>
                              </w:rPr>
                              <w:t>普光3井回注</w:t>
                            </w:r>
                          </w:p>
                        </w:txbxContent>
                      </wps:txbx>
                      <wps:bodyPr rot="0" spcFirstLastPara="0" vertOverflow="overflow" horzOverflow="overflow" vert="horz" wrap="square" lIns="0" tIns="0" rIns="0" bIns="0" numCol="1" spcCol="0" rtlCol="0" fromWordArt="0" anchor="ctr" anchorCtr="0" forceAA="0" upright="1" compatLnSpc="1">
                        <a:noAutofit/>
                      </wps:bodyPr>
                    </wps:wsp>
                  </a:graphicData>
                </a:graphic>
              </wp:anchor>
            </w:drawing>
          </mc:Choice>
          <mc:Fallback>
            <w:pict>
              <v:shape id="_x0000_s1026" o:spid="_x0000_s1026" o:spt="202" type="#_x0000_t202" style="position:absolute;left:0pt;margin-left:370pt;margin-top:65.65pt;height:19.15pt;width:30.85pt;z-index:251677696;v-text-anchor:middle;mso-width-relative:page;mso-height-relative:page;" fillcolor="#FFFFFF" filled="t" stroked="t" coordsize="21600,21600" o:gfxdata="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mopezYAAAACwEAAA8AAAAAAAAAAQAgAAAAIgAAAGRycy9kb3ducmV2LnhtbFBLAQIUABQAAAAI&#10;AIdO4kCN49iZXwIAAM4EAAAOAAAAAAAAAAEAIAAAACcBAABkcnMvZTJvRG9jLnhtbFBLBQYAAAAA&#10;BgAGAFkBAAD4BQAAAAA=&#10;">
                <v:fill on="t" focussize="0,0"/>
                <v:stroke color="#000000" miterlimit="8" joinstyle="miter"/>
                <v:imagedata o:title=""/>
                <o:lock v:ext="edit" aspectratio="f"/>
                <v:textbox inset="0mm,0mm,0mm,0mm">
                  <w:txbxContent>
                    <w:p>
                      <w:pPr>
                        <w:spacing w:line="240" w:lineRule="auto"/>
                        <w:ind w:firstLine="0" w:firstLineChars="0"/>
                        <w:jc w:val="center"/>
                        <w:rPr>
                          <w:sz w:val="14"/>
                          <w:szCs w:val="14"/>
                        </w:rPr>
                      </w:pPr>
                      <w:r>
                        <w:rPr>
                          <w:rFonts w:hint="eastAsia"/>
                          <w:sz w:val="14"/>
                          <w:szCs w:val="14"/>
                        </w:rPr>
                        <w:t>普光3井回注</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4000500</wp:posOffset>
                </wp:positionH>
                <wp:positionV relativeFrom="paragraph">
                  <wp:posOffset>823595</wp:posOffset>
                </wp:positionV>
                <wp:extent cx="391795" cy="243205"/>
                <wp:effectExtent l="4445" t="4445" r="22860" b="19050"/>
                <wp:wrapNone/>
                <wp:docPr id="12" name="文本框 12"/>
                <wp:cNvGraphicFramePr/>
                <a:graphic xmlns:a="http://schemas.openxmlformats.org/drawingml/2006/main">
                  <a:graphicData uri="http://schemas.microsoft.com/office/word/2010/wordprocessingShape">
                    <wps:wsp>
                      <wps:cNvSpPr txBox="1"/>
                      <wps:spPr>
                        <a:xfrm>
                          <a:off x="5143500" y="3220085"/>
                          <a:ext cx="391795" cy="243205"/>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4"/>
                                <w:szCs w:val="14"/>
                              </w:rPr>
                            </w:pPr>
                            <w:r>
                              <w:rPr>
                                <w:rFonts w:hint="eastAsia"/>
                                <w:sz w:val="14"/>
                                <w:szCs w:val="14"/>
                              </w:rPr>
                              <w:t>赵家坝污水处理站</w:t>
                            </w:r>
                          </w:p>
                        </w:txbxContent>
                      </wps:txbx>
                      <wps:bodyPr rot="0" spcFirstLastPara="0" vertOverflow="overflow" horzOverflow="overflow" vert="horz" wrap="square" lIns="0" tIns="0" rIns="0" bIns="0" numCol="1" spcCol="0" rtlCol="0" fromWordArt="0" anchor="ctr" anchorCtr="0" forceAA="0" upright="1" compatLnSpc="1">
                        <a:noAutofit/>
                      </wps:bodyPr>
                    </wps:wsp>
                  </a:graphicData>
                </a:graphic>
              </wp:anchor>
            </w:drawing>
          </mc:Choice>
          <mc:Fallback>
            <w:pict>
              <v:shape id="_x0000_s1026" o:spid="_x0000_s1026" o:spt="202" type="#_x0000_t202" style="position:absolute;left:0pt;margin-left:315pt;margin-top:64.85pt;height:19.15pt;width:30.85pt;z-index:251676672;v-text-anchor:middle;mso-width-relative:page;mso-height-relative:page;" fillcolor="#FFFFFF" filled="t" stroked="t" coordsize="21600,21600" o:gfxdata="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MX5Hp2AAAAAsBAAAPAAAAAAAAAAEAIAAAACIAAABkcnMvZG93bnJldi54&#10;bWxQSwECFAAUAAAACACHTuJAWlhyvGwCAADaBAAADgAAAAAAAAABACAAAAAnAQAAZHJzL2Uyb0Rv&#10;Yy54bWxQSwUGAAAAAAYABgBZAQAABQYAAAAA&#10;">
                <v:fill on="t" focussize="0,0"/>
                <v:stroke color="#000000" miterlimit="8" joinstyle="miter"/>
                <v:imagedata o:title=""/>
                <o:lock v:ext="edit" aspectratio="f"/>
                <v:textbox inset="0mm,0mm,0mm,0mm">
                  <w:txbxContent>
                    <w:p>
                      <w:pPr>
                        <w:spacing w:line="240" w:lineRule="auto"/>
                        <w:ind w:firstLine="0" w:firstLineChars="0"/>
                        <w:jc w:val="center"/>
                        <w:rPr>
                          <w:sz w:val="14"/>
                          <w:szCs w:val="14"/>
                        </w:rPr>
                      </w:pPr>
                      <w:r>
                        <w:rPr>
                          <w:rFonts w:hint="eastAsia"/>
                          <w:sz w:val="14"/>
                          <w:szCs w:val="14"/>
                        </w:rPr>
                        <w:t>赵家坝污水处理站</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2837180</wp:posOffset>
                </wp:positionH>
                <wp:positionV relativeFrom="paragraph">
                  <wp:posOffset>1162050</wp:posOffset>
                </wp:positionV>
                <wp:extent cx="2186305" cy="600710"/>
                <wp:effectExtent l="0" t="0" r="8255" b="8890"/>
                <wp:wrapNone/>
                <wp:docPr id="62" name="文本框 62"/>
                <wp:cNvGraphicFramePr/>
                <a:graphic xmlns:a="http://schemas.openxmlformats.org/drawingml/2006/main">
                  <a:graphicData uri="http://schemas.microsoft.com/office/word/2010/wordprocessingShape">
                    <wps:wsp>
                      <wps:cNvSpPr txBox="1"/>
                      <wps:spPr>
                        <a:xfrm>
                          <a:off x="4018280" y="3558540"/>
                          <a:ext cx="2186305" cy="600710"/>
                        </a:xfrm>
                        <a:prstGeom prst="rect">
                          <a:avLst/>
                        </a:prstGeom>
                        <a:solidFill>
                          <a:srgbClr val="FFFFFF"/>
                        </a:solidFill>
                        <a:ln w="9525">
                          <a:noFill/>
                          <a:miter lim="800000"/>
                        </a:ln>
                      </wps:spPr>
                      <wps:txbx>
                        <w:txbxContent>
                          <w:p>
                            <w:pPr>
                              <w:spacing w:line="240" w:lineRule="auto"/>
                              <w:ind w:firstLine="0" w:firstLineChars="0"/>
                              <w:rPr>
                                <w:sz w:val="16"/>
                                <w:szCs w:val="16"/>
                              </w:rPr>
                            </w:pPr>
                            <w:r>
                              <w:rPr>
                                <w:rFonts w:hint="eastAsia"/>
                                <w:sz w:val="16"/>
                                <w:szCs w:val="16"/>
                              </w:rPr>
                              <w:t>就</w:t>
                            </w:r>
                            <w:r>
                              <w:rPr>
                                <w:sz w:val="16"/>
                                <w:szCs w:val="16"/>
                              </w:rPr>
                              <w:t>近交给依法取得生态环境部门关于利用和处置相关工业固体废物项目环评批复、具有处理处置相应固体废物能力并配套建设有废气、废水、固废等污染物治理设施的单位进行资源化利用</w:t>
                            </w:r>
                          </w:p>
                          <w:p>
                            <w:pPr>
                              <w:ind w:firstLine="480"/>
                            </w:pP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23.4pt;margin-top:91.5pt;height:47.3pt;width:172.15pt;z-index:251671552;mso-width-relative:page;mso-height-relative:page;" fillcolor="#FFFFFF" filled="t" stroked="f" coordsize="21600,21600" o:gfxdata="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eFEAC2gAAAAsBAAAPAAAAAAAAAAEAIAAAACIAAABkcnMvZG93bnJldi54&#10;bWxQSwECFAAUAAAACACHTuJAJhWB82oCAACwBAAADgAAAAAAAAABACAAAAApAQAAZHJzL2Uyb0Rv&#10;Yy54bWxQSwUGAAAAAAYABgBZAQAABQYAAAAA&#10;">
                <v:fill on="t" focussize="0,0"/>
                <v:stroke on="f" miterlimit="8" joinstyle="miter"/>
                <v:imagedata o:title=""/>
                <o:lock v:ext="edit" aspectratio="f"/>
                <v:textbox inset="0mm,0mm,0mm,0mm">
                  <w:txbxContent>
                    <w:p>
                      <w:pPr>
                        <w:spacing w:line="240" w:lineRule="auto"/>
                        <w:ind w:firstLine="0" w:firstLineChars="0"/>
                        <w:rPr>
                          <w:sz w:val="16"/>
                          <w:szCs w:val="16"/>
                        </w:rPr>
                      </w:pPr>
                      <w:r>
                        <w:rPr>
                          <w:rFonts w:hint="eastAsia"/>
                          <w:sz w:val="16"/>
                          <w:szCs w:val="16"/>
                        </w:rPr>
                        <w:t>就</w:t>
                      </w:r>
                      <w:r>
                        <w:rPr>
                          <w:sz w:val="16"/>
                          <w:szCs w:val="16"/>
                        </w:rPr>
                        <w:t>近交给依法取得生态环境部门关于利用和处置相关工业固体废物项目环评批复、具有处理处置相应固体废物能力并配套建设有废气、废水、固废等污染物治理设施的单位进行资源化利用</w:t>
                      </w:r>
                    </w:p>
                    <w:p>
                      <w:pPr>
                        <w:ind w:firstLine="480"/>
                      </w:pPr>
                    </w:p>
                  </w:txbxContent>
                </v:textbox>
              </v:shape>
            </w:pict>
          </mc:Fallback>
        </mc:AlternateContent>
      </w:r>
      <w:r>
        <w:rPr>
          <w:color w:val="000000" w:themeColor="text1"/>
          <w:highlight w:val="none"/>
          <w:lang w:eastAsia="zh-CN"/>
          <w14:textFill>
            <w14:solidFill>
              <w14:schemeClr w14:val="tx1"/>
            </w14:solidFill>
          </w14:textFill>
        </w:rPr>
        <w:drawing>
          <wp:inline distT="0" distB="0" distL="0" distR="0">
            <wp:extent cx="5039995" cy="1850390"/>
            <wp:effectExtent l="0" t="0" r="8255" b="16510"/>
            <wp:docPr id="11468217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21783" name="图片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039995" cy="1850390"/>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项目钻井废水与洗井废水回收利用工艺流程图</w:t>
      </w:r>
    </w:p>
    <w:bookmarkEnd w:id="442"/>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t>）生活污水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钻井期间</w:t>
      </w:r>
      <w:r>
        <w:rPr>
          <w:rFonts w:cs="Times New Roman"/>
          <w:bCs/>
          <w:color w:val="000000" w:themeColor="text1"/>
          <w:szCs w:val="24"/>
          <w:highlight w:val="none"/>
          <w14:textFill>
            <w14:solidFill>
              <w14:schemeClr w14:val="tx1"/>
            </w14:solidFill>
          </w14:textFill>
        </w:rPr>
        <w:t>生活污水</w:t>
      </w:r>
      <w:r>
        <w:rPr>
          <w:rFonts w:cs="Times New Roman"/>
          <w:color w:val="000000" w:themeColor="text1"/>
          <w:szCs w:val="24"/>
          <w:highlight w:val="none"/>
          <w14:textFill>
            <w14:solidFill>
              <w14:schemeClr w14:val="tx1"/>
            </w14:solidFill>
          </w14:textFill>
        </w:rPr>
        <w:t>经生态厕所收集后定期由密闭罐车拉运至周边生活污水处理厂处理。</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3</w:t>
      </w:r>
      <w:r>
        <w:rPr>
          <w:rFonts w:cs="Times New Roman"/>
          <w:color w:val="000000" w:themeColor="text1"/>
          <w:szCs w:val="24"/>
          <w:highlight w:val="none"/>
          <w14:textFill>
            <w14:solidFill>
              <w14:schemeClr w14:val="tx1"/>
            </w14:solidFill>
          </w14:textFill>
        </w:rPr>
        <w:t>）初期雨水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采用清污分流，井场四周设置排水沟，并设置集水坑，初期雨水收集进入泥浆不落地装置区与钻井废水合并处理，后期雨水依靠井站设置的地面坡度和内外环沟的阀门控制，就地散排至排水沟，排出场外。若场内雨水被污染流入外环沟，则需封闭外环沟由作业队伍从集水坑抽汲至泥浆不落地装置区或放喷池。</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泥浆不落地装置和放喷池均比地面高且有遮雨篷遮盖，可防止周边雨水汇入；井场周围设置雨水沟，井场周边雨水均不会进入井场内，井场内的雨水则顺着地势而排入四周的雨水沟；泥浆不落地装置上方配备了防雨棚，这样可避免因雨水进入泥浆不落地装置而增加废水量。</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由于项目拟建地周围有冲沟与河流，为了进一步做好对附近河流的保护工作，建议建设单位做好以下应急环保工作：</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①</w:t>
      </w:r>
      <w:r>
        <w:rPr>
          <w:rFonts w:cs="Times New Roman"/>
          <w:bCs/>
          <w:color w:val="000000" w:themeColor="text1"/>
          <w:szCs w:val="24"/>
          <w:highlight w:val="none"/>
          <w14:textFill>
            <w14:solidFill>
              <w14:schemeClr w14:val="tx1"/>
            </w14:solidFill>
          </w14:textFill>
        </w:rPr>
        <w:t>在钻井过程中应加强废水管理，尤其雨季时加强监管内外排水沟，确保污水不流出井场。</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在做好泥浆不落地装置区水罐和放喷池的清运工作同时，对集水坑进行及时清掏，做好防渗。</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③</w:t>
      </w:r>
      <w:r>
        <w:rPr>
          <w:rFonts w:cs="Times New Roman"/>
          <w:bCs/>
          <w:color w:val="000000" w:themeColor="text1"/>
          <w:szCs w:val="24"/>
          <w:highlight w:val="none"/>
          <w14:textFill>
            <w14:solidFill>
              <w14:schemeClr w14:val="tx1"/>
            </w14:solidFill>
          </w14:textFill>
        </w:rPr>
        <w:t>废水在拉运过程中经过河渠与冲沟附近时，应减缓车速，平稳通过。</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④</w:t>
      </w:r>
      <w:r>
        <w:rPr>
          <w:rFonts w:cs="Times New Roman"/>
          <w:color w:val="000000" w:themeColor="text1"/>
          <w:szCs w:val="24"/>
          <w:highlight w:val="none"/>
          <w14:textFill>
            <w14:solidFill>
              <w14:schemeClr w14:val="tx1"/>
            </w14:solidFill>
          </w14:textFill>
        </w:rPr>
        <w:t>本次环评要求构建的地表水</w:t>
      </w:r>
      <w:r>
        <w:rPr>
          <w:rFonts w:ascii="宋体" w:hAnsi="宋体" w:cs="Times New Roman"/>
          <w:color w:val="000000" w:themeColor="text1"/>
          <w:szCs w:val="24"/>
          <w:highlight w:val="none"/>
          <w14:textFill>
            <w14:solidFill>
              <w14:schemeClr w14:val="tx1"/>
            </w14:solidFill>
          </w14:textFill>
        </w:rPr>
        <w:t>“三级”</w:t>
      </w:r>
      <w:r>
        <w:rPr>
          <w:rFonts w:cs="Times New Roman"/>
          <w:color w:val="000000" w:themeColor="text1"/>
          <w:szCs w:val="24"/>
          <w:highlight w:val="none"/>
          <w14:textFill>
            <w14:solidFill>
              <w14:schemeClr w14:val="tx1"/>
            </w14:solidFill>
          </w14:textFill>
        </w:rPr>
        <w:t>防控体系：具体如下：</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第一级防控措施是对存放废水和原料的罐、池定期检查，确认罐、池容量不超过设计容量，并及时清空，确保废水暂存容量足够；</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第二级防控措施是通过对可能发生废水泄露的罐、池区以及作业区等区域修建围堰，避免</w:t>
      </w:r>
      <w:r>
        <w:rPr>
          <w:rFonts w:hint="eastAsia" w:cs="Times New Roman"/>
          <w:color w:val="000000" w:themeColor="text1"/>
          <w:szCs w:val="24"/>
          <w:highlight w:val="none"/>
          <w14:textFill>
            <w14:solidFill>
              <w14:schemeClr w14:val="tx1"/>
            </w14:solidFill>
          </w14:textFill>
        </w:rPr>
        <w:t>泄漏</w:t>
      </w:r>
      <w:r>
        <w:rPr>
          <w:rFonts w:cs="Times New Roman"/>
          <w:color w:val="000000" w:themeColor="text1"/>
          <w:szCs w:val="24"/>
          <w:highlight w:val="none"/>
          <w14:textFill>
            <w14:solidFill>
              <w14:schemeClr w14:val="tx1"/>
            </w14:solidFill>
          </w14:textFill>
        </w:rPr>
        <w:t>废水散排进入井场其他区域；</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第三级防控措施是内环沟集污坑、方井、井场四周集水坑等废水汇集处低进高出，同时设置水泵，将废水抽至泥浆不落地系统废水罐或放喷池，拦截可能流出井场外的废水，保持内环沟、集污坑、方井、放喷池等常空，有足够容积。</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在废水外溢事故发生，集水坑拦截失效时，在集水坑附近等低洼区域以及外溢口处采用沙包、装土编织袋等拦截措施阻止废水进入外环境，同时保持放喷池常空，有足够容积，在沙包、装土编织袋等拦截措施失效时，通过泵将井场场内外溢废水引流至泥浆不落地区废水罐、污水池、放喷池并及时处理转运。</w:t>
      </w:r>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（2）治理措施可行性分析</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t>污水收集处理设施可行性分析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钻井过程中废水由泥浆不落地装置收集，泥浆不落地装置内放置有现场配备40m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废水罐4个（位于清洁化操作平台废水处理区，分为1个隔油罐、2个沉淀罐、1个回用罐）</w:t>
      </w:r>
      <w:r>
        <w:rPr>
          <w:rFonts w:hint="eastAsia" w:cs="Times New Roman"/>
          <w:color w:val="000000" w:themeColor="text1"/>
          <w:szCs w:val="24"/>
          <w:highlight w:val="none"/>
          <w14:textFill>
            <w14:solidFill>
              <w14:schemeClr w14:val="tx1"/>
            </w14:solidFill>
          </w14:textFill>
        </w:rPr>
        <w:t>，本项目</w:t>
      </w:r>
      <w:r>
        <w:rPr>
          <w:rFonts w:cs="Times New Roman"/>
          <w:color w:val="000000" w:themeColor="text1"/>
          <w:szCs w:val="24"/>
          <w:highlight w:val="none"/>
          <w14:textFill>
            <w14:solidFill>
              <w14:schemeClr w14:val="tx1"/>
            </w14:solidFill>
          </w14:textFill>
        </w:rPr>
        <w:t>废水临时存放能力达到</w:t>
      </w:r>
      <w:r>
        <w:rPr>
          <w:rFonts w:hint="eastAsia" w:cs="Times New Roman"/>
          <w:color w:val="000000" w:themeColor="text1"/>
          <w:szCs w:val="24"/>
          <w:highlight w:val="none"/>
          <w14:textFill>
            <w14:solidFill>
              <w14:schemeClr w14:val="tx1"/>
            </w14:solidFill>
          </w14:textFill>
        </w:rPr>
        <w:t>4</w:t>
      </w:r>
      <w:r>
        <w:rPr>
          <w:rFonts w:cs="Times New Roman"/>
          <w:color w:val="000000" w:themeColor="text1"/>
          <w:szCs w:val="24"/>
          <w:highlight w:val="none"/>
          <w14:textFill>
            <w14:solidFill>
              <w14:schemeClr w14:val="tx1"/>
            </w14:solidFill>
          </w14:textFill>
        </w:rPr>
        <w:t>60m</w:t>
      </w:r>
      <w:r>
        <w:rPr>
          <w:rFonts w:cs="Times New Roman"/>
          <w:color w:val="000000" w:themeColor="text1"/>
          <w:szCs w:val="24"/>
          <w:highlight w:val="none"/>
          <w:vertAlign w:val="superscript"/>
          <w14:textFill>
            <w14:solidFill>
              <w14:schemeClr w14:val="tx1"/>
            </w14:solidFill>
          </w14:textFill>
        </w:rPr>
        <w:t>3</w:t>
      </w:r>
      <w:r>
        <w:rPr>
          <w:rFonts w:hint="eastAsia" w:cs="Times New Roman"/>
          <w:color w:val="000000" w:themeColor="text1"/>
          <w:szCs w:val="24"/>
          <w:highlight w:val="none"/>
          <w14:textFill>
            <w14:solidFill>
              <w14:schemeClr w14:val="tx1"/>
            </w14:solidFill>
          </w14:textFill>
        </w:rPr>
        <w:t>（4个废水罐共计160</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hint="eastAsia" w:cs="Times New Roman"/>
          <w:color w:val="000000" w:themeColor="text1"/>
          <w:szCs w:val="24"/>
          <w:highlight w:val="none"/>
          <w14:textFill>
            <w14:solidFill>
              <w14:schemeClr w14:val="tx1"/>
            </w14:solidFill>
          </w14:textFill>
        </w:rPr>
        <w:t>，1个放喷池3</w:t>
      </w:r>
      <w:r>
        <w:rPr>
          <w:rFonts w:cs="Times New Roman"/>
          <w:color w:val="000000" w:themeColor="text1"/>
          <w:szCs w:val="24"/>
          <w:highlight w:val="none"/>
          <w14:textFill>
            <w14:solidFill>
              <w14:schemeClr w14:val="tx1"/>
            </w14:solidFill>
          </w14:textFill>
        </w:rPr>
        <w:t>00</w:t>
      </w:r>
      <w:r>
        <w:rPr>
          <w:rFonts w:hint="eastAsia"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。本项目钻井期间污水经固控设备固液分离后，钻井废水</w:t>
      </w:r>
      <w:r>
        <w:rPr>
          <w:rFonts w:hint="eastAsia" w:cs="Times New Roman"/>
          <w:color w:val="000000" w:themeColor="text1"/>
          <w:szCs w:val="24"/>
          <w:highlight w:val="none"/>
          <w14:textFill>
            <w14:solidFill>
              <w14:schemeClr w14:val="tx1"/>
            </w14:solidFill>
          </w14:textFill>
        </w:rPr>
        <w:t>1331</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，井站设立污水定期拉运机制</w:t>
      </w:r>
      <w:r>
        <w:rPr>
          <w:rFonts w:hint="eastAsia" w:cs="Times New Roman"/>
          <w:color w:val="000000" w:themeColor="text1"/>
          <w:szCs w:val="24"/>
          <w:highlight w:val="none"/>
          <w14:textFill>
            <w14:solidFill>
              <w14:schemeClr w14:val="tx1"/>
            </w14:solidFill>
          </w14:textFill>
        </w:rPr>
        <w:t>，通过定期拉运，能使现场废水最大存量保持在始终低于4</w:t>
      </w:r>
      <w:r>
        <w:rPr>
          <w:rFonts w:cs="Times New Roman"/>
          <w:color w:val="000000" w:themeColor="text1"/>
          <w:szCs w:val="24"/>
          <w:highlight w:val="none"/>
          <w14:textFill>
            <w14:solidFill>
              <w14:schemeClr w14:val="tx1"/>
            </w14:solidFill>
          </w14:textFill>
        </w:rPr>
        <w:t>6</w:t>
      </w:r>
      <w:r>
        <w:rPr>
          <w:rFonts w:hint="eastAsia" w:cs="Times New Roman"/>
          <w:color w:val="000000" w:themeColor="text1"/>
          <w:szCs w:val="24"/>
          <w:highlight w:val="none"/>
          <w14:textFill>
            <w14:solidFill>
              <w14:schemeClr w14:val="tx1"/>
            </w14:solidFill>
          </w14:textFill>
        </w:rPr>
        <w:t>0</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hint="eastAsia" w:cs="Times New Roman"/>
          <w:color w:val="000000" w:themeColor="text1"/>
          <w:szCs w:val="24"/>
          <w:highlight w:val="none"/>
          <w14:textFill>
            <w14:solidFill>
              <w14:schemeClr w14:val="tx1"/>
            </w14:solidFill>
          </w14:textFill>
        </w:rPr>
        <w:t>的水平</w:t>
      </w:r>
      <w:r>
        <w:rPr>
          <w:rFonts w:cs="Times New Roman"/>
          <w:color w:val="000000" w:themeColor="text1"/>
          <w:szCs w:val="24"/>
          <w:highlight w:val="none"/>
          <w14:textFill>
            <w14:solidFill>
              <w14:schemeClr w14:val="tx1"/>
            </w14:solidFill>
          </w14:textFill>
        </w:rPr>
        <w:t>，井场的泥浆不落地装置与</w:t>
      </w:r>
      <w:r>
        <w:rPr>
          <w:rFonts w:hint="eastAsia" w:cs="Times New Roman"/>
          <w:color w:val="000000" w:themeColor="text1"/>
          <w:szCs w:val="24"/>
          <w:highlight w:val="none"/>
          <w14:textFill>
            <w14:solidFill>
              <w14:schemeClr w14:val="tx1"/>
            </w14:solidFill>
          </w14:textFill>
        </w:rPr>
        <w:t>放喷</w:t>
      </w:r>
      <w:r>
        <w:rPr>
          <w:rFonts w:cs="Times New Roman"/>
          <w:color w:val="000000" w:themeColor="text1"/>
          <w:szCs w:val="24"/>
          <w:highlight w:val="none"/>
          <w14:textFill>
            <w14:solidFill>
              <w14:schemeClr w14:val="tx1"/>
            </w14:solidFill>
          </w14:textFill>
        </w:rPr>
        <w:t>池的容量能满足井场整个钻井期的生产需求。</w:t>
      </w:r>
    </w:p>
    <w:p>
      <w:pPr>
        <w:ind w:firstLine="480"/>
        <w:rPr>
          <w:rFonts w:cs="Times New Roman"/>
          <w:color w:val="000000" w:themeColor="text1"/>
          <w:szCs w:val="24"/>
          <w:highlight w:val="none"/>
          <w14:textFill>
            <w14:solidFill>
              <w14:schemeClr w14:val="tx1"/>
            </w14:solidFill>
          </w14:textFill>
        </w:rPr>
      </w:pPr>
      <w:bookmarkStart w:id="443" w:name="_Hlk89361389"/>
      <w:r>
        <w:rPr>
          <w:rFonts w:cs="Times New Roman"/>
          <w:color w:val="000000" w:themeColor="text1"/>
          <w:szCs w:val="24"/>
          <w:highlight w:val="none"/>
          <w14:textFill>
            <w14:solidFill>
              <w14:schemeClr w14:val="tx1"/>
            </w14:solidFill>
          </w14:textFill>
        </w:rPr>
        <w:t>经固控设备固液分离后洗井废水产生量最大为</w:t>
      </w:r>
      <w:r>
        <w:rPr>
          <w:rFonts w:hint="eastAsia" w:cs="Times New Roman"/>
          <w:color w:val="000000" w:themeColor="text1"/>
          <w:szCs w:val="24"/>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t>00m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，洗井废水边处理边拉运回用，井场的泥浆不落地装置与污水池的容量能满足井场洗井期的生产需求。</w:t>
      </w:r>
      <w:bookmarkEnd w:id="443"/>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为防止在暴雨或连续降雨等极端天气条件下发生废水泄露，对初期雨水进行收集，</w:t>
      </w:r>
      <w:bookmarkStart w:id="444" w:name="_Hlk89363083"/>
      <w:r>
        <w:rPr>
          <w:rFonts w:cs="Times New Roman"/>
          <w:color w:val="000000" w:themeColor="text1"/>
          <w:szCs w:val="24"/>
          <w:highlight w:val="none"/>
          <w14:textFill>
            <w14:solidFill>
              <w14:schemeClr w14:val="tx1"/>
            </w14:solidFill>
          </w14:textFill>
        </w:rPr>
        <w:t>本项</w:t>
      </w:r>
      <w:r>
        <w:rPr>
          <w:rFonts w:ascii="宋体" w:hAnsi="宋体" w:cs="Times New Roman"/>
          <w:color w:val="000000" w:themeColor="text1"/>
          <w:szCs w:val="24"/>
          <w:highlight w:val="none"/>
          <w14:textFill>
            <w14:solidFill>
              <w14:schemeClr w14:val="tx1"/>
            </w14:solidFill>
          </w14:textFill>
        </w:rPr>
        <w:t>目“不落地”</w:t>
      </w:r>
      <w:r>
        <w:rPr>
          <w:rFonts w:cs="Times New Roman"/>
          <w:color w:val="000000" w:themeColor="text1"/>
          <w:szCs w:val="24"/>
          <w:highlight w:val="none"/>
          <w14:textFill>
            <w14:solidFill>
              <w14:schemeClr w14:val="tx1"/>
            </w14:solidFill>
          </w14:textFill>
        </w:rPr>
        <w:t>处理装置与</w:t>
      </w:r>
      <w:r>
        <w:rPr>
          <w:rFonts w:hint="eastAsia" w:cs="Times New Roman"/>
          <w:color w:val="000000" w:themeColor="text1"/>
          <w:szCs w:val="24"/>
          <w:highlight w:val="none"/>
          <w14:textFill>
            <w14:solidFill>
              <w14:schemeClr w14:val="tx1"/>
            </w14:solidFill>
          </w14:textFill>
        </w:rPr>
        <w:t>放喷</w:t>
      </w:r>
      <w:r>
        <w:rPr>
          <w:rFonts w:cs="Times New Roman"/>
          <w:color w:val="000000" w:themeColor="text1"/>
          <w:szCs w:val="24"/>
          <w:highlight w:val="none"/>
          <w14:textFill>
            <w14:solidFill>
              <w14:schemeClr w14:val="tx1"/>
            </w14:solidFill>
          </w14:textFill>
        </w:rPr>
        <w:t>池有效容积达到</w:t>
      </w:r>
      <w:r>
        <w:rPr>
          <w:rFonts w:hint="eastAsia" w:cs="Times New Roman"/>
          <w:color w:val="000000" w:themeColor="text1"/>
          <w:szCs w:val="24"/>
          <w:highlight w:val="none"/>
          <w14:textFill>
            <w14:solidFill>
              <w14:schemeClr w14:val="tx1"/>
            </w14:solidFill>
          </w14:textFill>
        </w:rPr>
        <w:t>4</w:t>
      </w:r>
      <w:r>
        <w:rPr>
          <w:rFonts w:cs="Times New Roman"/>
          <w:color w:val="000000" w:themeColor="text1"/>
          <w:szCs w:val="24"/>
          <w:highlight w:val="none"/>
          <w14:textFill>
            <w14:solidFill>
              <w14:schemeClr w14:val="tx1"/>
            </w14:solidFill>
          </w14:textFill>
        </w:rPr>
        <w:t>60m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w:t>
      </w:r>
      <w:bookmarkEnd w:id="444"/>
      <w:r>
        <w:rPr>
          <w:rFonts w:cs="Times New Roman"/>
          <w:color w:val="000000" w:themeColor="text1"/>
          <w:szCs w:val="24"/>
          <w:highlight w:val="none"/>
          <w14:textFill>
            <w14:solidFill>
              <w14:schemeClr w14:val="tx1"/>
            </w14:solidFill>
          </w14:textFill>
        </w:rPr>
        <w:t>能满足本项目应对暴雨或连续降雨等极端天气条件下初期雨水的收集需要（初期雨水量</w:t>
      </w:r>
      <w:r>
        <w:rPr>
          <w:rFonts w:hint="eastAsia" w:cs="Times New Roman"/>
          <w:color w:val="000000" w:themeColor="text1"/>
          <w:szCs w:val="24"/>
          <w:highlight w:val="none"/>
          <w14:textFill>
            <w14:solidFill>
              <w14:schemeClr w14:val="tx1"/>
            </w14:solidFill>
          </w14:textFill>
        </w:rPr>
        <w:t>208.4</w:t>
      </w:r>
      <w:r>
        <w:rPr>
          <w:rFonts w:cs="Times New Roman"/>
          <w:color w:val="000000" w:themeColor="text1"/>
          <w:szCs w:val="24"/>
          <w:highlight w:val="none"/>
          <w14:textFill>
            <w14:solidFill>
              <w14:schemeClr w14:val="tx1"/>
            </w14:solidFill>
          </w14:textFill>
        </w:rPr>
        <w:t>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），杜绝废水外溢污染事故。</w:t>
      </w:r>
    </w:p>
    <w:p>
      <w:pPr>
        <w:ind w:firstLine="480"/>
        <w:rPr>
          <w:rFonts w:cs="Times New Roman"/>
          <w:color w:val="000000" w:themeColor="text1"/>
          <w:szCs w:val="24"/>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钻井期生活污水经生态厕所收集后定期由密闭罐车拉运至周边生活污水处理厂处理</w:t>
      </w:r>
      <w:r>
        <w:rPr>
          <w:rFonts w:cs="Times New Roman"/>
          <w:color w:val="000000" w:themeColor="text1"/>
          <w:szCs w:val="24"/>
          <w:highlight w:val="none"/>
          <w14:textFill>
            <w14:solidFill>
              <w14:schemeClr w14:val="tx1"/>
            </w14:solidFill>
          </w14:textFill>
        </w:rPr>
        <w:t>，钻井期生态厕所能满足50人入厕需求，本项目钻井期最多人员为45人，且加强管理，定期拉运后，生态厕所满足使用需求。</w:t>
      </w:r>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2</w:t>
      </w:r>
      <w:r>
        <w:rPr>
          <w:rFonts w:hint="eastAsia" w:ascii="宋体" w:hAnsi="宋体" w:cs="宋体"/>
          <w:color w:val="000000" w:themeColor="text1"/>
          <w:szCs w:val="24"/>
          <w:highlight w:val="none"/>
          <w14:textFill>
            <w14:solidFill>
              <w14:schemeClr w14:val="tx1"/>
            </w14:solidFill>
          </w14:textFill>
        </w:rPr>
        <w:t>）泥浆不落地工艺可行性分析</w:t>
      </w:r>
    </w:p>
    <w:p>
      <w:pPr>
        <w:ind w:firstLine="480"/>
        <w:rPr>
          <w:rFonts w:cs="Times New Roman"/>
          <w:color w:val="000000" w:themeColor="text1"/>
          <w:szCs w:val="24"/>
          <w:highlight w:val="none"/>
          <w14:textFill>
            <w14:solidFill>
              <w14:schemeClr w14:val="tx1"/>
            </w14:solidFill>
          </w14:textFill>
        </w:rPr>
      </w:pPr>
      <w:bookmarkStart w:id="445" w:name="_Hlk89363132"/>
      <w:r>
        <w:rPr>
          <w:rFonts w:cs="Times New Roman"/>
          <w:color w:val="000000" w:themeColor="text1"/>
          <w:szCs w:val="24"/>
          <w:highlight w:val="none"/>
          <w14:textFill>
            <w14:solidFill>
              <w14:schemeClr w14:val="tx1"/>
            </w14:solidFill>
          </w14:textFill>
        </w:rPr>
        <w:t>随钻泥浆不落地能做到泥浆、岩屑“不落地”，对钻井过程中产生的污染物实行随钻处理，增大了废水利用率，同时降低道路运输风险。随钻处理污染物技术成熟、可靠，资源化处置得到的泥饼体积减小，固化后泥饼含水率约60%，运输方便，分离出液体大部分能回用钻井作业，在减少废物排放的同时节约了成本。尤为重要的是项目对污染物实现了综合利用，符合当前环保管理减量化、无害化、资源化的要求，属</w:t>
      </w:r>
      <w:r>
        <w:rPr>
          <w:rFonts w:hint="eastAsia" w:ascii="宋体" w:hAnsi="宋体" w:cs="宋体"/>
          <w:color w:val="000000" w:themeColor="text1"/>
          <w:szCs w:val="24"/>
          <w:highlight w:val="none"/>
          <w14:textFill>
            <w14:solidFill>
              <w14:schemeClr w14:val="tx1"/>
            </w14:solidFill>
          </w14:textFill>
        </w:rPr>
        <w:t>“三废”</w:t>
      </w:r>
      <w:r>
        <w:rPr>
          <w:rFonts w:cs="Times New Roman"/>
          <w:color w:val="000000" w:themeColor="text1"/>
          <w:szCs w:val="24"/>
          <w:highlight w:val="none"/>
          <w14:textFill>
            <w14:solidFill>
              <w14:schemeClr w14:val="tx1"/>
            </w14:solidFill>
          </w14:textFill>
        </w:rPr>
        <w:t>综合利用及治理工程，泥浆不落地工艺的实施，将大大提高废水回用率和降低固废产生量，降低环保风险，确保中原油田普光分公司清洁生产、绿色开发和可持续发展。根据川东北地区配套的泥浆不落地系统处理经验，系统内正常运行设置40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废水罐4个，20m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岩屑固化罐4个，3m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岩屑收集罐8个，化学品存放区1处和1套固废处理设备就能满足川东北地区单井泥浆不落地处理能力要求。本项目按照上述进行了设置，同时本项目</w:t>
      </w:r>
      <w:r>
        <w:rPr>
          <w:rFonts w:hint="eastAsia" w:cs="Times New Roman"/>
          <w:color w:val="000000" w:themeColor="text1"/>
          <w:szCs w:val="24"/>
          <w:highlight w:val="none"/>
          <w14:textFill>
            <w14:solidFill>
              <w14:schemeClr w14:val="tx1"/>
            </w14:solidFill>
          </w14:textFill>
        </w:rPr>
        <w:t>仅有1口钻井</w:t>
      </w:r>
      <w:r>
        <w:rPr>
          <w:rFonts w:cs="Times New Roman"/>
          <w:color w:val="000000" w:themeColor="text1"/>
          <w:szCs w:val="24"/>
          <w:highlight w:val="none"/>
          <w14:textFill>
            <w14:solidFill>
              <w14:schemeClr w14:val="tx1"/>
            </w14:solidFill>
          </w14:textFill>
        </w:rPr>
        <w:t>，故泥浆不落地装置处理能力满足本项目需求。因此，本项目采用随钻泥浆不落地工艺是可行的。</w:t>
      </w:r>
    </w:p>
    <w:bookmarkEnd w:id="445"/>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3</w:t>
      </w:r>
      <w:r>
        <w:rPr>
          <w:rFonts w:hint="eastAsia" w:ascii="宋体" w:hAnsi="宋体" w:cs="宋体"/>
          <w:color w:val="000000" w:themeColor="text1"/>
          <w:szCs w:val="24"/>
          <w:highlight w:val="none"/>
          <w14:textFill>
            <w14:solidFill>
              <w14:schemeClr w14:val="tx1"/>
            </w14:solidFill>
          </w14:textFill>
        </w:rPr>
        <w:t>）钻井废水回用可行性分析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经泥浆不落地处理后的钻井废水水质简单，悬浮物和油含量低，</w:t>
      </w:r>
      <w:r>
        <w:rPr>
          <w:rFonts w:hint="eastAsia" w:cs="Times New Roman"/>
          <w:color w:val="000000" w:themeColor="text1"/>
          <w:szCs w:val="24"/>
          <w:highlight w:val="none"/>
          <w14:textFill>
            <w14:solidFill>
              <w14:schemeClr w14:val="tx1"/>
            </w14:solidFill>
          </w14:textFill>
        </w:rPr>
        <w:t>将钻井废水</w:t>
      </w:r>
      <w:r>
        <w:rPr>
          <w:rFonts w:cs="Times New Roman"/>
          <w:color w:val="000000" w:themeColor="text1"/>
          <w:szCs w:val="24"/>
          <w:highlight w:val="none"/>
          <w14:textFill>
            <w14:solidFill>
              <w14:schemeClr w14:val="tx1"/>
            </w14:solidFill>
          </w14:textFill>
        </w:rPr>
        <w:t>经简单预处理即符合配置</w:t>
      </w:r>
      <w:r>
        <w:rPr>
          <w:rFonts w:hint="eastAsia" w:cs="Times New Roman"/>
          <w:color w:val="000000" w:themeColor="text1"/>
          <w:szCs w:val="24"/>
          <w:highlight w:val="none"/>
          <w14:textFill>
            <w14:solidFill>
              <w14:schemeClr w14:val="tx1"/>
            </w14:solidFill>
          </w14:textFill>
        </w:rPr>
        <w:t>钻井液的</w:t>
      </w:r>
      <w:r>
        <w:rPr>
          <w:rFonts w:cs="Times New Roman"/>
          <w:color w:val="000000" w:themeColor="text1"/>
          <w:szCs w:val="24"/>
          <w:highlight w:val="none"/>
          <w14:textFill>
            <w14:solidFill>
              <w14:schemeClr w14:val="tx1"/>
            </w14:solidFill>
          </w14:textFill>
        </w:rPr>
        <w:t>要求。将钻井废水重复</w:t>
      </w:r>
      <w:r>
        <w:rPr>
          <w:rFonts w:hint="eastAsia" w:cs="Times New Roman"/>
          <w:color w:val="000000" w:themeColor="text1"/>
          <w:szCs w:val="24"/>
          <w:highlight w:val="none"/>
          <w14:textFill>
            <w14:solidFill>
              <w14:schemeClr w14:val="tx1"/>
            </w14:solidFill>
          </w14:textFill>
        </w:rPr>
        <w:t>使用</w:t>
      </w:r>
      <w:r>
        <w:rPr>
          <w:rFonts w:cs="Times New Roman"/>
          <w:color w:val="000000" w:themeColor="text1"/>
          <w:szCs w:val="24"/>
          <w:highlight w:val="none"/>
          <w14:textFill>
            <w14:solidFill>
              <w14:schemeClr w14:val="tx1"/>
            </w14:solidFill>
          </w14:textFill>
        </w:rPr>
        <w:t>，已经属成熟工艺，在</w:t>
      </w:r>
      <w:r>
        <w:rPr>
          <w:rFonts w:hint="eastAsia" w:cs="Times New Roman"/>
          <w:color w:val="000000" w:themeColor="text1"/>
          <w:szCs w:val="24"/>
          <w:highlight w:val="none"/>
          <w14:textFill>
            <w14:solidFill>
              <w14:schemeClr w14:val="tx1"/>
            </w14:solidFill>
          </w14:textFill>
        </w:rPr>
        <w:t>钻井</w:t>
      </w:r>
      <w:r>
        <w:rPr>
          <w:rFonts w:cs="Times New Roman"/>
          <w:color w:val="000000" w:themeColor="text1"/>
          <w:szCs w:val="24"/>
          <w:highlight w:val="none"/>
          <w14:textFill>
            <w14:solidFill>
              <w14:schemeClr w14:val="tx1"/>
            </w14:solidFill>
          </w14:textFill>
        </w:rPr>
        <w:t>施工中广泛使用。因此将钻井废水重复</w:t>
      </w:r>
      <w:r>
        <w:rPr>
          <w:rFonts w:hint="eastAsia" w:cs="Times New Roman"/>
          <w:color w:val="000000" w:themeColor="text1"/>
          <w:szCs w:val="24"/>
          <w:highlight w:val="none"/>
          <w14:textFill>
            <w14:solidFill>
              <w14:schemeClr w14:val="tx1"/>
            </w14:solidFill>
          </w14:textFill>
        </w:rPr>
        <w:t>配置钻井</w:t>
      </w:r>
      <w:r>
        <w:rPr>
          <w:rFonts w:cs="Times New Roman"/>
          <w:color w:val="000000" w:themeColor="text1"/>
          <w:szCs w:val="24"/>
          <w:highlight w:val="none"/>
          <w14:textFill>
            <w14:solidFill>
              <w14:schemeClr w14:val="tx1"/>
            </w14:solidFill>
          </w14:textFill>
        </w:rPr>
        <w:t>液是可行的。可以满足钻井作业废水的处置需求，符合《石油天然气开采业污染防治技术政策》中“在钻井和井下作业过程中，鼓励污油、污水进入生产流程循环利用”的要求，属清洁生产措施，已在钻井工程中得到广泛采用，技术较成熟，该措施技术有效、可行。</w:t>
      </w:r>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4）</w:t>
      </w:r>
      <w:r>
        <w:rPr>
          <w:rFonts w:hint="eastAsia" w:cs="Times New Roman"/>
          <w:color w:val="000000" w:themeColor="text1"/>
          <w:szCs w:val="24"/>
          <w:highlight w:val="none"/>
          <w14:textFill>
            <w14:solidFill>
              <w14:schemeClr w14:val="tx1"/>
            </w14:solidFill>
          </w14:textFill>
        </w:rPr>
        <w:t>剩余钻井废水</w:t>
      </w:r>
      <w:r>
        <w:rPr>
          <w:rFonts w:hint="eastAsia" w:ascii="宋体" w:hAnsi="宋体" w:cs="宋体"/>
          <w:color w:val="000000" w:themeColor="text1"/>
          <w:szCs w:val="24"/>
          <w:highlight w:val="none"/>
          <w14:textFill>
            <w14:solidFill>
              <w14:schemeClr w14:val="tx1"/>
            </w14:solidFill>
          </w14:textFill>
        </w:rPr>
        <w:t>转运预处理和回注可行性分析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不可回用钻井废水用密闭罐车拉运至</w:t>
      </w:r>
      <w:r>
        <w:rPr>
          <w:rFonts w:hint="eastAsia" w:cs="Times New Roman"/>
          <w:color w:val="000000" w:themeColor="text1"/>
          <w:szCs w:val="24"/>
          <w:highlight w:val="none"/>
          <w14:textFill>
            <w14:solidFill>
              <w14:schemeClr w14:val="tx1"/>
            </w14:solidFill>
          </w14:textFill>
        </w:rPr>
        <w:t>赵家坝污水处理站</w:t>
      </w:r>
      <w:r>
        <w:rPr>
          <w:rFonts w:cs="Times New Roman"/>
          <w:color w:val="000000" w:themeColor="text1"/>
          <w:szCs w:val="24"/>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管输至</w:t>
      </w:r>
      <w:r>
        <w:rPr>
          <w:rFonts w:hint="eastAsia" w:cs="Times New Roman"/>
          <w:color w:val="000000" w:themeColor="text1"/>
          <w:szCs w:val="24"/>
          <w:highlight w:val="none"/>
          <w14:textFill>
            <w14:solidFill>
              <w14:schemeClr w14:val="tx1"/>
            </w14:solidFill>
          </w14:textFill>
        </w:rPr>
        <w:t>普光3井回注站</w:t>
      </w:r>
      <w:r>
        <w:rPr>
          <w:rFonts w:cs="Times New Roman"/>
          <w:color w:val="000000" w:themeColor="text1"/>
          <w:szCs w:val="24"/>
          <w:highlight w:val="none"/>
          <w14:textFill>
            <w14:solidFill>
              <w14:schemeClr w14:val="tx1"/>
            </w14:solidFill>
          </w14:textFill>
        </w:rPr>
        <w:t>回注，不外排。</w:t>
      </w:r>
    </w:p>
    <w:p>
      <w:pPr>
        <w:pStyle w:val="252"/>
        <w:adjustRightInd w:val="0"/>
        <w:snapToGrid w:val="0"/>
        <w:spacing w:before="120" w:beforeLines="50"/>
        <w:ind w:firstLine="480"/>
        <w:rPr>
          <w:bCs/>
          <w:color w:val="000000" w:themeColor="text1"/>
          <w:highlight w:val="none"/>
          <w14:textFill>
            <w14:solidFill>
              <w14:schemeClr w14:val="tx1"/>
            </w14:solidFill>
          </w14:textFill>
        </w:rPr>
      </w:pPr>
      <w:r>
        <w:rPr>
          <w:rFonts w:hint="eastAsia"/>
          <w:bCs/>
          <w:color w:val="000000" w:themeColor="text1"/>
          <w:szCs w:val="24"/>
          <w:highlight w:val="none"/>
          <w14:textFill>
            <w14:solidFill>
              <w14:schemeClr w14:val="tx1"/>
            </w14:solidFill>
          </w14:textFill>
        </w:rPr>
        <w:t>①赵家坝污水处理站</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赵家坝污水处理站位于天然气净化厂内，属于普光主体工程，赵家坝污水处理站设计处理能力800m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/d，目前实际处理污水量为350m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/d，处理后的污水进入普光</w:t>
      </w:r>
      <w:r>
        <w:rPr>
          <w:rFonts w:cs="Times New Roman"/>
          <w:bCs/>
          <w:color w:val="000000" w:themeColor="text1"/>
          <w:szCs w:val="24"/>
          <w:highlight w:val="none"/>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井回注，污水处理系统采用“气浮+絮凝沉降+压力接收（沉降）+双滤料过滤”工艺，出水水质能够满足《采出水回注方法》（SY/T6596-2004）表1中标准。</w:t>
      </w:r>
    </w:p>
    <w:p>
      <w:pPr>
        <w:ind w:firstLine="480"/>
        <w:rPr>
          <w:color w:val="000000" w:themeColor="text1"/>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赵家坝污水处理站目前剩余处理能力为450m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w:t>
      </w: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施工期</w:t>
      </w:r>
      <w:r>
        <w:rPr>
          <w:rFonts w:cs="Times New Roman"/>
          <w:bCs/>
          <w:color w:val="000000" w:themeColor="text1"/>
          <w:szCs w:val="24"/>
          <w:highlight w:val="none"/>
          <w14:textFill>
            <w14:solidFill>
              <w14:schemeClr w14:val="tx1"/>
            </w14:solidFill>
          </w14:textFill>
        </w:rPr>
        <w:t>未能回用的作业废水</w:t>
      </w:r>
      <w:r>
        <w:rPr>
          <w:rFonts w:hint="eastAsia" w:cs="Times New Roman"/>
          <w:bCs/>
          <w:color w:val="000000" w:themeColor="text1"/>
          <w:szCs w:val="24"/>
          <w:highlight w:val="none"/>
          <w14:textFill>
            <w14:solidFill>
              <w14:schemeClr w14:val="tx1"/>
            </w14:solidFill>
          </w14:textFill>
        </w:rPr>
        <w:t>施工</w:t>
      </w:r>
      <w:r>
        <w:rPr>
          <w:rFonts w:cs="Times New Roman"/>
          <w:bCs/>
          <w:color w:val="000000" w:themeColor="text1"/>
          <w:szCs w:val="24"/>
          <w:highlight w:val="none"/>
          <w14:textFill>
            <w14:solidFill>
              <w14:schemeClr w14:val="tx1"/>
            </w14:solidFill>
          </w14:textFill>
        </w:rPr>
        <w:t>期日运输量不超过</w:t>
      </w:r>
      <w:r>
        <w:rPr>
          <w:rFonts w:hint="eastAsia" w:cs="Times New Roman"/>
          <w:bCs/>
          <w:color w:val="000000" w:themeColor="text1"/>
          <w:szCs w:val="24"/>
          <w:highlight w:val="none"/>
          <w14:textFill>
            <w14:solidFill>
              <w14:schemeClr w14:val="tx1"/>
            </w14:solidFill>
          </w14:textFill>
        </w:rPr>
        <w:t>5</w:t>
      </w:r>
      <w:r>
        <w:rPr>
          <w:rFonts w:cs="Times New Roman"/>
          <w:bCs/>
          <w:color w:val="000000" w:themeColor="text1"/>
          <w:szCs w:val="24"/>
          <w:highlight w:val="none"/>
          <w14:textFill>
            <w14:solidFill>
              <w14:schemeClr w14:val="tx1"/>
            </w14:solidFill>
          </w14:textFill>
        </w:rPr>
        <w:t>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/d，在</w:t>
      </w:r>
      <w:r>
        <w:rPr>
          <w:rFonts w:hint="eastAsia" w:cs="Times New Roman"/>
          <w:bCs/>
          <w:color w:val="000000" w:themeColor="text1"/>
          <w:szCs w:val="24"/>
          <w:highlight w:val="none"/>
          <w14:textFill>
            <w14:solidFill>
              <w14:schemeClr w14:val="tx1"/>
            </w14:solidFill>
          </w14:textFill>
        </w:rPr>
        <w:t>赵家坝污水处理站处理本项目废水期间，中石化普光气田和赵家坝污水处理站加强沟通，同时运输过来的废水</w:t>
      </w:r>
      <w:r>
        <w:rPr>
          <w:rFonts w:cs="Times New Roman"/>
          <w:bCs/>
          <w:color w:val="000000" w:themeColor="text1"/>
          <w:szCs w:val="24"/>
          <w:highlight w:val="none"/>
          <w14:textFill>
            <w14:solidFill>
              <w14:schemeClr w14:val="tx1"/>
            </w14:solidFill>
          </w14:textFill>
        </w:rPr>
        <w:t>处理量</w:t>
      </w:r>
      <w:r>
        <w:rPr>
          <w:rFonts w:hint="eastAsia" w:cs="Times New Roman"/>
          <w:bCs/>
          <w:color w:val="000000" w:themeColor="text1"/>
          <w:szCs w:val="24"/>
          <w:highlight w:val="none"/>
          <w14:textFill>
            <w14:solidFill>
              <w14:schemeClr w14:val="tx1"/>
            </w14:solidFill>
          </w14:textFill>
        </w:rPr>
        <w:t>根据赵家坝污水处理站实际剩余处理能力整体调配，预计控制在40</w:t>
      </w:r>
      <w:r>
        <w:rPr>
          <w:rFonts w:cs="Times New Roman"/>
          <w:bCs/>
          <w:color w:val="000000" w:themeColor="text1"/>
          <w:szCs w:val="24"/>
          <w:highlight w:val="none"/>
          <w14:textFill>
            <w14:solidFill>
              <w14:schemeClr w14:val="tx1"/>
            </w14:solidFill>
          </w14:textFill>
        </w:rPr>
        <w:t>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左右</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能确保本项目施工期和试采期废水得到有效收集处置，故赵家坝污水处理站完全有能力处理本项目产生的废水</w:t>
      </w:r>
      <w:r>
        <w:rPr>
          <w:color w:val="000000" w:themeColor="text1"/>
          <w:highlight w:val="none"/>
          <w14:textFill>
            <w14:solidFill>
              <w14:schemeClr w14:val="tx1"/>
            </w14:solidFill>
          </w14:textFill>
        </w:rPr>
        <w:t>。</w:t>
      </w:r>
    </w:p>
    <w:p>
      <w:pPr>
        <w:pStyle w:val="252"/>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②</w:t>
      </w:r>
      <w:r>
        <w:rPr>
          <w:rFonts w:hint="eastAsia"/>
          <w:color w:val="000000" w:themeColor="text1"/>
          <w:szCs w:val="21"/>
          <w:highlight w:val="none"/>
          <w14:textFill>
            <w14:solidFill>
              <w14:schemeClr w14:val="tx1"/>
            </w14:solidFill>
          </w14:textFill>
        </w:rPr>
        <w:t>普光3井回注站</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本项目经赵家坝污水处理站处理后的作业废水经处理达标后均通过普光3井回注地层。普光3井回注站位于达州市宣汉县黄金镇斑竹村3组，该井站回注层位为飞仙关组飞一段～飞二段、飞二段～飞三段，注水深度为5</w:t>
      </w:r>
      <w:r>
        <w:rPr>
          <w:rFonts w:cs="Times New Roman"/>
          <w:bCs/>
          <w:color w:val="000000" w:themeColor="text1"/>
          <w:szCs w:val="24"/>
          <w:highlight w:val="none"/>
          <w14:textFill>
            <w14:solidFill>
              <w14:schemeClr w14:val="tx1"/>
            </w14:solidFill>
          </w14:textFill>
        </w:rPr>
        <w:t>423.6</w:t>
      </w:r>
      <w:r>
        <w:rPr>
          <w:rFonts w:hint="eastAsia"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14:textFill>
            <w14:solidFill>
              <w14:schemeClr w14:val="tx1"/>
            </w14:solidFill>
          </w14:textFill>
        </w:rPr>
        <w:t>5476.0</w:t>
      </w:r>
      <w:r>
        <w:rPr>
          <w:rFonts w:hint="eastAsia" w:cs="Times New Roman"/>
          <w:bCs/>
          <w:color w:val="000000" w:themeColor="text1"/>
          <w:szCs w:val="24"/>
          <w:highlight w:val="none"/>
          <w14:textFill>
            <w14:solidFill>
              <w14:schemeClr w14:val="tx1"/>
            </w14:solidFill>
          </w14:textFill>
        </w:rPr>
        <w:t>m，回注储集空间1</w:t>
      </w:r>
      <w:r>
        <w:rPr>
          <w:rFonts w:cs="Times New Roman"/>
          <w:bCs/>
          <w:color w:val="000000" w:themeColor="text1"/>
          <w:szCs w:val="24"/>
          <w:highlight w:val="none"/>
          <w14:textFill>
            <w14:solidFill>
              <w14:schemeClr w14:val="tx1"/>
            </w14:solidFill>
          </w14:textFill>
        </w:rPr>
        <w:t>91</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10</w:t>
      </w:r>
      <w:r>
        <w:rPr>
          <w:rFonts w:cs="Times New Roman"/>
          <w:bCs/>
          <w:color w:val="000000" w:themeColor="text1"/>
          <w:szCs w:val="24"/>
          <w:highlight w:val="none"/>
          <w:vertAlign w:val="superscript"/>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m</w:t>
      </w:r>
      <w:r>
        <w:rPr>
          <w:rFonts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，注水压力约为</w:t>
      </w:r>
      <w:r>
        <w:rPr>
          <w:rFonts w:cs="Times New Roman"/>
          <w:bCs/>
          <w:color w:val="000000" w:themeColor="text1"/>
          <w:szCs w:val="24"/>
          <w:highlight w:val="none"/>
          <w14:textFill>
            <w14:solidFill>
              <w14:schemeClr w14:val="tx1"/>
            </w14:solidFill>
          </w14:textFill>
        </w:rPr>
        <w:t>35</w:t>
      </w:r>
      <w:r>
        <w:rPr>
          <w:rFonts w:hint="eastAsia" w:cs="Times New Roman"/>
          <w:bCs/>
          <w:color w:val="000000" w:themeColor="text1"/>
          <w:szCs w:val="24"/>
          <w:highlight w:val="none"/>
          <w14:textFill>
            <w14:solidFill>
              <w14:schemeClr w14:val="tx1"/>
            </w14:solidFill>
          </w14:textFill>
        </w:rPr>
        <w:t>MPa，污水回注设计规模为</w:t>
      </w:r>
      <w:r>
        <w:rPr>
          <w:rFonts w:cs="Times New Roman"/>
          <w:bCs/>
          <w:color w:val="000000" w:themeColor="text1"/>
          <w:szCs w:val="24"/>
          <w:highlight w:val="none"/>
          <w14:textFill>
            <w14:solidFill>
              <w14:schemeClr w14:val="tx1"/>
            </w14:solidFill>
          </w14:textFill>
        </w:rPr>
        <w:t>30</w:t>
      </w:r>
      <w:r>
        <w:rPr>
          <w:rFonts w:hint="eastAsia" w:cs="Times New Roman"/>
          <w:bCs/>
          <w:color w:val="000000" w:themeColor="text1"/>
          <w:szCs w:val="24"/>
          <w:highlight w:val="none"/>
          <w14:textFill>
            <w14:solidFill>
              <w14:schemeClr w14:val="tx1"/>
            </w14:solidFill>
          </w14:textFill>
        </w:rPr>
        <w:t>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/d，目前回注量为</w:t>
      </w:r>
      <w:r>
        <w:rPr>
          <w:rFonts w:cs="Times New Roman"/>
          <w:bCs/>
          <w:color w:val="000000" w:themeColor="text1"/>
          <w:szCs w:val="24"/>
          <w:highlight w:val="none"/>
          <w14:textFill>
            <w14:solidFill>
              <w14:schemeClr w14:val="tx1"/>
            </w14:solidFill>
          </w14:textFill>
        </w:rPr>
        <w:t>9</w:t>
      </w:r>
      <w:r>
        <w:rPr>
          <w:rFonts w:hint="eastAsia" w:cs="Times New Roman"/>
          <w:bCs/>
          <w:color w:val="000000" w:themeColor="text1"/>
          <w:szCs w:val="24"/>
          <w:highlight w:val="none"/>
          <w14:textFill>
            <w14:solidFill>
              <w14:schemeClr w14:val="tx1"/>
            </w14:solidFill>
          </w14:textFill>
        </w:rPr>
        <w:t>0~</w:t>
      </w:r>
      <w:r>
        <w:rPr>
          <w:rFonts w:cs="Times New Roman"/>
          <w:bCs/>
          <w:color w:val="000000" w:themeColor="text1"/>
          <w:szCs w:val="24"/>
          <w:highlight w:val="none"/>
          <w14:textFill>
            <w14:solidFill>
              <w14:schemeClr w14:val="tx1"/>
            </w14:solidFill>
          </w14:textFill>
        </w:rPr>
        <w:t>13</w:t>
      </w:r>
      <w:r>
        <w:rPr>
          <w:rFonts w:hint="eastAsia" w:cs="Times New Roman"/>
          <w:bCs/>
          <w:color w:val="000000" w:themeColor="text1"/>
          <w:szCs w:val="24"/>
          <w:highlight w:val="none"/>
          <w14:textFill>
            <w14:solidFill>
              <w14:schemeClr w14:val="tx1"/>
            </w14:solidFill>
          </w14:textFill>
        </w:rPr>
        <w:t>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/d，剩余回注能力170~210m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/d，已回注总量为</w:t>
      </w:r>
      <w:r>
        <w:rPr>
          <w:rFonts w:cs="Times New Roman"/>
          <w:bCs/>
          <w:color w:val="000000" w:themeColor="text1"/>
          <w:szCs w:val="24"/>
          <w:highlight w:val="none"/>
          <w14:textFill>
            <w14:solidFill>
              <w14:schemeClr w14:val="tx1"/>
            </w14:solidFill>
          </w14:textFill>
        </w:rPr>
        <w:t>90.33</w:t>
      </w:r>
      <w:r>
        <w:rPr>
          <w:rFonts w:hint="eastAsia" w:cs="Times New Roman"/>
          <w:bCs/>
          <w:color w:val="000000" w:themeColor="text1"/>
          <w:szCs w:val="24"/>
          <w:highlight w:val="none"/>
          <w14:textFill>
            <w14:solidFill>
              <w14:schemeClr w14:val="tx1"/>
            </w14:solidFill>
          </w14:textFill>
        </w:rPr>
        <w:t>×10</w:t>
      </w:r>
      <w:r>
        <w:rPr>
          <w:rFonts w:hint="eastAsia" w:cs="Times New Roman"/>
          <w:bCs/>
          <w:color w:val="000000" w:themeColor="text1"/>
          <w:szCs w:val="24"/>
          <w:highlight w:val="none"/>
          <w:vertAlign w:val="superscript"/>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，剩余</w:t>
      </w:r>
      <w:r>
        <w:rPr>
          <w:rFonts w:cs="Times New Roman"/>
          <w:bCs/>
          <w:color w:val="000000" w:themeColor="text1"/>
          <w:szCs w:val="24"/>
          <w:highlight w:val="none"/>
          <w14:textFill>
            <w14:solidFill>
              <w14:schemeClr w14:val="tx1"/>
            </w14:solidFill>
          </w14:textFill>
        </w:rPr>
        <w:t>100.6</w:t>
      </w:r>
      <w:r>
        <w:rPr>
          <w:rFonts w:hint="eastAsia" w:cs="Times New Roman"/>
          <w:bCs/>
          <w:color w:val="000000" w:themeColor="text1"/>
          <w:szCs w:val="24"/>
          <w:highlight w:val="none"/>
          <w14:textFill>
            <w14:solidFill>
              <w14:schemeClr w14:val="tx1"/>
            </w14:solidFill>
          </w14:textFill>
        </w:rPr>
        <w:t>7×10</w:t>
      </w:r>
      <w:r>
        <w:rPr>
          <w:rFonts w:hint="eastAsia" w:cs="Times New Roman"/>
          <w:bCs/>
          <w:color w:val="000000" w:themeColor="text1"/>
          <w:szCs w:val="24"/>
          <w:highlight w:val="none"/>
          <w:vertAlign w:val="superscript"/>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本项目</w:t>
      </w:r>
      <w:r>
        <w:rPr>
          <w:rFonts w:hint="eastAsia" w:cs="Times New Roman"/>
          <w:bCs/>
          <w:color w:val="000000" w:themeColor="text1"/>
          <w:szCs w:val="24"/>
          <w:highlight w:val="none"/>
          <w14:textFill>
            <w14:solidFill>
              <w14:schemeClr w14:val="tx1"/>
            </w14:solidFill>
          </w14:textFill>
        </w:rPr>
        <w:t>施工期</w:t>
      </w:r>
      <w:r>
        <w:rPr>
          <w:rFonts w:cs="Times New Roman"/>
          <w:bCs/>
          <w:color w:val="000000" w:themeColor="text1"/>
          <w:szCs w:val="24"/>
          <w:highlight w:val="none"/>
          <w14:textFill>
            <w14:solidFill>
              <w14:schemeClr w14:val="tx1"/>
            </w14:solidFill>
          </w14:textFill>
        </w:rPr>
        <w:t>未能回用的作业废水</w:t>
      </w:r>
      <w:r>
        <w:rPr>
          <w:rFonts w:hint="eastAsia" w:cs="Times New Roman"/>
          <w:bCs/>
          <w:color w:val="000000" w:themeColor="text1"/>
          <w:szCs w:val="24"/>
          <w:highlight w:val="none"/>
          <w14:textFill>
            <w14:solidFill>
              <w14:schemeClr w14:val="tx1"/>
            </w14:solidFill>
          </w14:textFill>
        </w:rPr>
        <w:t>施工</w:t>
      </w:r>
      <w:r>
        <w:rPr>
          <w:rFonts w:cs="Times New Roman"/>
          <w:bCs/>
          <w:color w:val="000000" w:themeColor="text1"/>
          <w:szCs w:val="24"/>
          <w:highlight w:val="none"/>
          <w14:textFill>
            <w14:solidFill>
              <w14:schemeClr w14:val="tx1"/>
            </w14:solidFill>
          </w14:textFill>
        </w:rPr>
        <w:t>期日运输量不超过50m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本项目废水和其他项目废水在赵家坝污水处理站后，根据普光3井回注站实际剩余回注能力进行整体调配，其他项目废水进入普光3井回注站回注的废水预计控制在12</w:t>
      </w:r>
      <w:r>
        <w:rPr>
          <w:rFonts w:cs="Times New Roman"/>
          <w:bCs/>
          <w:color w:val="000000" w:themeColor="text1"/>
          <w:szCs w:val="24"/>
          <w:highlight w:val="none"/>
          <w14:textFill>
            <w14:solidFill>
              <w14:schemeClr w14:val="tx1"/>
            </w14:solidFill>
          </w14:textFill>
        </w:rPr>
        <w:t>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左右</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因此本项目废水能进入普光3井回注站回注，确保本项目废水最终得到有效处置。</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赵家坝污水处理站运行多年，工艺成熟稳定，水质能长期稳定达标，满足作业废水预处理要求；普光3井已稳定运行多年，地下空间结构稳定，运行期间未检测到地下空间发生结构变化，剩余总回注量远大于本项目试采废水产生量，剩余储集空间较大，满足回注要求</w:t>
      </w:r>
      <w:r>
        <w:rPr>
          <w:rFonts w:cs="Times New Roman"/>
          <w:bCs/>
          <w:color w:val="000000" w:themeColor="text1"/>
          <w:szCs w:val="24"/>
          <w:highlight w:val="none"/>
          <w14:textFill>
            <w14:solidFill>
              <w14:schemeClr w14:val="tx1"/>
            </w14:solidFill>
          </w14:textFill>
        </w:rPr>
        <w:t>。</w:t>
      </w:r>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3、储层改造工程</w:t>
      </w:r>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（1）</w:t>
      </w:r>
      <w:r>
        <w:rPr>
          <w:rFonts w:eastAsia="黑体" w:cs="Times New Roman"/>
          <w:color w:val="000000" w:themeColor="text1"/>
          <w:szCs w:val="24"/>
          <w:highlight w:val="none"/>
          <w14:textFill>
            <w14:solidFill>
              <w14:schemeClr w14:val="tx1"/>
            </w14:solidFill>
          </w14:textFill>
        </w:rPr>
        <w:t>治理措施</w:t>
      </w:r>
    </w:p>
    <w:p>
      <w:pPr>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t>）压裂返排液</w:t>
      </w:r>
      <w:r>
        <w:rPr>
          <w:rFonts w:hint="eastAsia" w:cs="Times New Roman"/>
          <w:bCs/>
          <w:color w:val="000000" w:themeColor="text1"/>
          <w:szCs w:val="24"/>
          <w:highlight w:val="none"/>
          <w14:textFill>
            <w14:solidFill>
              <w14:schemeClr w14:val="tx1"/>
            </w14:solidFill>
          </w14:textFill>
        </w:rPr>
        <w:t>及洗井废水</w:t>
      </w:r>
    </w:p>
    <w:p>
      <w:pPr>
        <w:ind w:firstLine="480"/>
        <w:rPr>
          <w:rFonts w:cs="Times New Roman"/>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完井阶段产生的洗井废水与</w:t>
      </w:r>
      <w:r>
        <w:rPr>
          <w:rFonts w:cs="Times New Roman"/>
          <w:bCs/>
          <w:color w:val="000000" w:themeColor="text1"/>
          <w:szCs w:val="24"/>
          <w:highlight w:val="none"/>
          <w14:textFill>
            <w14:solidFill>
              <w14:schemeClr w14:val="tx1"/>
            </w14:solidFill>
          </w14:textFill>
        </w:rPr>
        <w:t>压裂返排液</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放喷时</w:t>
      </w:r>
      <w:r>
        <w:rPr>
          <w:rFonts w:hint="eastAsia" w:cs="Times New Roman"/>
          <w:bCs/>
          <w:color w:val="000000" w:themeColor="text1"/>
          <w:szCs w:val="24"/>
          <w:highlight w:val="none"/>
          <w14:textFill>
            <w14:solidFill>
              <w14:schemeClr w14:val="tx1"/>
            </w14:solidFill>
          </w14:textFill>
        </w:rPr>
        <w:t>）</w:t>
      </w:r>
      <w:r>
        <w:rPr>
          <w:rFonts w:cs="Times New Roman"/>
          <w:bCs/>
          <w:color w:val="000000" w:themeColor="text1"/>
          <w:szCs w:val="24"/>
          <w:highlight w:val="none"/>
          <w14:textFill>
            <w14:solidFill>
              <w14:schemeClr w14:val="tx1"/>
            </w14:solidFill>
          </w14:textFill>
        </w:rPr>
        <w:t>由放喷管排入</w:t>
      </w:r>
      <w:r>
        <w:rPr>
          <w:rFonts w:hint="eastAsia" w:cs="Times New Roman"/>
          <w:bCs/>
          <w:color w:val="000000" w:themeColor="text1"/>
          <w:szCs w:val="24"/>
          <w:highlight w:val="none"/>
          <w14:textFill>
            <w14:solidFill>
              <w14:schemeClr w14:val="tx1"/>
            </w14:solidFill>
          </w14:textFill>
        </w:rPr>
        <w:t>放喷池</w:t>
      </w:r>
      <w:r>
        <w:rPr>
          <w:rFonts w:cs="Times New Roman"/>
          <w:bCs/>
          <w:color w:val="000000" w:themeColor="text1"/>
          <w:szCs w:val="24"/>
          <w:highlight w:val="none"/>
          <w14:textFill>
            <w14:solidFill>
              <w14:schemeClr w14:val="tx1"/>
            </w14:solidFill>
          </w14:textFill>
        </w:rPr>
        <w:t>，</w:t>
      </w:r>
      <w:r>
        <w:rPr>
          <w:color w:val="000000" w:themeColor="text1"/>
          <w:highlight w:val="none"/>
          <w14:textFill>
            <w14:solidFill>
              <w14:schemeClr w14:val="tx1"/>
            </w14:solidFill>
          </w14:textFill>
        </w:rPr>
        <w:t>在返排期间可控制返排速率，若放喷池（300m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）无多余容积</w:t>
      </w:r>
      <w:r>
        <w:rPr>
          <w:rFonts w:hint="eastAsia"/>
          <w:color w:val="000000" w:themeColor="text1"/>
          <w:highlight w:val="none"/>
          <w14:textFill>
            <w14:solidFill>
              <w14:schemeClr w14:val="tx1"/>
            </w14:solidFill>
          </w14:textFill>
        </w:rPr>
        <w:t>或周边井场暂时无法回用、</w:t>
      </w:r>
      <w:r>
        <w:rPr>
          <w:rFonts w:hint="eastAsia" w:cs="Times New Roman"/>
          <w:color w:val="000000" w:themeColor="text1"/>
          <w:highlight w:val="none"/>
          <w14:textFill>
            <w14:solidFill>
              <w14:schemeClr w14:val="tx1"/>
            </w14:solidFill>
          </w14:textFill>
        </w:rPr>
        <w:t>赵家坝污水处理站暂时无法接收处理</w:t>
      </w:r>
      <w:r>
        <w:rPr>
          <w:color w:val="000000" w:themeColor="text1"/>
          <w:highlight w:val="none"/>
          <w14:textFill>
            <w14:solidFill>
              <w14:schemeClr w14:val="tx1"/>
            </w14:solidFill>
          </w14:textFill>
        </w:rPr>
        <w:t>时可</w:t>
      </w:r>
      <w:r>
        <w:rPr>
          <w:rFonts w:hint="eastAsia"/>
          <w:color w:val="000000" w:themeColor="text1"/>
          <w:highlight w:val="none"/>
          <w14:textFill>
            <w14:solidFill>
              <w14:schemeClr w14:val="tx1"/>
            </w14:solidFill>
          </w14:textFill>
        </w:rPr>
        <w:t>临时转运至周边中石化场站设置的防渗完好、环保满足要求的储罐或水池暂存，或暂停压裂、</w:t>
      </w:r>
      <w:r>
        <w:rPr>
          <w:color w:val="000000" w:themeColor="text1"/>
          <w:highlight w:val="none"/>
          <w14:textFill>
            <w14:solidFill>
              <w14:schemeClr w14:val="tx1"/>
            </w14:solidFill>
          </w14:textFill>
        </w:rPr>
        <w:t>返排</w:t>
      </w:r>
      <w:r>
        <w:rPr>
          <w:rFonts w:hint="eastAsia"/>
          <w:color w:val="000000" w:themeColor="text1"/>
          <w:highlight w:val="none"/>
          <w14:textFill>
            <w14:solidFill>
              <w14:schemeClr w14:val="tx1"/>
            </w14:solidFill>
          </w14:textFill>
        </w:rPr>
        <w:t>等</w:t>
      </w:r>
      <w:r>
        <w:rPr>
          <w:color w:val="000000" w:themeColor="text1"/>
          <w:highlight w:val="none"/>
          <w14:textFill>
            <w14:solidFill>
              <w14:schemeClr w14:val="tx1"/>
            </w14:solidFill>
          </w14:textFill>
        </w:rPr>
        <w:t>，待</w:t>
      </w:r>
      <w:r>
        <w:rPr>
          <w:rFonts w:hint="eastAsia"/>
          <w:color w:val="000000" w:themeColor="text1"/>
          <w:highlight w:val="none"/>
          <w14:textFill>
            <w14:solidFill>
              <w14:schemeClr w14:val="tx1"/>
            </w14:solidFill>
          </w14:textFill>
        </w:rPr>
        <w:t>放喷池</w:t>
      </w:r>
      <w:r>
        <w:rPr>
          <w:color w:val="000000" w:themeColor="text1"/>
          <w:highlight w:val="none"/>
          <w14:textFill>
            <w14:solidFill>
              <w14:schemeClr w14:val="tx1"/>
            </w14:solidFill>
          </w14:textFill>
        </w:rPr>
        <w:t>中压裂返排液</w:t>
      </w:r>
      <w:r>
        <w:rPr>
          <w:rFonts w:hint="eastAsia"/>
          <w:color w:val="000000" w:themeColor="text1"/>
          <w:highlight w:val="none"/>
          <w14:textFill>
            <w14:solidFill>
              <w14:schemeClr w14:val="tx1"/>
            </w14:solidFill>
          </w14:textFill>
        </w:rPr>
        <w:t>转运回用或回注</w:t>
      </w:r>
      <w:r>
        <w:rPr>
          <w:color w:val="000000" w:themeColor="text1"/>
          <w:highlight w:val="none"/>
          <w14:textFill>
            <w14:solidFill>
              <w14:schemeClr w14:val="tx1"/>
            </w14:solidFill>
          </w14:textFill>
        </w:rPr>
        <w:t>后</w:t>
      </w:r>
      <w:r>
        <w:rPr>
          <w:rFonts w:hint="eastAsia"/>
          <w:color w:val="000000" w:themeColor="text1"/>
          <w:highlight w:val="none"/>
          <w14:textFill>
            <w14:solidFill>
              <w14:schemeClr w14:val="tx1"/>
            </w14:solidFill>
          </w14:textFill>
        </w:rPr>
        <w:t>有足够容积空间后方</w:t>
      </w:r>
      <w:r>
        <w:rPr>
          <w:color w:val="000000" w:themeColor="text1"/>
          <w:highlight w:val="none"/>
          <w14:textFill>
            <w14:solidFill>
              <w14:schemeClr w14:val="tx1"/>
            </w14:solidFill>
          </w14:textFill>
        </w:rPr>
        <w:t>可继续</w:t>
      </w:r>
      <w:r>
        <w:rPr>
          <w:rFonts w:hint="eastAsia"/>
          <w:color w:val="000000" w:themeColor="text1"/>
          <w:highlight w:val="none"/>
          <w14:textFill>
            <w14:solidFill>
              <w14:schemeClr w14:val="tx1"/>
            </w14:solidFill>
          </w14:textFill>
        </w:rPr>
        <w:t>压裂、</w:t>
      </w:r>
      <w:r>
        <w:rPr>
          <w:color w:val="000000" w:themeColor="text1"/>
          <w:highlight w:val="none"/>
          <w14:textFill>
            <w14:solidFill>
              <w14:schemeClr w14:val="tx1"/>
            </w14:solidFill>
          </w14:textFill>
        </w:rPr>
        <w:t>返排，因此在压裂返排期间</w:t>
      </w:r>
      <w:r>
        <w:rPr>
          <w:rFonts w:hint="eastAsia"/>
          <w:color w:val="000000" w:themeColor="text1"/>
          <w:highlight w:val="none"/>
          <w14:textFill>
            <w14:solidFill>
              <w14:schemeClr w14:val="tx1"/>
            </w14:solidFill>
          </w14:textFill>
        </w:rPr>
        <w:t>在控制好压裂、返排作业，充分利用周边储存设施的条件下，本项目设置放喷池</w:t>
      </w:r>
      <w:r>
        <w:rPr>
          <w:color w:val="000000" w:themeColor="text1"/>
          <w:highlight w:val="none"/>
          <w14:textFill>
            <w14:solidFill>
              <w14:schemeClr w14:val="tx1"/>
            </w14:solidFill>
          </w14:textFill>
        </w:rPr>
        <w:t>可满足暂存要求。</w:t>
      </w:r>
      <w:r>
        <w:rPr>
          <w:rFonts w:cs="Times New Roman"/>
          <w:bCs/>
          <w:color w:val="000000" w:themeColor="text1"/>
          <w:szCs w:val="24"/>
          <w:highlight w:val="none"/>
          <w14:textFill>
            <w14:solidFill>
              <w14:schemeClr w14:val="tx1"/>
            </w14:solidFill>
          </w14:textFill>
        </w:rPr>
        <w:t>放喷池中压裂返排液全部通过泵抽入至压裂液储罐，大部分区块内回用于压裂液配置，多余废水用密闭罐车拉运至</w:t>
      </w:r>
      <w:r>
        <w:rPr>
          <w:rFonts w:hint="eastAsia" w:cs="Times New Roman"/>
          <w:bCs/>
          <w:color w:val="000000" w:themeColor="text1"/>
          <w:szCs w:val="24"/>
          <w:highlight w:val="none"/>
          <w14:textFill>
            <w14:solidFill>
              <w14:schemeClr w14:val="tx1"/>
            </w14:solidFill>
          </w14:textFill>
        </w:rPr>
        <w:t>赵家坝污水处理站</w:t>
      </w:r>
      <w:r>
        <w:rPr>
          <w:rFonts w:cs="Times New Roman"/>
          <w:bCs/>
          <w:color w:val="000000" w:themeColor="text1"/>
          <w:szCs w:val="24"/>
          <w:highlight w:val="none"/>
          <w14:textFill>
            <w14:solidFill>
              <w14:schemeClr w14:val="tx1"/>
            </w14:solidFill>
          </w14:textFill>
        </w:rPr>
        <w:t>达标后管输至</w:t>
      </w:r>
      <w:r>
        <w:rPr>
          <w:rFonts w:hint="eastAsia" w:cs="Times New Roman"/>
          <w:bCs/>
          <w:color w:val="000000" w:themeColor="text1"/>
          <w:szCs w:val="24"/>
          <w:highlight w:val="none"/>
          <w14:textFill>
            <w14:solidFill>
              <w14:schemeClr w14:val="tx1"/>
            </w14:solidFill>
          </w14:textFill>
        </w:rPr>
        <w:t>普光3井回注站</w:t>
      </w:r>
      <w:r>
        <w:rPr>
          <w:rFonts w:cs="Times New Roman"/>
          <w:bCs/>
          <w:color w:val="000000" w:themeColor="text1"/>
          <w:szCs w:val="24"/>
          <w:highlight w:val="none"/>
          <w14:textFill>
            <w14:solidFill>
              <w14:schemeClr w14:val="tx1"/>
            </w14:solidFill>
          </w14:textFill>
        </w:rPr>
        <w:t>回注，不外排</w:t>
      </w:r>
      <w:r>
        <w:rPr>
          <w:rFonts w:cs="Times New Roman"/>
          <w:color w:val="000000" w:themeColor="text1"/>
          <w:szCs w:val="24"/>
          <w:highlight w:val="none"/>
          <w14:textFill>
            <w14:solidFill>
              <w14:schemeClr w14:val="tx1"/>
            </w14:solidFill>
          </w14:textFill>
        </w:rPr>
        <w:t>。</w:t>
      </w:r>
    </w:p>
    <w:p>
      <w:pPr>
        <w:pStyle w:val="95"/>
        <w:rPr>
          <w:color w:val="000000" w:themeColor="text1"/>
          <w:highlight w:val="none"/>
          <w:lang w:eastAsia="zh-CN"/>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4571365</wp:posOffset>
                </wp:positionH>
                <wp:positionV relativeFrom="paragraph">
                  <wp:posOffset>454025</wp:posOffset>
                </wp:positionV>
                <wp:extent cx="487045" cy="295910"/>
                <wp:effectExtent l="4445" t="4445" r="22860" b="23495"/>
                <wp:wrapNone/>
                <wp:docPr id="80" name="文本框 80"/>
                <wp:cNvGraphicFramePr/>
                <a:graphic xmlns:a="http://schemas.openxmlformats.org/drawingml/2006/main">
                  <a:graphicData uri="http://schemas.microsoft.com/office/word/2010/wordprocessingShape">
                    <wps:wsp>
                      <wps:cNvSpPr txBox="1"/>
                      <wps:spPr>
                        <a:xfrm>
                          <a:off x="0" y="0"/>
                          <a:ext cx="487045" cy="29591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7"/>
                                <w:szCs w:val="17"/>
                              </w:rPr>
                            </w:pPr>
                            <w:r>
                              <w:rPr>
                                <w:rFonts w:hint="eastAsia"/>
                                <w:sz w:val="17"/>
                                <w:szCs w:val="17"/>
                              </w:rPr>
                              <w:t>普光3井回注站</w:t>
                            </w:r>
                          </w:p>
                        </w:txbxContent>
                      </wps:txbx>
                      <wps:bodyPr rot="0" spcFirstLastPara="0" vertOverflow="overflow" horzOverflow="overflow" vert="horz" wrap="square" lIns="0" tIns="0" rIns="0" bIns="0" numCol="1" spcCol="0" rtlCol="0" fromWordArt="0" anchor="ctr" anchorCtr="0" forceAA="0" upright="1" compatLnSpc="1">
                        <a:noAutofit/>
                      </wps:bodyPr>
                    </wps:wsp>
                  </a:graphicData>
                </a:graphic>
              </wp:anchor>
            </w:drawing>
          </mc:Choice>
          <mc:Fallback>
            <w:pict>
              <v:shape id="_x0000_s1026" o:spid="_x0000_s1026" o:spt="202" type="#_x0000_t202" style="position:absolute;left:0pt;margin-left:359.95pt;margin-top:35.75pt;height:23.3pt;width:38.35pt;z-index:251679744;v-text-anchor:middle;mso-width-relative:page;mso-height-relative:page;" fillcolor="#FFFFFF" filled="t" stroked="t" coordsize="21600,21600" o:gfxdata="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4ilIzWAAAACgEAAA8AAAAAAAAAAQAgAAAAIgAAAGRycy9kb3ducmV2LnhtbFBLAQIUABQAAAAI&#10;AIdO4kB/ZZ06YQIAAM4EAAAOAAAAAAAAAAEAIAAAACUBAABkcnMvZTJvRG9jLnhtbFBLBQYAAAAA&#10;BgAGAFkBAAD4BQAAAAA=&#10;">
                <v:fill on="t" focussize="0,0"/>
                <v:stroke color="#000000" miterlimit="8" joinstyle="miter"/>
                <v:imagedata o:title=""/>
                <o:lock v:ext="edit" aspectratio="f"/>
                <v:textbox inset="0mm,0mm,0mm,0mm">
                  <w:txbxContent>
                    <w:p>
                      <w:pPr>
                        <w:spacing w:line="240" w:lineRule="auto"/>
                        <w:ind w:firstLine="0" w:firstLineChars="0"/>
                        <w:jc w:val="center"/>
                        <w:rPr>
                          <w:sz w:val="17"/>
                          <w:szCs w:val="17"/>
                        </w:rPr>
                      </w:pPr>
                      <w:r>
                        <w:rPr>
                          <w:rFonts w:hint="eastAsia"/>
                          <w:sz w:val="17"/>
                          <w:szCs w:val="17"/>
                        </w:rPr>
                        <w:t>普光3井回注站</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3629660</wp:posOffset>
                </wp:positionH>
                <wp:positionV relativeFrom="paragraph">
                  <wp:posOffset>443230</wp:posOffset>
                </wp:positionV>
                <wp:extent cx="487045" cy="295910"/>
                <wp:effectExtent l="4445" t="4445" r="22860" b="23495"/>
                <wp:wrapNone/>
                <wp:docPr id="78" name="文本框 78"/>
                <wp:cNvGraphicFramePr/>
                <a:graphic xmlns:a="http://schemas.openxmlformats.org/drawingml/2006/main">
                  <a:graphicData uri="http://schemas.microsoft.com/office/word/2010/wordprocessingShape">
                    <wps:wsp>
                      <wps:cNvSpPr txBox="1"/>
                      <wps:spPr>
                        <a:xfrm>
                          <a:off x="0" y="0"/>
                          <a:ext cx="487045" cy="295910"/>
                        </a:xfrm>
                        <a:prstGeom prst="rect">
                          <a:avLst/>
                        </a:prstGeom>
                        <a:solidFill>
                          <a:srgbClr val="FFFFFF"/>
                        </a:solidFill>
                        <a:ln w="9525">
                          <a:solidFill>
                            <a:srgbClr val="000000"/>
                          </a:solidFill>
                          <a:miter lim="800000"/>
                        </a:ln>
                      </wps:spPr>
                      <wps:txbx>
                        <w:txbxContent>
                          <w:p>
                            <w:pPr>
                              <w:spacing w:line="240" w:lineRule="auto"/>
                              <w:ind w:firstLine="0" w:firstLineChars="0"/>
                              <w:jc w:val="center"/>
                              <w:rPr>
                                <w:sz w:val="17"/>
                                <w:szCs w:val="17"/>
                              </w:rPr>
                            </w:pPr>
                            <w:r>
                              <w:rPr>
                                <w:rFonts w:hint="eastAsia"/>
                                <w:sz w:val="17"/>
                                <w:szCs w:val="17"/>
                              </w:rPr>
                              <w:t>赵家坝污水处理站</w:t>
                            </w:r>
                          </w:p>
                        </w:txbxContent>
                      </wps:txbx>
                      <wps:bodyPr rot="0" spcFirstLastPara="0" vertOverflow="overflow" horzOverflow="overflow" vert="horz" wrap="square" lIns="0" tIns="0" rIns="0" bIns="0" numCol="1" spcCol="0" rtlCol="0" fromWordArt="0" anchor="ctr" anchorCtr="0" forceAA="0" upright="1" compatLnSpc="1">
                        <a:noAutofit/>
                      </wps:bodyPr>
                    </wps:wsp>
                  </a:graphicData>
                </a:graphic>
              </wp:anchor>
            </w:drawing>
          </mc:Choice>
          <mc:Fallback>
            <w:pict>
              <v:shape id="_x0000_s1026" o:spid="_x0000_s1026" o:spt="202" type="#_x0000_t202" style="position:absolute;left:0pt;margin-left:285.8pt;margin-top:34.9pt;height:23.3pt;width:38.35pt;z-index:251678720;v-text-anchor:middle;mso-width-relative:page;mso-height-relative:page;" fillcolor="#FFFFFF" filled="t" stroked="t" coordsize="21600,21600" o:gfxdata="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kzOr81wAAAAoBAAAPAAAAAAAAAAEAIAAAACIAAABkcnMvZG93bnJldi54bWxQSwECFAAUAAAA&#10;CACHTuJAtH3n9mECAADOBAAADgAAAAAAAAABACAAAAAmAQAAZHJzL2Uyb0RvYy54bWxQSwUGAAAA&#10;AAYABgBZAQAA+QUAAAAA&#10;">
                <v:fill on="t" focussize="0,0"/>
                <v:stroke color="#000000" miterlimit="8" joinstyle="miter"/>
                <v:imagedata o:title=""/>
                <o:lock v:ext="edit" aspectratio="f"/>
                <v:textbox inset="0mm,0mm,0mm,0mm">
                  <w:txbxContent>
                    <w:p>
                      <w:pPr>
                        <w:spacing w:line="240" w:lineRule="auto"/>
                        <w:ind w:firstLine="0" w:firstLineChars="0"/>
                        <w:jc w:val="center"/>
                        <w:rPr>
                          <w:sz w:val="17"/>
                          <w:szCs w:val="17"/>
                        </w:rPr>
                      </w:pPr>
                      <w:r>
                        <w:rPr>
                          <w:rFonts w:hint="eastAsia"/>
                          <w:sz w:val="17"/>
                          <w:szCs w:val="17"/>
                        </w:rPr>
                        <w:t>赵家坝污水处理站</w:t>
                      </w:r>
                    </w:p>
                  </w:txbxContent>
                </v:textbox>
              </v:shape>
            </w:pict>
          </mc:Fallback>
        </mc:AlternateContent>
      </w:r>
      <w:r>
        <w:rPr>
          <w:color w:val="000000" w:themeColor="text1"/>
          <w:sz w:val="28"/>
          <w:highlight w:val="none"/>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2884805</wp:posOffset>
                </wp:positionH>
                <wp:positionV relativeFrom="paragraph">
                  <wp:posOffset>696595</wp:posOffset>
                </wp:positionV>
                <wp:extent cx="0" cy="294005"/>
                <wp:effectExtent l="50800" t="0" r="55880" b="10795"/>
                <wp:wrapNone/>
                <wp:docPr id="74" name="直接箭头连接符 74"/>
                <wp:cNvGraphicFramePr/>
                <a:graphic xmlns:a="http://schemas.openxmlformats.org/drawingml/2006/main">
                  <a:graphicData uri="http://schemas.microsoft.com/office/word/2010/wordprocessingShape">
                    <wps:wsp>
                      <wps:cNvCnPr/>
                      <wps:spPr>
                        <a:xfrm>
                          <a:off x="4027805" y="7856220"/>
                          <a:ext cx="0" cy="294005"/>
                        </a:xfrm>
                        <a:prstGeom prst="straightConnector1">
                          <a:avLst/>
                        </a:prstGeom>
                        <a:ln>
                          <a:solidFill>
                            <a:srgbClr val="00B05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7.15pt;margin-top:54.85pt;height:23.15pt;width:0pt;z-index:251675648;mso-width-relative:page;mso-height-relative:page;" filled="f" stroked="t" coordsize="21600,21600" o:gfxdata="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RioUnXAAAACwEAAA8AAAAA&#10;AAAAAQAgAAAAIgAAAGRycy9kb3ducmV2LnhtbFBLAQIUABQAAAAIAIdO4kD4G9gYFQIAAOwDAAAO&#10;AAAAAAAAAAEAIAAAACYBAABkcnMvZTJvRG9jLnhtbFBLBQYAAAAABgAGAFkBAACtBQAAAAA=&#10;">
                <v:fill on="f" focussize="0,0"/>
                <v:stroke weight="1pt" color="#00B050 [3204]" miterlimit="8" joinstyle="miter" endarrow="open"/>
                <v:imagedata o:title=""/>
                <o:lock v:ext="edit" aspectratio="f"/>
              </v:shape>
            </w:pict>
          </mc:Fallback>
        </mc:AlternateContent>
      </w:r>
      <w:r>
        <w:rPr>
          <w:color w:val="000000" w:themeColor="text1"/>
          <w:sz w:val="28"/>
          <w:highlight w:val="none"/>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3590925</wp:posOffset>
                </wp:positionH>
                <wp:positionV relativeFrom="paragraph">
                  <wp:posOffset>58420</wp:posOffset>
                </wp:positionV>
                <wp:extent cx="699770" cy="248920"/>
                <wp:effectExtent l="4445" t="5080" r="12065" b="5080"/>
                <wp:wrapNone/>
                <wp:docPr id="72" name="文本框 72"/>
                <wp:cNvGraphicFramePr/>
                <a:graphic xmlns:a="http://schemas.openxmlformats.org/drawingml/2006/main">
                  <a:graphicData uri="http://schemas.microsoft.com/office/word/2010/wordprocessingShape">
                    <wps:wsp>
                      <wps:cNvSpPr txBox="1"/>
                      <wps:spPr>
                        <a:xfrm>
                          <a:off x="0" y="0"/>
                          <a:ext cx="699770" cy="248920"/>
                        </a:xfrm>
                        <a:prstGeom prst="rect">
                          <a:avLst/>
                        </a:prstGeom>
                        <a:noFill/>
                        <a:ln w="9525">
                          <a:solidFill>
                            <a:schemeClr val="tx1"/>
                          </a:solidFill>
                          <a:miter lim="800000"/>
                        </a:ln>
                      </wps:spPr>
                      <wps:txbx>
                        <w:txbxContent>
                          <w:p>
                            <w:pPr>
                              <w:spacing w:line="240" w:lineRule="auto"/>
                              <w:ind w:firstLine="0" w:firstLineChars="0"/>
                              <w:jc w:val="center"/>
                              <w:rPr>
                                <w:sz w:val="17"/>
                                <w:szCs w:val="17"/>
                              </w:rPr>
                            </w:pPr>
                            <w:r>
                              <w:rPr>
                                <w:rFonts w:hint="eastAsia"/>
                                <w:sz w:val="17"/>
                                <w:szCs w:val="17"/>
                              </w:rPr>
                              <w:t>完井作业</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282.75pt;margin-top:4.6pt;height:19.6pt;width:55.1pt;z-index:251672576;mso-width-relative:page;mso-height-relative:page;" filled="f" stroked="t" coordsize="21600,21600" o:gfxdata="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Bm1QdcAAAAIAQAADwAAAAAAAAABACAAAAAiAAAAZHJzL2Rvd25yZXYueG1sUEsBAhQAFAAA&#10;AAgAh07iQG+XtkNiAgAAswQAAA4AAAAAAAAAAQAgAAAAJgEAAGRycy9lMm9Eb2MueG1sUEsFBgAA&#10;AAAGAAYAWQEAAPoFAAAAAA==&#10;">
                <v:fill on="f" focussize="0,0"/>
                <v:stroke color="#000000 [3213]" miterlimit="8" joinstyle="miter"/>
                <v:imagedata o:title=""/>
                <o:lock v:ext="edit" aspectratio="f"/>
                <v:textbox>
                  <w:txbxContent>
                    <w:p>
                      <w:pPr>
                        <w:spacing w:line="240" w:lineRule="auto"/>
                        <w:ind w:firstLine="0" w:firstLineChars="0"/>
                        <w:jc w:val="center"/>
                        <w:rPr>
                          <w:sz w:val="17"/>
                          <w:szCs w:val="17"/>
                        </w:rPr>
                      </w:pPr>
                      <w:r>
                        <w:rPr>
                          <w:rFonts w:hint="eastAsia"/>
                          <w:sz w:val="17"/>
                          <w:szCs w:val="17"/>
                        </w:rPr>
                        <w:t>完井作业</w:t>
                      </w:r>
                    </w:p>
                  </w:txbxContent>
                </v:textbox>
              </v:shape>
            </w:pict>
          </mc:Fallback>
        </mc:AlternateContent>
      </w:r>
      <w:r>
        <w:rPr>
          <w:color w:val="000000" w:themeColor="text1"/>
          <w:sz w:val="28"/>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3119120</wp:posOffset>
                </wp:positionH>
                <wp:positionV relativeFrom="paragraph">
                  <wp:posOffset>166370</wp:posOffset>
                </wp:positionV>
                <wp:extent cx="480060" cy="5080"/>
                <wp:effectExtent l="0" t="46355" r="2540" b="50165"/>
                <wp:wrapNone/>
                <wp:docPr id="69" name="直接箭头连接符 69"/>
                <wp:cNvGraphicFramePr/>
                <a:graphic xmlns:a="http://schemas.openxmlformats.org/drawingml/2006/main">
                  <a:graphicData uri="http://schemas.microsoft.com/office/word/2010/wordprocessingShape">
                    <wps:wsp>
                      <wps:cNvCnPr/>
                      <wps:spPr>
                        <a:xfrm flipH="1">
                          <a:off x="0" y="0"/>
                          <a:ext cx="480060" cy="508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45.6pt;margin-top:13.1pt;height:0.4pt;width:37.8pt;z-index:251674624;mso-width-relative:page;mso-height-relative:page;" filled="f" stroked="t" coordsize="21600,21600" o:gfxdata="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drp//WAAAACQEAAA8AAAAAAAAAAQAg&#10;AAAAIgAAAGRycy9kb3ducmV2LnhtbFBLAQIUABQAAAAIAIdO4kCRZFRgEAIAAO0DAAAOAAAAAAAA&#10;AAEAIAAAACUBAABkcnMvZTJvRG9jLnhtbFBLBQYAAAAABgAGAFkBAACnBQAAAAA=&#10;">
                <v:fill on="f" focussize="0,0"/>
                <v:stroke weight="1pt" color="#FF0000 [3204]" miterlimit="8" joinstyle="miter" endarrow="open"/>
                <v:imagedata o:title=""/>
                <o:lock v:ext="edit" aspectratio="f"/>
              </v:shape>
            </w:pict>
          </mc:Fallback>
        </mc:AlternateContent>
      </w:r>
      <w:r>
        <w:rPr>
          <w:color w:val="000000" w:themeColor="text1"/>
          <w:highlight w:val="none"/>
          <w14:textFill>
            <w14:solidFill>
              <w14:schemeClr w14:val="tx1"/>
            </w14:solidFill>
          </w14:textFill>
        </w:rPr>
        <w:drawing>
          <wp:inline distT="0" distB="0" distL="0" distR="0">
            <wp:extent cx="5071745" cy="791210"/>
            <wp:effectExtent l="0" t="0" r="8255" b="8890"/>
            <wp:docPr id="1218262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62087" name="图片 1"/>
                    <pic:cNvPicPr>
                      <a:picLocks noChangeAspect="1" noChangeArrowheads="1"/>
                    </pic:cNvPicPr>
                  </pic:nvPicPr>
                  <pic:blipFill>
                    <a:blip r:embed="rId112">
                      <a:extLst>
                        <a:ext uri="{28A0092B-C50C-407E-A947-70E740481C1C}">
                          <a14:useLocalDpi xmlns:a14="http://schemas.microsoft.com/office/drawing/2010/main" val="0"/>
                        </a:ext>
                      </a:extLst>
                    </a:blip>
                    <a:srcRect l="6318"/>
                    <a:stretch>
                      <a:fillRect/>
                    </a:stretch>
                  </pic:blipFill>
                  <pic:spPr>
                    <a:xfrm>
                      <a:off x="0" y="0"/>
                      <a:ext cx="5124850" cy="799832"/>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r>
        <w:rPr>
          <w:color w:val="000000" w:themeColor="text1"/>
          <w:sz w:val="28"/>
          <w:highlight w:val="none"/>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2274570</wp:posOffset>
                </wp:positionH>
                <wp:positionV relativeFrom="paragraph">
                  <wp:posOffset>168275</wp:posOffset>
                </wp:positionV>
                <wp:extent cx="1239520" cy="36322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239520" cy="363220"/>
                        </a:xfrm>
                        <a:prstGeom prst="rect">
                          <a:avLst/>
                        </a:prstGeom>
                        <a:noFill/>
                        <a:ln w="9525">
                          <a:noFill/>
                          <a:miter lim="800000"/>
                        </a:ln>
                      </wps:spPr>
                      <wps:txbx>
                        <w:txbxContent>
                          <w:p>
                            <w:pPr>
                              <w:spacing w:line="240" w:lineRule="auto"/>
                              <w:ind w:firstLine="0" w:firstLineChars="0"/>
                              <w:jc w:val="center"/>
                              <w:rPr>
                                <w:sz w:val="18"/>
                                <w:szCs w:val="18"/>
                              </w:rPr>
                            </w:pPr>
                            <w:r>
                              <w:rPr>
                                <w:sz w:val="18"/>
                                <w:szCs w:val="18"/>
                              </w:rPr>
                              <w:t>优先回用于</w:t>
                            </w:r>
                            <w:r>
                              <w:rPr>
                                <w:rFonts w:hint="eastAsia"/>
                                <w:sz w:val="18"/>
                                <w:szCs w:val="18"/>
                              </w:rPr>
                              <w:t>其他井场压裂液配置</w:t>
                            </w:r>
                          </w:p>
                        </w:txbxContent>
                      </wps:txbx>
                      <wps:bodyPr rot="0" spcFirstLastPara="0" vertOverflow="overflow" horzOverflow="overflow" vert="horz" wrap="square" lIns="0" tIns="0" rIns="0" bIns="0" numCol="1" spcCol="0" rtlCol="0" fromWordArt="0" anchor="t" anchorCtr="0" forceAA="0" upright="1" compatLnSpc="1">
                        <a:noAutofit/>
                      </wps:bodyPr>
                    </wps:wsp>
                  </a:graphicData>
                </a:graphic>
              </wp:anchor>
            </w:drawing>
          </mc:Choice>
          <mc:Fallback>
            <w:pict>
              <v:shape id="_x0000_s1026" o:spid="_x0000_s1026" o:spt="202" type="#_x0000_t202" style="position:absolute;left:0pt;margin-left:179.1pt;margin-top:13.25pt;height:28.6pt;width:97.6pt;z-index:251673600;mso-width-relative:page;mso-height-relative:page;" filled="f" stroked="f" coordsize="21600,21600" o:gfxdata="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KgBJnvZAAAACQEAAA8AAAAAAAAAAQAgAAAA&#10;IgAAAGRycy9kb3ducmV2LnhtbFBLAQIUABQAAAAIAIdO4kDp1G86QwIAAHsEAAAOAAAAAAAAAAEA&#10;IAAAACgBAABkcnMvZTJvRG9jLnhtbFBLBQYAAAAABgAGAFkBAADdBQAAAAA=&#10;">
                <v:fill on="f" focussize="0,0"/>
                <v:stroke on="f" miterlimit="8" joinstyle="miter"/>
                <v:imagedata o:title=""/>
                <o:lock v:ext="edit" aspectratio="f"/>
                <v:textbox inset="0mm,0mm,0mm,0mm">
                  <w:txbxContent>
                    <w:p>
                      <w:pPr>
                        <w:spacing w:line="240" w:lineRule="auto"/>
                        <w:ind w:firstLine="0" w:firstLineChars="0"/>
                        <w:jc w:val="center"/>
                        <w:rPr>
                          <w:sz w:val="18"/>
                          <w:szCs w:val="18"/>
                        </w:rPr>
                      </w:pPr>
                      <w:r>
                        <w:rPr>
                          <w:sz w:val="18"/>
                          <w:szCs w:val="18"/>
                        </w:rPr>
                        <w:t>优先回用于</w:t>
                      </w:r>
                      <w:r>
                        <w:rPr>
                          <w:rFonts w:hint="eastAsia"/>
                          <w:sz w:val="18"/>
                          <w:szCs w:val="18"/>
                        </w:rPr>
                        <w:t>其他井场压裂液配置</w:t>
                      </w:r>
                    </w:p>
                  </w:txbxContent>
                </v:textbox>
              </v:shape>
            </w:pict>
          </mc:Fallback>
        </mc:AlternateContent>
      </w:r>
    </w:p>
    <w:p>
      <w:pPr>
        <w:pStyle w:val="165"/>
        <w:rPr>
          <w:color w:val="000000" w:themeColor="text1"/>
          <w:highlight w:val="none"/>
          <w14:textFill>
            <w14:solidFill>
              <w14:schemeClr w14:val="tx1"/>
            </w14:solidFill>
          </w14:textFill>
        </w:rPr>
      </w:pPr>
    </w:p>
    <w:p>
      <w:pPr>
        <w:pStyle w:val="165"/>
        <w:spacing w:before="120" w:beforeLines="5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STYLEREF 2 \s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7.1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SEQ 图 \* ARABIC \s 2 </w:instrText>
      </w:r>
      <w:r>
        <w:rPr>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 xml:space="preserve"> 项目压裂返排液</w:t>
      </w:r>
      <w:r>
        <w:rPr>
          <w:rFonts w:hint="eastAsia"/>
          <w:color w:val="000000" w:themeColor="text1"/>
          <w:highlight w:val="none"/>
          <w14:textFill>
            <w14:solidFill>
              <w14:schemeClr w14:val="tx1"/>
            </w14:solidFill>
          </w14:textFill>
        </w:rPr>
        <w:t>、洗井废水</w:t>
      </w:r>
      <w:r>
        <w:rPr>
          <w:color w:val="000000" w:themeColor="text1"/>
          <w:highlight w:val="none"/>
          <w14:textFill>
            <w14:solidFill>
              <w14:schemeClr w14:val="tx1"/>
            </w14:solidFill>
          </w14:textFill>
        </w:rPr>
        <w:t>回收利用工艺流程图</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t>）生活污水</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储层改造</w:t>
      </w:r>
      <w:r>
        <w:rPr>
          <w:rFonts w:cs="Times New Roman"/>
          <w:color w:val="000000" w:themeColor="text1"/>
          <w:szCs w:val="24"/>
          <w:highlight w:val="none"/>
          <w14:textFill>
            <w14:solidFill>
              <w14:schemeClr w14:val="tx1"/>
            </w14:solidFill>
          </w14:textFill>
        </w:rPr>
        <w:t>期间</w:t>
      </w:r>
      <w:r>
        <w:rPr>
          <w:rFonts w:cs="Times New Roman"/>
          <w:bCs/>
          <w:color w:val="000000" w:themeColor="text1"/>
          <w:szCs w:val="24"/>
          <w:highlight w:val="none"/>
          <w14:textFill>
            <w14:solidFill>
              <w14:schemeClr w14:val="tx1"/>
            </w14:solidFill>
          </w14:textFill>
        </w:rPr>
        <w:t>钻</w:t>
      </w:r>
      <w:r>
        <w:rPr>
          <w:rFonts w:hint="eastAsia" w:cs="Times New Roman"/>
          <w:bCs/>
          <w:color w:val="000000" w:themeColor="text1"/>
          <w:szCs w:val="24"/>
          <w:highlight w:val="none"/>
          <w14:textFill>
            <w14:solidFill>
              <w14:schemeClr w14:val="tx1"/>
            </w14:solidFill>
          </w14:textFill>
        </w:rPr>
        <w:t>施工人员</w:t>
      </w:r>
      <w:r>
        <w:rPr>
          <w:rFonts w:cs="Times New Roman"/>
          <w:bCs/>
          <w:color w:val="000000" w:themeColor="text1"/>
          <w:szCs w:val="24"/>
          <w:highlight w:val="none"/>
          <w14:textFill>
            <w14:solidFill>
              <w14:schemeClr w14:val="tx1"/>
            </w14:solidFill>
          </w14:textFill>
        </w:rPr>
        <w:t>生活污水</w:t>
      </w:r>
      <w:r>
        <w:rPr>
          <w:rFonts w:cs="Times New Roman"/>
          <w:color w:val="000000" w:themeColor="text1"/>
          <w:szCs w:val="24"/>
          <w:highlight w:val="none"/>
          <w14:textFill>
            <w14:solidFill>
              <w14:schemeClr w14:val="tx1"/>
            </w14:solidFill>
          </w14:textFill>
        </w:rPr>
        <w:t>经生态厕所收集后定期由密闭罐车拉运至周边生活污水处理厂处理。</w:t>
      </w:r>
      <w:r>
        <w:rPr>
          <w:rFonts w:hint="eastAsia" w:cs="Times New Roman"/>
          <w:color w:val="000000" w:themeColor="text1"/>
          <w:szCs w:val="24"/>
          <w:highlight w:val="none"/>
          <w14:textFill>
            <w14:solidFill>
              <w14:schemeClr w14:val="tx1"/>
            </w14:solidFill>
          </w14:textFill>
        </w:rPr>
        <w:t>该措施做到</w:t>
      </w:r>
      <w:r>
        <w:rPr>
          <w:rFonts w:cs="Times New Roman"/>
          <w:color w:val="000000" w:themeColor="text1"/>
          <w:szCs w:val="24"/>
          <w:highlight w:val="none"/>
          <w14:textFill>
            <w14:solidFill>
              <w14:schemeClr w14:val="tx1"/>
            </w14:solidFill>
          </w14:textFill>
        </w:rPr>
        <w:t>现场无生活污水产生和排放，不会对井场周边地表水产生影响</w:t>
      </w:r>
      <w:r>
        <w:rPr>
          <w:rFonts w:hint="eastAsia" w:cs="Times New Roman"/>
          <w:color w:val="000000" w:themeColor="text1"/>
          <w:szCs w:val="24"/>
          <w:highlight w:val="none"/>
          <w14:textFill>
            <w14:solidFill>
              <w14:schemeClr w14:val="tx1"/>
            </w14:solidFill>
          </w14:textFill>
        </w:rPr>
        <w:t>，措施可行。</w:t>
      </w:r>
    </w:p>
    <w:p>
      <w:pPr>
        <w:ind w:firstLine="480"/>
        <w:rPr>
          <w:rFonts w:eastAsia="黑体" w:cs="Times New Roman"/>
          <w:color w:val="000000" w:themeColor="text1"/>
          <w:szCs w:val="24"/>
          <w:highlight w:val="none"/>
          <w14:textFill>
            <w14:solidFill>
              <w14:schemeClr w14:val="tx1"/>
            </w14:solidFill>
          </w14:textFill>
        </w:rPr>
      </w:pPr>
      <w:r>
        <w:rPr>
          <w:rFonts w:hint="eastAsia" w:eastAsia="黑体" w:cs="Times New Roman"/>
          <w:color w:val="000000" w:themeColor="text1"/>
          <w:szCs w:val="24"/>
          <w:highlight w:val="none"/>
          <w14:textFill>
            <w14:solidFill>
              <w14:schemeClr w14:val="tx1"/>
            </w14:solidFill>
          </w14:textFill>
        </w:rPr>
        <w:t>（2）</w:t>
      </w:r>
      <w:r>
        <w:rPr>
          <w:rFonts w:eastAsia="黑体" w:cs="Times New Roman"/>
          <w:color w:val="000000" w:themeColor="text1"/>
          <w:szCs w:val="24"/>
          <w:highlight w:val="none"/>
          <w14:textFill>
            <w14:solidFill>
              <w14:schemeClr w14:val="tx1"/>
            </w14:solidFill>
          </w14:textFill>
        </w:rPr>
        <w:t>治理措施</w:t>
      </w:r>
      <w:r>
        <w:rPr>
          <w:rFonts w:hint="eastAsia" w:eastAsia="黑体" w:cs="Times New Roman"/>
          <w:color w:val="000000" w:themeColor="text1"/>
          <w:szCs w:val="24"/>
          <w:highlight w:val="none"/>
          <w14:textFill>
            <w14:solidFill>
              <w14:schemeClr w14:val="tx1"/>
            </w14:solidFill>
          </w14:textFill>
        </w:rPr>
        <w:t>可行性分析</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t>污水收集处理设施可行性分析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经固控设备固液分离后洗井废水产生量最大为</w:t>
      </w:r>
      <w:r>
        <w:rPr>
          <w:rFonts w:hint="eastAsia" w:cs="Times New Roman"/>
          <w:color w:val="000000" w:themeColor="text1"/>
          <w:szCs w:val="24"/>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t>00m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，井场的泥浆不落地装置与放喷池的容量能满足井场洗井期的生产需求。</w:t>
      </w:r>
    </w:p>
    <w:p>
      <w:pPr>
        <w:ind w:firstLine="480"/>
        <w:rPr>
          <w:rFonts w:cs="Times New Roman"/>
          <w:color w:val="000000" w:themeColor="text1"/>
          <w:szCs w:val="24"/>
          <w:highlight w:val="none"/>
          <w14:textFill>
            <w14:solidFill>
              <w14:schemeClr w14:val="tx1"/>
            </w14:solidFill>
          </w14:textFill>
        </w:rPr>
      </w:pPr>
      <w:bookmarkStart w:id="446" w:name="_Hlk92200258"/>
      <w:r>
        <w:rPr>
          <w:rFonts w:cs="Times New Roman"/>
          <w:color w:val="000000" w:themeColor="text1"/>
          <w:szCs w:val="24"/>
          <w:highlight w:val="none"/>
          <w14:textFill>
            <w14:solidFill>
              <w14:schemeClr w14:val="tx1"/>
            </w14:solidFill>
          </w14:textFill>
        </w:rPr>
        <w:t>完井测试分段压裂产生的加砂压裂返排液大部分进入压裂液储罐，少量进入放喷池，进入放喷池内的返排液全部泵入压裂液储罐。</w:t>
      </w:r>
      <w:r>
        <w:rPr>
          <w:rFonts w:hint="eastAsia" w:cs="Times New Roman"/>
          <w:color w:val="000000" w:themeColor="text1"/>
          <w:szCs w:val="24"/>
          <w:highlight w:val="none"/>
          <w14:textFill>
            <w14:solidFill>
              <w14:schemeClr w14:val="tx1"/>
            </w14:solidFill>
          </w14:textFill>
        </w:rPr>
        <w:t>压裂返排液产生时及时拉运出井场，</w:t>
      </w:r>
      <w:r>
        <w:rPr>
          <w:rFonts w:cs="Times New Roman"/>
          <w:color w:val="000000" w:themeColor="text1"/>
          <w:szCs w:val="24"/>
          <w:highlight w:val="none"/>
          <w14:textFill>
            <w14:solidFill>
              <w14:schemeClr w14:val="tx1"/>
            </w14:solidFill>
          </w14:textFill>
        </w:rPr>
        <w:t>现场需要暂存的压裂返排液量相对较小，压裂液返排前期可由已空置的压裂液储罐进行收集储存，由于地层吸收损耗及放喷蒸发，返排液量远小于入井液量，压裂液罐总容积大于压裂返排液返排量，</w:t>
      </w:r>
      <w:bookmarkStart w:id="447" w:name="_Hlk92200417"/>
      <w:r>
        <w:rPr>
          <w:rFonts w:cs="Times New Roman"/>
          <w:color w:val="000000" w:themeColor="text1"/>
          <w:szCs w:val="24"/>
          <w:highlight w:val="none"/>
          <w14:textFill>
            <w14:solidFill>
              <w14:schemeClr w14:val="tx1"/>
            </w14:solidFill>
          </w14:textFill>
        </w:rPr>
        <w:t>满足储存要求。</w:t>
      </w:r>
      <w:bookmarkEnd w:id="447"/>
      <w:r>
        <w:rPr>
          <w:rFonts w:cs="Times New Roman"/>
          <w:color w:val="000000" w:themeColor="text1"/>
          <w:szCs w:val="24"/>
          <w:highlight w:val="none"/>
          <w14:textFill>
            <w14:solidFill>
              <w14:schemeClr w14:val="tx1"/>
            </w14:solidFill>
          </w14:textFill>
        </w:rPr>
        <w:t>项目在井场周围设置了放喷池</w:t>
      </w:r>
      <w:r>
        <w:rPr>
          <w:rFonts w:hint="eastAsia" w:cs="Times New Roman"/>
          <w:color w:val="000000" w:themeColor="text1"/>
          <w:szCs w:val="24"/>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t>座，放喷池容积为300m</w:t>
      </w:r>
      <w:r>
        <w:rPr>
          <w:rFonts w:cs="Times New Roman"/>
          <w:color w:val="000000" w:themeColor="text1"/>
          <w:szCs w:val="24"/>
          <w:highlight w:val="none"/>
          <w:vertAlign w:val="superscript"/>
          <w14:textFill>
            <w14:solidFill>
              <w14:schemeClr w14:val="tx1"/>
            </w14:solidFill>
          </w14:textFill>
        </w:rPr>
        <w:t>3</w:t>
      </w:r>
      <w:r>
        <w:rPr>
          <w:rFonts w:cs="Times New Roman"/>
          <w:color w:val="000000" w:themeColor="text1"/>
          <w:szCs w:val="24"/>
          <w:highlight w:val="none"/>
          <w14:textFill>
            <w14:solidFill>
              <w14:schemeClr w14:val="tx1"/>
            </w14:solidFill>
          </w14:textFill>
        </w:rPr>
        <w:t>，由于放喷池主要起接收中转压裂返排液作用，压裂返排液暂存在空置的压裂液储罐，因此只要及时对放喷池废水及时抽吸至压裂液储罐，井场的放喷池的容量就能满足井场整个压裂期的生产需求。放喷池底部及四周铺设复合防水卷材（聚乙烯丙纶复合卷材）作防渗漏处理，防水卷材搭接长度不小于150mm，阴角处做处理，防止卷材折断。</w:t>
      </w:r>
    </w:p>
    <w:bookmarkEnd w:id="446"/>
    <w:p>
      <w:pPr>
        <w:ind w:firstLine="480"/>
        <w:rPr>
          <w:rFonts w:cs="Times New Roman"/>
          <w:color w:val="000000" w:themeColor="text1"/>
          <w:szCs w:val="24"/>
          <w:highlight w:val="none"/>
          <w14:textFill>
            <w14:solidFill>
              <w14:schemeClr w14:val="tx1"/>
            </w14:solidFill>
          </w14:textFill>
        </w:rPr>
      </w:pPr>
      <w:r>
        <w:rPr>
          <w:rFonts w:hint="eastAsia" w:cs="Times New Roman"/>
          <w:bCs/>
          <w:color w:val="000000" w:themeColor="text1"/>
          <w:highlight w:val="none"/>
          <w14:textFill>
            <w14:solidFill>
              <w14:schemeClr w14:val="tx1"/>
            </w14:solidFill>
          </w14:textFill>
        </w:rPr>
        <w:t>储层改造</w:t>
      </w:r>
      <w:r>
        <w:rPr>
          <w:rFonts w:cs="Times New Roman"/>
          <w:bCs/>
          <w:color w:val="000000" w:themeColor="text1"/>
          <w:highlight w:val="none"/>
          <w14:textFill>
            <w14:solidFill>
              <w14:schemeClr w14:val="tx1"/>
            </w14:solidFill>
          </w14:textFill>
        </w:rPr>
        <w:t>期生活污水经生态厕所收集后定期由密闭罐车拉运至周边生活污水处理厂处理</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项目</w:t>
      </w:r>
      <w:r>
        <w:rPr>
          <w:rFonts w:cs="Times New Roman"/>
          <w:color w:val="000000" w:themeColor="text1"/>
          <w:szCs w:val="24"/>
          <w:highlight w:val="none"/>
          <w14:textFill>
            <w14:solidFill>
              <w14:schemeClr w14:val="tx1"/>
            </w14:solidFill>
          </w14:textFill>
        </w:rPr>
        <w:t>钻井期</w:t>
      </w:r>
      <w:r>
        <w:rPr>
          <w:rFonts w:hint="eastAsia" w:cs="Times New Roman"/>
          <w:color w:val="000000" w:themeColor="text1"/>
          <w:szCs w:val="24"/>
          <w:highlight w:val="none"/>
          <w14:textFill>
            <w14:solidFill>
              <w14:schemeClr w14:val="tx1"/>
            </w14:solidFill>
          </w14:textFill>
        </w:rPr>
        <w:t>已建设的</w:t>
      </w:r>
      <w:r>
        <w:rPr>
          <w:rFonts w:cs="Times New Roman"/>
          <w:color w:val="000000" w:themeColor="text1"/>
          <w:szCs w:val="24"/>
          <w:highlight w:val="none"/>
          <w14:textFill>
            <w14:solidFill>
              <w14:schemeClr w14:val="tx1"/>
            </w14:solidFill>
          </w14:textFill>
        </w:rPr>
        <w:t>生态厕所能满足50人入厕需求，本项目</w:t>
      </w:r>
      <w:r>
        <w:rPr>
          <w:rFonts w:hint="eastAsia" w:cs="Times New Roman"/>
          <w:color w:val="000000" w:themeColor="text1"/>
          <w:szCs w:val="24"/>
          <w:highlight w:val="none"/>
          <w14:textFill>
            <w14:solidFill>
              <w14:schemeClr w14:val="tx1"/>
            </w14:solidFill>
          </w14:textFill>
        </w:rPr>
        <w:t>储层改造期</w:t>
      </w:r>
      <w:r>
        <w:rPr>
          <w:rFonts w:cs="Times New Roman"/>
          <w:color w:val="000000" w:themeColor="text1"/>
          <w:szCs w:val="24"/>
          <w:highlight w:val="none"/>
          <w14:textFill>
            <w14:solidFill>
              <w14:schemeClr w14:val="tx1"/>
            </w14:solidFill>
          </w14:textFill>
        </w:rPr>
        <w:t>最多人员为4</w:t>
      </w:r>
      <w:r>
        <w:rPr>
          <w:rFonts w:hint="eastAsia" w:cs="Times New Roman"/>
          <w:color w:val="000000" w:themeColor="text1"/>
          <w:szCs w:val="24"/>
          <w:highlight w:val="none"/>
          <w14:textFill>
            <w14:solidFill>
              <w14:schemeClr w14:val="tx1"/>
            </w14:solidFill>
          </w14:textFill>
        </w:rPr>
        <w:t>0</w:t>
      </w:r>
      <w:r>
        <w:rPr>
          <w:rFonts w:cs="Times New Roman"/>
          <w:color w:val="000000" w:themeColor="text1"/>
          <w:szCs w:val="24"/>
          <w:highlight w:val="none"/>
          <w14:textFill>
            <w14:solidFill>
              <w14:schemeClr w14:val="tx1"/>
            </w14:solidFill>
          </w14:textFill>
        </w:rPr>
        <w:t>人，且加强管理，定期拉运后，生态厕所满足使用需求。</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t>洗井废水、压裂返排液回用可行性分析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用于配置压裂液的液体经去除杂质、添加药剂等简单处理后即可重复使用，</w:t>
      </w:r>
      <w:r>
        <w:rPr>
          <w:rFonts w:hint="eastAsia" w:cs="Times New Roman"/>
          <w:color w:val="000000" w:themeColor="text1"/>
          <w:szCs w:val="24"/>
          <w:highlight w:val="none"/>
          <w14:textFill>
            <w14:solidFill>
              <w14:schemeClr w14:val="tx1"/>
            </w14:solidFill>
          </w14:textFill>
        </w:rPr>
        <w:t>项目产生</w:t>
      </w:r>
      <w:r>
        <w:rPr>
          <w:rFonts w:cs="Times New Roman"/>
          <w:color w:val="000000" w:themeColor="text1"/>
          <w:szCs w:val="24"/>
          <w:highlight w:val="none"/>
          <w14:textFill>
            <w14:solidFill>
              <w14:schemeClr w14:val="tx1"/>
            </w14:solidFill>
          </w14:textFill>
        </w:rPr>
        <w:t>的经固液分离后的洗井废水和压返液水质简单，悬浮物和油含量低，在配置压裂液前经简单预处理即符合压裂液配置要求。将洗井废水和压返液重复配置压裂液，已经属成熟工艺，在压裂施工中广泛使用。因此将洗井废水和压返液重复配置压裂液是可行的。</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压裂返排液使用指标及回用要求如下：降阻水：固相含量≤1000mg/L、氯根含量≤50000mg/L、铁细菌TGB≤2.5×10</w:t>
      </w:r>
      <w:r>
        <w:rPr>
          <w:rFonts w:cs="Times New Roman"/>
          <w:color w:val="000000" w:themeColor="text1"/>
          <w:szCs w:val="24"/>
          <w:highlight w:val="none"/>
          <w:vertAlign w:val="superscript"/>
          <w14:textFill>
            <w14:solidFill>
              <w14:schemeClr w14:val="tx1"/>
            </w14:solidFill>
          </w14:textFill>
        </w:rPr>
        <w:t>4</w:t>
      </w:r>
      <w:r>
        <w:rPr>
          <w:rFonts w:cs="Times New Roman"/>
          <w:color w:val="000000" w:themeColor="text1"/>
          <w:szCs w:val="24"/>
          <w:highlight w:val="none"/>
          <w14:textFill>
            <w14:solidFill>
              <w14:schemeClr w14:val="tx1"/>
            </w14:solidFill>
          </w14:textFill>
        </w:rPr>
        <w:t>个/mg、腐生菌≤2.5×10</w:t>
      </w:r>
      <w:r>
        <w:rPr>
          <w:rFonts w:cs="Times New Roman"/>
          <w:color w:val="000000" w:themeColor="text1"/>
          <w:szCs w:val="24"/>
          <w:highlight w:val="none"/>
          <w:vertAlign w:val="superscript"/>
          <w14:textFill>
            <w14:solidFill>
              <w14:schemeClr w14:val="tx1"/>
            </w14:solidFill>
          </w14:textFill>
        </w:rPr>
        <w:t>4</w:t>
      </w:r>
      <w:r>
        <w:rPr>
          <w:rFonts w:cs="Times New Roman"/>
          <w:color w:val="000000" w:themeColor="text1"/>
          <w:szCs w:val="24"/>
          <w:highlight w:val="none"/>
          <w14:textFill>
            <w14:solidFill>
              <w14:schemeClr w14:val="tx1"/>
            </w14:solidFill>
          </w14:textFill>
        </w:rPr>
        <w:t>个/mg，瓜胶压裂返排液除上述指标外，增加以钙离子计算的总硬度≤800mg/L。本项目洗井废水和压裂返排液中固相含量＜500mg/L、氯根含量≤4000mg/L、总硬度≤800mg/L，铁细菌TGB和腐生菌含量也符合要求，因此将洗井废水和压返液重复配置压裂液是可行的。同时根据统计，同一口井可回用废水产生量远小于单井需要配置压裂返排液新水使用量，因此洗井废水量能全部用于区域内压裂液配置。将洗井废水和单井废弃的压返液返排液重复配置压裂液，用于重复压裂，可以满足钻井作业废水的处置需求，符合《石油天然气开采业污染防治技术政策》中“在钻井和井下作业过程中，鼓励污油、污水进入生产流程循环利用”的要求，属清洁生产措施，已在钻井工程中得到广泛采用，技术较成熟，该措施技术有效、可行。</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3）</w:t>
      </w:r>
      <w:r>
        <w:rPr>
          <w:rFonts w:cs="Times New Roman"/>
          <w:color w:val="000000" w:themeColor="text1"/>
          <w:szCs w:val="24"/>
          <w:highlight w:val="none"/>
          <w14:textFill>
            <w14:solidFill>
              <w14:schemeClr w14:val="tx1"/>
            </w14:solidFill>
          </w14:textFill>
        </w:rPr>
        <w:t>洗井废水、压裂返排液转运预处理和回注可行性分析</w:t>
      </w:r>
    </w:p>
    <w:p>
      <w:pPr>
        <w:ind w:firstLine="480"/>
        <w:rPr>
          <w:rFonts w:cs="Times New Roman"/>
          <w:color w:val="000000" w:themeColor="text1"/>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若周边无用水需求的井场时，则项目产生的</w:t>
      </w:r>
      <w:r>
        <w:rPr>
          <w:rFonts w:cs="Times New Roman"/>
          <w:color w:val="000000" w:themeColor="text1"/>
          <w:szCs w:val="24"/>
          <w:highlight w:val="none"/>
          <w14:textFill>
            <w14:solidFill>
              <w14:schemeClr w14:val="tx1"/>
            </w14:solidFill>
          </w14:textFill>
        </w:rPr>
        <w:t>洗井废水、压裂返排液</w:t>
      </w:r>
      <w:r>
        <w:rPr>
          <w:rFonts w:hint="eastAsia" w:cs="Times New Roman"/>
          <w:color w:val="000000" w:themeColor="text1"/>
          <w:szCs w:val="24"/>
          <w:highlight w:val="none"/>
          <w14:textFill>
            <w14:solidFill>
              <w14:schemeClr w14:val="tx1"/>
            </w14:solidFill>
          </w14:textFill>
        </w:rPr>
        <w:t>将</w:t>
      </w:r>
      <w:r>
        <w:rPr>
          <w:rFonts w:cs="Times New Roman"/>
          <w:color w:val="000000" w:themeColor="text1"/>
          <w:szCs w:val="24"/>
          <w:highlight w:val="none"/>
          <w14:textFill>
            <w14:solidFill>
              <w14:schemeClr w14:val="tx1"/>
            </w14:solidFill>
          </w14:textFill>
        </w:rPr>
        <w:t>用密闭罐车拉运至</w:t>
      </w:r>
      <w:r>
        <w:rPr>
          <w:rFonts w:hint="eastAsia" w:cs="Times New Roman"/>
          <w:color w:val="000000" w:themeColor="text1"/>
          <w:szCs w:val="24"/>
          <w:highlight w:val="none"/>
          <w14:textFill>
            <w14:solidFill>
              <w14:schemeClr w14:val="tx1"/>
            </w14:solidFill>
          </w14:textFill>
        </w:rPr>
        <w:t>赵家坝污水处理站</w:t>
      </w:r>
      <w:r>
        <w:rPr>
          <w:rFonts w:cs="Times New Roman"/>
          <w:color w:val="000000" w:themeColor="text1"/>
          <w:szCs w:val="24"/>
          <w:highlight w:val="none"/>
          <w14:textFill>
            <w14:solidFill>
              <w14:schemeClr w14:val="tx1"/>
            </w14:solidFill>
          </w14:textFill>
        </w:rPr>
        <w:t>达标后管输至</w:t>
      </w:r>
      <w:r>
        <w:rPr>
          <w:rFonts w:hint="eastAsia" w:cs="Times New Roman"/>
          <w:color w:val="000000" w:themeColor="text1"/>
          <w:szCs w:val="24"/>
          <w:highlight w:val="none"/>
          <w14:textFill>
            <w14:solidFill>
              <w14:schemeClr w14:val="tx1"/>
            </w14:solidFill>
          </w14:textFill>
        </w:rPr>
        <w:t>普光3井回注站</w:t>
      </w:r>
      <w:r>
        <w:rPr>
          <w:rFonts w:cs="Times New Roman"/>
          <w:color w:val="000000" w:themeColor="text1"/>
          <w:szCs w:val="24"/>
          <w:highlight w:val="none"/>
          <w14:textFill>
            <w14:solidFill>
              <w14:schemeClr w14:val="tx1"/>
            </w14:solidFill>
          </w14:textFill>
        </w:rPr>
        <w:t>回注，不外排。</w:t>
      </w:r>
      <w:r>
        <w:rPr>
          <w:rFonts w:hint="eastAsia" w:cs="Times New Roman"/>
          <w:color w:val="000000" w:themeColor="text1"/>
          <w:highlight w:val="none"/>
          <w14:textFill>
            <w14:solidFill>
              <w14:schemeClr w14:val="tx1"/>
            </w14:solidFill>
          </w14:textFill>
        </w:rPr>
        <w:t>洗井废水量约200m</w:t>
      </w:r>
      <w:r>
        <w:rPr>
          <w:rFonts w:hint="eastAsia"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根据前文分析，</w:t>
      </w:r>
      <w:r>
        <w:rPr>
          <w:rFonts w:hint="eastAsia" w:cs="Times New Roman"/>
          <w:bCs/>
          <w:color w:val="000000" w:themeColor="text1"/>
          <w:szCs w:val="24"/>
          <w:highlight w:val="none"/>
          <w14:textFill>
            <w14:solidFill>
              <w14:schemeClr w14:val="tx1"/>
            </w14:solidFill>
          </w14:textFill>
        </w:rPr>
        <w:t>赵家坝污水处理站目前剩余处理能力为450m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w:t>
      </w:r>
      <w:r>
        <w:rPr>
          <w:rFonts w:cs="Times New Roman"/>
          <w:bCs/>
          <w:color w:val="000000" w:themeColor="text1"/>
          <w:szCs w:val="24"/>
          <w:highlight w:val="none"/>
          <w14:textFill>
            <w14:solidFill>
              <w14:schemeClr w14:val="tx1"/>
            </w14:solidFill>
          </w14:textFill>
        </w:rPr>
        <w:t>在</w:t>
      </w:r>
      <w:r>
        <w:rPr>
          <w:rFonts w:hint="eastAsia" w:cs="Times New Roman"/>
          <w:bCs/>
          <w:color w:val="000000" w:themeColor="text1"/>
          <w:szCs w:val="24"/>
          <w:highlight w:val="none"/>
          <w14:textFill>
            <w14:solidFill>
              <w14:schemeClr w14:val="tx1"/>
            </w14:solidFill>
          </w14:textFill>
        </w:rPr>
        <w:t>赵家坝污水处理站处理本项目废水期间，中石化普光气田和赵家坝污水处理站加强沟通，同时运输过来的废水</w:t>
      </w:r>
      <w:r>
        <w:rPr>
          <w:rFonts w:cs="Times New Roman"/>
          <w:bCs/>
          <w:color w:val="000000" w:themeColor="text1"/>
          <w:szCs w:val="24"/>
          <w:highlight w:val="none"/>
          <w14:textFill>
            <w14:solidFill>
              <w14:schemeClr w14:val="tx1"/>
            </w14:solidFill>
          </w14:textFill>
        </w:rPr>
        <w:t>处理量</w:t>
      </w:r>
      <w:r>
        <w:rPr>
          <w:rFonts w:hint="eastAsia" w:cs="Times New Roman"/>
          <w:bCs/>
          <w:color w:val="000000" w:themeColor="text1"/>
          <w:szCs w:val="24"/>
          <w:highlight w:val="none"/>
          <w14:textFill>
            <w14:solidFill>
              <w14:schemeClr w14:val="tx1"/>
            </w14:solidFill>
          </w14:textFill>
        </w:rPr>
        <w:t>根据赵家坝污水处理站实际剩余处理能力整体调配，预计控制在4</w:t>
      </w:r>
      <w:r>
        <w:rPr>
          <w:rFonts w:cs="Times New Roman"/>
          <w:bCs/>
          <w:color w:val="000000" w:themeColor="text1"/>
          <w:szCs w:val="24"/>
          <w:highlight w:val="none"/>
          <w14:textFill>
            <w14:solidFill>
              <w14:schemeClr w14:val="tx1"/>
            </w14:solidFill>
          </w14:textFill>
        </w:rPr>
        <w:t>00m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左右</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仍有富余能力50m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/d，仅需2天就能处理本项目洗井废水，因此赵家坝污水处理站完全满足洗井废水的处理要求。普光3井回注站剩余回注能力170~210m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/d，剩余</w:t>
      </w:r>
      <w:r>
        <w:rPr>
          <w:rFonts w:cs="Times New Roman"/>
          <w:bCs/>
          <w:color w:val="000000" w:themeColor="text1"/>
          <w:szCs w:val="24"/>
          <w:highlight w:val="none"/>
          <w14:textFill>
            <w14:solidFill>
              <w14:schemeClr w14:val="tx1"/>
            </w14:solidFill>
          </w14:textFill>
        </w:rPr>
        <w:t>100.6</w:t>
      </w:r>
      <w:r>
        <w:rPr>
          <w:rFonts w:hint="eastAsia" w:cs="Times New Roman"/>
          <w:bCs/>
          <w:color w:val="000000" w:themeColor="text1"/>
          <w:szCs w:val="24"/>
          <w:highlight w:val="none"/>
          <w14:textFill>
            <w14:solidFill>
              <w14:schemeClr w14:val="tx1"/>
            </w14:solidFill>
          </w14:textFill>
        </w:rPr>
        <w:t>7×10</w:t>
      </w:r>
      <w:r>
        <w:rPr>
          <w:rFonts w:hint="eastAsia" w:cs="Times New Roman"/>
          <w:bCs/>
          <w:color w:val="000000" w:themeColor="text1"/>
          <w:szCs w:val="24"/>
          <w:highlight w:val="none"/>
          <w:vertAlign w:val="superscript"/>
          <w14:textFill>
            <w14:solidFill>
              <w14:schemeClr w14:val="tx1"/>
            </w14:solidFill>
          </w14:textFill>
        </w:rPr>
        <w:t>4</w:t>
      </w:r>
      <w:r>
        <w:rPr>
          <w:rFonts w:hint="eastAsia" w:cs="Times New Roman"/>
          <w:bCs/>
          <w:color w:val="000000" w:themeColor="text1"/>
          <w:szCs w:val="24"/>
          <w:highlight w:val="none"/>
          <w14:textFill>
            <w14:solidFill>
              <w14:schemeClr w14:val="tx1"/>
            </w14:solidFill>
          </w14:textFill>
        </w:rPr>
        <w:t>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，本项目废水和其他项目废水在赵家坝污水处理站后，根据普光3井回注站实际剩余回注能力进行整体调配，其他项目废水进入普光3井回注站回注的废水预计控制在12</w:t>
      </w:r>
      <w:r>
        <w:rPr>
          <w:rFonts w:cs="Times New Roman"/>
          <w:bCs/>
          <w:color w:val="000000" w:themeColor="text1"/>
          <w:szCs w:val="24"/>
          <w:highlight w:val="none"/>
          <w14:textFill>
            <w14:solidFill>
              <w14:schemeClr w14:val="tx1"/>
            </w14:solidFill>
          </w14:textFill>
        </w:rPr>
        <w:t>0m</w:t>
      </w:r>
      <w:r>
        <w:rPr>
          <w:rFonts w:cs="Times New Roman"/>
          <w:bCs/>
          <w:color w:val="000000" w:themeColor="text1"/>
          <w:szCs w:val="24"/>
          <w:highlight w:val="none"/>
          <w:vertAlign w:val="superscript"/>
          <w14:textFill>
            <w14:solidFill>
              <w14:schemeClr w14:val="tx1"/>
            </w14:solidFill>
          </w14:textFill>
        </w:rPr>
        <w:t>3</w:t>
      </w:r>
      <w:r>
        <w:rPr>
          <w:rFonts w:cs="Times New Roman"/>
          <w:bCs/>
          <w:color w:val="000000" w:themeColor="text1"/>
          <w:szCs w:val="24"/>
          <w:highlight w:val="none"/>
          <w14:textFill>
            <w14:solidFill>
              <w14:schemeClr w14:val="tx1"/>
            </w14:solidFill>
          </w14:textFill>
        </w:rPr>
        <w:t>/d</w:t>
      </w:r>
      <w:r>
        <w:rPr>
          <w:rFonts w:hint="eastAsia" w:cs="Times New Roman"/>
          <w:bCs/>
          <w:color w:val="000000" w:themeColor="text1"/>
          <w:szCs w:val="24"/>
          <w:highlight w:val="none"/>
          <w14:textFill>
            <w14:solidFill>
              <w14:schemeClr w14:val="tx1"/>
            </w14:solidFill>
          </w14:textFill>
        </w:rPr>
        <w:t>左右</w:t>
      </w:r>
      <w:r>
        <w:rPr>
          <w:rFonts w:cs="Times New Roman"/>
          <w:bCs/>
          <w:color w:val="000000" w:themeColor="text1"/>
          <w:szCs w:val="24"/>
          <w:highlight w:val="none"/>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仍有富余能力20~90m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仅需最多5天就能处理本项目洗井废水，因此普光3井回注站完全满足洗井废水的处理要求。在处理洗井废水期间其他项目需要到赵家坝污水处理站处理的废水量根据赵家坝污水处理站实际剩余处理能力整体调配，同时</w:t>
      </w:r>
      <w:r>
        <w:rPr>
          <w:rFonts w:hint="eastAsia"/>
          <w:color w:val="000000" w:themeColor="text1"/>
          <w:highlight w:val="none"/>
          <w14:textFill>
            <w14:solidFill>
              <w14:schemeClr w14:val="tx1"/>
            </w14:solidFill>
          </w14:textFill>
        </w:rPr>
        <w:t>赵</w:t>
      </w:r>
      <w:r>
        <w:rPr>
          <w:rFonts w:hint="eastAsia" w:cs="Times New Roman"/>
          <w:color w:val="000000" w:themeColor="text1"/>
          <w:highlight w:val="none"/>
          <w14:textFill>
            <w14:solidFill>
              <w14:schemeClr w14:val="tx1"/>
            </w14:solidFill>
          </w14:textFill>
        </w:rPr>
        <w:t>家坝污水处理站管输至普光3井</w:t>
      </w:r>
      <w:r>
        <w:rPr>
          <w:rFonts w:cs="Times New Roman"/>
          <w:color w:val="000000" w:themeColor="text1"/>
          <w:highlight w:val="none"/>
          <w14:textFill>
            <w14:solidFill>
              <w14:schemeClr w14:val="tx1"/>
            </w14:solidFill>
          </w14:textFill>
        </w:rPr>
        <w:t>回注站</w:t>
      </w:r>
      <w:r>
        <w:rPr>
          <w:rFonts w:hint="eastAsia" w:cs="Times New Roman"/>
          <w:color w:val="000000" w:themeColor="text1"/>
          <w:highlight w:val="none"/>
          <w14:textFill>
            <w14:solidFill>
              <w14:schemeClr w14:val="tx1"/>
            </w14:solidFill>
          </w14:textFill>
        </w:rPr>
        <w:t>的废水量接受普光3井</w:t>
      </w:r>
      <w:r>
        <w:rPr>
          <w:rFonts w:cs="Times New Roman"/>
          <w:color w:val="000000" w:themeColor="text1"/>
          <w:highlight w:val="none"/>
          <w14:textFill>
            <w14:solidFill>
              <w14:schemeClr w14:val="tx1"/>
            </w14:solidFill>
          </w14:textFill>
        </w:rPr>
        <w:t>回注站</w:t>
      </w:r>
      <w:r>
        <w:rPr>
          <w:rFonts w:hint="eastAsia" w:cs="Times New Roman"/>
          <w:color w:val="000000" w:themeColor="text1"/>
          <w:highlight w:val="none"/>
          <w14:textFill>
            <w14:solidFill>
              <w14:schemeClr w14:val="tx1"/>
            </w14:solidFill>
          </w14:textFill>
        </w:rPr>
        <w:t>的调配</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由于洗井废水产生量小且能在泥浆不落地装置内水罐暂存，因此赵家坝污水处理站</w:t>
      </w:r>
      <w:r>
        <w:rPr>
          <w:rFonts w:cs="Times New Roman"/>
          <w:color w:val="000000" w:themeColor="text1"/>
          <w:highlight w:val="none"/>
          <w14:textFill>
            <w14:solidFill>
              <w14:schemeClr w14:val="tx1"/>
            </w14:solidFill>
          </w14:textFill>
        </w:rPr>
        <w:t>和</w:t>
      </w:r>
      <w:r>
        <w:rPr>
          <w:rFonts w:hint="eastAsia" w:cs="Times New Roman"/>
          <w:color w:val="000000" w:themeColor="text1"/>
          <w:highlight w:val="none"/>
          <w14:textFill>
            <w14:solidFill>
              <w14:schemeClr w14:val="tx1"/>
            </w14:solidFill>
          </w14:textFill>
        </w:rPr>
        <w:t>普光3井</w:t>
      </w:r>
      <w:r>
        <w:rPr>
          <w:rFonts w:cs="Times New Roman"/>
          <w:color w:val="000000" w:themeColor="text1"/>
          <w:highlight w:val="none"/>
          <w14:textFill>
            <w14:solidFill>
              <w14:schemeClr w14:val="tx1"/>
            </w14:solidFill>
          </w14:textFill>
        </w:rPr>
        <w:t>回注站接收处理能力满足</w:t>
      </w:r>
      <w:r>
        <w:rPr>
          <w:rFonts w:hint="eastAsia" w:cs="Times New Roman"/>
          <w:color w:val="000000" w:themeColor="text1"/>
          <w:highlight w:val="none"/>
          <w14:textFill>
            <w14:solidFill>
              <w14:schemeClr w14:val="tx1"/>
            </w14:solidFill>
          </w14:textFill>
        </w:rPr>
        <w:t>洗井废水的</w:t>
      </w:r>
      <w:r>
        <w:rPr>
          <w:rFonts w:cs="Times New Roman"/>
          <w:color w:val="000000" w:themeColor="text1"/>
          <w:highlight w:val="none"/>
          <w14:textFill>
            <w14:solidFill>
              <w14:schemeClr w14:val="tx1"/>
            </w14:solidFill>
          </w14:textFill>
        </w:rPr>
        <w:t>处理要求</w:t>
      </w:r>
      <w:r>
        <w:rPr>
          <w:rFonts w:hint="eastAsia" w:cs="Times New Roman"/>
          <w:color w:val="000000" w:themeColor="text1"/>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hint="eastAsia"/>
          <w:bCs/>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总的压裂返排液量约</w:t>
      </w:r>
      <w:r>
        <w:rPr>
          <w:rFonts w:hint="eastAsia"/>
          <w:bCs/>
          <w:color w:val="000000" w:themeColor="text1"/>
          <w:highlight w:val="none"/>
          <w14:textFill>
            <w14:solidFill>
              <w14:schemeClr w14:val="tx1"/>
            </w14:solidFill>
          </w14:textFill>
        </w:rPr>
        <w:t>750</w:t>
      </w:r>
      <w:r>
        <w:rPr>
          <w:bCs/>
          <w:color w:val="000000" w:themeColor="text1"/>
          <w:highlight w:val="none"/>
          <w14:textFill>
            <w14:solidFill>
              <w14:schemeClr w14:val="tx1"/>
            </w14:solidFill>
          </w14:textFill>
        </w:rPr>
        <w:t>m</w:t>
      </w:r>
      <w:r>
        <w:rPr>
          <w:bCs/>
          <w:color w:val="000000" w:themeColor="text1"/>
          <w:highlight w:val="none"/>
          <w:vertAlign w:val="superscript"/>
          <w14:textFill>
            <w14:solidFill>
              <w14:schemeClr w14:val="tx1"/>
            </w14:solidFill>
          </w14:textFill>
        </w:rPr>
        <w:t>3</w:t>
      </w:r>
      <w:r>
        <w:rPr>
          <w:rFonts w:hint="eastAsia"/>
          <w:bCs/>
          <w:color w:val="000000" w:themeColor="text1"/>
          <w:highlight w:val="none"/>
          <w14:textFill>
            <w14:solidFill>
              <w14:schemeClr w14:val="tx1"/>
            </w14:solidFill>
          </w14:textFill>
        </w:rPr>
        <w:t>，大部分回用于其他井压裂，若周边井场无法使用时，需要</w:t>
      </w:r>
      <w:r>
        <w:rPr>
          <w:rFonts w:hint="eastAsia" w:cs="Times New Roman"/>
          <w:color w:val="000000" w:themeColor="text1"/>
          <w:highlight w:val="none"/>
          <w14:textFill>
            <w14:solidFill>
              <w14:schemeClr w14:val="tx1"/>
            </w14:solidFill>
          </w14:textFill>
        </w:rPr>
        <w:t>依托</w:t>
      </w:r>
      <w:r>
        <w:rPr>
          <w:rFonts w:hint="eastAsia"/>
          <w:color w:val="000000" w:themeColor="text1"/>
          <w:highlight w:val="none"/>
          <w14:textFill>
            <w14:solidFill>
              <w14:schemeClr w14:val="tx1"/>
            </w14:solidFill>
          </w14:textFill>
        </w:rPr>
        <w:t>赵家坝污水处理站和</w:t>
      </w:r>
      <w:r>
        <w:rPr>
          <w:rFonts w:hint="eastAsia" w:cs="Times New Roman"/>
          <w:color w:val="000000" w:themeColor="text1"/>
          <w:highlight w:val="none"/>
          <w14:textFill>
            <w14:solidFill>
              <w14:schemeClr w14:val="tx1"/>
            </w14:solidFill>
          </w14:textFill>
        </w:rPr>
        <w:t>普光3井</w:t>
      </w:r>
      <w:r>
        <w:rPr>
          <w:rFonts w:cs="Times New Roman"/>
          <w:color w:val="000000" w:themeColor="text1"/>
          <w:highlight w:val="none"/>
          <w14:textFill>
            <w14:solidFill>
              <w14:schemeClr w14:val="tx1"/>
            </w14:solidFill>
          </w14:textFill>
        </w:rPr>
        <w:t>回注站</w:t>
      </w:r>
      <w:r>
        <w:rPr>
          <w:rFonts w:hint="eastAsia" w:cs="Times New Roman"/>
          <w:color w:val="000000" w:themeColor="text1"/>
          <w:highlight w:val="none"/>
          <w14:textFill>
            <w14:solidFill>
              <w14:schemeClr w14:val="tx1"/>
            </w14:solidFill>
          </w14:textFill>
        </w:rPr>
        <w:t>处理。</w:t>
      </w:r>
      <w:r>
        <w:rPr>
          <w:color w:val="000000" w:themeColor="text1"/>
          <w:highlight w:val="none"/>
          <w14:textFill>
            <w14:solidFill>
              <w14:schemeClr w14:val="tx1"/>
            </w14:solidFill>
          </w14:textFill>
        </w:rPr>
        <w:t>在返排期间可控制返排速率，若放喷池（300m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）无多余容积</w:t>
      </w:r>
      <w:r>
        <w:rPr>
          <w:rFonts w:hint="eastAsia"/>
          <w:color w:val="000000" w:themeColor="text1"/>
          <w:highlight w:val="none"/>
          <w14:textFill>
            <w14:solidFill>
              <w14:schemeClr w14:val="tx1"/>
            </w14:solidFill>
          </w14:textFill>
        </w:rPr>
        <w:t>或周边井场暂时无法回用、</w:t>
      </w:r>
      <w:r>
        <w:rPr>
          <w:rFonts w:hint="eastAsia" w:cs="Times New Roman"/>
          <w:color w:val="000000" w:themeColor="text1"/>
          <w:highlight w:val="none"/>
          <w14:textFill>
            <w14:solidFill>
              <w14:schemeClr w14:val="tx1"/>
            </w14:solidFill>
          </w14:textFill>
        </w:rPr>
        <w:t>赵家坝污水处理站暂时无法接收处理</w:t>
      </w:r>
      <w:r>
        <w:rPr>
          <w:color w:val="000000" w:themeColor="text1"/>
          <w:highlight w:val="none"/>
          <w14:textFill>
            <w14:solidFill>
              <w14:schemeClr w14:val="tx1"/>
            </w14:solidFill>
          </w14:textFill>
        </w:rPr>
        <w:t>时可</w:t>
      </w:r>
      <w:r>
        <w:rPr>
          <w:rFonts w:hint="eastAsia"/>
          <w:color w:val="000000" w:themeColor="text1"/>
          <w:highlight w:val="none"/>
          <w14:textFill>
            <w14:solidFill>
              <w14:schemeClr w14:val="tx1"/>
            </w14:solidFill>
          </w14:textFill>
        </w:rPr>
        <w:t>临时转运至周边中石化场站设置的防渗完好、环保满足要求的储罐或水池暂存，或暂停</w:t>
      </w:r>
      <w:r>
        <w:rPr>
          <w:color w:val="000000" w:themeColor="text1"/>
          <w:highlight w:val="none"/>
          <w14:textFill>
            <w14:solidFill>
              <w14:schemeClr w14:val="tx1"/>
            </w14:solidFill>
          </w14:textFill>
        </w:rPr>
        <w:t>返排</w:t>
      </w:r>
      <w:r>
        <w:rPr>
          <w:rFonts w:hint="eastAsia"/>
          <w:color w:val="000000" w:themeColor="text1"/>
          <w:highlight w:val="none"/>
          <w14:textFill>
            <w14:solidFill>
              <w14:schemeClr w14:val="tx1"/>
            </w14:solidFill>
          </w14:textFill>
        </w:rPr>
        <w:t>等</w:t>
      </w:r>
      <w:r>
        <w:rPr>
          <w:color w:val="000000" w:themeColor="text1"/>
          <w:highlight w:val="none"/>
          <w14:textFill>
            <w14:solidFill>
              <w14:schemeClr w14:val="tx1"/>
            </w14:solidFill>
          </w14:textFill>
        </w:rPr>
        <w:t>，待</w:t>
      </w:r>
      <w:r>
        <w:rPr>
          <w:rFonts w:hint="eastAsia"/>
          <w:color w:val="000000" w:themeColor="text1"/>
          <w:highlight w:val="none"/>
          <w14:textFill>
            <w14:solidFill>
              <w14:schemeClr w14:val="tx1"/>
            </w14:solidFill>
          </w14:textFill>
        </w:rPr>
        <w:t>放喷池</w:t>
      </w:r>
      <w:r>
        <w:rPr>
          <w:color w:val="000000" w:themeColor="text1"/>
          <w:highlight w:val="none"/>
          <w14:textFill>
            <w14:solidFill>
              <w14:schemeClr w14:val="tx1"/>
            </w14:solidFill>
          </w14:textFill>
        </w:rPr>
        <w:t>中压裂返排液</w:t>
      </w:r>
      <w:r>
        <w:rPr>
          <w:rFonts w:hint="eastAsia"/>
          <w:color w:val="000000" w:themeColor="text1"/>
          <w:highlight w:val="none"/>
          <w14:textFill>
            <w14:solidFill>
              <w14:schemeClr w14:val="tx1"/>
            </w14:solidFill>
          </w14:textFill>
        </w:rPr>
        <w:t>转运回用或回注</w:t>
      </w:r>
      <w:r>
        <w:rPr>
          <w:color w:val="000000" w:themeColor="text1"/>
          <w:highlight w:val="none"/>
          <w14:textFill>
            <w14:solidFill>
              <w14:schemeClr w14:val="tx1"/>
            </w14:solidFill>
          </w14:textFill>
        </w:rPr>
        <w:t>后可继续返排，因此在压裂返排期间</w:t>
      </w:r>
      <w:r>
        <w:rPr>
          <w:rFonts w:hint="eastAsia"/>
          <w:color w:val="000000" w:themeColor="text1"/>
          <w:highlight w:val="none"/>
          <w14:textFill>
            <w14:solidFill>
              <w14:schemeClr w14:val="tx1"/>
            </w14:solidFill>
          </w14:textFill>
        </w:rPr>
        <w:t>放喷池</w:t>
      </w:r>
      <w:r>
        <w:rPr>
          <w:color w:val="000000" w:themeColor="text1"/>
          <w:highlight w:val="none"/>
          <w14:textFill>
            <w14:solidFill>
              <w14:schemeClr w14:val="tx1"/>
            </w14:solidFill>
          </w14:textFill>
        </w:rPr>
        <w:t>可满足暂存要求。</w:t>
      </w:r>
      <w:r>
        <w:rPr>
          <w:rFonts w:hint="eastAsia" w:cs="Times New Roman"/>
          <w:color w:val="000000" w:themeColor="text1"/>
          <w:highlight w:val="none"/>
          <w14:textFill>
            <w14:solidFill>
              <w14:schemeClr w14:val="tx1"/>
            </w14:solidFill>
          </w14:textFill>
        </w:rPr>
        <w:t>压裂返排液</w:t>
      </w:r>
      <w:r>
        <w:rPr>
          <w:rFonts w:hint="eastAsia"/>
          <w:color w:val="000000" w:themeColor="text1"/>
          <w:highlight w:val="none"/>
          <w14:textFill>
            <w14:solidFill>
              <w14:schemeClr w14:val="tx1"/>
            </w14:solidFill>
          </w14:textFill>
        </w:rPr>
        <w:t>每天返排液量控制在300m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以内，</w:t>
      </w:r>
      <w:r>
        <w:rPr>
          <w:rFonts w:hint="eastAsia"/>
          <w:bCs/>
          <w:color w:val="000000" w:themeColor="text1"/>
          <w:highlight w:val="none"/>
          <w14:textFill>
            <w14:solidFill>
              <w14:schemeClr w14:val="tx1"/>
            </w14:solidFill>
          </w14:textFill>
        </w:rPr>
        <w:t>大部分优先回用于其他井压裂，不能回用时，</w:t>
      </w:r>
      <w:r>
        <w:rPr>
          <w:rFonts w:hint="eastAsia" w:cs="Times New Roman"/>
          <w:color w:val="000000" w:themeColor="text1"/>
          <w:highlight w:val="none"/>
          <w14:textFill>
            <w14:solidFill>
              <w14:schemeClr w14:val="tx1"/>
            </w14:solidFill>
          </w14:textFill>
        </w:rPr>
        <w:t>依托</w:t>
      </w:r>
      <w:r>
        <w:rPr>
          <w:rFonts w:hint="eastAsia"/>
          <w:color w:val="000000" w:themeColor="text1"/>
          <w:highlight w:val="none"/>
          <w14:textFill>
            <w14:solidFill>
              <w14:schemeClr w14:val="tx1"/>
            </w14:solidFill>
          </w14:textFill>
        </w:rPr>
        <w:t>赵家坝污水处理站和</w:t>
      </w:r>
      <w:r>
        <w:rPr>
          <w:rFonts w:hint="eastAsia" w:cs="Times New Roman"/>
          <w:color w:val="000000" w:themeColor="text1"/>
          <w:highlight w:val="none"/>
          <w14:textFill>
            <w14:solidFill>
              <w14:schemeClr w14:val="tx1"/>
            </w14:solidFill>
          </w14:textFill>
        </w:rPr>
        <w:t>普光3井</w:t>
      </w:r>
      <w:r>
        <w:rPr>
          <w:rFonts w:cs="Times New Roman"/>
          <w:color w:val="000000" w:themeColor="text1"/>
          <w:highlight w:val="none"/>
          <w14:textFill>
            <w14:solidFill>
              <w14:schemeClr w14:val="tx1"/>
            </w14:solidFill>
          </w14:textFill>
        </w:rPr>
        <w:t>回注站</w:t>
      </w:r>
      <w:r>
        <w:rPr>
          <w:rFonts w:hint="eastAsia" w:cs="Times New Roman"/>
          <w:color w:val="000000" w:themeColor="text1"/>
          <w:highlight w:val="none"/>
          <w14:textFill>
            <w14:solidFill>
              <w14:schemeClr w14:val="tx1"/>
            </w14:solidFill>
          </w14:textFill>
        </w:rPr>
        <w:t>处理，根据前文分析，在本项目废水依托</w:t>
      </w:r>
      <w:r>
        <w:rPr>
          <w:rFonts w:hint="eastAsia"/>
          <w:color w:val="000000" w:themeColor="text1"/>
          <w:highlight w:val="none"/>
          <w14:textFill>
            <w14:solidFill>
              <w14:schemeClr w14:val="tx1"/>
            </w14:solidFill>
          </w14:textFill>
        </w:rPr>
        <w:t>赵家坝污水处理站和</w:t>
      </w:r>
      <w:r>
        <w:rPr>
          <w:rFonts w:hint="eastAsia" w:cs="Times New Roman"/>
          <w:color w:val="000000" w:themeColor="text1"/>
          <w:highlight w:val="none"/>
          <w14:textFill>
            <w14:solidFill>
              <w14:schemeClr w14:val="tx1"/>
            </w14:solidFill>
          </w14:textFill>
        </w:rPr>
        <w:t>普光3井</w:t>
      </w:r>
      <w:r>
        <w:rPr>
          <w:rFonts w:cs="Times New Roman"/>
          <w:color w:val="000000" w:themeColor="text1"/>
          <w:highlight w:val="none"/>
          <w14:textFill>
            <w14:solidFill>
              <w14:schemeClr w14:val="tx1"/>
            </w14:solidFill>
          </w14:textFill>
        </w:rPr>
        <w:t>回注站</w:t>
      </w:r>
      <w:r>
        <w:rPr>
          <w:rFonts w:hint="eastAsia" w:cs="Times New Roman"/>
          <w:color w:val="000000" w:themeColor="text1"/>
          <w:highlight w:val="none"/>
          <w14:textFill>
            <w14:solidFill>
              <w14:schemeClr w14:val="tx1"/>
            </w14:solidFill>
          </w14:textFill>
        </w:rPr>
        <w:t>处理期间，</w:t>
      </w:r>
      <w:r>
        <w:rPr>
          <w:rFonts w:hint="eastAsia"/>
          <w:color w:val="000000" w:themeColor="text1"/>
          <w:highlight w:val="none"/>
          <w14:textFill>
            <w14:solidFill>
              <w14:schemeClr w14:val="tx1"/>
            </w14:solidFill>
          </w14:textFill>
        </w:rPr>
        <w:t>赵家坝污水处理站</w:t>
      </w:r>
      <w:r>
        <w:rPr>
          <w:rFonts w:hint="eastAsia" w:cs="Times New Roman"/>
          <w:bCs/>
          <w:color w:val="000000" w:themeColor="text1"/>
          <w:szCs w:val="24"/>
          <w:highlight w:val="none"/>
          <w14:textFill>
            <w14:solidFill>
              <w14:schemeClr w14:val="tx1"/>
            </w14:solidFill>
          </w14:textFill>
        </w:rPr>
        <w:t>仍有富余能力50m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/d，仅需15天就能处理本项目压裂返排液，</w:t>
      </w:r>
      <w:r>
        <w:rPr>
          <w:rFonts w:hint="eastAsia" w:cs="Times New Roman"/>
          <w:color w:val="000000" w:themeColor="text1"/>
          <w:highlight w:val="none"/>
          <w14:textFill>
            <w14:solidFill>
              <w14:schemeClr w14:val="tx1"/>
            </w14:solidFill>
          </w14:textFill>
        </w:rPr>
        <w:t>普光3井</w:t>
      </w:r>
      <w:r>
        <w:rPr>
          <w:rFonts w:cs="Times New Roman"/>
          <w:color w:val="000000" w:themeColor="text1"/>
          <w:highlight w:val="none"/>
          <w14:textFill>
            <w14:solidFill>
              <w14:schemeClr w14:val="tx1"/>
            </w14:solidFill>
          </w14:textFill>
        </w:rPr>
        <w:t>回注站</w:t>
      </w:r>
      <w:r>
        <w:rPr>
          <w:rFonts w:hint="eastAsia" w:cs="Times New Roman"/>
          <w:bCs/>
          <w:color w:val="000000" w:themeColor="text1"/>
          <w:szCs w:val="24"/>
          <w:highlight w:val="none"/>
          <w14:textFill>
            <w14:solidFill>
              <w14:schemeClr w14:val="tx1"/>
            </w14:solidFill>
          </w14:textFill>
        </w:rPr>
        <w:t>仍有富余能力20~90m</w:t>
      </w:r>
      <w:r>
        <w:rPr>
          <w:rFonts w:hint="eastAsia" w:cs="Times New Roman"/>
          <w:bCs/>
          <w:color w:val="000000" w:themeColor="text1"/>
          <w:szCs w:val="24"/>
          <w:highlight w:val="none"/>
          <w:vertAlign w:val="superscript"/>
          <w14:textFill>
            <w14:solidFill>
              <w14:schemeClr w14:val="tx1"/>
            </w14:solidFill>
          </w14:textFill>
        </w:rPr>
        <w:t>3</w:t>
      </w:r>
      <w:r>
        <w:rPr>
          <w:rFonts w:hint="eastAsia" w:cs="Times New Roman"/>
          <w:bCs/>
          <w:color w:val="000000" w:themeColor="text1"/>
          <w:szCs w:val="24"/>
          <w:highlight w:val="none"/>
          <w14:textFill>
            <w14:solidFill>
              <w14:schemeClr w14:val="tx1"/>
            </w14:solidFill>
          </w14:textFill>
        </w:rPr>
        <w:t>/d，最多35天就能处理本项目压裂返排液，可见</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和</w:t>
      </w:r>
      <w:r>
        <w:rPr>
          <w:rFonts w:hint="eastAsia" w:cs="Times New Roman"/>
          <w:color w:val="000000" w:themeColor="text1"/>
          <w:highlight w:val="none"/>
          <w14:textFill>
            <w14:solidFill>
              <w14:schemeClr w14:val="tx1"/>
            </w14:solidFill>
          </w14:textFill>
        </w:rPr>
        <w:t>普光3井</w:t>
      </w:r>
      <w:r>
        <w:rPr>
          <w:rFonts w:cs="Times New Roman"/>
          <w:color w:val="000000" w:themeColor="text1"/>
          <w:highlight w:val="none"/>
          <w14:textFill>
            <w14:solidFill>
              <w14:schemeClr w14:val="tx1"/>
            </w14:solidFill>
          </w14:textFill>
        </w:rPr>
        <w:t>回注站接收处理能力满足</w:t>
      </w:r>
      <w:r>
        <w:rPr>
          <w:rFonts w:hint="eastAsia" w:cs="Times New Roman"/>
          <w:color w:val="000000" w:themeColor="text1"/>
          <w:highlight w:val="none"/>
          <w14:textFill>
            <w14:solidFill>
              <w14:schemeClr w14:val="tx1"/>
            </w14:solidFill>
          </w14:textFill>
        </w:rPr>
        <w:t>施工期压裂返排液</w:t>
      </w:r>
      <w:r>
        <w:rPr>
          <w:rFonts w:cs="Times New Roman"/>
          <w:color w:val="000000" w:themeColor="text1"/>
          <w:highlight w:val="none"/>
          <w14:textFill>
            <w14:solidFill>
              <w14:schemeClr w14:val="tx1"/>
            </w14:solidFill>
          </w14:textFill>
        </w:rPr>
        <w:t>处理要求</w:t>
      </w:r>
      <w:r>
        <w:rPr>
          <w:rFonts w:hint="eastAsia" w:cs="Times New Roman"/>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同时压裂返排液转运至赵家坝污水处理站的水量接受赵家坝污水处理站统一调配，赵</w:t>
      </w:r>
      <w:r>
        <w:rPr>
          <w:rFonts w:hint="eastAsia" w:cs="Times New Roman"/>
          <w:color w:val="000000" w:themeColor="text1"/>
          <w:highlight w:val="none"/>
          <w14:textFill>
            <w14:solidFill>
              <w14:schemeClr w14:val="tx1"/>
            </w14:solidFill>
          </w14:textFill>
        </w:rPr>
        <w:t>家坝污水处理站处理后管输至普光3井</w:t>
      </w:r>
      <w:r>
        <w:rPr>
          <w:rFonts w:cs="Times New Roman"/>
          <w:color w:val="000000" w:themeColor="text1"/>
          <w:highlight w:val="none"/>
          <w14:textFill>
            <w14:solidFill>
              <w14:schemeClr w14:val="tx1"/>
            </w14:solidFill>
          </w14:textFill>
        </w:rPr>
        <w:t>回注站</w:t>
      </w:r>
      <w:r>
        <w:rPr>
          <w:rFonts w:hint="eastAsia" w:cs="Times New Roman"/>
          <w:color w:val="000000" w:themeColor="text1"/>
          <w:highlight w:val="none"/>
          <w14:textFill>
            <w14:solidFill>
              <w14:schemeClr w14:val="tx1"/>
            </w14:solidFill>
          </w14:textFill>
        </w:rPr>
        <w:t>的废水量接受普光3井</w:t>
      </w:r>
      <w:r>
        <w:rPr>
          <w:rFonts w:cs="Times New Roman"/>
          <w:color w:val="000000" w:themeColor="text1"/>
          <w:highlight w:val="none"/>
          <w14:textFill>
            <w14:solidFill>
              <w14:schemeClr w14:val="tx1"/>
            </w14:solidFill>
          </w14:textFill>
        </w:rPr>
        <w:t>回注站</w:t>
      </w:r>
      <w:r>
        <w:rPr>
          <w:rFonts w:hint="eastAsia" w:cs="Times New Roman"/>
          <w:color w:val="000000" w:themeColor="text1"/>
          <w:highlight w:val="none"/>
          <w14:textFill>
            <w14:solidFill>
              <w14:schemeClr w14:val="tx1"/>
            </w14:solidFill>
          </w14:textFill>
        </w:rPr>
        <w:t>的调配</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由于压裂返排液返排可控，井场有足够的暂存能力，因此只要加强废水的统一管理和调配，赵家坝污水处理站</w:t>
      </w:r>
      <w:r>
        <w:rPr>
          <w:rFonts w:cs="Times New Roman"/>
          <w:color w:val="000000" w:themeColor="text1"/>
          <w:highlight w:val="none"/>
          <w14:textFill>
            <w14:solidFill>
              <w14:schemeClr w14:val="tx1"/>
            </w14:solidFill>
          </w14:textFill>
        </w:rPr>
        <w:t>和</w:t>
      </w:r>
      <w:r>
        <w:rPr>
          <w:rFonts w:hint="eastAsia" w:cs="Times New Roman"/>
          <w:color w:val="000000" w:themeColor="text1"/>
          <w:highlight w:val="none"/>
          <w14:textFill>
            <w14:solidFill>
              <w14:schemeClr w14:val="tx1"/>
            </w14:solidFill>
          </w14:textFill>
        </w:rPr>
        <w:t>普光3井</w:t>
      </w:r>
      <w:r>
        <w:rPr>
          <w:rFonts w:cs="Times New Roman"/>
          <w:color w:val="000000" w:themeColor="text1"/>
          <w:highlight w:val="none"/>
          <w14:textFill>
            <w14:solidFill>
              <w14:schemeClr w14:val="tx1"/>
            </w14:solidFill>
          </w14:textFill>
        </w:rPr>
        <w:t>回注站接收处理能力满足</w:t>
      </w:r>
      <w:r>
        <w:rPr>
          <w:rFonts w:hint="eastAsia" w:cs="Times New Roman"/>
          <w:color w:val="000000" w:themeColor="text1"/>
          <w:highlight w:val="none"/>
          <w14:textFill>
            <w14:solidFill>
              <w14:schemeClr w14:val="tx1"/>
            </w14:solidFill>
          </w14:textFill>
        </w:rPr>
        <w:t>施工期压裂返排液</w:t>
      </w:r>
      <w:r>
        <w:rPr>
          <w:rFonts w:cs="Times New Roman"/>
          <w:color w:val="000000" w:themeColor="text1"/>
          <w:highlight w:val="none"/>
          <w14:textFill>
            <w14:solidFill>
              <w14:schemeClr w14:val="tx1"/>
            </w14:solidFill>
          </w14:textFill>
        </w:rPr>
        <w:t>处理要求。</w:t>
      </w:r>
    </w:p>
    <w:p>
      <w:pPr>
        <w:ind w:firstLine="480"/>
        <w:rPr>
          <w:color w:val="000000" w:themeColor="text1"/>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赵家坝污水处理站运行多年，工艺成熟稳定，水质能长期稳定达标，满足作业废水预处理要求；普光3井已稳定运行多年，地下空间结构稳定，运行期间未检测到地下空间发生结构变化，剩余总回注量远大于本项目试采废水产生量，剩余储集空间较大，满足回注要求</w:t>
      </w:r>
      <w:r>
        <w:rPr>
          <w:rFonts w:cs="Times New Roman"/>
          <w:bCs/>
          <w:color w:val="000000" w:themeColor="text1"/>
          <w:szCs w:val="24"/>
          <w:highlight w:val="none"/>
          <w14:textFill>
            <w14:solidFill>
              <w14:schemeClr w14:val="tx1"/>
            </w14:solidFill>
          </w14:textFill>
        </w:rPr>
        <w:t>。</w:t>
      </w:r>
    </w:p>
    <w:p>
      <w:pPr>
        <w:pStyle w:val="52"/>
        <w:spacing w:after="0"/>
        <w:ind w:firstLine="480" w:firstLineChars="200"/>
        <w:rPr>
          <w:rFonts w:eastAsia="黑体"/>
          <w:color w:val="000000" w:themeColor="text1"/>
          <w:sz w:val="24"/>
          <w:highlight w:val="none"/>
          <w14:textFill>
            <w14:solidFill>
              <w14:schemeClr w14:val="tx1"/>
            </w14:solidFill>
          </w14:textFill>
        </w:rPr>
      </w:pPr>
      <w:r>
        <w:rPr>
          <w:rFonts w:hint="eastAsia" w:eastAsia="黑体"/>
          <w:color w:val="000000" w:themeColor="text1"/>
          <w:sz w:val="24"/>
          <w:highlight w:val="none"/>
          <w14:textFill>
            <w14:solidFill>
              <w14:schemeClr w14:val="tx1"/>
            </w14:solidFill>
          </w14:textFill>
        </w:rPr>
        <w:t>4、油气集输工程</w:t>
      </w:r>
    </w:p>
    <w:p>
      <w:pPr>
        <w:ind w:firstLine="480"/>
        <w:rPr>
          <w:rFonts w:cs="Times New Roman"/>
          <w:color w:val="000000" w:themeColor="text1"/>
          <w:szCs w:val="24"/>
          <w:highlight w:val="none"/>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油气集输工程在进行试采井站和集输管线建设时产生的废水主要为施工人员产生的</w:t>
      </w:r>
      <w:r>
        <w:rPr>
          <w:rFonts w:cs="Times New Roman"/>
          <w:color w:val="000000" w:themeColor="text1"/>
          <w:szCs w:val="24"/>
          <w:highlight w:val="none"/>
          <w14:textFill>
            <w14:solidFill>
              <w14:schemeClr w14:val="tx1"/>
            </w14:solidFill>
          </w14:textFill>
        </w:rPr>
        <w:t>生活污水，施工期间生活污水产生量小，</w:t>
      </w:r>
      <w:r>
        <w:rPr>
          <w:rFonts w:hint="eastAsia" w:cs="Times New Roman"/>
          <w:color w:val="000000" w:themeColor="text1"/>
          <w:szCs w:val="24"/>
          <w:highlight w:val="none"/>
          <w14:textFill>
            <w14:solidFill>
              <w14:schemeClr w14:val="tx1"/>
            </w14:solidFill>
          </w14:textFill>
        </w:rPr>
        <w:t>施工人员</w:t>
      </w:r>
      <w:r>
        <w:rPr>
          <w:rFonts w:cs="Times New Roman"/>
          <w:color w:val="000000" w:themeColor="text1"/>
          <w:szCs w:val="24"/>
          <w:highlight w:val="none"/>
          <w14:textFill>
            <w14:solidFill>
              <w14:schemeClr w14:val="tx1"/>
            </w14:solidFill>
          </w14:textFill>
        </w:rPr>
        <w:t>生活污水依托周边农户已建设施处理。</w:t>
      </w:r>
      <w:r>
        <w:rPr>
          <w:rFonts w:hint="eastAsia" w:cs="Times New Roman"/>
          <w:color w:val="000000" w:themeColor="text1"/>
          <w:szCs w:val="24"/>
          <w:highlight w:val="none"/>
          <w14:textFill>
            <w14:solidFill>
              <w14:schemeClr w14:val="tx1"/>
            </w14:solidFill>
          </w14:textFill>
        </w:rPr>
        <w:t>该措施能够有效处置油气集输工程施工阶段产生的生活污水，做到</w:t>
      </w:r>
      <w:r>
        <w:rPr>
          <w:rFonts w:cs="Times New Roman"/>
          <w:color w:val="000000" w:themeColor="text1"/>
          <w:szCs w:val="24"/>
          <w:highlight w:val="none"/>
          <w14:textFill>
            <w14:solidFill>
              <w14:schemeClr w14:val="tx1"/>
            </w14:solidFill>
          </w14:textFill>
        </w:rPr>
        <w:t>现场无生活污水产生和排放，不会对井场周边地表水产生影响</w:t>
      </w:r>
      <w:r>
        <w:rPr>
          <w:rFonts w:hint="eastAsia" w:cs="Times New Roman"/>
          <w:color w:val="000000" w:themeColor="text1"/>
          <w:szCs w:val="24"/>
          <w:highlight w:val="none"/>
          <w14:textFill>
            <w14:solidFill>
              <w14:schemeClr w14:val="tx1"/>
            </w14:solidFill>
          </w14:textFill>
        </w:rPr>
        <w:t>，措施可行。</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施工期各类废水处置措施在川东北地区钻采工程中已实施多年，具有较好的借鉴经验。项目附近的中石化川东北地区钻采工程采用相同污水处理措施，到目前为止，中原油田普光分公司未收到钻井废水、洗井废水、压裂返排液等乱排乱放的环保投诉。因此，本项目施工期废水治理措施从经济和环保角度分析是合理、可行的。</w:t>
      </w:r>
    </w:p>
    <w:p>
      <w:pPr>
        <w:pStyle w:val="4"/>
        <w:spacing w:before="0" w:beforeLines="0"/>
        <w:ind w:firstLine="480"/>
        <w:rPr>
          <w:b/>
          <w:color w:val="000000" w:themeColor="text1"/>
          <w:highlight w:val="none"/>
          <w:lang w:eastAsia="zh-CN"/>
          <w14:textFill>
            <w14:solidFill>
              <w14:schemeClr w14:val="tx1"/>
            </w14:solidFill>
          </w14:textFill>
        </w:rPr>
      </w:pPr>
      <w:bookmarkStart w:id="448" w:name="_Toc120173213"/>
      <w:r>
        <w:rPr>
          <w:color w:val="000000" w:themeColor="text1"/>
          <w:highlight w:val="none"/>
          <w:lang w:eastAsia="zh-CN"/>
          <w14:textFill>
            <w14:solidFill>
              <w14:schemeClr w14:val="tx1"/>
            </w14:solidFill>
          </w14:textFill>
        </w:rPr>
        <w:t>地下水防治措施及可行性分析</w:t>
      </w:r>
      <w:bookmarkEnd w:id="448"/>
    </w:p>
    <w:p>
      <w:pPr>
        <w:ind w:firstLine="480"/>
        <w:rPr>
          <w:rFonts w:eastAsia="黑体" w:cs="Times New Roman"/>
          <w:color w:val="000000" w:themeColor="text1"/>
          <w:szCs w:val="24"/>
          <w:highlight w:val="none"/>
          <w14:textFill>
            <w14:solidFill>
              <w14:schemeClr w14:val="tx1"/>
            </w14:solidFill>
          </w14:textFill>
        </w:rPr>
      </w:pPr>
      <w:bookmarkStart w:id="449" w:name="_Toc1224"/>
      <w:bookmarkStart w:id="450" w:name="_Toc14702842"/>
      <w:r>
        <w:rPr>
          <w:rFonts w:eastAsia="黑体" w:cs="Times New Roman"/>
          <w:color w:val="000000" w:themeColor="text1"/>
          <w:szCs w:val="24"/>
          <w:highlight w:val="none"/>
          <w14:textFill>
            <w14:solidFill>
              <w14:schemeClr w14:val="tx1"/>
            </w14:solidFill>
          </w14:textFill>
        </w:rPr>
        <w:t>1、钻井工艺选择</w:t>
      </w:r>
      <w:bookmarkEnd w:id="449"/>
      <w:bookmarkEnd w:id="450"/>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项目钻井选用全井段套管保护+水泥固井工艺。</w:t>
      </w:r>
      <w:r>
        <w:rPr>
          <w:rFonts w:hint="eastAsia" w:cs="Times New Roman"/>
          <w:color w:val="000000" w:themeColor="text1"/>
          <w:szCs w:val="24"/>
          <w:highlight w:val="none"/>
          <w14:textFill>
            <w14:solidFill>
              <w14:schemeClr w14:val="tx1"/>
            </w14:solidFill>
          </w14:textFill>
        </w:rPr>
        <w:t>本项目钻井方式选用水基钻井液体系，</w:t>
      </w:r>
      <w:r>
        <w:rPr>
          <w:rFonts w:hint="eastAsia" w:cs="Times New Roman"/>
          <w:color w:val="000000" w:themeColor="text1"/>
          <w:kern w:val="0"/>
          <w:szCs w:val="20"/>
          <w:highlight w:val="none"/>
          <w:lang w:eastAsia="zh-CN"/>
          <w14:textFill>
            <w14:solidFill>
              <w14:schemeClr w14:val="tx1"/>
            </w14:solidFill>
          </w14:textFill>
        </w:rPr>
        <w:t>采用***钻进</w:t>
      </w:r>
      <w:r>
        <w:rPr>
          <w:rFonts w:hint="eastAsia" w:cs="Times New Roman"/>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在设计表层</w:t>
      </w:r>
      <w:r>
        <w:rPr>
          <w:rFonts w:hint="eastAsia"/>
          <w:color w:val="000000" w:themeColor="text1"/>
          <w:szCs w:val="24"/>
          <w:highlight w:val="none"/>
          <w14:textFill>
            <w14:solidFill>
              <w14:schemeClr w14:val="tx1"/>
            </w14:solidFill>
          </w14:textFill>
        </w:rPr>
        <w:t>先下</w:t>
      </w:r>
      <w:r>
        <w:rPr>
          <w:rFonts w:hint="eastAsia" w:cs="Times New Roman"/>
          <w:color w:val="000000" w:themeColor="text1"/>
          <w:szCs w:val="24"/>
          <w:highlight w:val="none"/>
          <w14:textFill>
            <w14:solidFill>
              <w14:schemeClr w14:val="tx1"/>
            </w14:solidFill>
          </w14:textFill>
        </w:rPr>
        <w:t>导管封隔浅层含水层，</w:t>
      </w:r>
      <w:r>
        <w:rPr>
          <w:rFonts w:hint="eastAsia"/>
          <w:color w:val="000000" w:themeColor="text1"/>
          <w:szCs w:val="24"/>
          <w:highlight w:val="none"/>
          <w14:textFill>
            <w14:solidFill>
              <w14:schemeClr w14:val="tx1"/>
            </w14:solidFill>
          </w14:textFill>
        </w:rPr>
        <w:t>导管段</w:t>
      </w:r>
      <w:r>
        <w:rPr>
          <w:rFonts w:hint="eastAsia" w:cs="Times New Roman"/>
          <w:color w:val="000000" w:themeColor="text1"/>
          <w:kern w:val="0"/>
          <w:szCs w:val="20"/>
          <w:highlight w:val="none"/>
          <w:lang w:eastAsia="zh-CN"/>
          <w14:textFill>
            <w14:solidFill>
              <w14:schemeClr w14:val="tx1"/>
            </w14:solidFill>
          </w14:textFill>
        </w:rPr>
        <w:t>采用***钻进</w:t>
      </w:r>
      <w:r>
        <w:rPr>
          <w:rFonts w:hint="eastAsia"/>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以避免重点关注的表层含水层受泥浆污染，并在钻井中遇到浅水层，下套管时注水泥封固，防止地下水层被地层其它流体或钻井泥浆污染；</w:t>
      </w:r>
      <w:r>
        <w:rPr>
          <w:rFonts w:cs="Times New Roman"/>
          <w:color w:val="000000" w:themeColor="text1"/>
          <w:szCs w:val="24"/>
          <w:highlight w:val="none"/>
          <w14:textFill>
            <w14:solidFill>
              <w14:schemeClr w14:val="tx1"/>
            </w14:solidFill>
          </w14:textFill>
        </w:rPr>
        <w:t>一开采用</w:t>
      </w:r>
      <w:r>
        <w:rPr>
          <w:rFonts w:hint="eastAsia" w:cs="Times New Roman"/>
          <w:color w:val="000000" w:themeColor="text1"/>
          <w:szCs w:val="24"/>
          <w:highlight w:val="none"/>
          <w14:textFill>
            <w14:solidFill>
              <w14:schemeClr w14:val="tx1"/>
            </w14:solidFill>
          </w14:textFill>
        </w:rPr>
        <w:t>聚合物</w:t>
      </w:r>
      <w:r>
        <w:rPr>
          <w:rFonts w:cs="Times New Roman"/>
          <w:color w:val="000000" w:themeColor="text1"/>
          <w:szCs w:val="24"/>
          <w:highlight w:val="none"/>
          <w14:textFill>
            <w14:solidFill>
              <w14:schemeClr w14:val="tx1"/>
            </w14:solidFill>
          </w14:textFill>
        </w:rPr>
        <w:t>钻井液体系，</w:t>
      </w:r>
      <w:r>
        <w:rPr>
          <w:rFonts w:hint="eastAsia" w:cs="Times New Roman"/>
          <w:color w:val="000000" w:themeColor="text1"/>
          <w:szCs w:val="24"/>
          <w:highlight w:val="none"/>
          <w14:textFill>
            <w14:solidFill>
              <w14:schemeClr w14:val="tx1"/>
            </w14:solidFill>
          </w14:textFill>
        </w:rPr>
        <w:t>二开采用</w:t>
      </w:r>
      <w:r>
        <w:rPr>
          <w:rFonts w:hint="eastAsia" w:cs="Times New Roman"/>
          <w:color w:val="000000" w:themeColor="text1"/>
          <w:szCs w:val="24"/>
          <w:highlight w:val="none"/>
          <w:lang w:eastAsia="zh-CN"/>
          <w14:textFill>
            <w14:solidFill>
              <w14:schemeClr w14:val="tx1"/>
            </w14:solidFill>
          </w14:textFill>
        </w:rPr>
        <w:t>******</w:t>
      </w:r>
      <w:r>
        <w:rPr>
          <w:rFonts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三开采用</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钻井液（若三开钻遇特地层，则采用油基钻井液）</w:t>
      </w:r>
      <w:r>
        <w:rPr>
          <w:rFonts w:cs="Times New Roman"/>
          <w:color w:val="000000" w:themeColor="text1"/>
          <w:szCs w:val="24"/>
          <w:highlight w:val="none"/>
          <w14:textFill>
            <w14:solidFill>
              <w14:schemeClr w14:val="tx1"/>
            </w14:solidFill>
          </w14:textFill>
        </w:rPr>
        <w:t>，同时采用套管和水泥固井防止地下水污染，并在设计中做好及时堵漏准备，水基钻井液难以返回地面污染浅层含水层，能有效防止泥浆流失进入地下水。上述工艺广泛应用于川渝地区气田开发，能有效保护井下地质环境，能进一步减少对浅层地下水环境的影响。</w:t>
      </w:r>
    </w:p>
    <w:p>
      <w:pPr>
        <w:ind w:firstLine="480"/>
        <w:rPr>
          <w:rFonts w:eastAsia="黑体" w:cs="Times New Roman"/>
          <w:color w:val="000000" w:themeColor="text1"/>
          <w:szCs w:val="24"/>
          <w:highlight w:val="none"/>
          <w14:textFill>
            <w14:solidFill>
              <w14:schemeClr w14:val="tx1"/>
            </w14:solidFill>
          </w14:textFill>
        </w:rPr>
      </w:pPr>
      <w:bookmarkStart w:id="451" w:name="_Toc3215"/>
      <w:bookmarkStart w:id="452" w:name="_Toc14702843"/>
      <w:r>
        <w:rPr>
          <w:rFonts w:eastAsia="黑体" w:cs="Times New Roman"/>
          <w:color w:val="000000" w:themeColor="text1"/>
          <w:szCs w:val="24"/>
          <w:highlight w:val="none"/>
          <w14:textFill>
            <w14:solidFill>
              <w14:schemeClr w14:val="tx1"/>
            </w14:solidFill>
          </w14:textFill>
        </w:rPr>
        <w:t>2、钻井过程其他防护措施</w:t>
      </w:r>
      <w:bookmarkEnd w:id="451"/>
      <w:bookmarkEnd w:id="452"/>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1）项目在施工建设前，应充分研究地质设计资料和钻井设计资料等，进行充分的地下水水文地质勘察工作，在了解项目所在地地下水分布、埋藏深度及岩溶发育等基本情况并在此基础上优化钻井施工工艺、泥浆体系等。在钻井、压裂过程中应加强监控，防止泥浆、压裂液的扩散污染等。</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2）每开钻井结束后的固井作业可有效封隔底层和套管之间的环空，防止污染地下水。固井作业应提高固井质量，有效防止因为井漏事故造成的地下水环境污染。每开钻井结束后下套管并在套管及地层间注入水泥浆进行固井，待固井质量达标后，再进行下一开钻井作业。</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3）加强钻井的完整性管理，确保固井质量。本项目完井作业采用酸化压裂作业的方式进行，在压裂作业前对固井质量等进行有效评估，并在压裂过程数值模拟期间要评估压裂液运移到含水层特别是水井的可能性；</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（4）项目井场建设时设置了雨污分流系统，实现了钻井废水和雨水的有效分流，可有效降低因暴雨等自然灾害而导致废水外溢污染浅层地下水风险。</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（5）项目实施过程中，应定期检查各防渗基础是否出现裂缝、防渗膜是否完好，并及时对出现破损的部位进行修复。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（6）平衡操作，避免因压力剂动和开泵过猛使泥浆憋入地层。</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7）钻井过程中密切注意钻井液的漏失情况，一旦出现漏失，立即采取堵漏措施，减少漏失量，防止钻井液的漏失污染地下水。堵漏剂的选取应考虑清洁、无毒、对人体无害，环境污染轻的种类，建议采用水泥堵漏。</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（8）</w:t>
      </w:r>
      <w:r>
        <w:rPr>
          <w:rFonts w:hint="eastAsia" w:cs="Times New Roman"/>
          <w:color w:val="000000" w:themeColor="text1"/>
          <w:szCs w:val="24"/>
          <w:highlight w:val="none"/>
          <w14:textFill>
            <w14:solidFill>
              <w14:schemeClr w14:val="tx1"/>
            </w14:solidFill>
          </w14:textFill>
        </w:rPr>
        <w:t>废油及废含油抹布手套</w:t>
      </w:r>
      <w:r>
        <w:rPr>
          <w:rFonts w:cs="Times New Roman"/>
          <w:color w:val="000000" w:themeColor="text1"/>
          <w:szCs w:val="24"/>
          <w:highlight w:val="none"/>
          <w14:textFill>
            <w14:solidFill>
              <w14:schemeClr w14:val="tx1"/>
            </w14:solidFill>
          </w14:textFill>
        </w:rPr>
        <w:t>采用符合《废矿物油回收利用污染控制技术规范》（HJ607-2011）和《危险废物收集贮存运输技术规范》（HJ2025-2012）的废油桶</w:t>
      </w:r>
      <w:r>
        <w:rPr>
          <w:rFonts w:hint="eastAsia" w:cs="Times New Roman"/>
          <w:color w:val="000000" w:themeColor="text1"/>
          <w:szCs w:val="24"/>
          <w:highlight w:val="none"/>
          <w14:textFill>
            <w14:solidFill>
              <w14:schemeClr w14:val="tx1"/>
            </w14:solidFill>
          </w14:textFill>
        </w:rPr>
        <w:t>暂存</w:t>
      </w:r>
      <w:r>
        <w:rPr>
          <w:rFonts w:cs="Times New Roman"/>
          <w:color w:val="000000" w:themeColor="text1"/>
          <w:szCs w:val="24"/>
          <w:highlight w:val="none"/>
          <w14:textFill>
            <w14:solidFill>
              <w14:schemeClr w14:val="tx1"/>
            </w14:solidFill>
          </w14:textFill>
        </w:rPr>
        <w:t>，并置于泥浆不落地装置区，做好</w:t>
      </w:r>
      <w:r>
        <w:rPr>
          <w:color w:val="000000" w:themeColor="text1"/>
          <w:highlight w:val="none"/>
          <w14:textFill>
            <w14:solidFill>
              <w14:schemeClr w14:val="tx1"/>
            </w14:solidFill>
          </w14:textFill>
        </w:rPr>
        <w:t>防风、防晒、防雨、防漏、防渗、防腐以及其他环境污染防治措施</w:t>
      </w:r>
      <w:r>
        <w:rPr>
          <w:rFonts w:cs="Times New Roman"/>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（9）钻井过程中及时对钻井废水、压裂返排液、泥浆岩屑等进行及时转运处理，尽量缩短在现场放置时间。建议泥浆循环系统、固控系统、放喷池等均设置临时雨棚，采取各种措施防止废水外溢。</w:t>
      </w:r>
    </w:p>
    <w:p>
      <w:pPr>
        <w:ind w:firstLine="480"/>
        <w:rPr>
          <w:rFonts w:eastAsia="黑体" w:cs="Times New Roman"/>
          <w:color w:val="000000" w:themeColor="text1"/>
          <w:szCs w:val="24"/>
          <w:highlight w:val="none"/>
          <w14:textFill>
            <w14:solidFill>
              <w14:schemeClr w14:val="tx1"/>
            </w14:solidFill>
          </w14:textFill>
        </w:rPr>
      </w:pPr>
      <w:bookmarkStart w:id="453" w:name="_Toc14702844"/>
      <w:r>
        <w:rPr>
          <w:rFonts w:eastAsia="黑体" w:cs="Times New Roman"/>
          <w:color w:val="000000" w:themeColor="text1"/>
          <w:szCs w:val="24"/>
          <w:highlight w:val="none"/>
          <w14:textFill>
            <w14:solidFill>
              <w14:schemeClr w14:val="tx1"/>
            </w14:solidFill>
          </w14:textFill>
        </w:rPr>
        <w:t>3、清污分流</w:t>
      </w:r>
      <w:bookmarkEnd w:id="453"/>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本项目在井场施工中使用清污分流设计，其具体做法是井场设置内外环沟，将其生产装置运行中产生的废水进行集中收集、排放在泥浆不落地装置区和放喷池中，井场内设置内环沟，配建集污坑，</w:t>
      </w:r>
      <w:r>
        <w:rPr>
          <w:rFonts w:cs="Times New Roman"/>
          <w:bCs/>
          <w:color w:val="000000" w:themeColor="text1"/>
          <w:szCs w:val="24"/>
          <w:highlight w:val="none"/>
          <w14:textFill>
            <w14:solidFill>
              <w14:schemeClr w14:val="tx1"/>
            </w14:solidFill>
          </w14:textFill>
        </w:rPr>
        <w:t>井场外设置外环沟，并设置集水坑，初期雨水经内环沟收集后与钻井废水合并处理，后期雨水依靠井站设置的地面坡度和内外环沟的阀门控制，就地散排至外环沟，排出场外。若场内雨水被污染流入外环沟，则需封闭外环沟由作业队伍从集水坑抽汲至泥浆不落地装置、放喷池，</w:t>
      </w:r>
      <w:r>
        <w:rPr>
          <w:rFonts w:cs="Times New Roman"/>
          <w:color w:val="000000" w:themeColor="text1"/>
          <w:szCs w:val="24"/>
          <w:highlight w:val="none"/>
          <w14:textFill>
            <w14:solidFill>
              <w14:schemeClr w14:val="tx1"/>
            </w14:solidFill>
          </w14:textFill>
        </w:rPr>
        <w:t>可以有效降低因暴雨等自然灾害而导致废水外溢的危险；另一方面，针对高危的柴油储油罐、泥浆循环系统、泥浆不落地装置区等，在罐体下方修建收集区，设置围堰，收集区该做好防渗处理，以防止意外情况下，柴油、泥浆等泄漏造成地下水、土壤污染。</w:t>
      </w:r>
    </w:p>
    <w:p>
      <w:pPr>
        <w:ind w:firstLine="480"/>
        <w:rPr>
          <w:rFonts w:eastAsia="黑体" w:cs="Times New Roman"/>
          <w:color w:val="000000" w:themeColor="text1"/>
          <w:szCs w:val="24"/>
          <w:highlight w:val="none"/>
          <w14:textFill>
            <w14:solidFill>
              <w14:schemeClr w14:val="tx1"/>
            </w14:solidFill>
          </w14:textFill>
        </w:rPr>
      </w:pPr>
      <w:bookmarkStart w:id="454" w:name="_Toc14702845"/>
      <w:bookmarkStart w:id="455" w:name="_Toc24527"/>
      <w:r>
        <w:rPr>
          <w:rFonts w:eastAsia="黑体" w:cs="Times New Roman"/>
          <w:color w:val="000000" w:themeColor="text1"/>
          <w:szCs w:val="24"/>
          <w:highlight w:val="none"/>
          <w14:textFill>
            <w14:solidFill>
              <w14:schemeClr w14:val="tx1"/>
            </w14:solidFill>
          </w14:textFill>
        </w:rPr>
        <w:t>4、分区防渗措施</w:t>
      </w:r>
      <w:bookmarkEnd w:id="454"/>
      <w:bookmarkEnd w:id="455"/>
    </w:p>
    <w:p>
      <w:pPr>
        <w:ind w:firstLine="480"/>
        <w:rPr>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根据《环境影响评价技术导则 地下水环境》（HJ610-2016）的建议，本工程充分参考《石油化工工程防渗技术规范》（GB/T50934-2013）中的相关要求，实施地下水污染防渗措施。本项目以水平防渗为主，项目所在地岩（土）层单层厚度Mb大于1.0m，渗透系数1×10</w:t>
      </w:r>
      <w:r>
        <w:rPr>
          <w:rFonts w:cs="Times New Roman"/>
          <w:color w:val="000000" w:themeColor="text1"/>
          <w:szCs w:val="24"/>
          <w:highlight w:val="none"/>
          <w:vertAlign w:val="superscript"/>
          <w14:textFill>
            <w14:solidFill>
              <w14:schemeClr w14:val="tx1"/>
            </w14:solidFill>
          </w14:textFill>
        </w:rPr>
        <w:t>-6</w:t>
      </w:r>
      <w:r>
        <w:rPr>
          <w:rFonts w:cs="Times New Roman"/>
          <w:color w:val="000000" w:themeColor="text1"/>
          <w:szCs w:val="24"/>
          <w:highlight w:val="none"/>
          <w14:textFill>
            <w14:solidFill>
              <w14:schemeClr w14:val="tx1"/>
            </w14:solidFill>
          </w14:textFill>
        </w:rPr>
        <w:t>cm/s＜K≤1×10</w:t>
      </w:r>
      <w:r>
        <w:rPr>
          <w:rFonts w:cs="Times New Roman"/>
          <w:color w:val="000000" w:themeColor="text1"/>
          <w:szCs w:val="24"/>
          <w:highlight w:val="none"/>
          <w:vertAlign w:val="superscript"/>
          <w14:textFill>
            <w14:solidFill>
              <w14:schemeClr w14:val="tx1"/>
            </w14:solidFill>
          </w14:textFill>
        </w:rPr>
        <w:t>-4</w:t>
      </w:r>
      <w:r>
        <w:rPr>
          <w:rFonts w:cs="Times New Roman"/>
          <w:color w:val="000000" w:themeColor="text1"/>
          <w:szCs w:val="24"/>
          <w:highlight w:val="none"/>
          <w14:textFill>
            <w14:solidFill>
              <w14:schemeClr w14:val="tx1"/>
            </w14:solidFill>
          </w14:textFill>
        </w:rPr>
        <w:t>cm/s，且分布连续、稳定，故天然包气带防污性能为中，项目可能泄露的废水中含有部分钻井液中使用的增粘剂等持久性有机污染物。场地内场地内方井、泥浆循环系统区域、泥浆不落地系统区域（含油桶堆放区）、</w:t>
      </w:r>
      <w:r>
        <w:rPr>
          <w:rFonts w:cs="Times New Roman"/>
          <w:color w:val="000000" w:themeColor="text1"/>
          <w:szCs w:val="21"/>
          <w:highlight w:val="none"/>
          <w14:textFill>
            <w14:solidFill>
              <w14:schemeClr w14:val="tx1"/>
            </w14:solidFill>
          </w14:textFill>
        </w:rPr>
        <w:t>危险废物暂存场所</w:t>
      </w:r>
      <w:r>
        <w:rPr>
          <w:rFonts w:cs="Times New Roman"/>
          <w:color w:val="000000" w:themeColor="text1"/>
          <w:szCs w:val="24"/>
          <w:highlight w:val="none"/>
          <w14:textFill>
            <w14:solidFill>
              <w14:schemeClr w14:val="tx1"/>
            </w14:solidFill>
          </w14:textFill>
        </w:rPr>
        <w:t>、泥浆储备罐区、循环罐区、柴油罐区、放喷池等采取重点防渗措施；井架基础、发电机房、钻井固废暂存区、气源房、材料棚、雨、污分流区域以及厕所等区域采取一般防渗措施；其他区域等采取简单防渗措施</w:t>
      </w:r>
      <w:r>
        <w:rPr>
          <w:color w:val="000000" w:themeColor="text1"/>
          <w:szCs w:val="24"/>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pPr>
      <w:r>
        <w:rPr>
          <w:color w:val="000000" w:themeColor="text1"/>
          <w:szCs w:val="24"/>
          <w:highlight w:val="none"/>
          <w14:textFill>
            <w14:solidFill>
              <w14:schemeClr w14:val="tx1"/>
            </w14:solidFill>
          </w14:textFill>
        </w:rPr>
        <w:t>本项目分区防渗布设情况及防渗系数要求见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_Ref142859666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7.1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所示。</w:t>
      </w:r>
    </w:p>
    <w:p>
      <w:pPr>
        <w:pStyle w:val="203"/>
        <w:spacing w:before="120"/>
        <w:rPr>
          <w:color w:val="000000" w:themeColor="text1"/>
          <w:highlight w:val="none"/>
          <w14:textFill>
            <w14:solidFill>
              <w14:schemeClr w14:val="tx1"/>
            </w14:solidFill>
          </w14:textFill>
        </w:rPr>
      </w:pPr>
      <w:bookmarkStart w:id="456" w:name="_Ref142859666"/>
      <w:bookmarkStart w:id="457" w:name="_Toc26241"/>
      <w:bookmarkStart w:id="458" w:name="_Toc1470284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456"/>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分区防渗布设情况及防渗技术要求表</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3" w:type="dxa"/>
          <w:bottom w:w="0" w:type="dxa"/>
          <w:right w:w="23" w:type="dxa"/>
        </w:tblCellMar>
      </w:tblPr>
      <w:tblGrid>
        <w:gridCol w:w="1228"/>
        <w:gridCol w:w="2056"/>
        <w:gridCol w:w="1080"/>
        <w:gridCol w:w="1852"/>
        <w:gridCol w:w="20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名称</w:t>
            </w:r>
          </w:p>
        </w:tc>
        <w:tc>
          <w:tcPr>
            <w:tcW w:w="2056" w:type="dxa"/>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防渗区域及部位</w:t>
            </w:r>
          </w:p>
        </w:tc>
        <w:tc>
          <w:tcPr>
            <w:tcW w:w="1080" w:type="dxa"/>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防渗分区</w:t>
            </w:r>
          </w:p>
        </w:tc>
        <w:tc>
          <w:tcPr>
            <w:tcW w:w="1852" w:type="dxa"/>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防渗技术要求</w:t>
            </w:r>
          </w:p>
        </w:tc>
        <w:tc>
          <w:tcPr>
            <w:tcW w:w="2004" w:type="dxa"/>
            <w:vAlign w:val="center"/>
          </w:tcPr>
          <w:p>
            <w:pPr>
              <w:widowControl/>
              <w:spacing w:line="240" w:lineRule="auto"/>
              <w:ind w:firstLine="0" w:firstLineChars="0"/>
              <w:jc w:val="center"/>
              <w:textAlignment w:val="baseline"/>
              <w:rPr>
                <w:rFonts w:cs="Times New Roman"/>
                <w:b/>
                <w:bCs/>
                <w:color w:val="000000" w:themeColor="text1"/>
                <w:sz w:val="21"/>
                <w:szCs w:val="20"/>
                <w:highlight w:val="none"/>
                <w14:textFill>
                  <w14:solidFill>
                    <w14:schemeClr w14:val="tx1"/>
                  </w14:solidFill>
                </w14:textFill>
              </w:rPr>
            </w:pPr>
            <w:r>
              <w:rPr>
                <w:rFonts w:cs="Times New Roman"/>
                <w:b/>
                <w:bCs/>
                <w:color w:val="000000" w:themeColor="text1"/>
                <w:sz w:val="21"/>
                <w:szCs w:val="20"/>
                <w:highlight w:val="none"/>
                <w14:textFill>
                  <w14:solidFill>
                    <w14:schemeClr w14:val="tx1"/>
                  </w14:solidFill>
                </w14:textFill>
              </w:rPr>
              <w:t>采取的防渗措施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放喷池</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放喷池的池底及池壁</w:t>
            </w:r>
          </w:p>
        </w:tc>
        <w:tc>
          <w:tcPr>
            <w:tcW w:w="1080"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重点防渗分区/部位</w:t>
            </w:r>
          </w:p>
        </w:tc>
        <w:tc>
          <w:tcPr>
            <w:tcW w:w="1852" w:type="dxa"/>
            <w:vMerge w:val="restart"/>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等效黏土防渗层Mb≥6.0m，防渗系数1.0×10</w:t>
            </w:r>
            <w:r>
              <w:rPr>
                <w:rFonts w:cs="Times New Roman"/>
                <w:color w:val="000000" w:themeColor="text1"/>
                <w:sz w:val="21"/>
                <w:szCs w:val="20"/>
                <w:highlight w:val="none"/>
                <w:vertAlign w:val="superscript"/>
                <w14:textFill>
                  <w14:solidFill>
                    <w14:schemeClr w14:val="tx1"/>
                  </w14:solidFill>
                </w14:textFill>
              </w:rPr>
              <w:t>-7</w:t>
            </w:r>
            <w:r>
              <w:rPr>
                <w:rFonts w:cs="Times New Roman"/>
                <w:color w:val="000000" w:themeColor="text1"/>
                <w:sz w:val="21"/>
                <w:szCs w:val="20"/>
                <w:highlight w:val="none"/>
                <w14:textFill>
                  <w14:solidFill>
                    <w14:schemeClr w14:val="tx1"/>
                  </w14:solidFill>
                </w14:textFill>
              </w:rPr>
              <w:t>cm/s，或参照GB18598执行</w:t>
            </w:r>
          </w:p>
        </w:tc>
        <w:tc>
          <w:tcPr>
            <w:tcW w:w="2004" w:type="dxa"/>
            <w:vMerge w:val="restart"/>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混凝土+2mm厚高密度聚乙烯膜处理或防渗系数达到1.0×10</w:t>
            </w:r>
            <w:r>
              <w:rPr>
                <w:rFonts w:cs="Times New Roman"/>
                <w:color w:val="000000" w:themeColor="text1"/>
                <w:sz w:val="21"/>
                <w:szCs w:val="20"/>
                <w:highlight w:val="none"/>
                <w:vertAlign w:val="superscript"/>
                <w14:textFill>
                  <w14:solidFill>
                    <w14:schemeClr w14:val="tx1"/>
                  </w14:solidFill>
                </w14:textFill>
              </w:rPr>
              <w:t>-10</w:t>
            </w:r>
            <w:r>
              <w:rPr>
                <w:rFonts w:cs="Times New Roman"/>
                <w:color w:val="000000" w:themeColor="text1"/>
                <w:sz w:val="21"/>
                <w:szCs w:val="20"/>
                <w:highlight w:val="none"/>
                <w14:textFill>
                  <w14:solidFill>
                    <w14:schemeClr w14:val="tx1"/>
                  </w14:solidFill>
                </w14:textFill>
              </w:rPr>
              <w:t>cm/s的防渗材料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方井</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方井池壁和池底</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油罐区、油桶堆放区</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油罐区的池底及围堰、油桶区域及围堰</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泥浆循环系统</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重浆罐的池底、池壁围堰及泥浆泵基础</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泥浆不落地系统</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整体基础</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循环罐、储备罐</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循环罐、储备罐的池底及围堰</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危险废物暂存场所</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底部及四周</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hint="eastAsia" w:cs="Times New Roman"/>
                <w:color w:val="000000" w:themeColor="text1"/>
                <w:sz w:val="21"/>
                <w:szCs w:val="20"/>
                <w:highlight w:val="none"/>
                <w14:textFill>
                  <w14:solidFill>
                    <w14:schemeClr w14:val="tx1"/>
                  </w14:solidFill>
                </w14:textFill>
              </w:rPr>
              <w:t>按</w:t>
            </w:r>
            <w:r>
              <w:rPr>
                <w:rFonts w:cs="Times New Roman"/>
                <w:color w:val="000000" w:themeColor="text1"/>
                <w:sz w:val="21"/>
                <w:szCs w:val="20"/>
                <w:highlight w:val="none"/>
                <w14:textFill>
                  <w14:solidFill>
                    <w14:schemeClr w14:val="tx1"/>
                  </w14:solidFill>
                </w14:textFill>
              </w:rPr>
              <w:t>GB18597执行</w:t>
            </w:r>
          </w:p>
        </w:tc>
        <w:tc>
          <w:tcPr>
            <w:tcW w:w="2004" w:type="dxa"/>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混凝土+2mm厚高密度聚乙烯膜处理或防渗系数达到1.0×10</w:t>
            </w:r>
            <w:r>
              <w:rPr>
                <w:rFonts w:cs="Times New Roman"/>
                <w:color w:val="000000" w:themeColor="text1"/>
                <w:sz w:val="21"/>
                <w:szCs w:val="20"/>
                <w:highlight w:val="none"/>
                <w:vertAlign w:val="superscript"/>
                <w14:textFill>
                  <w14:solidFill>
                    <w14:schemeClr w14:val="tx1"/>
                  </w14:solidFill>
                </w14:textFill>
              </w:rPr>
              <w:t>-10</w:t>
            </w:r>
            <w:r>
              <w:rPr>
                <w:rFonts w:cs="Times New Roman"/>
                <w:color w:val="000000" w:themeColor="text1"/>
                <w:sz w:val="21"/>
                <w:szCs w:val="20"/>
                <w:highlight w:val="none"/>
                <w14:textFill>
                  <w14:solidFill>
                    <w14:schemeClr w14:val="tx1"/>
                  </w14:solidFill>
                </w14:textFill>
              </w:rPr>
              <w:t>cm/s的防渗材料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发电机房及电传系统</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发电机房基础</w:t>
            </w:r>
          </w:p>
        </w:tc>
        <w:tc>
          <w:tcPr>
            <w:tcW w:w="1080" w:type="dxa"/>
            <w:vMerge w:val="restart"/>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一般防渗分区/部位</w:t>
            </w:r>
          </w:p>
        </w:tc>
        <w:tc>
          <w:tcPr>
            <w:tcW w:w="1852" w:type="dxa"/>
            <w:vMerge w:val="restart"/>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等效黏土防渗层Mb≥1m，防渗系数1.0×10</w:t>
            </w:r>
            <w:r>
              <w:rPr>
                <w:rFonts w:cs="Times New Roman"/>
                <w:color w:val="000000" w:themeColor="text1"/>
                <w:sz w:val="21"/>
                <w:szCs w:val="20"/>
                <w:highlight w:val="none"/>
                <w:vertAlign w:val="superscript"/>
                <w14:textFill>
                  <w14:solidFill>
                    <w14:schemeClr w14:val="tx1"/>
                  </w14:solidFill>
                </w14:textFill>
              </w:rPr>
              <w:t>-7</w:t>
            </w:r>
            <w:r>
              <w:rPr>
                <w:rFonts w:cs="Times New Roman"/>
                <w:color w:val="000000" w:themeColor="text1"/>
                <w:sz w:val="21"/>
                <w:szCs w:val="20"/>
                <w:highlight w:val="none"/>
                <w14:textFill>
                  <w14:solidFill>
                    <w14:schemeClr w14:val="tx1"/>
                  </w14:solidFill>
                </w14:textFill>
              </w:rPr>
              <w:t>cm/s，或参照GB16889执行</w:t>
            </w:r>
          </w:p>
        </w:tc>
        <w:tc>
          <w:tcPr>
            <w:tcW w:w="2004" w:type="dxa"/>
            <w:vMerge w:val="restart"/>
            <w:vAlign w:val="center"/>
          </w:tcPr>
          <w:p>
            <w:pPr>
              <w:widowControl/>
              <w:spacing w:line="240" w:lineRule="auto"/>
              <w:ind w:firstLine="0" w:firstLineChars="0"/>
              <w:jc w:val="left"/>
              <w:textAlignment w:val="baseline"/>
              <w:rPr>
                <w:rFonts w:cs="Times New Roman"/>
                <w:color w:val="000000" w:themeColor="text1"/>
                <w:sz w:val="21"/>
                <w:szCs w:val="20"/>
                <w:highlight w:val="none"/>
                <w14:textFill>
                  <w14:solidFill>
                    <w14:schemeClr w14:val="tx1"/>
                  </w14:solidFill>
                </w14:textFill>
              </w:rPr>
            </w:pPr>
            <w:bookmarkStart w:id="459" w:name="OLE_LINK8"/>
            <w:bookmarkStart w:id="460" w:name="OLE_LINK7"/>
            <w:r>
              <w:rPr>
                <w:rFonts w:cs="Times New Roman"/>
                <w:color w:val="000000" w:themeColor="text1"/>
                <w:sz w:val="21"/>
                <w:szCs w:val="20"/>
                <w:highlight w:val="none"/>
                <w14:textFill>
                  <w14:solidFill>
                    <w14:schemeClr w14:val="tx1"/>
                  </w14:solidFill>
                </w14:textFill>
              </w:rPr>
              <w:t>混凝土+防渗系数达到1.0×10</w:t>
            </w:r>
            <w:r>
              <w:rPr>
                <w:rFonts w:cs="Times New Roman"/>
                <w:color w:val="000000" w:themeColor="text1"/>
                <w:sz w:val="21"/>
                <w:szCs w:val="20"/>
                <w:highlight w:val="none"/>
                <w:vertAlign w:val="superscript"/>
                <w14:textFill>
                  <w14:solidFill>
                    <w14:schemeClr w14:val="tx1"/>
                  </w14:solidFill>
                </w14:textFill>
              </w:rPr>
              <w:t>-7</w:t>
            </w:r>
            <w:r>
              <w:rPr>
                <w:rFonts w:cs="Times New Roman"/>
                <w:color w:val="000000" w:themeColor="text1"/>
                <w:sz w:val="21"/>
                <w:szCs w:val="20"/>
                <w:highlight w:val="none"/>
                <w14:textFill>
                  <w14:solidFill>
                    <w14:schemeClr w14:val="tx1"/>
                  </w14:solidFill>
                </w14:textFill>
              </w:rPr>
              <w:t>cm/s的防渗材料</w:t>
            </w:r>
            <w:bookmarkEnd w:id="459"/>
            <w:bookmarkEnd w:id="46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清水池</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清水池壁和池底</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井架基础</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钻井平台基础</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钻井固废暂存区</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整体基础</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气源房、材料棚、雨、污分流区域</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基础</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jc w:val="center"/>
        </w:trPr>
        <w:tc>
          <w:tcPr>
            <w:tcW w:w="1228"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环保厕所</w:t>
            </w:r>
          </w:p>
        </w:tc>
        <w:tc>
          <w:tcPr>
            <w:tcW w:w="2056" w:type="dxa"/>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池底及池壁</w:t>
            </w:r>
          </w:p>
        </w:tc>
        <w:tc>
          <w:tcPr>
            <w:tcW w:w="1080" w:type="dxa"/>
            <w:vMerge w:val="continue"/>
            <w:vAlign w:val="center"/>
          </w:tcPr>
          <w:p>
            <w:pPr>
              <w:widowControl/>
              <w:spacing w:line="240" w:lineRule="auto"/>
              <w:ind w:firstLine="0" w:firstLineChars="0"/>
              <w:jc w:val="center"/>
              <w:textAlignment w:val="baseline"/>
              <w:rPr>
                <w:rFonts w:cs="Times New Roman"/>
                <w:color w:val="000000" w:themeColor="text1"/>
                <w:sz w:val="21"/>
                <w:szCs w:val="24"/>
                <w:highlight w:val="none"/>
                <w14:textFill>
                  <w14:solidFill>
                    <w14:schemeClr w14:val="tx1"/>
                  </w14:solidFill>
                </w14:textFill>
              </w:rPr>
            </w:pPr>
          </w:p>
        </w:tc>
        <w:tc>
          <w:tcPr>
            <w:tcW w:w="1852" w:type="dxa"/>
            <w:vMerge w:val="continue"/>
            <w:vAlign w:val="center"/>
          </w:tcPr>
          <w:p>
            <w:pPr>
              <w:widowControl/>
              <w:spacing w:line="240" w:lineRule="auto"/>
              <w:ind w:firstLine="0" w:firstLineChars="0"/>
              <w:jc w:val="center"/>
              <w:textAlignment w:val="baseline"/>
              <w:rPr>
                <w:rFonts w:cs="Times New Roman"/>
                <w:color w:val="000000" w:themeColor="text1"/>
                <w:sz w:val="21"/>
                <w:szCs w:val="24"/>
                <w:highlight w:val="none"/>
                <w14:textFill>
                  <w14:solidFill>
                    <w14:schemeClr w14:val="tx1"/>
                  </w14:solidFill>
                </w14:textFill>
              </w:rPr>
            </w:pPr>
          </w:p>
        </w:tc>
        <w:tc>
          <w:tcPr>
            <w:tcW w:w="2004" w:type="dxa"/>
            <w:vMerge w:val="continue"/>
            <w:vAlign w:val="center"/>
          </w:tcPr>
          <w:p>
            <w:pPr>
              <w:widowControl/>
              <w:spacing w:line="240" w:lineRule="auto"/>
              <w:ind w:firstLine="0" w:firstLineChars="0"/>
              <w:jc w:val="center"/>
              <w:textAlignment w:val="baseline"/>
              <w:rPr>
                <w:rFonts w:cs="Times New Roman"/>
                <w:color w:val="000000" w:themeColor="text1"/>
                <w:sz w:val="21"/>
                <w:szCs w:val="24"/>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293" w:hRule="atLeast"/>
          <w:jc w:val="center"/>
        </w:trPr>
        <w:tc>
          <w:tcPr>
            <w:tcW w:w="1228" w:type="dxa"/>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其他区域</w:t>
            </w:r>
          </w:p>
        </w:tc>
        <w:tc>
          <w:tcPr>
            <w:tcW w:w="2056" w:type="dxa"/>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w:t>
            </w:r>
          </w:p>
        </w:tc>
        <w:tc>
          <w:tcPr>
            <w:tcW w:w="1080" w:type="dxa"/>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简单防渗区/部位</w:t>
            </w:r>
          </w:p>
        </w:tc>
        <w:tc>
          <w:tcPr>
            <w:tcW w:w="1852" w:type="dxa"/>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一般地面硬化</w:t>
            </w:r>
          </w:p>
        </w:tc>
        <w:tc>
          <w:tcPr>
            <w:tcW w:w="2004" w:type="dxa"/>
            <w:shd w:val="clear" w:color="auto" w:fill="auto"/>
            <w:vAlign w:val="center"/>
          </w:tcPr>
          <w:p>
            <w:pPr>
              <w:widowControl/>
              <w:spacing w:line="240" w:lineRule="auto"/>
              <w:ind w:firstLine="0" w:firstLineChars="0"/>
              <w:jc w:val="center"/>
              <w:textAlignment w:val="baseline"/>
              <w:rPr>
                <w:rFonts w:cs="Times New Roman"/>
                <w:color w:val="000000" w:themeColor="text1"/>
                <w:sz w:val="21"/>
                <w:szCs w:val="20"/>
                <w:highlight w:val="none"/>
                <w14:textFill>
                  <w14:solidFill>
                    <w14:schemeClr w14:val="tx1"/>
                  </w14:solidFill>
                </w14:textFill>
              </w:rPr>
            </w:pPr>
            <w:r>
              <w:rPr>
                <w:rFonts w:cs="Times New Roman"/>
                <w:color w:val="000000" w:themeColor="text1"/>
                <w:sz w:val="21"/>
                <w:szCs w:val="20"/>
                <w:highlight w:val="none"/>
                <w14:textFill>
                  <w14:solidFill>
                    <w14:schemeClr w14:val="tx1"/>
                  </w14:solidFill>
                </w14:textFill>
              </w:rPr>
              <w:t>水泥地面硬化或砂石黏土碾压</w:t>
            </w:r>
          </w:p>
        </w:tc>
      </w:tr>
    </w:tbl>
    <w:p>
      <w:pPr>
        <w:spacing w:before="120" w:beforeLines="50"/>
        <w:ind w:firstLine="480"/>
        <w:rPr>
          <w:rFonts w:eastAsia="黑体" w:cs="Times New Roman"/>
          <w:color w:val="000000" w:themeColor="text1"/>
          <w:szCs w:val="24"/>
          <w:highlight w:val="none"/>
          <w14:textFill>
            <w14:solidFill>
              <w14:schemeClr w14:val="tx1"/>
            </w14:solidFill>
          </w14:textFill>
        </w:rPr>
      </w:pPr>
      <w:r>
        <w:rPr>
          <w:rFonts w:eastAsia="黑体" w:cs="Times New Roman"/>
          <w:color w:val="000000" w:themeColor="text1"/>
          <w:szCs w:val="24"/>
          <w:highlight w:val="none"/>
          <w14:textFill>
            <w14:solidFill>
              <w14:schemeClr w14:val="tx1"/>
            </w14:solidFill>
          </w14:textFill>
        </w:rPr>
        <w:t>5、地下水环境监控</w:t>
      </w:r>
      <w:bookmarkEnd w:id="457"/>
      <w:bookmarkEnd w:id="458"/>
    </w:p>
    <w:p>
      <w:pPr>
        <w:ind w:firstLine="482"/>
        <w:rPr>
          <w:rFonts w:cs="Times New Roman"/>
          <w:b/>
          <w:bCs/>
          <w:color w:val="000000" w:themeColor="text1"/>
          <w:szCs w:val="24"/>
          <w:highlight w:val="none"/>
          <w14:textFill>
            <w14:solidFill>
              <w14:schemeClr w14:val="tx1"/>
            </w14:solidFill>
          </w14:textFill>
        </w:rPr>
      </w:pPr>
      <w:bookmarkStart w:id="461" w:name="_Toc14702847"/>
      <w:r>
        <w:rPr>
          <w:rFonts w:cs="Times New Roman"/>
          <w:b/>
          <w:bCs/>
          <w:color w:val="000000" w:themeColor="text1"/>
          <w:szCs w:val="24"/>
          <w:highlight w:val="none"/>
          <w14:textFill>
            <w14:solidFill>
              <w14:schemeClr w14:val="tx1"/>
            </w14:solidFill>
          </w14:textFill>
        </w:rPr>
        <w:t>（1）地下水监控原则</w:t>
      </w:r>
      <w:bookmarkEnd w:id="461"/>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按照地下水环评导则及地下水监测技术规范等相关要求，地下水监测应按以下要求进行：</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①</w:t>
      </w:r>
      <w:r>
        <w:rPr>
          <w:rFonts w:cs="Times New Roman"/>
          <w:bCs/>
          <w:color w:val="000000" w:themeColor="text1"/>
          <w:szCs w:val="24"/>
          <w:highlight w:val="none"/>
          <w14:textFill>
            <w14:solidFill>
              <w14:schemeClr w14:val="tx1"/>
            </w14:solidFill>
          </w14:textFill>
        </w:rPr>
        <w:t>在地下水水流上游方向应设不少于1眼地下水背景（或对照）监控井；</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②</w:t>
      </w:r>
      <w:r>
        <w:rPr>
          <w:rFonts w:cs="Times New Roman"/>
          <w:bCs/>
          <w:color w:val="000000" w:themeColor="text1"/>
          <w:szCs w:val="24"/>
          <w:highlight w:val="none"/>
          <w14:textFill>
            <w14:solidFill>
              <w14:schemeClr w14:val="tx1"/>
            </w14:solidFill>
          </w14:textFill>
        </w:rPr>
        <w:t>在项目场地外可能受到影响的地下水环境敏感目标的上游应至少布设1眼地下水污染监控井；</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③</w:t>
      </w:r>
      <w:r>
        <w:rPr>
          <w:rFonts w:cs="Times New Roman"/>
          <w:bCs/>
          <w:color w:val="000000" w:themeColor="text1"/>
          <w:szCs w:val="24"/>
          <w:highlight w:val="none"/>
          <w14:textFill>
            <w14:solidFill>
              <w14:schemeClr w14:val="tx1"/>
            </w14:solidFill>
          </w14:textFill>
        </w:rPr>
        <w:t>以取水层为监测目的层，以浅层潜水含水层为主，并应考虑可能受影响的承压含水层；</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④</w:t>
      </w:r>
      <w:r>
        <w:rPr>
          <w:rFonts w:cs="Times New Roman"/>
          <w:bCs/>
          <w:color w:val="000000" w:themeColor="text1"/>
          <w:szCs w:val="24"/>
          <w:highlight w:val="none"/>
          <w14:textFill>
            <w14:solidFill>
              <w14:schemeClr w14:val="tx1"/>
            </w14:solidFill>
          </w14:textFill>
        </w:rPr>
        <w:t>在重点污染防治区加密监测；</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⑤</w:t>
      </w:r>
      <w:r>
        <w:rPr>
          <w:rFonts w:cs="Times New Roman"/>
          <w:bCs/>
          <w:color w:val="000000" w:themeColor="text1"/>
          <w:szCs w:val="24"/>
          <w:highlight w:val="none"/>
          <w14:textFill>
            <w14:solidFill>
              <w14:schemeClr w14:val="tx1"/>
            </w14:solidFill>
          </w14:textFill>
        </w:rPr>
        <w:t>根据各区块地下水环境影响预测与评价结果有针对性地布设监测井。</w:t>
      </w:r>
    </w:p>
    <w:p>
      <w:pPr>
        <w:ind w:firstLine="480"/>
        <w:rPr>
          <w:rFonts w:cs="Times New Roman"/>
          <w:bCs/>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⑥</w:t>
      </w:r>
      <w:r>
        <w:rPr>
          <w:rFonts w:cs="Times New Roman"/>
          <w:bCs/>
          <w:color w:val="000000" w:themeColor="text1"/>
          <w:szCs w:val="24"/>
          <w:highlight w:val="none"/>
          <w14:textFill>
            <w14:solidFill>
              <w14:schemeClr w14:val="tx1"/>
            </w14:solidFill>
          </w14:textFill>
        </w:rPr>
        <w:t>充分利用现有民井、监测井，污染事件发生后监测井可以作为地下水污染事故应急处置的抽水井；</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bCs/>
          <w:color w:val="000000" w:themeColor="text1"/>
          <w:szCs w:val="24"/>
          <w:highlight w:val="none"/>
          <w14:textFill>
            <w14:solidFill>
              <w14:schemeClr w14:val="tx1"/>
            </w14:solidFill>
          </w14:textFill>
        </w:rPr>
        <w:t>⑦</w:t>
      </w:r>
      <w:r>
        <w:rPr>
          <w:rFonts w:cs="Times New Roman"/>
          <w:bCs/>
          <w:color w:val="000000" w:themeColor="text1"/>
          <w:szCs w:val="24"/>
          <w:highlight w:val="none"/>
          <w14:textFill>
            <w14:solidFill>
              <w14:schemeClr w14:val="tx1"/>
            </w14:solidFill>
          </w14:textFill>
        </w:rPr>
        <w:t>水质监测项目参照《地下水质量标准》（GB/T 14848-2017）相关要求和潜在污染源特征污染因子确定，各监测井可依据监测目的不同适当增加和减少监测项目。建设单位安全环保部门设立地下水动态监测小组，专人负责监测或者委托专业的机构分析</w:t>
      </w:r>
      <w:r>
        <w:rPr>
          <w:rFonts w:cs="Times New Roman"/>
          <w:color w:val="000000" w:themeColor="text1"/>
          <w:szCs w:val="24"/>
          <w:highlight w:val="none"/>
          <w14:textFill>
            <w14:solidFill>
              <w14:schemeClr w14:val="tx1"/>
            </w14:solidFill>
          </w14:textFill>
        </w:rPr>
        <w:t>。</w:t>
      </w:r>
    </w:p>
    <w:p>
      <w:pPr>
        <w:ind w:firstLine="482"/>
        <w:rPr>
          <w:rFonts w:cs="Times New Roman"/>
          <w:b/>
          <w:bCs/>
          <w:color w:val="000000" w:themeColor="text1"/>
          <w:szCs w:val="24"/>
          <w:highlight w:val="none"/>
          <w14:textFill>
            <w14:solidFill>
              <w14:schemeClr w14:val="tx1"/>
            </w14:solidFill>
          </w14:textFill>
        </w:rPr>
      </w:pPr>
      <w:bookmarkStart w:id="462" w:name="_Toc14702848"/>
      <w:r>
        <w:rPr>
          <w:rFonts w:cs="Times New Roman"/>
          <w:b/>
          <w:bCs/>
          <w:color w:val="000000" w:themeColor="text1"/>
          <w:szCs w:val="24"/>
          <w:highlight w:val="none"/>
          <w14:textFill>
            <w14:solidFill>
              <w14:schemeClr w14:val="tx1"/>
            </w14:solidFill>
          </w14:textFill>
        </w:rPr>
        <w:t>（2）监控井布置</w:t>
      </w:r>
      <w:bookmarkEnd w:id="462"/>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根据项目所在地区域地下水埋深、地下水走向、补径排关系以及监控井布设的难易程度，结合地形及位置关系，本项目布置</w:t>
      </w:r>
      <w:r>
        <w:rPr>
          <w:rFonts w:hint="eastAsia" w:cs="Times New Roman"/>
          <w:color w:val="000000" w:themeColor="text1"/>
          <w:szCs w:val="24"/>
          <w:highlight w:val="none"/>
          <w14:textFill>
            <w14:solidFill>
              <w14:schemeClr w14:val="tx1"/>
            </w14:solidFill>
          </w14:textFill>
        </w:rPr>
        <w:t>3</w:t>
      </w:r>
      <w:r>
        <w:rPr>
          <w:rFonts w:cs="Times New Roman"/>
          <w:color w:val="000000" w:themeColor="text1"/>
          <w:szCs w:val="24"/>
          <w:highlight w:val="none"/>
          <w14:textFill>
            <w14:solidFill>
              <w14:schemeClr w14:val="tx1"/>
            </w14:solidFill>
          </w14:textFill>
        </w:rPr>
        <w:t>口</w:t>
      </w:r>
      <w:r>
        <w:rPr>
          <w:rFonts w:hint="eastAsia" w:cs="Times New Roman"/>
          <w:color w:val="000000" w:themeColor="text1"/>
          <w:szCs w:val="24"/>
          <w:highlight w:val="none"/>
          <w14:textFill>
            <w14:solidFill>
              <w14:schemeClr w14:val="tx1"/>
            </w14:solidFill>
          </w14:textFill>
        </w:rPr>
        <w:t>泉水点</w:t>
      </w:r>
      <w:r>
        <w:rPr>
          <w:rFonts w:cs="Times New Roman"/>
          <w:color w:val="000000" w:themeColor="text1"/>
          <w:szCs w:val="24"/>
          <w:highlight w:val="none"/>
          <w14:textFill>
            <w14:solidFill>
              <w14:schemeClr w14:val="tx1"/>
            </w14:solidFill>
          </w14:textFill>
        </w:rPr>
        <w:t>作为地下水例行监测点，监测方案见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_Ref142859680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7.1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2</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。环评建议施工期间加强对上述监测控制点的监控，若监测结果表明项目实施导致地下水污染，应采取临时供水措施（配送桶装水等）以保障居民的饮用水源安全。</w:t>
      </w:r>
    </w:p>
    <w:p>
      <w:pPr>
        <w:pStyle w:val="203"/>
        <w:spacing w:before="120"/>
        <w:rPr>
          <w:color w:val="000000" w:themeColor="text1"/>
          <w:highlight w:val="none"/>
          <w14:textFill>
            <w14:solidFill>
              <w14:schemeClr w14:val="tx1"/>
            </w14:solidFill>
          </w14:textFill>
        </w:rPr>
      </w:pPr>
      <w:bookmarkStart w:id="463" w:name="_Ref14285968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fldChar w:fldCharType="end"/>
      </w:r>
      <w:bookmarkEnd w:id="46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施工期间地下水水质监测方案</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738"/>
        <w:gridCol w:w="904"/>
        <w:gridCol w:w="1120"/>
        <w:gridCol w:w="1216"/>
        <w:gridCol w:w="22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38" w:type="dxa"/>
            <w:vMerge w:val="restar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监测井位与建设项目的位置关系</w:t>
            </w:r>
          </w:p>
        </w:tc>
        <w:tc>
          <w:tcPr>
            <w:tcW w:w="904" w:type="dxa"/>
            <w:vMerge w:val="restar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含水层</w:t>
            </w:r>
          </w:p>
        </w:tc>
        <w:tc>
          <w:tcPr>
            <w:tcW w:w="2336" w:type="dxa"/>
            <w:gridSpan w:val="2"/>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监测项目</w:t>
            </w:r>
          </w:p>
        </w:tc>
        <w:tc>
          <w:tcPr>
            <w:tcW w:w="2242" w:type="dxa"/>
            <w:vMerge w:val="restart"/>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38" w:type="dxa"/>
            <w:vMerge w:val="continue"/>
            <w:vAlign w:val="center"/>
          </w:tcPr>
          <w:p>
            <w:pPr>
              <w:pStyle w:val="297"/>
              <w:rPr>
                <w:color w:val="000000" w:themeColor="text1"/>
                <w:szCs w:val="21"/>
                <w:highlight w:val="none"/>
                <w14:textFill>
                  <w14:solidFill>
                    <w14:schemeClr w14:val="tx1"/>
                  </w14:solidFill>
                </w14:textFill>
              </w:rPr>
            </w:pPr>
          </w:p>
        </w:tc>
        <w:tc>
          <w:tcPr>
            <w:tcW w:w="904" w:type="dxa"/>
            <w:vMerge w:val="continue"/>
            <w:vAlign w:val="center"/>
          </w:tcPr>
          <w:p>
            <w:pPr>
              <w:pStyle w:val="297"/>
              <w:rPr>
                <w:color w:val="000000" w:themeColor="text1"/>
                <w:szCs w:val="21"/>
                <w:highlight w:val="none"/>
                <w14:textFill>
                  <w14:solidFill>
                    <w14:schemeClr w14:val="tx1"/>
                  </w14:solidFill>
                </w14:textFill>
              </w:rPr>
            </w:pPr>
          </w:p>
        </w:tc>
        <w:tc>
          <w:tcPr>
            <w:tcW w:w="1120"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常规因子</w:t>
            </w:r>
          </w:p>
        </w:tc>
        <w:tc>
          <w:tcPr>
            <w:tcW w:w="1216"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特征因子</w:t>
            </w:r>
          </w:p>
        </w:tc>
        <w:tc>
          <w:tcPr>
            <w:tcW w:w="2242" w:type="dxa"/>
            <w:vMerge w:val="continue"/>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38"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1#大湾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内下游</w:t>
            </w:r>
          </w:p>
        </w:tc>
        <w:tc>
          <w:tcPr>
            <w:tcW w:w="904"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监控点，</w:t>
            </w:r>
            <w:r>
              <w:rPr>
                <w:color w:val="000000" w:themeColor="text1"/>
                <w:szCs w:val="21"/>
                <w:highlight w:val="none"/>
                <w14:textFill>
                  <w14:solidFill>
                    <w14:schemeClr w14:val="tx1"/>
                  </w14:solidFill>
                </w14:textFill>
              </w:rPr>
              <w:t>潜水层</w:t>
            </w:r>
          </w:p>
        </w:tc>
        <w:tc>
          <w:tcPr>
            <w:tcW w:w="1120" w:type="dxa"/>
            <w:vMerge w:val="restar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pH值、总硬度、六价铬、铁、锰、耗氧量</w:t>
            </w:r>
          </w:p>
        </w:tc>
        <w:tc>
          <w:tcPr>
            <w:tcW w:w="1216" w:type="dxa"/>
            <w:vMerge w:val="restar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TDS、COD、石油类、氯离子（Cl-）</w:t>
            </w:r>
            <w:r>
              <w:rPr>
                <w:rFonts w:hint="eastAsia"/>
                <w:color w:val="000000" w:themeColor="text1"/>
                <w:szCs w:val="21"/>
                <w:highlight w:val="none"/>
                <w14:textFill>
                  <w14:solidFill>
                    <w14:schemeClr w14:val="tx1"/>
                  </w14:solidFill>
                </w14:textFill>
              </w:rPr>
              <w:t>、钡</w:t>
            </w:r>
          </w:p>
        </w:tc>
        <w:tc>
          <w:tcPr>
            <w:tcW w:w="2242" w:type="dxa"/>
            <w:vMerge w:val="restar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开工前1次，完钻后1次，发生事故时加密监测；试采期每年对1#点位例行监测</w:t>
            </w:r>
            <w:r>
              <w:rPr>
                <w:rFonts w:hint="eastAsia"/>
                <w:color w:val="000000" w:themeColor="text1"/>
                <w:szCs w:val="21"/>
                <w:highlight w:val="none"/>
                <w14:textFill>
                  <w14:solidFill>
                    <w14:schemeClr w14:val="tx1"/>
                  </w14:solidFill>
                </w14:textFill>
              </w:rPr>
              <w:t>两</w:t>
            </w:r>
            <w:r>
              <w:rPr>
                <w:color w:val="000000" w:themeColor="text1"/>
                <w:szCs w:val="21"/>
                <w:highlight w:val="none"/>
                <w14:textFill>
                  <w14:solidFill>
                    <w14:schemeClr w14:val="tx1"/>
                  </w14:solidFill>
                </w14:textFill>
              </w:rPr>
              <w:t>次，事故时加密监测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38"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2#大湾408井台</w:t>
            </w:r>
            <w:r>
              <w:rPr>
                <w:rFonts w:hint="eastAsia"/>
                <w:color w:val="000000" w:themeColor="text1"/>
                <w:szCs w:val="21"/>
                <w:highlight w:val="none"/>
                <w14:textFill>
                  <w14:solidFill>
                    <w14:schemeClr w14:val="tx1"/>
                  </w14:solidFill>
                </w14:textFill>
              </w:rPr>
              <w:t>西</w:t>
            </w:r>
            <w:r>
              <w:rPr>
                <w:color w:val="000000" w:themeColor="text1"/>
                <w:szCs w:val="21"/>
                <w:highlight w:val="none"/>
                <w14:textFill>
                  <w14:solidFill>
                    <w14:schemeClr w14:val="tx1"/>
                  </w14:solidFill>
                </w14:textFill>
              </w:rPr>
              <w:t>北侧318m处</w:t>
            </w:r>
            <w:r>
              <w:rPr>
                <w:rFonts w:hint="eastAsia"/>
                <w:color w:val="000000" w:themeColor="text1"/>
                <w:szCs w:val="21"/>
                <w:highlight w:val="none"/>
                <w14:textFill>
                  <w14:solidFill>
                    <w14:schemeClr w14:val="tx1"/>
                  </w14:solidFill>
                </w14:textFill>
              </w:rPr>
              <w:t>泉点</w:t>
            </w:r>
          </w:p>
        </w:tc>
        <w:tc>
          <w:tcPr>
            <w:tcW w:w="904" w:type="dxa"/>
            <w:vAlign w:val="center"/>
          </w:tcPr>
          <w:p>
            <w:pPr>
              <w:pStyle w:val="297"/>
              <w:rPr>
                <w:snapToGrid w:val="0"/>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监控点，</w:t>
            </w:r>
            <w:r>
              <w:rPr>
                <w:color w:val="000000" w:themeColor="text1"/>
                <w:szCs w:val="21"/>
                <w:highlight w:val="none"/>
                <w14:textFill>
                  <w14:solidFill>
                    <w14:schemeClr w14:val="tx1"/>
                  </w14:solidFill>
                </w14:textFill>
              </w:rPr>
              <w:t>潜水层</w:t>
            </w:r>
          </w:p>
        </w:tc>
        <w:tc>
          <w:tcPr>
            <w:tcW w:w="1120" w:type="dxa"/>
            <w:vMerge w:val="continue"/>
            <w:vAlign w:val="center"/>
          </w:tcPr>
          <w:p>
            <w:pPr>
              <w:pStyle w:val="297"/>
              <w:rPr>
                <w:snapToGrid w:val="0"/>
                <w:color w:val="000000" w:themeColor="text1"/>
                <w:highlight w:val="none"/>
                <w14:textFill>
                  <w14:solidFill>
                    <w14:schemeClr w14:val="tx1"/>
                  </w14:solidFill>
                </w14:textFill>
              </w:rPr>
            </w:pPr>
          </w:p>
        </w:tc>
        <w:tc>
          <w:tcPr>
            <w:tcW w:w="1216" w:type="dxa"/>
            <w:vMerge w:val="continue"/>
            <w:vAlign w:val="center"/>
          </w:tcPr>
          <w:p>
            <w:pPr>
              <w:pStyle w:val="297"/>
              <w:rPr>
                <w:snapToGrid w:val="0"/>
                <w:color w:val="000000" w:themeColor="text1"/>
                <w:highlight w:val="none"/>
                <w14:textFill>
                  <w14:solidFill>
                    <w14:schemeClr w14:val="tx1"/>
                  </w14:solidFill>
                </w14:textFill>
              </w:rPr>
            </w:pPr>
          </w:p>
        </w:tc>
        <w:tc>
          <w:tcPr>
            <w:tcW w:w="2242" w:type="dxa"/>
            <w:vMerge w:val="continue"/>
            <w:vAlign w:val="center"/>
          </w:tcPr>
          <w:p>
            <w:pPr>
              <w:pStyle w:val="297"/>
              <w:rPr>
                <w:snapToGrid w:val="0"/>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38" w:type="dxa"/>
            <w:shd w:val="clear" w:color="auto" w:fill="FFFFFF"/>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3#大湾408井台</w:t>
            </w:r>
            <w:r>
              <w:rPr>
                <w:rFonts w:hint="eastAsia"/>
                <w:color w:val="000000" w:themeColor="text1"/>
                <w:szCs w:val="21"/>
                <w:highlight w:val="none"/>
                <w14:textFill>
                  <w14:solidFill>
                    <w14:schemeClr w14:val="tx1"/>
                  </w14:solidFill>
                </w14:textFill>
              </w:rPr>
              <w:t>南</w:t>
            </w:r>
            <w:r>
              <w:rPr>
                <w:color w:val="000000" w:themeColor="text1"/>
                <w:szCs w:val="21"/>
                <w:highlight w:val="none"/>
                <w14:textFill>
                  <w14:solidFill>
                    <w14:schemeClr w14:val="tx1"/>
                  </w14:solidFill>
                </w14:textFill>
              </w:rPr>
              <w:t>侧193m处泉点</w:t>
            </w:r>
          </w:p>
        </w:tc>
        <w:tc>
          <w:tcPr>
            <w:tcW w:w="904" w:type="dxa"/>
            <w:vAlign w:val="center"/>
          </w:tcPr>
          <w:p>
            <w:pPr>
              <w:pStyle w:val="297"/>
              <w:rPr>
                <w:snapToGrid w:val="0"/>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背景点，</w:t>
            </w:r>
            <w:r>
              <w:rPr>
                <w:color w:val="000000" w:themeColor="text1"/>
                <w:szCs w:val="21"/>
                <w:highlight w:val="none"/>
                <w14:textFill>
                  <w14:solidFill>
                    <w14:schemeClr w14:val="tx1"/>
                  </w14:solidFill>
                </w14:textFill>
              </w:rPr>
              <w:t>潜水层</w:t>
            </w:r>
          </w:p>
        </w:tc>
        <w:tc>
          <w:tcPr>
            <w:tcW w:w="1120" w:type="dxa"/>
            <w:vMerge w:val="continue"/>
            <w:vAlign w:val="center"/>
          </w:tcPr>
          <w:p>
            <w:pPr>
              <w:pStyle w:val="297"/>
              <w:rPr>
                <w:snapToGrid w:val="0"/>
                <w:color w:val="000000" w:themeColor="text1"/>
                <w:highlight w:val="none"/>
                <w14:textFill>
                  <w14:solidFill>
                    <w14:schemeClr w14:val="tx1"/>
                  </w14:solidFill>
                </w14:textFill>
              </w:rPr>
            </w:pPr>
          </w:p>
        </w:tc>
        <w:tc>
          <w:tcPr>
            <w:tcW w:w="1216" w:type="dxa"/>
            <w:vMerge w:val="continue"/>
            <w:vAlign w:val="center"/>
          </w:tcPr>
          <w:p>
            <w:pPr>
              <w:pStyle w:val="297"/>
              <w:rPr>
                <w:snapToGrid w:val="0"/>
                <w:color w:val="000000" w:themeColor="text1"/>
                <w:highlight w:val="none"/>
                <w14:textFill>
                  <w14:solidFill>
                    <w14:schemeClr w14:val="tx1"/>
                  </w14:solidFill>
                </w14:textFill>
              </w:rPr>
            </w:pPr>
          </w:p>
        </w:tc>
        <w:tc>
          <w:tcPr>
            <w:tcW w:w="2242" w:type="dxa"/>
            <w:vMerge w:val="continue"/>
            <w:vAlign w:val="center"/>
          </w:tcPr>
          <w:p>
            <w:pPr>
              <w:pStyle w:val="297"/>
              <w:rPr>
                <w:snapToGrid w:val="0"/>
                <w:color w:val="000000" w:themeColor="text1"/>
                <w:highlight w:val="none"/>
                <w14:textFill>
                  <w14:solidFill>
                    <w14:schemeClr w14:val="tx1"/>
                  </w14:solidFill>
                </w14:textFill>
              </w:rPr>
            </w:pPr>
          </w:p>
        </w:tc>
      </w:tr>
    </w:tbl>
    <w:p>
      <w:pPr>
        <w:spacing w:before="120" w:beforeLines="50"/>
        <w:ind w:firstLine="480"/>
        <w:rPr>
          <w:rFonts w:eastAsia="黑体" w:cs="Times New Roman"/>
          <w:color w:val="000000" w:themeColor="text1"/>
          <w:szCs w:val="24"/>
          <w:highlight w:val="none"/>
          <w14:textFill>
            <w14:solidFill>
              <w14:schemeClr w14:val="tx1"/>
            </w14:solidFill>
          </w14:textFill>
        </w:rPr>
      </w:pPr>
      <w:r>
        <w:rPr>
          <w:rFonts w:eastAsia="黑体" w:cs="Times New Roman"/>
          <w:color w:val="000000" w:themeColor="text1"/>
          <w:szCs w:val="24"/>
          <w:highlight w:val="none"/>
          <w14:textFill>
            <w14:solidFill>
              <w14:schemeClr w14:val="tx1"/>
            </w14:solidFill>
          </w14:textFill>
        </w:rPr>
        <w:t>6应急响应</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无论预防工作如何周密，地下水污染事故总是难以根本杜绝，制定地下水污染应急响应是要迅速而有效的将事故损失减至最小，应急响应如</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_Ref142925147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t>7.1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3</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95"/>
        <w:rPr>
          <w:color w:val="000000" w:themeColor="text1"/>
          <w:highlight w:val="none"/>
          <w14:textFill>
            <w14:solidFill>
              <w14:schemeClr w14:val="tx1"/>
            </w14:solidFill>
          </w14:textFill>
        </w:rPr>
      </w:pPr>
      <w:r>
        <w:rPr>
          <w:rFonts w:eastAsia="黑体"/>
          <w:color w:val="000000" w:themeColor="text1"/>
          <w:highlight w:val="none"/>
          <w:lang w:eastAsia="zh-CN"/>
          <w14:textFill>
            <w14:solidFill>
              <w14:schemeClr w14:val="tx1"/>
            </w14:solidFill>
          </w14:textFill>
        </w:rPr>
        <w:drawing>
          <wp:inline distT="0" distB="0" distL="0" distR="0">
            <wp:extent cx="5039995" cy="5681980"/>
            <wp:effectExtent l="0" t="0" r="8255" b="13970"/>
            <wp:docPr id="1587" name="图片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图片 158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039995" cy="5681980"/>
                    </a:xfrm>
                    <a:prstGeom prst="rect">
                      <a:avLst/>
                    </a:prstGeom>
                    <a:noFill/>
                    <a:ln>
                      <a:noFill/>
                    </a:ln>
                  </pic:spPr>
                </pic:pic>
              </a:graphicData>
            </a:graphic>
          </wp:inline>
        </w:drawing>
      </w:r>
    </w:p>
    <w:p>
      <w:pPr>
        <w:pStyle w:val="165"/>
        <w:rPr>
          <w:color w:val="000000" w:themeColor="text1"/>
          <w:highlight w:val="none"/>
          <w14:textFill>
            <w14:solidFill>
              <w14:schemeClr w14:val="tx1"/>
            </w14:solidFill>
          </w14:textFill>
        </w:rPr>
      </w:pPr>
      <w:bookmarkStart w:id="464" w:name="_Ref142925147"/>
      <w:r>
        <w:rPr>
          <w:rFonts w:hint="eastAsia"/>
          <w:color w:val="000000" w:themeColor="text1"/>
          <w:highlight w:val="none"/>
          <w14:textFill>
            <w14:solidFill>
              <w14:schemeClr w14:val="tx1"/>
            </w14:solidFill>
          </w14:textFill>
        </w:rPr>
        <w:t>图</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7.1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图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fldChar w:fldCharType="end"/>
      </w:r>
      <w:bookmarkEnd w:id="464"/>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地下水污染应急响应程序图</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（1）风险应急预案</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建设单位应根据《中华人民共和国水污染防治法》编制相应的应急方案，</w:t>
      </w:r>
      <w:r>
        <w:rPr>
          <w:color w:val="000000" w:themeColor="text1"/>
          <w:szCs w:val="24"/>
          <w:highlight w:val="none"/>
          <w14:textFill>
            <w14:solidFill>
              <w14:schemeClr w14:val="tx1"/>
            </w14:solidFill>
          </w14:textFill>
        </w:rPr>
        <w:t>并按照《关于印发</w:t>
      </w:r>
      <w:r>
        <w:rPr>
          <w:rFonts w:hint="eastAsia"/>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企业突发环境事件风险评估指南（试行）的通知</w:t>
      </w:r>
      <w:r>
        <w:rPr>
          <w:rFonts w:hint="eastAsia"/>
          <w:color w:val="000000" w:themeColor="text1"/>
          <w:szCs w:val="24"/>
          <w:highlight w:val="none"/>
          <w14:textFill>
            <w14:solidFill>
              <w14:schemeClr w14:val="tx1"/>
            </w14:solidFill>
          </w14:textFill>
        </w:rPr>
        <w:t>〉</w:t>
      </w:r>
      <w:r>
        <w:rPr>
          <w:color w:val="000000" w:themeColor="text1"/>
          <w:szCs w:val="24"/>
          <w:highlight w:val="none"/>
          <w14:textFill>
            <w14:solidFill>
              <w14:schemeClr w14:val="tx1"/>
            </w14:solidFill>
          </w14:textFill>
        </w:rPr>
        <w:t>》（环办〔2014〕34号），将地下水风险纳入建设单位环境风险事故评估中，防止对周围地下水环境造成污染</w:t>
      </w:r>
      <w:r>
        <w:rPr>
          <w:rFonts w:cs="Times New Roman"/>
          <w:color w:val="000000" w:themeColor="text1"/>
          <w:szCs w:val="24"/>
          <w:highlight w:val="none"/>
          <w14:textFill>
            <w14:solidFill>
              <w14:schemeClr w14:val="tx1"/>
            </w14:solidFill>
          </w14:textFill>
        </w:rPr>
        <w:t>。</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（2）成立事故应急对策指挥中心</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成立由多个部门组成的事故应急对策指挥中心，负责发生事故后进行统一指挥、协调处理好抢险工作。</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（3）建立事故应急通报网络</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发生事故后，现场操作人员应立即向负责人报警，第一时间通知相关部门协作，采取应急防护措施。负责人在接报后立即确认事故位置及大小，及时向事故应急对策指挥中心报警，事故应急对策指挥中心在接报后，按照应急指挥程序，立即向环保部门、卫生部门、消防部门等请示，进行抢险工作。应急响应的过程可分为接警、判断响应级别、应急启动、控制及救援行动、扩大应急、应急终止和后期处置等步骤。应针对应急响应分布制定应急程序，并按事先制定程序指导事故应急响应。</w:t>
      </w:r>
    </w:p>
    <w:p>
      <w:pPr>
        <w:ind w:firstLine="482"/>
        <w:rPr>
          <w:rFonts w:cs="Times New Roman"/>
          <w:b/>
          <w:bCs/>
          <w:color w:val="000000" w:themeColor="text1"/>
          <w:szCs w:val="24"/>
          <w:highlight w:val="none"/>
          <w14:textFill>
            <w14:solidFill>
              <w14:schemeClr w14:val="tx1"/>
            </w14:solidFill>
          </w14:textFill>
        </w:rPr>
      </w:pPr>
      <w:r>
        <w:rPr>
          <w:rFonts w:cs="Times New Roman"/>
          <w:b/>
          <w:bCs/>
          <w:color w:val="000000" w:themeColor="text1"/>
          <w:szCs w:val="24"/>
          <w:highlight w:val="none"/>
          <w14:textFill>
            <w14:solidFill>
              <w14:schemeClr w14:val="tx1"/>
            </w14:solidFill>
          </w14:textFill>
        </w:rPr>
        <w:t>（4）应急措施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一旦发生井漏等地下水污染事故，应立即启动应急预案，迅速控制项目污染现场，切断污染源，划定污染可能波及的范围，在划定圈内的群众在井中取水的，要求立即停止使用，严禁人畜饮用（本项目地下水评价范围内无居民饮用水井），对水源进行监控，防止水污染中毒，并随时准备启动供水替代方案。同时根据本项目下伏含水层地下水水质进行跟踪监测，一旦发现地下水受到污染，应及时采取必要的水动力阻隔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综上所述，本项目施工期针对地下水环境采取的措施符合《环境影响评价技术导则 地下水环境》（HJ610-2016），在川东北地区钻采工程中已实施多年，具有较好的借鉴经验。根据本井场</w:t>
      </w:r>
      <w:r>
        <w:rPr>
          <w:rFonts w:hint="eastAsia" w:cs="Times New Roman"/>
          <w:color w:val="000000" w:themeColor="text1"/>
          <w:szCs w:val="24"/>
          <w:highlight w:val="none"/>
          <w14:textFill>
            <w14:solidFill>
              <w14:schemeClr w14:val="tx1"/>
            </w14:solidFill>
          </w14:textFill>
        </w:rPr>
        <w:t>周边</w:t>
      </w:r>
      <w:r>
        <w:rPr>
          <w:rFonts w:cs="Times New Roman"/>
          <w:color w:val="000000" w:themeColor="text1"/>
          <w:szCs w:val="24"/>
          <w:highlight w:val="none"/>
          <w14:textFill>
            <w14:solidFill>
              <w14:schemeClr w14:val="tx1"/>
            </w14:solidFill>
          </w14:textFill>
        </w:rPr>
        <w:t>其他中石化川东北地区钻采工程采用相同地下水污染防治措施，到目前为止，</w:t>
      </w:r>
      <w:r>
        <w:rPr>
          <w:rFonts w:cs="Times New Roman"/>
          <w:color w:val="000000" w:themeColor="text1"/>
          <w:highlight w:val="none"/>
          <w14:textFill>
            <w14:solidFill>
              <w14:schemeClr w14:val="tx1"/>
            </w14:solidFill>
          </w14:textFill>
        </w:rPr>
        <w:t>中原油田普光分公司</w:t>
      </w:r>
      <w:r>
        <w:rPr>
          <w:rFonts w:cs="Times New Roman"/>
          <w:color w:val="000000" w:themeColor="text1"/>
          <w:szCs w:val="24"/>
          <w:highlight w:val="none"/>
          <w14:textFill>
            <w14:solidFill>
              <w14:schemeClr w14:val="tx1"/>
            </w14:solidFill>
          </w14:textFill>
        </w:rPr>
        <w:t>未收到地下水污染方面的环保投诉。因此，本项目施工期地下水防治措施从经济和环保角度分析是合理、可行的。</w:t>
      </w:r>
    </w:p>
    <w:p>
      <w:pPr>
        <w:pStyle w:val="4"/>
        <w:spacing w:before="0" w:beforeLines="0"/>
        <w:ind w:firstLine="480"/>
        <w:rPr>
          <w:b/>
          <w:color w:val="000000" w:themeColor="text1"/>
          <w:highlight w:val="none"/>
          <w:lang w:eastAsia="zh-CN"/>
          <w14:textFill>
            <w14:solidFill>
              <w14:schemeClr w14:val="tx1"/>
            </w14:solidFill>
          </w14:textFill>
        </w:rPr>
      </w:pPr>
      <w:bookmarkStart w:id="465" w:name="6.1.3施工噪声防治措施及可行性分析"/>
      <w:bookmarkEnd w:id="465"/>
      <w:bookmarkStart w:id="466" w:name="_Toc120173214"/>
      <w:r>
        <w:rPr>
          <w:color w:val="000000" w:themeColor="text1"/>
          <w:highlight w:val="none"/>
          <w:lang w:eastAsia="zh-CN"/>
          <w14:textFill>
            <w14:solidFill>
              <w14:schemeClr w14:val="tx1"/>
            </w14:solidFill>
          </w14:textFill>
        </w:rPr>
        <w:t>施工噪声防治措施及可行性分析</w:t>
      </w:r>
      <w:bookmarkEnd w:id="466"/>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ascii="Times New Roman" w:hAnsi="Times New Roman"/>
          <w:bCs/>
          <w:color w:val="000000" w:themeColor="text1"/>
          <w:kern w:val="2"/>
          <w:highlight w:val="none"/>
          <w:lang w:eastAsia="zh-CN"/>
          <w14:textFill>
            <w14:solidFill>
              <w14:schemeClr w14:val="tx1"/>
            </w14:solidFill>
          </w14:textFill>
        </w:rPr>
        <w:t>结合项目特点，施工噪声，施工期的噪声影响主要来自钻井噪声、储层改造时的设备噪声及测试放喷噪声等。</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ascii="Times New Roman" w:hAnsi="Times New Roman"/>
          <w:bCs/>
          <w:color w:val="000000" w:themeColor="text1"/>
          <w:kern w:val="2"/>
          <w:highlight w:val="none"/>
          <w:lang w:eastAsia="zh-CN"/>
          <w14:textFill>
            <w14:solidFill>
              <w14:schemeClr w14:val="tx1"/>
            </w14:solidFill>
          </w14:textFill>
        </w:rPr>
        <w:t>其中</w:t>
      </w:r>
      <w:r>
        <w:rPr>
          <w:rFonts w:ascii="Times New Roman" w:hAnsi="Times New Roman"/>
          <w:bCs/>
          <w:color w:val="000000" w:themeColor="text1"/>
          <w:kern w:val="2"/>
          <w:highlight w:val="none"/>
          <w:lang w:eastAsia="zh-CN"/>
          <w14:textFill>
            <w14:solidFill>
              <w14:schemeClr w14:val="tx1"/>
            </w14:solidFill>
          </w14:textFill>
        </w:rPr>
        <w:t>对于钻井噪声，目前还没有针对声源的十分经济有效的防治措施，主要是选用低噪声设备，再通过合理的井场布局来减轻噪声的影响。为进一步降低噪声对周边居民的影响，施工期间建设单位应采取如下措施：</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（1）本项目新钻井设备安装等少量钻前施工前应作好沟通工作，合理安排作业时间，尽量避免午间12</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00~14</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00和夜间22</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00~7</w:t>
      </w:r>
      <w:r>
        <w:rPr>
          <w:rFonts w:hint="eastAsia" w:ascii="Times New Roman" w:hAnsi="Times New Roman"/>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00施工，并尽量缩短施工周期。</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2）合理布置主要噪声源，使其尽量远离农户居住地；为办公及生活提供电力的发电机设置发电机房，采用特殊的减震，并安装吸声材料；为钻机提供动力的柴油机安装消声装置和设置减震基础；钻井设备、泥浆泵基础设置减震垫；空压机和增压机安装在房间内，隔声并安装减震垫层。</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（3）建设单位应做好与地方供电部门的沟通工作，确保供电正常，</w:t>
      </w:r>
      <w:r>
        <w:rPr>
          <w:rFonts w:hint="eastAsia" w:ascii="Times New Roman" w:hAnsi="Times New Roman"/>
          <w:bCs/>
          <w:color w:val="000000" w:themeColor="text1"/>
          <w:kern w:val="2"/>
          <w:highlight w:val="none"/>
          <w:lang w:eastAsia="zh-CN"/>
          <w14:textFill>
            <w14:solidFill>
              <w14:schemeClr w14:val="tx1"/>
            </w14:solidFill>
          </w14:textFill>
        </w:rPr>
        <w:t>根据当地停电计划合理安排施工，</w:t>
      </w:r>
      <w:r>
        <w:rPr>
          <w:rFonts w:ascii="Times New Roman" w:hAnsi="Times New Roman"/>
          <w:bCs/>
          <w:color w:val="000000" w:themeColor="text1"/>
          <w:kern w:val="2"/>
          <w:highlight w:val="none"/>
          <w:lang w:eastAsia="zh-CN"/>
          <w14:textFill>
            <w14:solidFill>
              <w14:schemeClr w14:val="tx1"/>
            </w14:solidFill>
          </w14:textFill>
        </w:rPr>
        <w:t>尽量减少备用柴油机的启用。为办公及生活提供电力的备用发电机设置发电机房，采用特殊的减震，并安装吸声材料；泥浆泵设置泵房；为钻机提供动力的柴油机安装消声装置和设置减震基础。</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4）施工方在施工期间应加强施工管理，柴油机、泥浆泵等设备应做好日常维护，同时在操作时做到平稳操作，避免特种作业时产生非正常的噪声；在夜间作业时，应平稳操作，尽量避免敲击噪声；加强施工人员的管理和教育，减少不必要的金属敲击声和人为噪声。</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（5）运输车辆沿规定路线行驶，减少鸣笛，经过村庄等居民区时缓慢平稳行驶。</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ascii="Times New Roman" w:hAnsi="Times New Roman"/>
          <w:bCs/>
          <w:color w:val="000000" w:themeColor="text1"/>
          <w:kern w:val="2"/>
          <w:highlight w:val="none"/>
          <w:lang w:eastAsia="zh-CN"/>
          <w14:textFill>
            <w14:solidFill>
              <w14:schemeClr w14:val="tx1"/>
            </w14:solidFill>
          </w14:textFill>
        </w:rPr>
        <w:t>（6）</w:t>
      </w:r>
      <w:r>
        <w:rPr>
          <w:rFonts w:ascii="Times New Roman" w:hAnsi="Times New Roman"/>
          <w:color w:val="000000" w:themeColor="text1"/>
          <w:highlight w:val="none"/>
          <w:lang w:eastAsia="zh-CN"/>
          <w14:textFill>
            <w14:solidFill>
              <w14:schemeClr w14:val="tx1"/>
            </w14:solidFill>
          </w14:textFill>
        </w:rPr>
        <w:t>本项目优先采用网电供电，</w:t>
      </w:r>
      <w:r>
        <w:rPr>
          <w:rFonts w:hint="eastAsia" w:ascii="Times New Roman" w:hAnsi="Times New Roman"/>
          <w:color w:val="000000" w:themeColor="text1"/>
          <w:highlight w:val="none"/>
          <w:lang w:eastAsia="zh-CN"/>
          <w14:textFill>
            <w14:solidFill>
              <w14:schemeClr w14:val="tx1"/>
            </w14:solidFill>
          </w14:textFill>
        </w:rPr>
        <w:t>建设单位应</w:t>
      </w:r>
      <w:r>
        <w:rPr>
          <w:rFonts w:ascii="Times New Roman" w:hAnsi="Times New Roman"/>
          <w:color w:val="000000" w:themeColor="text1"/>
          <w:highlight w:val="none"/>
          <w:lang w:eastAsia="zh-CN"/>
          <w14:textFill>
            <w14:solidFill>
              <w14:schemeClr w14:val="tx1"/>
            </w14:solidFill>
          </w14:textFill>
        </w:rPr>
        <w:t>通过宣传讲解</w:t>
      </w:r>
      <w:r>
        <w:rPr>
          <w:rFonts w:hint="eastAsia" w:ascii="Times New Roman" w:hAnsi="Times New Roman"/>
          <w:color w:val="000000" w:themeColor="text1"/>
          <w:highlight w:val="none"/>
          <w:lang w:eastAsia="zh-CN"/>
          <w14:textFill>
            <w14:solidFill>
              <w14:schemeClr w14:val="tx1"/>
            </w14:solidFill>
          </w14:textFill>
        </w:rPr>
        <w:t>、</w:t>
      </w:r>
      <w:r>
        <w:rPr>
          <w:rFonts w:hint="eastAsia"/>
          <w:color w:val="000000" w:themeColor="text1"/>
          <w:highlight w:val="none"/>
          <w:lang w:eastAsia="zh-CN"/>
          <w14:textFill>
            <w14:solidFill>
              <w14:schemeClr w14:val="tx1"/>
            </w14:solidFill>
          </w14:textFill>
        </w:rPr>
        <w:t>加强与周边居民的沟通协调</w:t>
      </w:r>
      <w:r>
        <w:rPr>
          <w:rFonts w:ascii="Times New Roman" w:hAnsi="Times New Roman"/>
          <w:color w:val="000000" w:themeColor="text1"/>
          <w:highlight w:val="none"/>
          <w:lang w:eastAsia="zh-CN"/>
          <w14:textFill>
            <w14:solidFill>
              <w14:schemeClr w14:val="tx1"/>
            </w14:solidFill>
          </w14:textFill>
        </w:rPr>
        <w:t>、</w:t>
      </w:r>
      <w:r>
        <w:rPr>
          <w:rFonts w:hint="eastAsia" w:ascii="Times New Roman" w:hAnsi="Times New Roman"/>
          <w:color w:val="000000" w:themeColor="text1"/>
          <w:highlight w:val="none"/>
          <w:lang w:eastAsia="zh-CN"/>
          <w14:textFill>
            <w14:solidFill>
              <w14:schemeClr w14:val="tx1"/>
            </w14:solidFill>
          </w14:textFill>
        </w:rPr>
        <w:t>取得村民理解和谅解</w:t>
      </w:r>
      <w:r>
        <w:rPr>
          <w:rFonts w:ascii="Times New Roman" w:hAnsi="Times New Roman"/>
          <w:color w:val="000000" w:themeColor="text1"/>
          <w:highlight w:val="none"/>
          <w:lang w:eastAsia="zh-CN"/>
          <w14:textFill>
            <w14:solidFill>
              <w14:schemeClr w14:val="tx1"/>
            </w14:solidFill>
          </w14:textFill>
        </w:rPr>
        <w:t>的方式，将噪声对周边环境的影响降至最低</w:t>
      </w:r>
      <w:r>
        <w:rPr>
          <w:rFonts w:hint="eastAsia"/>
          <w:color w:val="000000" w:themeColor="text1"/>
          <w:highlight w:val="none"/>
          <w:lang w:eastAsia="zh-CN"/>
          <w14:textFill>
            <w14:solidFill>
              <w14:schemeClr w14:val="tx1"/>
            </w14:solidFill>
          </w14:textFill>
        </w:rPr>
        <w:t>，确保无噪声污染投诉</w:t>
      </w:r>
      <w:r>
        <w:rPr>
          <w:rFonts w:ascii="Times New Roman" w:hAnsi="Times New Roman"/>
          <w:color w:val="000000" w:themeColor="text1"/>
          <w:highlight w:val="none"/>
          <w:lang w:eastAsia="zh-CN"/>
          <w14:textFill>
            <w14:solidFill>
              <w14:schemeClr w14:val="tx1"/>
            </w14:solidFill>
          </w14:textFill>
        </w:rPr>
        <w:t>。</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ascii="Times New Roman" w:hAnsi="Times New Roman"/>
          <w:bCs/>
          <w:color w:val="000000" w:themeColor="text1"/>
          <w:kern w:val="2"/>
          <w:highlight w:val="none"/>
          <w:lang w:eastAsia="zh-CN"/>
          <w14:textFill>
            <w14:solidFill>
              <w14:schemeClr w14:val="tx1"/>
            </w14:solidFill>
          </w14:textFill>
        </w:rPr>
        <w:t>针对于储层改造阶段噪声，主要通过以下措施减小影响：</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hint="eastAsia" w:ascii="Times New Roman" w:hAnsi="Times New Roman"/>
          <w:bCs/>
          <w:color w:val="000000" w:themeColor="text1"/>
          <w:kern w:val="2"/>
          <w:highlight w:val="none"/>
          <w:lang w:eastAsia="zh-CN"/>
          <w14:textFill>
            <w14:solidFill>
              <w14:schemeClr w14:val="tx1"/>
            </w14:solidFill>
          </w14:textFill>
        </w:rPr>
        <w:t>（1）</w:t>
      </w:r>
      <w:r>
        <w:rPr>
          <w:rFonts w:ascii="Times New Roman" w:hAnsi="Times New Roman"/>
          <w:bCs/>
          <w:color w:val="000000" w:themeColor="text1"/>
          <w:kern w:val="2"/>
          <w:highlight w:val="none"/>
          <w:lang w:eastAsia="zh-CN"/>
          <w14:textFill>
            <w14:solidFill>
              <w14:schemeClr w14:val="tx1"/>
            </w14:solidFill>
          </w14:textFill>
        </w:rPr>
        <w:t>选用低噪声设备</w:t>
      </w:r>
      <w:r>
        <w:rPr>
          <w:rFonts w:hint="eastAsia" w:ascii="Times New Roman" w:hAnsi="Times New Roman"/>
          <w:bCs/>
          <w:color w:val="000000" w:themeColor="text1"/>
          <w:kern w:val="2"/>
          <w:highlight w:val="none"/>
          <w:lang w:eastAsia="zh-CN"/>
          <w14:textFill>
            <w14:solidFill>
              <w14:schemeClr w14:val="tx1"/>
            </w14:solidFill>
          </w14:textFill>
        </w:rPr>
        <w:t>压裂作业设备，并</w:t>
      </w:r>
      <w:r>
        <w:rPr>
          <w:rFonts w:ascii="Times New Roman" w:hAnsi="Times New Roman"/>
          <w:bCs/>
          <w:color w:val="000000" w:themeColor="text1"/>
          <w:kern w:val="2"/>
          <w:highlight w:val="none"/>
          <w:lang w:eastAsia="zh-CN"/>
          <w14:textFill>
            <w14:solidFill>
              <w14:schemeClr w14:val="tx1"/>
            </w14:solidFill>
          </w14:textFill>
        </w:rPr>
        <w:t>加强维护保养</w:t>
      </w:r>
      <w:r>
        <w:rPr>
          <w:rFonts w:hint="eastAsia" w:ascii="Times New Roman" w:hAnsi="Times New Roman"/>
          <w:bCs/>
          <w:color w:val="000000" w:themeColor="text1"/>
          <w:kern w:val="2"/>
          <w:highlight w:val="none"/>
          <w:lang w:eastAsia="zh-CN"/>
          <w14:textFill>
            <w14:solidFill>
              <w14:schemeClr w14:val="tx1"/>
            </w14:solidFill>
          </w14:textFill>
        </w:rPr>
        <w:t>；</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w:t>
      </w:r>
      <w:r>
        <w:rPr>
          <w:rFonts w:hint="eastAsia" w:ascii="Times New Roman" w:hAnsi="Times New Roman"/>
          <w:bCs/>
          <w:color w:val="000000" w:themeColor="text1"/>
          <w:kern w:val="2"/>
          <w:highlight w:val="none"/>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）放喷池设置三面建3m的围墙，可以降低一定的噪声；</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w:t>
      </w:r>
      <w:r>
        <w:rPr>
          <w:rFonts w:hint="eastAsia" w:ascii="Times New Roman" w:hAnsi="Times New Roman"/>
          <w:bCs/>
          <w:color w:val="000000" w:themeColor="text1"/>
          <w:kern w:val="2"/>
          <w:highlight w:val="none"/>
          <w:lang w:eastAsia="zh-CN"/>
          <w14:textFill>
            <w14:solidFill>
              <w14:schemeClr w14:val="tx1"/>
            </w14:solidFill>
          </w14:textFill>
        </w:rPr>
        <w:t>3</w:t>
      </w:r>
      <w:r>
        <w:rPr>
          <w:rFonts w:ascii="Times New Roman" w:hAnsi="Times New Roman"/>
          <w:bCs/>
          <w:color w:val="000000" w:themeColor="text1"/>
          <w:kern w:val="2"/>
          <w:highlight w:val="none"/>
          <w:lang w:eastAsia="zh-CN"/>
          <w14:textFill>
            <w14:solidFill>
              <w14:schemeClr w14:val="tx1"/>
            </w14:solidFill>
          </w14:textFill>
        </w:rPr>
        <w:t>）放喷测试前，建设方和当地政府应对距放喷口一定范围内（该距离根据行安全预评价预测结果来确定）的居民进行临时撤离并建立警戒点进行24h警戒，能有效避免测试放喷噪声对周边居民影响。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综上所述，本项目施工期声环境保护措施，在川东北地区钻采工程中已实施多年，具有较好的借鉴经验。根据本井场</w:t>
      </w:r>
      <w:r>
        <w:rPr>
          <w:rFonts w:hint="eastAsia" w:cs="Times New Roman"/>
          <w:color w:val="000000" w:themeColor="text1"/>
          <w:szCs w:val="24"/>
          <w:highlight w:val="none"/>
          <w14:textFill>
            <w14:solidFill>
              <w14:schemeClr w14:val="tx1"/>
            </w14:solidFill>
          </w14:textFill>
        </w:rPr>
        <w:t>周边</w:t>
      </w:r>
      <w:r>
        <w:rPr>
          <w:rFonts w:cs="Times New Roman"/>
          <w:color w:val="000000" w:themeColor="text1"/>
          <w:szCs w:val="24"/>
          <w:highlight w:val="none"/>
          <w14:textFill>
            <w14:solidFill>
              <w14:schemeClr w14:val="tx1"/>
            </w14:solidFill>
          </w14:textFill>
        </w:rPr>
        <w:t>其他中石化川东北地区钻采工程采用相同噪声污染防治措施，</w:t>
      </w:r>
      <w:r>
        <w:rPr>
          <w:color w:val="000000" w:themeColor="text1"/>
          <w:szCs w:val="24"/>
          <w:highlight w:val="none"/>
          <w14:textFill>
            <w14:solidFill>
              <w14:schemeClr w14:val="tx1"/>
            </w14:solidFill>
          </w14:textFill>
        </w:rPr>
        <w:t>治理措施有效可行</w:t>
      </w:r>
      <w:r>
        <w:rPr>
          <w:rFonts w:cs="Times New Roman"/>
          <w:color w:val="000000" w:themeColor="text1"/>
          <w:szCs w:val="24"/>
          <w:highlight w:val="none"/>
          <w14:textFill>
            <w14:solidFill>
              <w14:schemeClr w14:val="tx1"/>
            </w14:solidFill>
          </w14:textFill>
        </w:rPr>
        <w:t>。因此，本项目施工期噪声污染防治措施从经济和环保角度分析是合理、可行的。</w:t>
      </w:r>
    </w:p>
    <w:p>
      <w:pPr>
        <w:pStyle w:val="4"/>
        <w:spacing w:before="0" w:beforeLines="0"/>
        <w:ind w:firstLine="480"/>
        <w:rPr>
          <w:b/>
          <w:color w:val="000000" w:themeColor="text1"/>
          <w:highlight w:val="none"/>
          <w:lang w:eastAsia="zh-CN"/>
          <w14:textFill>
            <w14:solidFill>
              <w14:schemeClr w14:val="tx1"/>
            </w14:solidFill>
          </w14:textFill>
        </w:rPr>
      </w:pPr>
      <w:bookmarkStart w:id="467" w:name="6.1.4固体废物污染防治措施"/>
      <w:bookmarkEnd w:id="467"/>
      <w:bookmarkStart w:id="468" w:name="_Toc120173215"/>
      <w:r>
        <w:rPr>
          <w:color w:val="000000" w:themeColor="text1"/>
          <w:highlight w:val="none"/>
          <w:lang w:eastAsia="zh-CN"/>
          <w14:textFill>
            <w14:solidFill>
              <w14:schemeClr w14:val="tx1"/>
            </w14:solidFill>
          </w14:textFill>
        </w:rPr>
        <w:t>施工期土壤环境污染防治措施</w:t>
      </w:r>
      <w:bookmarkEnd w:id="468"/>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1、源头控制措施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从钻井原辅材料和污染物（废水、废油、钻井固废）储存、装卸、运输、钻井过程等全过程控制各种有毒有害原辅材料、中间材料（循环泥浆）、污染物（废水、废油、钻井固废）泄漏（含跑、冒、滴、漏），同时对有害物质可能泄漏到地面的区域采取防渗措施，阻止其进入土壤中，即从源头到末端全方位采取控制措施，防止项目的建设对土壤造成污染。</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从钻井过程入手，在工艺、管道、设备、给排水等方面尽可能地采取泄漏控制措施，从源头最大限度降低污染物质泄漏的可能性和泄漏量，使项目区污染物对土壤的影响降至最低，一旦出现泄漏等即可由区域内的各种配套措施进行收集、处置，同时经过防渗处理的地面有效阻止污染物的下渗。</w:t>
      </w:r>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2、过程控制措施</w:t>
      </w:r>
    </w:p>
    <w:p>
      <w:pPr>
        <w:ind w:firstLine="482"/>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（1）地面漫流污染途径治理措施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泥浆不落地技术工艺区域及泥浆循环系统、泥浆料台区、油罐区、柴油机组区均设置了防雨棚，危险废物、发电机均设在活动房内，方井周边、放喷池在雨天加盖篷布，避免暴雨引起废水、废油外溢形成地面漫流。并在废水收集罐周围设置0.</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m高围堰，防止废水外溢；油罐区周围设置0.</w:t>
      </w: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m高围堰及集油池，防止</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油料外溢；放喷池最低面墙设置不低于0.5m，避免废水进入；井口作业区周边设置导流沟，将可能泄露的废水导流至集污坑；井场四周设置双环沟，外环沟与自然沟渠连接，便于排出场地内雨水等，内环沟用于收集井场内的雨水和可能产生的污水，汇入集污坑。通过以上措施全面防控事故废水和可能受污染的雨水发生地面漫流，进入土壤。</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（2）垂直入渗污染途径治理措施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井场进行分区防渗，见地下水污染防治措施章节。对易泄漏的废水收集罐、废渣收集罐、泥浆储罐、泥浆循环罐、柴油罐、污水罐等罐体采用防腐、不易破损的材质，防治罐体腐蚀破裂导致污染物泄露；井场设备、管道阀门宜采用密封性好、不易腐蚀的，防止污染物通过阀门泄漏到地面上。</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总的来说，地下水和土壤污染防治措施应按照</w:t>
      </w:r>
      <w:r>
        <w:rPr>
          <w:rFonts w:ascii="宋体" w:hAnsi="宋体"/>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源头控制、分区防控、污染监控、应急响</w:t>
      </w:r>
      <w:r>
        <w:rPr>
          <w:rFonts w:ascii="宋体" w:hAnsi="宋体"/>
          <w:color w:val="000000" w:themeColor="text1"/>
          <w:highlight w:val="none"/>
          <w14:textFill>
            <w14:solidFill>
              <w14:schemeClr w14:val="tx1"/>
            </w14:solidFill>
          </w14:textFill>
        </w:rPr>
        <w:t>应”</w:t>
      </w:r>
      <w:r>
        <w:rPr>
          <w:color w:val="000000" w:themeColor="text1"/>
          <w:highlight w:val="none"/>
          <w14:textFill>
            <w14:solidFill>
              <w14:schemeClr w14:val="tx1"/>
            </w14:solidFill>
          </w14:textFill>
        </w:rPr>
        <w:t>相结合的原则，从污染物的产生、入渗、扩散、应急响应进行控制。这些措施</w:t>
      </w:r>
      <w:r>
        <w:rPr>
          <w:color w:val="000000" w:themeColor="text1"/>
          <w:szCs w:val="24"/>
          <w:highlight w:val="none"/>
          <w14:textFill>
            <w14:solidFill>
              <w14:schemeClr w14:val="tx1"/>
            </w14:solidFill>
          </w14:textFill>
        </w:rPr>
        <w:t>在川东北地区钻采工程中已实施多年，具有较好的借鉴经验。根据本井场</w:t>
      </w:r>
      <w:r>
        <w:rPr>
          <w:rFonts w:hint="eastAsia"/>
          <w:color w:val="000000" w:themeColor="text1"/>
          <w:szCs w:val="24"/>
          <w:highlight w:val="none"/>
          <w14:textFill>
            <w14:solidFill>
              <w14:schemeClr w14:val="tx1"/>
            </w14:solidFill>
          </w14:textFill>
        </w:rPr>
        <w:t>周边</w:t>
      </w:r>
      <w:r>
        <w:rPr>
          <w:color w:val="000000" w:themeColor="text1"/>
          <w:szCs w:val="24"/>
          <w:highlight w:val="none"/>
          <w14:textFill>
            <w14:solidFill>
              <w14:schemeClr w14:val="tx1"/>
            </w14:solidFill>
          </w14:textFill>
        </w:rPr>
        <w:t>其他中石化川东北地区钻采工程采用相同土壤污染防治措施，在加强管理和监控后，无土壤污染现象和投诉发生。因此，本项目施工期土壤污染防治措施从经济和环保角度分析是合理、可行的。</w:t>
      </w:r>
    </w:p>
    <w:p>
      <w:pPr>
        <w:pStyle w:val="4"/>
        <w:spacing w:before="0" w:beforeLines="0"/>
        <w:ind w:firstLine="480"/>
        <w:rPr>
          <w:b/>
          <w:color w:val="000000" w:themeColor="text1"/>
          <w:highlight w:val="none"/>
          <w:lang w:eastAsia="zh-CN"/>
          <w14:textFill>
            <w14:solidFill>
              <w14:schemeClr w14:val="tx1"/>
            </w14:solidFill>
          </w14:textFill>
        </w:rPr>
      </w:pPr>
      <w:bookmarkStart w:id="469" w:name="_Toc120173216"/>
      <w:r>
        <w:rPr>
          <w:color w:val="000000" w:themeColor="text1"/>
          <w:highlight w:val="none"/>
          <w:lang w:eastAsia="zh-CN"/>
          <w14:textFill>
            <w14:solidFill>
              <w14:schemeClr w14:val="tx1"/>
            </w14:solidFill>
          </w14:textFill>
        </w:rPr>
        <w:t>施工期固体废物污染防治措施</w:t>
      </w:r>
      <w:bookmarkEnd w:id="469"/>
    </w:p>
    <w:p>
      <w:pPr>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14:textFill>
            <w14:solidFill>
              <w14:schemeClr w14:val="tx1"/>
            </w14:solidFill>
          </w14:textFill>
        </w:rPr>
        <w:t>1、钻前工程</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（1）基础开挖土石方</w:t>
      </w:r>
    </w:p>
    <w:p>
      <w:pPr>
        <w:ind w:firstLine="480"/>
        <w:rPr>
          <w:rFonts w:cs="Times New Roman"/>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w:t>
      </w:r>
      <w:r>
        <w:rPr>
          <w:color w:val="000000" w:themeColor="text1"/>
          <w:highlight w:val="none"/>
          <w14:textFill>
            <w14:solidFill>
              <w14:schemeClr w14:val="tx1"/>
            </w14:solidFill>
          </w14:textFill>
        </w:rPr>
        <w:t>项目井场平场、设备基础</w:t>
      </w:r>
      <w:r>
        <w:rPr>
          <w:rFonts w:hint="eastAsia"/>
          <w:color w:val="000000" w:themeColor="text1"/>
          <w:highlight w:val="none"/>
          <w14:textFill>
            <w14:solidFill>
              <w14:schemeClr w14:val="tx1"/>
            </w14:solidFill>
          </w14:textFill>
        </w:rPr>
        <w:t>、集输管线</w:t>
      </w:r>
      <w:r>
        <w:rPr>
          <w:color w:val="000000" w:themeColor="text1"/>
          <w:highlight w:val="none"/>
          <w14:textFill>
            <w14:solidFill>
              <w14:schemeClr w14:val="tx1"/>
            </w14:solidFill>
          </w14:textFill>
        </w:rPr>
        <w:t>等土石方总开挖方量</w:t>
      </w:r>
      <w:r>
        <w:rPr>
          <w:rFonts w:hint="eastAsia"/>
          <w:color w:val="000000" w:themeColor="text1"/>
          <w:highlight w:val="none"/>
          <w14:textFill>
            <w14:solidFill>
              <w14:schemeClr w14:val="tx1"/>
            </w14:solidFill>
          </w14:textFill>
        </w:rPr>
        <w:t>12600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，总填方量</w:t>
      </w:r>
      <w:r>
        <w:rPr>
          <w:rFonts w:hint="eastAsia"/>
          <w:color w:val="000000" w:themeColor="text1"/>
          <w:highlight w:val="none"/>
          <w14:textFill>
            <w14:solidFill>
              <w14:schemeClr w14:val="tx1"/>
            </w14:solidFill>
          </w14:textFill>
        </w:rPr>
        <w:t>10200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余</w:t>
      </w:r>
      <w:r>
        <w:rPr>
          <w:color w:val="000000" w:themeColor="text1"/>
          <w:highlight w:val="none"/>
          <w14:textFill>
            <w14:solidFill>
              <w14:schemeClr w14:val="tx1"/>
            </w14:solidFill>
          </w14:textFill>
        </w:rPr>
        <w:t>方约</w:t>
      </w:r>
      <w:r>
        <w:rPr>
          <w:rFonts w:hint="eastAsia"/>
          <w:color w:val="000000" w:themeColor="text1"/>
          <w:highlight w:val="none"/>
          <w14:textFill>
            <w14:solidFill>
              <w14:schemeClr w14:val="tx1"/>
            </w14:solidFill>
          </w14:textFill>
        </w:rPr>
        <w:t>240</w:t>
      </w:r>
      <w:r>
        <w:rPr>
          <w:color w:val="000000" w:themeColor="text1"/>
          <w:highlight w:val="none"/>
          <w14:textFill>
            <w14:solidFill>
              <w14:schemeClr w14:val="tx1"/>
            </w14:solidFill>
          </w14:textFill>
        </w:rPr>
        <w:t>0m</w:t>
      </w:r>
      <w:r>
        <w:rPr>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。余方于井场弃土区堆放</w:t>
      </w:r>
      <w:r>
        <w:rPr>
          <w:color w:val="000000" w:themeColor="text1"/>
          <w:highlight w:val="none"/>
          <w14:textFill>
            <w14:solidFill>
              <w14:schemeClr w14:val="tx1"/>
            </w14:solidFill>
          </w14:textFill>
        </w:rPr>
        <w:t>堆场，</w:t>
      </w:r>
      <w:r>
        <w:rPr>
          <w:rFonts w:hint="eastAsia"/>
          <w:bCs/>
          <w:color w:val="000000" w:themeColor="text1"/>
          <w:highlight w:val="none"/>
          <w14:textFill>
            <w14:solidFill>
              <w14:schemeClr w14:val="tx1"/>
            </w14:solidFill>
          </w14:textFill>
        </w:rPr>
        <w:t>弃土堆放区面积2800m</w:t>
      </w:r>
      <w:r>
        <w:rPr>
          <w:rFonts w:hint="eastAsia"/>
          <w:bCs/>
          <w:color w:val="000000" w:themeColor="text1"/>
          <w:highlight w:val="none"/>
          <w:vertAlign w:val="superscript"/>
          <w14:textFill>
            <w14:solidFill>
              <w14:schemeClr w14:val="tx1"/>
            </w14:solidFill>
          </w14:textFill>
        </w:rPr>
        <w:t>2</w:t>
      </w:r>
      <w:r>
        <w:rPr>
          <w:rFonts w:hint="eastAsia"/>
          <w:bCs/>
          <w:color w:val="000000" w:themeColor="text1"/>
          <w:highlight w:val="none"/>
          <w14:textFill>
            <w14:solidFill>
              <w14:schemeClr w14:val="tx1"/>
            </w14:solidFill>
          </w14:textFill>
        </w:rPr>
        <w:t>，堆高约3m，总堆放容量约2800m</w:t>
      </w:r>
      <w:r>
        <w:rPr>
          <w:rFonts w:hint="eastAsia"/>
          <w:bCs/>
          <w:color w:val="000000" w:themeColor="text1"/>
          <w:highlight w:val="none"/>
          <w:vertAlign w:val="superscript"/>
          <w14:textFill>
            <w14:solidFill>
              <w14:schemeClr w14:val="tx1"/>
            </w14:solidFill>
          </w14:textFill>
        </w:rPr>
        <w:t>3</w:t>
      </w:r>
      <w:r>
        <w:rPr>
          <w:rFonts w:hint="eastAsia"/>
          <w:bCs/>
          <w:color w:val="000000" w:themeColor="text1"/>
          <w:highlight w:val="none"/>
          <w14:textFill>
            <w14:solidFill>
              <w14:schemeClr w14:val="tx1"/>
            </w14:solidFill>
          </w14:textFill>
        </w:rPr>
        <w:t>，满足井场建设弃土临时堆场需求</w:t>
      </w:r>
      <w:r>
        <w:rPr>
          <w:rFonts w:hint="eastAsia"/>
          <w:color w:val="000000" w:themeColor="text1"/>
          <w:highlight w:val="none"/>
          <w14:textFill>
            <w14:solidFill>
              <w14:schemeClr w14:val="tx1"/>
            </w14:solidFill>
          </w14:textFill>
        </w:rPr>
        <w:t>；管道工程地面敷设，挖填方很少，平整和压实场地时能做到土石方平衡</w:t>
      </w:r>
      <w:r>
        <w:rPr>
          <w:rFonts w:hint="eastAsia" w:cs="Times New Roman"/>
          <w:color w:val="000000" w:themeColor="text1"/>
          <w:szCs w:val="24"/>
          <w:highlight w:val="none"/>
          <w14:textFill>
            <w14:solidFill>
              <w14:schemeClr w14:val="tx1"/>
            </w14:solidFill>
          </w14:textFill>
        </w:rPr>
        <w:t>。</w:t>
      </w:r>
    </w:p>
    <w:p>
      <w:pPr>
        <w:ind w:firstLine="482"/>
        <w:rPr>
          <w:rFonts w:cs="Times New Roman"/>
          <w:b/>
          <w:bCs/>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（2</w:t>
      </w:r>
      <w:r>
        <w:rPr>
          <w:rFonts w:cs="Times New Roman"/>
          <w:b/>
          <w:bCs/>
          <w:color w:val="000000" w:themeColor="text1"/>
          <w:highlight w:val="none"/>
          <w14:textFill>
            <w14:solidFill>
              <w14:schemeClr w14:val="tx1"/>
            </w14:solidFill>
          </w14:textFill>
        </w:rPr>
        <w:t>）建筑垃圾</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在施工现场设置临时建筑垃圾堆放场，覆盖塑料布并做好地面防渗漏处理。建筑垃圾除部分回收利用以外，剩余部分堆放达一定量时应及时清运到当地政府指定的建筑垃圾场处理。运输应尽量避开交通高峰期，并选择对周围环境影响较小的运输路线，运输车辆出场时必须封闭，避免在运输过程中的抛洒现象。</w:t>
      </w:r>
      <w:r>
        <w:rPr>
          <w:rFonts w:hint="eastAsia" w:cs="Times New Roman"/>
          <w:color w:val="000000" w:themeColor="text1"/>
          <w:highlight w:val="none"/>
          <w14:textFill>
            <w14:solidFill>
              <w14:schemeClr w14:val="tx1"/>
            </w14:solidFill>
          </w14:textFill>
        </w:rPr>
        <w:t>该措施可行。</w:t>
      </w:r>
    </w:p>
    <w:p>
      <w:pPr>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14:textFill>
            <w14:solidFill>
              <w14:schemeClr w14:val="tx1"/>
            </w14:solidFill>
          </w14:textFill>
        </w:rPr>
        <w:t>2</w:t>
      </w:r>
      <w:r>
        <w:rPr>
          <w:rFonts w:eastAsia="黑体" w:cs="Times New Roman"/>
          <w:color w:val="000000" w:themeColor="text1"/>
          <w:highlight w:val="none"/>
          <w14:textFill>
            <w14:solidFill>
              <w14:schemeClr w14:val="tx1"/>
            </w14:solidFill>
          </w14:textFill>
        </w:rPr>
        <w:t>、</w:t>
      </w:r>
      <w:r>
        <w:rPr>
          <w:rFonts w:hint="eastAsia" w:eastAsia="黑体" w:cs="Times New Roman"/>
          <w:color w:val="000000" w:themeColor="text1"/>
          <w:highlight w:val="none"/>
          <w14:textFill>
            <w14:solidFill>
              <w14:schemeClr w14:val="tx1"/>
            </w14:solidFill>
          </w14:textFill>
        </w:rPr>
        <w:t>钻井工程</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w:t>
      </w:r>
      <w:r>
        <w:rPr>
          <w:rFonts w:hint="eastAsia" w:cs="Times New Roman"/>
          <w:b/>
          <w:bCs/>
          <w:color w:val="000000" w:themeColor="text1"/>
          <w:highlight w:val="none"/>
          <w14:textFill>
            <w14:solidFill>
              <w14:schemeClr w14:val="tx1"/>
            </w14:solidFill>
          </w14:textFill>
        </w:rPr>
        <w:t>1</w:t>
      </w:r>
      <w:r>
        <w:rPr>
          <w:rFonts w:cs="Times New Roman"/>
          <w:b/>
          <w:bCs/>
          <w:color w:val="000000" w:themeColor="text1"/>
          <w:highlight w:val="none"/>
          <w14:textFill>
            <w14:solidFill>
              <w14:schemeClr w14:val="tx1"/>
            </w14:solidFill>
          </w14:textFill>
        </w:rPr>
        <w:t>）清水岩屑</w:t>
      </w:r>
    </w:p>
    <w:p>
      <w:pPr>
        <w:widowControl/>
        <w:adjustRightInd/>
        <w:snapToGrid/>
        <w:ind w:firstLine="480"/>
        <w:rPr>
          <w:rFonts w:cs="Times New Roman"/>
          <w:color w:val="000000" w:themeColor="text1"/>
          <w:kern w:val="0"/>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清水岩屑及时就近交给依法取得生态环境部门关于利用和处置相关工业固体废物项目环评批复、具有处理处置相应固体废物能力并配套建设有废气、废水、固废等污染物治理设施的单位进行资源化利用</w:t>
      </w:r>
      <w:r>
        <w:rPr>
          <w:rFonts w:cs="Times New Roman"/>
          <w:color w:val="000000" w:themeColor="text1"/>
          <w:kern w:val="0"/>
          <w:szCs w:val="24"/>
          <w:highlight w:val="none"/>
          <w14:textFill>
            <w14:solidFill>
              <w14:schemeClr w14:val="tx1"/>
            </w14:solidFill>
          </w14:textFill>
        </w:rPr>
        <w:t>。</w:t>
      </w:r>
    </w:p>
    <w:p>
      <w:pPr>
        <w:ind w:firstLine="482"/>
        <w:rPr>
          <w:rFonts w:cs="Times New Roman"/>
          <w:b/>
          <w:bCs/>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（2）</w:t>
      </w:r>
      <w:r>
        <w:rPr>
          <w:rFonts w:cs="Times New Roman"/>
          <w:b/>
          <w:bCs/>
          <w:color w:val="000000" w:themeColor="text1"/>
          <w:highlight w:val="none"/>
          <w14:textFill>
            <w14:solidFill>
              <w14:schemeClr w14:val="tx1"/>
            </w14:solidFill>
          </w14:textFill>
        </w:rPr>
        <w:t>水基钻井固废</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水基废弃泥浆和岩屑在钻井现场经泥浆不落地工艺经脱稳-板框压滤进行固液分离后产生的固态</w:t>
      </w:r>
      <w:r>
        <w:rPr>
          <w:rFonts w:cs="Times New Roman"/>
          <w:bCs/>
          <w:color w:val="000000" w:themeColor="text1"/>
          <w:highlight w:val="none"/>
          <w14:textFill>
            <w14:solidFill>
              <w14:schemeClr w14:val="tx1"/>
            </w14:solidFill>
          </w14:textFill>
        </w:rPr>
        <w:t>钻井固废</w:t>
      </w:r>
      <w:r>
        <w:rPr>
          <w:rFonts w:cs="Times New Roman"/>
          <w:color w:val="000000" w:themeColor="text1"/>
          <w:highlight w:val="none"/>
          <w14:textFill>
            <w14:solidFill>
              <w14:schemeClr w14:val="tx1"/>
            </w14:solidFill>
          </w14:textFill>
        </w:rPr>
        <w:t>，在</w:t>
      </w:r>
      <w:r>
        <w:rPr>
          <w:rFonts w:cs="Times New Roman"/>
          <w:color w:val="000000" w:themeColor="text1"/>
          <w:szCs w:val="24"/>
          <w:highlight w:val="none"/>
          <w14:textFill>
            <w14:solidFill>
              <w14:schemeClr w14:val="tx1"/>
            </w14:solidFill>
          </w14:textFill>
        </w:rPr>
        <w:t>泥浆不落地装置附近设置钻井固废暂存区</w:t>
      </w:r>
      <w:r>
        <w:rPr>
          <w:rFonts w:cs="Times New Roman"/>
          <w:color w:val="000000" w:themeColor="text1"/>
          <w:highlight w:val="none"/>
          <w14:textFill>
            <w14:solidFill>
              <w14:schemeClr w14:val="tx1"/>
            </w14:solidFill>
          </w14:textFill>
        </w:rPr>
        <w:t>由废渣收集罐收集后临时暂存，定期用密闭罐车及时就近交给依法取得生态环境部门关于利用和处置相关工业固体废物项目环评批复、具有处理处置相应固体废物能力并配套建设有废气、废水、固废等污染物治理设施的单位进行资源化利用。本项目水基钻井固废产生量约</w:t>
      </w:r>
      <w:r>
        <w:rPr>
          <w:rFonts w:hint="eastAsia" w:cs="Times New Roman"/>
          <w:color w:val="000000" w:themeColor="text1"/>
          <w:highlight w:val="none"/>
          <w14:textFill>
            <w14:solidFill>
              <w14:schemeClr w14:val="tx1"/>
            </w14:solidFill>
          </w14:textFill>
        </w:rPr>
        <w:t>3816.95t</w:t>
      </w:r>
      <w:r>
        <w:rPr>
          <w:rFonts w:cs="Times New Roman"/>
          <w:color w:val="000000" w:themeColor="text1"/>
          <w:highlight w:val="none"/>
          <w14:textFill>
            <w14:solidFill>
              <w14:schemeClr w14:val="tx1"/>
            </w14:solidFill>
          </w14:textFill>
        </w:rPr>
        <w:t>，项目设置在</w:t>
      </w:r>
      <w:r>
        <w:rPr>
          <w:rFonts w:cs="Times New Roman"/>
          <w:color w:val="000000" w:themeColor="text1"/>
          <w:szCs w:val="24"/>
          <w:highlight w:val="none"/>
          <w14:textFill>
            <w14:solidFill>
              <w14:schemeClr w14:val="tx1"/>
            </w14:solidFill>
          </w14:textFill>
        </w:rPr>
        <w:t>钻井固废暂存区</w:t>
      </w:r>
      <w:r>
        <w:rPr>
          <w:rFonts w:cs="Times New Roman"/>
          <w:color w:val="000000" w:themeColor="text1"/>
          <w:highlight w:val="none"/>
          <w14:textFill>
            <w14:solidFill>
              <w14:schemeClr w14:val="tx1"/>
            </w14:solidFill>
          </w14:textFill>
        </w:rPr>
        <w:t>的废渣收集罐容积约100m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，在暂存容积剩余约20％前及时进行转运，能够确保满足水基钻井固废的暂存，不会出现外溢的现象。整个过程废泥浆和岩屑能实现</w:t>
      </w:r>
      <w:r>
        <w:rPr>
          <w:rFonts w:ascii="宋体" w:hAnsi="宋体" w:cs="Times New Roman"/>
          <w:color w:val="000000" w:themeColor="text1"/>
          <w:highlight w:val="none"/>
          <w14:textFill>
            <w14:solidFill>
              <w14:schemeClr w14:val="tx1"/>
            </w14:solidFill>
          </w14:textFill>
        </w:rPr>
        <w:t>“不落地”</w:t>
      </w:r>
      <w:r>
        <w:rPr>
          <w:rFonts w:cs="Times New Roman"/>
          <w:color w:val="000000" w:themeColor="text1"/>
          <w:highlight w:val="none"/>
          <w14:textFill>
            <w14:solidFill>
              <w14:schemeClr w14:val="tx1"/>
            </w14:solidFill>
          </w14:textFill>
        </w:rPr>
        <w:t>，收集和储存主要在罐中实现，最终需拉运资源化利用的为固相。由于其为第Ⅱ类一般工业固体废物，建设单位参照</w:t>
      </w:r>
      <w:r>
        <w:rPr>
          <w:rFonts w:cs="Times New Roman"/>
          <w:snapToGrid w:val="0"/>
          <w:color w:val="000000" w:themeColor="text1"/>
          <w:highlight w:val="none"/>
          <w14:textFill>
            <w14:solidFill>
              <w14:schemeClr w14:val="tx1"/>
            </w14:solidFill>
          </w14:textFill>
        </w:rPr>
        <w:t>《一般工业固体废物贮存和填埋污染控制标准》GB18599-2020中对第Ⅱ类一般工业固体废物的处置要求</w:t>
      </w:r>
      <w:r>
        <w:rPr>
          <w:rFonts w:cs="Times New Roman"/>
          <w:color w:val="000000" w:themeColor="text1"/>
          <w:highlight w:val="none"/>
          <w14:textFill>
            <w14:solidFill>
              <w14:schemeClr w14:val="tx1"/>
            </w14:solidFill>
          </w14:textFill>
        </w:rPr>
        <w:t>。本项目水基钻井固废钻井过程中经泥浆不落地工艺进行固液分离后定期用密闭罐车及时就近交给依法取得生态环境部门关于利用和处置相关工业固体废物项目环评批复、具有处理处置相应固体废物能力并配套建设有废气、废水、固废等污染物治理设施的单位进行资源化利用</w:t>
      </w:r>
      <w:r>
        <w:rPr>
          <w:rFonts w:cs="Times New Roman"/>
          <w:color w:val="000000" w:themeColor="text1"/>
          <w:highlight w:val="none"/>
          <w:shd w:val="clear" w:color="auto" w:fill="FFFFFF"/>
          <w14:textFill>
            <w14:solidFill>
              <w14:schemeClr w14:val="tx1"/>
            </w14:solidFill>
          </w14:textFill>
        </w:rPr>
        <w:t>，基本不在井场暂存</w:t>
      </w:r>
      <w:r>
        <w:rPr>
          <w:rFonts w:cs="Times New Roman"/>
          <w:color w:val="000000" w:themeColor="text1"/>
          <w:highlight w:val="none"/>
          <w14:textFill>
            <w14:solidFill>
              <w14:schemeClr w14:val="tx1"/>
            </w14:solidFill>
          </w14:textFill>
        </w:rPr>
        <w:t>。同时此举符合《水泥窑协同处置固体废物污染防治技术政策》（环保部公告2016年第72号），属国家鼓励的污染物治理方式。</w:t>
      </w:r>
      <w:r>
        <w:rPr>
          <w:rFonts w:cs="Times New Roman"/>
          <w:bCs/>
          <w:color w:val="000000" w:themeColor="text1"/>
          <w:highlight w:val="none"/>
          <w14:textFill>
            <w14:solidFill>
              <w14:schemeClr w14:val="tx1"/>
            </w14:solidFill>
          </w14:textFill>
        </w:rPr>
        <w:t>完钻后井筒内替换出来的泥浆经循环系统处理后与泥浆循环系统内剩余的合格钻井泥浆用于区块其他项目钻井回用</w:t>
      </w:r>
      <w:r>
        <w:rPr>
          <w:rFonts w:cs="Times New Roman"/>
          <w:color w:val="000000" w:themeColor="text1"/>
          <w:highlight w:val="none"/>
          <w14:textFill>
            <w14:solidFill>
              <w14:schemeClr w14:val="tx1"/>
            </w14:solidFill>
          </w14:textFill>
        </w:rPr>
        <w:t>。</w: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根据调查，达州市境内目前已建设专门的水基钻井固废处置单位（有四川光隆环保科技有限公司，其达州下属公司为四川亿隆环保科技有限公司，该公司已与中石化中原石油工程有限公司工程服务管理中心签订了相关处理协议），该公司在宣汉县境内建设的工业废弃物综合利用项目可处理水基钻井岩屑等一般工业废弃物50000t/年，该项目于2018年由达州市生态环境局以达市环审[2018]2号文进行批复，于2023年自主完成了该项目的竣工环保验收。</w: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以该公司为例，其主要处理工艺如下：</w: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mc:AlternateContent>
          <mc:Choice Requires="wpg">
            <w:drawing>
              <wp:inline distT="0" distB="0" distL="114300" distR="114300">
                <wp:extent cx="5168900" cy="1320800"/>
                <wp:effectExtent l="4445" t="4445" r="8255" b="8255"/>
                <wp:docPr id="255" name="组合 255"/>
                <wp:cNvGraphicFramePr/>
                <a:graphic xmlns:a="http://schemas.openxmlformats.org/drawingml/2006/main">
                  <a:graphicData uri="http://schemas.microsoft.com/office/word/2010/wordprocessingGroup">
                    <wpg:wgp>
                      <wpg:cNvGrpSpPr>
                        <a:grpSpLocks noRot="1"/>
                      </wpg:cNvGrpSpPr>
                      <wpg:grpSpPr>
                        <a:xfrm>
                          <a:off x="0" y="0"/>
                          <a:ext cx="5168900" cy="1320800"/>
                          <a:chOff x="2658" y="2349078"/>
                          <a:chExt cx="8140" cy="2080"/>
                        </a:xfrm>
                        <a:effectLst/>
                      </wpg:grpSpPr>
                      <wps:wsp>
                        <wps:cNvPr id="256" name="矩形 16"/>
                        <wps:cNvSpPr/>
                        <wps:spPr>
                          <a:xfrm>
                            <a:off x="4971" y="2349078"/>
                            <a:ext cx="1412" cy="724"/>
                          </a:xfrm>
                          <a:prstGeom prst="rect">
                            <a:avLst/>
                          </a:prstGeom>
                          <a:noFill/>
                          <a:ln w="9525" cap="flat" cmpd="sng">
                            <a:solidFill>
                              <a:srgbClr val="000000"/>
                            </a:solidFill>
                            <a:prstDash val="solid"/>
                            <a:round/>
                            <a:headEnd type="none" w="med" len="med"/>
                            <a:tailEnd type="none" w="med" len="med"/>
                          </a:ln>
                          <a:effectLst/>
                        </wps:spPr>
                        <wps:txbx>
                          <w:txbxContent>
                            <w:p>
                              <w:pPr>
                                <w:ind w:left="0" w:leftChars="0" w:firstLine="0" w:firstLineChars="0"/>
                                <w:jc w:val="center"/>
                                <w:rPr>
                                  <w:rFonts w:hint="eastAsia"/>
                                  <w:color w:val="0000FF"/>
                                </w:rPr>
                              </w:pPr>
                              <w:r>
                                <w:rPr>
                                  <w:rFonts w:hint="eastAsia"/>
                                  <w:color w:val="0000FF"/>
                                </w:rPr>
                                <w:t>进料</w:t>
                              </w:r>
                            </w:p>
                          </w:txbxContent>
                        </wps:txbx>
                        <wps:bodyPr anchor="ctr" anchorCtr="0" upright="1"/>
                      </wps:wsp>
                      <wps:wsp>
                        <wps:cNvPr id="261" name="矩形 18"/>
                        <wps:cNvSpPr/>
                        <wps:spPr>
                          <a:xfrm>
                            <a:off x="2658" y="2349131"/>
                            <a:ext cx="1412" cy="550"/>
                          </a:xfrm>
                          <a:prstGeom prst="rect">
                            <a:avLst/>
                          </a:prstGeom>
                          <a:noFill/>
                          <a:ln w="9525" cap="flat" cmpd="sng">
                            <a:solidFill>
                              <a:srgbClr val="000000"/>
                            </a:solidFill>
                            <a:prstDash val="solid"/>
                            <a:round/>
                            <a:headEnd type="none" w="med" len="med"/>
                            <a:tailEnd type="none" w="med" len="med"/>
                          </a:ln>
                          <a:effectLst/>
                        </wps:spPr>
                        <wps:txbx>
                          <w:txbxContent>
                            <w:p>
                              <w:pPr>
                                <w:ind w:left="0" w:leftChars="0" w:firstLine="0" w:firstLineChars="0"/>
                                <w:jc w:val="both"/>
                                <w:rPr>
                                  <w:rFonts w:hint="eastAsia"/>
                                  <w:color w:val="0000FF"/>
                                </w:rPr>
                              </w:pPr>
                              <w:r>
                                <w:rPr>
                                  <w:rFonts w:hint="eastAsia"/>
                                  <w:color w:val="000000"/>
                                </w:rPr>
                                <w:t>钻屑堆放</w:t>
                              </w:r>
                            </w:p>
                          </w:txbxContent>
                        </wps:txbx>
                        <wps:bodyPr anchor="ctr" anchorCtr="0" upright="1"/>
                      </wps:wsp>
                      <wps:wsp>
                        <wps:cNvPr id="262" name="直接连接符 19"/>
                        <wps:cNvCnPr/>
                        <wps:spPr>
                          <a:xfrm>
                            <a:off x="10287" y="2349730"/>
                            <a:ext cx="6" cy="682"/>
                          </a:xfrm>
                          <a:prstGeom prst="line">
                            <a:avLst/>
                          </a:prstGeom>
                          <a:ln w="9525" cap="flat" cmpd="sng">
                            <a:solidFill>
                              <a:srgbClr val="000000"/>
                            </a:solidFill>
                            <a:prstDash val="solid"/>
                            <a:round/>
                            <a:headEnd type="none" w="med" len="med"/>
                            <a:tailEnd type="triangle" w="med" len="med"/>
                          </a:ln>
                          <a:effectLst/>
                        </wps:spPr>
                        <wps:bodyPr upright="1"/>
                      </wps:wsp>
                      <wps:wsp>
                        <wps:cNvPr id="265" name="矩形 20"/>
                        <wps:cNvSpPr/>
                        <wps:spPr>
                          <a:xfrm>
                            <a:off x="9521" y="2349180"/>
                            <a:ext cx="1277" cy="550"/>
                          </a:xfrm>
                          <a:prstGeom prst="rect">
                            <a:avLst/>
                          </a:prstGeom>
                          <a:noFill/>
                          <a:ln w="9525" cap="flat" cmpd="sng">
                            <a:solidFill>
                              <a:srgbClr val="000000"/>
                            </a:solidFill>
                            <a:prstDash val="solid"/>
                            <a:round/>
                            <a:headEnd type="none" w="med" len="med"/>
                            <a:tailEnd type="none" w="med" len="med"/>
                          </a:ln>
                          <a:effectLst/>
                        </wps:spPr>
                        <wps:txbx>
                          <w:txbxContent>
                            <w:p>
                              <w:pPr>
                                <w:ind w:left="0" w:leftChars="0" w:firstLine="0" w:firstLineChars="0"/>
                                <w:jc w:val="both"/>
                                <w:rPr>
                                  <w:color w:val="0000FF"/>
                                </w:rPr>
                              </w:pPr>
                              <w:r>
                                <w:rPr>
                                  <w:rFonts w:hint="eastAsia"/>
                                  <w:color w:val="0000FF"/>
                                </w:rPr>
                                <w:t>回转窑燃烧</w:t>
                              </w:r>
                            </w:p>
                          </w:txbxContent>
                        </wps:txbx>
                        <wps:bodyPr anchor="ctr" anchorCtr="0" upright="1"/>
                      </wps:wsp>
                      <wps:wsp>
                        <wps:cNvPr id="269" name="直接连接符 21"/>
                        <wps:cNvCnPr/>
                        <wps:spPr>
                          <a:xfrm flipV="1">
                            <a:off x="8645" y="2349478"/>
                            <a:ext cx="875" cy="5"/>
                          </a:xfrm>
                          <a:prstGeom prst="line">
                            <a:avLst/>
                          </a:prstGeom>
                          <a:ln w="9525" cap="flat" cmpd="sng">
                            <a:solidFill>
                              <a:srgbClr val="000000"/>
                            </a:solidFill>
                            <a:prstDash val="solid"/>
                            <a:round/>
                            <a:headEnd type="none" w="med" len="med"/>
                            <a:tailEnd type="triangle" w="med" len="med"/>
                          </a:ln>
                          <a:effectLst/>
                        </wps:spPr>
                        <wps:bodyPr upright="1"/>
                      </wps:wsp>
                      <wps:wsp>
                        <wps:cNvPr id="275" name="矩形 22"/>
                        <wps:cNvSpPr/>
                        <wps:spPr>
                          <a:xfrm>
                            <a:off x="7235" y="2349178"/>
                            <a:ext cx="1412" cy="550"/>
                          </a:xfrm>
                          <a:prstGeom prst="rect">
                            <a:avLst/>
                          </a:prstGeom>
                          <a:noFill/>
                          <a:ln w="9525" cap="flat" cmpd="sng">
                            <a:solidFill>
                              <a:srgbClr val="000000"/>
                            </a:solidFill>
                            <a:prstDash val="solid"/>
                            <a:round/>
                            <a:headEnd type="none" w="med" len="med"/>
                            <a:tailEnd type="none" w="med" len="med"/>
                          </a:ln>
                          <a:effectLst/>
                        </wps:spPr>
                        <wps:txbx>
                          <w:txbxContent>
                            <w:p>
                              <w:pPr>
                                <w:ind w:left="0" w:leftChars="0" w:firstLine="0" w:firstLineChars="0"/>
                                <w:jc w:val="center"/>
                                <w:rPr>
                                  <w:rFonts w:hint="eastAsia"/>
                                  <w:color w:val="0000FF"/>
                                </w:rPr>
                              </w:pPr>
                              <w:r>
                                <w:rPr>
                                  <w:rFonts w:hint="eastAsia"/>
                                  <w:color w:val="0000FF"/>
                                </w:rPr>
                                <w:t>粉煤燃烧</w:t>
                              </w:r>
                            </w:p>
                          </w:txbxContent>
                        </wps:txbx>
                        <wps:bodyPr anchor="ctr" anchorCtr="0" upright="1"/>
                      </wps:wsp>
                      <wps:wsp>
                        <wps:cNvPr id="276" name="直接连接符 25"/>
                        <wps:cNvCnPr/>
                        <wps:spPr>
                          <a:xfrm flipV="1">
                            <a:off x="6390" y="2349430"/>
                            <a:ext cx="875" cy="5"/>
                          </a:xfrm>
                          <a:prstGeom prst="line">
                            <a:avLst/>
                          </a:prstGeom>
                          <a:ln w="9525" cap="flat" cmpd="sng">
                            <a:solidFill>
                              <a:srgbClr val="000000"/>
                            </a:solidFill>
                            <a:prstDash val="solid"/>
                            <a:round/>
                            <a:headEnd type="none" w="med" len="med"/>
                            <a:tailEnd type="triangle" w="med" len="med"/>
                          </a:ln>
                          <a:effectLst/>
                        </wps:spPr>
                        <wps:bodyPr upright="1"/>
                      </wps:wsp>
                      <wps:wsp>
                        <wps:cNvPr id="279" name="直接连接符 26"/>
                        <wps:cNvCnPr/>
                        <wps:spPr>
                          <a:xfrm flipV="1">
                            <a:off x="4070" y="2349425"/>
                            <a:ext cx="875" cy="5"/>
                          </a:xfrm>
                          <a:prstGeom prst="line">
                            <a:avLst/>
                          </a:prstGeom>
                          <a:ln w="9525" cap="flat" cmpd="sng">
                            <a:solidFill>
                              <a:srgbClr val="000000"/>
                            </a:solidFill>
                            <a:prstDash val="solid"/>
                            <a:round/>
                            <a:headEnd type="none" w="med" len="med"/>
                            <a:tailEnd type="triangle" w="med" len="med"/>
                          </a:ln>
                          <a:effectLst/>
                        </wps:spPr>
                        <wps:bodyPr upright="1"/>
                      </wps:wsp>
                      <wps:wsp>
                        <wps:cNvPr id="319" name="矩形 29"/>
                        <wps:cNvSpPr/>
                        <wps:spPr>
                          <a:xfrm>
                            <a:off x="9501" y="2350491"/>
                            <a:ext cx="1277" cy="587"/>
                          </a:xfrm>
                          <a:prstGeom prst="rect">
                            <a:avLst/>
                          </a:prstGeom>
                          <a:noFill/>
                          <a:ln w="9525" cap="flat" cmpd="sng">
                            <a:solidFill>
                              <a:srgbClr val="000000"/>
                            </a:solidFill>
                            <a:prstDash val="solid"/>
                            <a:round/>
                            <a:headEnd type="none" w="med" len="med"/>
                            <a:tailEnd type="none" w="med" len="med"/>
                          </a:ln>
                          <a:effectLst/>
                        </wps:spPr>
                        <wps:txbx>
                          <w:txbxContent>
                            <w:p>
                              <w:pPr>
                                <w:ind w:left="0" w:leftChars="0" w:firstLine="0" w:firstLineChars="0"/>
                                <w:jc w:val="center"/>
                                <w:rPr>
                                  <w:rFonts w:hint="eastAsia"/>
                                  <w:color w:val="0000FF"/>
                                </w:rPr>
                              </w:pPr>
                              <w:r>
                                <w:rPr>
                                  <w:rFonts w:hint="eastAsia"/>
                                  <w:color w:val="0000FF"/>
                                </w:rPr>
                                <w:t>灰渣</w:t>
                              </w:r>
                            </w:p>
                          </w:txbxContent>
                        </wps:txbx>
                        <wps:bodyPr anchor="ctr" anchorCtr="0" upright="1"/>
                      </wps:wsp>
                      <wps:wsp>
                        <wps:cNvPr id="325" name="矩形 30"/>
                        <wps:cNvSpPr/>
                        <wps:spPr>
                          <a:xfrm>
                            <a:off x="5265" y="2350571"/>
                            <a:ext cx="1412" cy="587"/>
                          </a:xfrm>
                          <a:prstGeom prst="rect">
                            <a:avLst/>
                          </a:prstGeom>
                          <a:noFill/>
                          <a:ln w="9525" cap="flat" cmpd="sng">
                            <a:solidFill>
                              <a:srgbClr val="000000"/>
                            </a:solidFill>
                            <a:prstDash val="solid"/>
                            <a:round/>
                            <a:headEnd type="none" w="med" len="med"/>
                            <a:tailEnd type="none" w="med" len="med"/>
                          </a:ln>
                          <a:effectLst/>
                        </wps:spPr>
                        <wps:txbx>
                          <w:txbxContent>
                            <w:p>
                              <w:pPr>
                                <w:ind w:left="0" w:leftChars="0" w:firstLine="0" w:firstLineChars="0"/>
                                <w:jc w:val="center"/>
                                <w:rPr>
                                  <w:rFonts w:hint="eastAsia"/>
                                  <w:color w:val="0000FF"/>
                                </w:rPr>
                              </w:pPr>
                              <w:r>
                                <w:rPr>
                                  <w:rFonts w:hint="eastAsia"/>
                                  <w:color w:val="0000FF"/>
                                </w:rPr>
                                <w:t>渣库</w:t>
                              </w:r>
                            </w:p>
                          </w:txbxContent>
                        </wps:txbx>
                        <wps:bodyPr anchor="ctr" anchorCtr="0" upright="1"/>
                      </wps:wsp>
                      <wps:wsp>
                        <wps:cNvPr id="326" name="矩形 34"/>
                        <wps:cNvSpPr/>
                        <wps:spPr>
                          <a:xfrm>
                            <a:off x="7562" y="2350519"/>
                            <a:ext cx="1412" cy="587"/>
                          </a:xfrm>
                          <a:prstGeom prst="rect">
                            <a:avLst/>
                          </a:prstGeom>
                          <a:noFill/>
                          <a:ln w="9525" cap="flat" cmpd="sng">
                            <a:solidFill>
                              <a:srgbClr val="000000"/>
                            </a:solidFill>
                            <a:prstDash val="solid"/>
                            <a:round/>
                            <a:headEnd type="none" w="med" len="med"/>
                            <a:tailEnd type="none" w="med" len="med"/>
                          </a:ln>
                          <a:effectLst/>
                        </wps:spPr>
                        <wps:txbx>
                          <w:txbxContent>
                            <w:p>
                              <w:pPr>
                                <w:ind w:left="0" w:leftChars="0" w:firstLine="0" w:firstLineChars="0"/>
                                <w:jc w:val="center"/>
                                <w:rPr>
                                  <w:rFonts w:hint="eastAsia"/>
                                  <w:color w:val="0000FF"/>
                                </w:rPr>
                              </w:pPr>
                              <w:r>
                                <w:rPr>
                                  <w:rFonts w:hint="eastAsia"/>
                                  <w:color w:val="000000"/>
                                </w:rPr>
                                <w:t>灰渣冷却</w:t>
                              </w:r>
                            </w:p>
                          </w:txbxContent>
                        </wps:txbx>
                        <wps:bodyPr anchor="ctr" anchorCtr="0" upright="1"/>
                      </wps:wsp>
                      <wps:wsp>
                        <wps:cNvPr id="327" name="直接连接符 37"/>
                        <wps:cNvCnPr/>
                        <wps:spPr>
                          <a:xfrm flipH="1">
                            <a:off x="8951" y="2350795"/>
                            <a:ext cx="498" cy="1"/>
                          </a:xfrm>
                          <a:prstGeom prst="line">
                            <a:avLst/>
                          </a:prstGeom>
                          <a:ln w="9525" cap="flat" cmpd="sng">
                            <a:solidFill>
                              <a:srgbClr val="000000"/>
                            </a:solidFill>
                            <a:prstDash val="solid"/>
                            <a:round/>
                            <a:headEnd type="none" w="med" len="med"/>
                            <a:tailEnd type="triangle" w="med" len="med"/>
                          </a:ln>
                          <a:effectLst/>
                        </wps:spPr>
                        <wps:bodyPr upright="1"/>
                      </wps:wsp>
                      <wps:wsp>
                        <wps:cNvPr id="331" name="直接连接符 41"/>
                        <wps:cNvCnPr/>
                        <wps:spPr>
                          <a:xfrm flipH="1">
                            <a:off x="6652" y="2350830"/>
                            <a:ext cx="888" cy="0"/>
                          </a:xfrm>
                          <a:prstGeom prst="line">
                            <a:avLst/>
                          </a:prstGeom>
                          <a:ln w="9525" cap="flat" cmpd="sng">
                            <a:solidFill>
                              <a:srgbClr val="000000"/>
                            </a:solidFill>
                            <a:prstDash val="solid"/>
                            <a:round/>
                            <a:headEnd type="none" w="med" len="med"/>
                            <a:tailEnd type="triangle" w="med" len="med"/>
                          </a:ln>
                          <a:effectLst/>
                        </wps:spPr>
                        <wps:bodyPr upright="1"/>
                      </wps:wsp>
                    </wpg:wgp>
                  </a:graphicData>
                </a:graphic>
              </wp:inline>
            </w:drawing>
          </mc:Choice>
          <mc:Fallback>
            <w:pict>
              <v:group id="_x0000_s1026" o:spid="_x0000_s1026" o:spt="203" style="height:104pt;width:407pt;" coordorigin="2658,2349078" coordsize="8140,2080" o:gfxdata="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">
                <o:lock v:ext="edit" rotation="t" aspectratio="f"/>
                <v:rect id="矩形 16" o:spid="_x0000_s1026" o:spt="1" style="position:absolute;left:4971;top:2349078;height:724;width:1412;v-text-anchor:middle;" filled="f" stroked="t" coordsize="21600,21600" o:gfxdata="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atg2&#10;wAAAANwAAAAPAAAAAAAAAAEAIAAAACIAAABkcnMvZG93bnJldi54bWxQSwECFAAUAAAACACHTuJA&#10;My8FnjsAAAA5AAAAEAAAAAAAAAABACAAAAAPAQAAZHJzL3NoYXBleG1sLnhtbFBLBQYAAAAABgAG&#10;AFsBAAC5AwAAAAA=&#10;">
                  <v:fill on="f" focussize="0,0"/>
                  <v:stroke color="#000000" joinstyle="round"/>
                  <v:imagedata o:title=""/>
                  <o:lock v:ext="edit" aspectratio="f"/>
                  <v:textbox>
                    <w:txbxContent>
                      <w:p>
                        <w:pPr>
                          <w:ind w:left="0" w:leftChars="0" w:firstLine="0" w:firstLineChars="0"/>
                          <w:jc w:val="center"/>
                          <w:rPr>
                            <w:rFonts w:hint="eastAsia"/>
                            <w:color w:val="0000FF"/>
                          </w:rPr>
                        </w:pPr>
                        <w:r>
                          <w:rPr>
                            <w:rFonts w:hint="eastAsia"/>
                            <w:color w:val="0000FF"/>
                          </w:rPr>
                          <w:t>进料</w:t>
                        </w:r>
                      </w:p>
                    </w:txbxContent>
                  </v:textbox>
                </v:rect>
                <v:rect id="矩形 18" o:spid="_x0000_s1026" o:spt="1" style="position:absolute;left:2658;top:2349131;height:550;width:1412;v-text-anchor:middle;" filled="f" stroked="t" coordsize="21600,21600" o:gfxdata="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nviv+/&#10;AAAA3AAAAA8AAAAAAAAAAQAgAAAAIgAAAGRycy9kb3ducmV2LnhtbFBLAQIUABQAAAAIAIdO4kAz&#10;LwWeOwAAADkAAAAQAAAAAAAAAAEAIAAAAA4BAABkcnMvc2hhcGV4bWwueG1sUEsFBgAAAAAGAAYA&#10;WwEAALgDAAAAAA==&#10;">
                  <v:fill on="f" focussize="0,0"/>
                  <v:stroke color="#000000" joinstyle="round"/>
                  <v:imagedata o:title=""/>
                  <o:lock v:ext="edit" aspectratio="f"/>
                  <v:textbox>
                    <w:txbxContent>
                      <w:p>
                        <w:pPr>
                          <w:ind w:left="0" w:leftChars="0" w:firstLine="0" w:firstLineChars="0"/>
                          <w:jc w:val="both"/>
                          <w:rPr>
                            <w:rFonts w:hint="eastAsia"/>
                            <w:color w:val="0000FF"/>
                          </w:rPr>
                        </w:pPr>
                        <w:r>
                          <w:rPr>
                            <w:rFonts w:hint="eastAsia"/>
                            <w:color w:val="000000"/>
                          </w:rPr>
                          <w:t>钻屑堆放</w:t>
                        </w:r>
                      </w:p>
                    </w:txbxContent>
                  </v:textbox>
                </v:rect>
                <v:line id="直接连接符 19" o:spid="_x0000_s1026" o:spt="20" style="position:absolute;left:10287;top:2349730;height:682;width:6;" filled="f" stroked="t" coordsize="21600,21600" o:gfxdata="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ZQYa/&#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20" o:spid="_x0000_s1026" o:spt="1" style="position:absolute;left:9521;top:2349180;height:550;width:1277;v-text-anchor:middle;" filled="f" stroked="t" coordsize="21600,21600" o:gfxdata="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1Iz8&#10;wAAAANwAAAAPAAAAAAAAAAEAIAAAACIAAABkcnMvZG93bnJldi54bWxQSwECFAAUAAAACACHTuJA&#10;My8FnjsAAAA5AAAAEAAAAAAAAAABACAAAAAPAQAAZHJzL3NoYXBleG1sLnhtbFBLBQYAAAAABgAG&#10;AFsBAAC5AwAAAAA=&#10;">
                  <v:fill on="f" focussize="0,0"/>
                  <v:stroke color="#000000" joinstyle="round"/>
                  <v:imagedata o:title=""/>
                  <o:lock v:ext="edit" aspectratio="f"/>
                  <v:textbox>
                    <w:txbxContent>
                      <w:p>
                        <w:pPr>
                          <w:ind w:left="0" w:leftChars="0" w:firstLine="0" w:firstLineChars="0"/>
                          <w:jc w:val="both"/>
                          <w:rPr>
                            <w:color w:val="0000FF"/>
                          </w:rPr>
                        </w:pPr>
                        <w:r>
                          <w:rPr>
                            <w:rFonts w:hint="eastAsia"/>
                            <w:color w:val="0000FF"/>
                          </w:rPr>
                          <w:t>回转窑燃烧</w:t>
                        </w:r>
                      </w:p>
                    </w:txbxContent>
                  </v:textbox>
                </v:rect>
                <v:line id="直接连接符 21" o:spid="_x0000_s1026" o:spt="20" style="position:absolute;left:8645;top:2349478;flip:y;height:5;width:875;" filled="f" stroked="t" coordsize="21600,21600" o:gfxdata="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w99H&#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22" o:spid="_x0000_s1026" o:spt="1" style="position:absolute;left:7235;top:2349178;height:550;width:1412;v-text-anchor:middle;" filled="f" stroked="t" coordsize="21600,21600" o:gfxdata="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MNGiG/&#10;AAAA3AAAAA8AAAAAAAAAAQAgAAAAIgAAAGRycy9kb3ducmV2LnhtbFBLAQIUABQAAAAIAIdO4kAz&#10;LwWeOwAAADkAAAAQAAAAAAAAAAEAIAAAAA4BAABkcnMvc2hhcGV4bWwueG1sUEsFBgAAAAAGAAYA&#10;WwEAALgDAAAAAA==&#10;">
                  <v:fill on="f" focussize="0,0"/>
                  <v:stroke color="#000000" joinstyle="round"/>
                  <v:imagedata o:title=""/>
                  <o:lock v:ext="edit" aspectratio="f"/>
                  <v:textbox>
                    <w:txbxContent>
                      <w:p>
                        <w:pPr>
                          <w:ind w:left="0" w:leftChars="0" w:firstLine="0" w:firstLineChars="0"/>
                          <w:jc w:val="center"/>
                          <w:rPr>
                            <w:rFonts w:hint="eastAsia"/>
                            <w:color w:val="0000FF"/>
                          </w:rPr>
                        </w:pPr>
                        <w:r>
                          <w:rPr>
                            <w:rFonts w:hint="eastAsia"/>
                            <w:color w:val="0000FF"/>
                          </w:rPr>
                          <w:t>粉煤燃烧</w:t>
                        </w:r>
                      </w:p>
                    </w:txbxContent>
                  </v:textbox>
                </v:rect>
                <v:line id="直接连接符 25" o:spid="_x0000_s1026" o:spt="20" style="position:absolute;left:6390;top:2349430;flip:y;height:5;width:875;" filled="f" stroked="t" coordsize="21600,21600" o:gfxdata="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hd3o&#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接连接符 26" o:spid="_x0000_s1026" o:spt="20" style="position:absolute;left:4070;top:2349425;flip:y;height:5;width:875;" filled="f" stroked="t" coordsize="21600,21600" o:gfxdata="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Gkma&#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29" o:spid="_x0000_s1026" o:spt="1" style="position:absolute;left:9501;top:2350491;height:587;width:1277;v-text-anchor:middle;" filled="f" stroked="t" coordsize="21600,21600" o:gfxdata="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fvoZ&#10;wAAAANwAAAAPAAAAAAAAAAEAIAAAACIAAABkcnMvZG93bnJldi54bWxQSwECFAAUAAAACACHTuJA&#10;My8FnjsAAAA5AAAAEAAAAAAAAAABACAAAAAPAQAAZHJzL3NoYXBleG1sLnhtbFBLBQYAAAAABgAG&#10;AFsBAAC5AwAAAAA=&#10;">
                  <v:fill on="f" focussize="0,0"/>
                  <v:stroke color="#000000" joinstyle="round"/>
                  <v:imagedata o:title=""/>
                  <o:lock v:ext="edit" aspectratio="f"/>
                  <v:textbox>
                    <w:txbxContent>
                      <w:p>
                        <w:pPr>
                          <w:ind w:left="0" w:leftChars="0" w:firstLine="0" w:firstLineChars="0"/>
                          <w:jc w:val="center"/>
                          <w:rPr>
                            <w:rFonts w:hint="eastAsia"/>
                            <w:color w:val="0000FF"/>
                          </w:rPr>
                        </w:pPr>
                        <w:r>
                          <w:rPr>
                            <w:rFonts w:hint="eastAsia"/>
                            <w:color w:val="0000FF"/>
                          </w:rPr>
                          <w:t>灰渣</w:t>
                        </w:r>
                      </w:p>
                    </w:txbxContent>
                  </v:textbox>
                </v:rect>
                <v:rect id="矩形 30" o:spid="_x0000_s1026" o:spt="1" style="position:absolute;left:5265;top:2350571;height:587;width:1412;v-text-anchor:middle;" filled="f" stroked="t" coordsize="21600,21600" o:gfxdata="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fOqG/&#10;AAAA3AAAAA8AAAAAAAAAAQAgAAAAIgAAAGRycy9kb3ducmV2LnhtbFBLAQIUABQAAAAIAIdO4kAz&#10;LwWeOwAAADkAAAAQAAAAAAAAAAEAIAAAAA4BAABkcnMvc2hhcGV4bWwueG1sUEsFBgAAAAAGAAYA&#10;WwEAALgDAAAAAA==&#10;">
                  <v:fill on="f" focussize="0,0"/>
                  <v:stroke color="#000000" joinstyle="round"/>
                  <v:imagedata o:title=""/>
                  <o:lock v:ext="edit" aspectratio="f"/>
                  <v:textbox>
                    <w:txbxContent>
                      <w:p>
                        <w:pPr>
                          <w:ind w:left="0" w:leftChars="0" w:firstLine="0" w:firstLineChars="0"/>
                          <w:jc w:val="center"/>
                          <w:rPr>
                            <w:rFonts w:hint="eastAsia"/>
                            <w:color w:val="0000FF"/>
                          </w:rPr>
                        </w:pPr>
                        <w:r>
                          <w:rPr>
                            <w:rFonts w:hint="eastAsia"/>
                            <w:color w:val="0000FF"/>
                          </w:rPr>
                          <w:t>渣库</w:t>
                        </w:r>
                      </w:p>
                    </w:txbxContent>
                  </v:textbox>
                </v:rect>
                <v:rect id="矩形 34" o:spid="_x0000_s1026" o:spt="1" style="position:absolute;left:7562;top:2350519;height:587;width:1412;v-text-anchor:middle;" filled="f" stroked="t" coordsize="21600,21600" o:gfxdata="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aNpNa/&#10;AAAA3AAAAA8AAAAAAAAAAQAgAAAAIgAAAGRycy9kb3ducmV2LnhtbFBLAQIUABQAAAAIAIdO4kAz&#10;LwWeOwAAADkAAAAQAAAAAAAAAAEAIAAAAA4BAABkcnMvc2hhcGV4bWwueG1sUEsFBgAAAAAGAAYA&#10;WwEAALgDAAAAAA==&#10;">
                  <v:fill on="f" focussize="0,0"/>
                  <v:stroke color="#000000" joinstyle="round"/>
                  <v:imagedata o:title=""/>
                  <o:lock v:ext="edit" aspectratio="f"/>
                  <v:textbox>
                    <w:txbxContent>
                      <w:p>
                        <w:pPr>
                          <w:ind w:left="0" w:leftChars="0" w:firstLine="0" w:firstLineChars="0"/>
                          <w:jc w:val="center"/>
                          <w:rPr>
                            <w:rFonts w:hint="eastAsia"/>
                            <w:color w:val="0000FF"/>
                          </w:rPr>
                        </w:pPr>
                        <w:r>
                          <w:rPr>
                            <w:rFonts w:hint="eastAsia"/>
                            <w:color w:val="000000"/>
                          </w:rPr>
                          <w:t>灰渣冷却</w:t>
                        </w:r>
                      </w:p>
                    </w:txbxContent>
                  </v:textbox>
                </v:rect>
                <v:line id="直接连接符 37" o:spid="_x0000_s1026" o:spt="20" style="position:absolute;left:8951;top:2350795;flip:x;height:1;width:498;" filled="f" stroked="t" coordsize="21600,21600" o:gfxdata="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m1jz&#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接连接符 41" o:spid="_x0000_s1026" o:spt="20" style="position:absolute;left:6652;top:2350830;flip:x;height:0;width:888;" filled="f" stroked="t" coordsize="21600,21600" o:gfxdata="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5/PB&#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w10:wrap type="none"/>
                <w10:anchorlock/>
              </v:group>
            </w:pict>
          </mc:Fallback>
        </mc:AlternateConten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p>
    <w:p>
      <w:pPr>
        <w:pStyle w:val="30"/>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黑体" w:cs="Times New Roman"/>
          <w:b w:val="0"/>
          <w:bCs w:val="0"/>
          <w:color w:val="000000" w:themeColor="text1"/>
          <w:kern w:val="2"/>
          <w:sz w:val="21"/>
          <w:szCs w:val="28"/>
          <w:highlight w:val="none"/>
          <w:lang w:val="en-US" w:eastAsia="zh-CN" w:bidi="ar-SA"/>
          <w14:textFill>
            <w14:solidFill>
              <w14:schemeClr w14:val="tx1"/>
            </w14:solidFill>
          </w14:textFill>
        </w:rPr>
      </w:pPr>
      <w:r>
        <w:rPr>
          <w:rFonts w:hint="eastAsia" w:ascii="Times New Roman" w:hAnsi="Times New Roman" w:eastAsia="黑体" w:cs="Times New Roman"/>
          <w:b w:val="0"/>
          <w:bCs w:val="0"/>
          <w:color w:val="000000" w:themeColor="text1"/>
          <w:kern w:val="2"/>
          <w:sz w:val="21"/>
          <w:szCs w:val="28"/>
          <w:highlight w:val="none"/>
          <w:lang w:val="en-US" w:eastAsia="zh-CN" w:bidi="ar-SA"/>
          <w14:textFill>
            <w14:solidFill>
              <w14:schemeClr w14:val="tx1"/>
            </w14:solidFill>
          </w14:textFill>
        </w:rPr>
        <w:t>图</w:t>
      </w:r>
      <w:r>
        <w:rPr>
          <w:rFonts w:hint="eastAsia" w:ascii="Times New Roman" w:eastAsia="黑体" w:cs="Times New Roman"/>
          <w:b w:val="0"/>
          <w:bCs w:val="0"/>
          <w:color w:val="000000" w:themeColor="text1"/>
          <w:kern w:val="2"/>
          <w:sz w:val="21"/>
          <w:szCs w:val="28"/>
          <w:highlight w:val="none"/>
          <w:lang w:val="en-US" w:eastAsia="zh-CN" w:bidi="ar-SA"/>
          <w14:textFill>
            <w14:solidFill>
              <w14:schemeClr w14:val="tx1"/>
            </w14:solidFill>
          </w14:textFill>
        </w:rPr>
        <w:t>7.1</w:t>
      </w:r>
      <w:r>
        <w:rPr>
          <w:rFonts w:hint="eastAsia" w:ascii="Times New Roman" w:hAnsi="Times New Roman" w:eastAsia="黑体" w:cs="Times New Roman"/>
          <w:b w:val="0"/>
          <w:bCs w:val="0"/>
          <w:color w:val="000000" w:themeColor="text1"/>
          <w:kern w:val="2"/>
          <w:sz w:val="21"/>
          <w:szCs w:val="28"/>
          <w:highlight w:val="none"/>
          <w:lang w:val="en-US" w:eastAsia="zh-CN" w:bidi="ar-SA"/>
          <w14:textFill>
            <w14:solidFill>
              <w14:schemeClr w14:val="tx1"/>
            </w14:solidFill>
          </w14:textFill>
        </w:rPr>
        <w:t>-</w:t>
      </w:r>
      <w:r>
        <w:rPr>
          <w:rFonts w:hint="eastAsia" w:ascii="Times New Roman" w:eastAsia="黑体" w:cs="Times New Roman"/>
          <w:b w:val="0"/>
          <w:bCs w:val="0"/>
          <w:color w:val="000000" w:themeColor="text1"/>
          <w:kern w:val="2"/>
          <w:sz w:val="21"/>
          <w:szCs w:val="28"/>
          <w:highlight w:val="none"/>
          <w:lang w:val="en-US" w:eastAsia="zh-CN" w:bidi="ar-SA"/>
          <w14:textFill>
            <w14:solidFill>
              <w14:schemeClr w14:val="tx1"/>
            </w14:solidFill>
          </w14:textFill>
        </w:rPr>
        <w:t>4</w:t>
      </w:r>
      <w:r>
        <w:rPr>
          <w:rFonts w:hint="eastAsia" w:ascii="Times New Roman" w:hAnsi="Times New Roman" w:eastAsia="黑体" w:cs="Times New Roman"/>
          <w:b w:val="0"/>
          <w:bCs w:val="0"/>
          <w:color w:val="000000" w:themeColor="text1"/>
          <w:kern w:val="2"/>
          <w:sz w:val="21"/>
          <w:szCs w:val="28"/>
          <w:highlight w:val="none"/>
          <w:lang w:val="en-US" w:eastAsia="zh-CN" w:bidi="ar-SA"/>
          <w14:textFill>
            <w14:solidFill>
              <w14:schemeClr w14:val="tx1"/>
            </w14:solidFill>
          </w14:textFill>
        </w:rPr>
        <w:t xml:space="preserve">   水基钻井固废资源化综合利用处置工艺流程图</w:t>
      </w:r>
    </w:p>
    <w:p>
      <w:pPr>
        <w:pStyle w:val="30"/>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eastAsia" w:ascii="Times New Roman" w:hAnsi="Times New Roman" w:eastAsia="宋体" w:cs="Times New Roman"/>
          <w:b/>
          <w:bCs/>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2"/>
          <w:highlight w:val="none"/>
          <w:lang w:val="en-US" w:eastAsia="zh-CN" w:bidi="ar-SA"/>
          <w14:textFill>
            <w14:solidFill>
              <w14:schemeClr w14:val="tx1"/>
            </w14:solidFill>
          </w14:textFill>
        </w:rPr>
        <w:t>工艺流程描述如下：</w: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a钻屑的堆放：钻屑经现场泥浆不落地收集后运至光隆环保厂内内仓棚进行堆存。</w: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b.进料：进料系统主要由斗式提升机、进料料斗、溜槽、压紧装置、绞龙进料、液压系统、窑头下灰斗、窑头密封、平台楼梯和进料下部钢架等设施组成。</w: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c.粉煤燃烧：在煤粉一次风喷口外设置以小型流化床煤粉预燃加热室，该室与煤粉一二次风喷口一起组成流化床煤粉预燃加热燃烧器。</w: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d.回转窑燃烧：由专用输送设备送入回转窑，固体废物在回转窑内完成水分蒸发、挥发份析出、着火及燃烧的过程，灰渣由窑尾出料装置排出，所产生的烟气进入后续尾气净化设备。</w: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e.灰渣、灰渣冷却、渣库：出窑高温灰渣经密闭冷渣机冷却后，由输送机送入渣库储存。</w:t>
      </w:r>
    </w:p>
    <w:p>
      <w:pPr>
        <w:pStyle w:val="30"/>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据调查，该处置项目现平均每天的处理量约为50~60t/d，剩余约70~80t/d的处理能力，本项目水基岩屑产生量为3816.95t，仅需约48天即可处理完本项目所产水基钻井固废，因此项目周边有具有处置利用能力的企业消纳本项目产生的水基岩屑，即使在实际产生阶段四川亿隆环保科技有限公司处置负荷过大，建设单位亦可送至其他</w:t>
      </w:r>
      <w:r>
        <w:rPr>
          <w:rFonts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依法取得生态环境部门关于利用和处置相关工业固体废物项目环评批复、具有处理处置相应固体废物能力并配套建设有废气、废水、固废等污染物治理设施的单位进行资源化利用</w:t>
      </w:r>
      <w:r>
        <w:rPr>
          <w:rFonts w:hint="eastAsia" w:ascii="Times New Roman" w:hAnsi="Times New Roman" w:eastAsia="宋体" w:cs="Times New Roman"/>
          <w:b w:val="0"/>
          <w:bCs w:val="0"/>
          <w:color w:val="000000" w:themeColor="text1"/>
          <w:kern w:val="2"/>
          <w:sz w:val="24"/>
          <w:szCs w:val="22"/>
          <w:highlight w:val="none"/>
          <w:lang w:val="en-US" w:eastAsia="zh-CN" w:bidi="ar-SA"/>
          <w14:textFill>
            <w14:solidFill>
              <w14:schemeClr w14:val="tx1"/>
            </w14:solidFill>
          </w14:textFill>
        </w:rPr>
        <w:t>。</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水基钻井固废属于第Ⅱ类一般固体废物，收集后定期用密闭罐车就近交给依法取得生态环境部门关于利用和处置相关工业固体废物项目环评批复、具有处理处置相应固体废物能力并配套建设有废气、废水、固废等污染物治理设施的单位进行资源化利用。满足《达州市生态环境局办公室关于加强固体废物污染防治工作的通知》达市环办发〔2019〕49号文件要求。</w:t>
      </w:r>
      <w:r>
        <w:rPr>
          <w:rFonts w:cs="Times New Roman"/>
          <w:bCs/>
          <w:color w:val="000000" w:themeColor="text1"/>
          <w:highlight w:val="none"/>
          <w14:textFill>
            <w14:solidFill>
              <w14:schemeClr w14:val="tx1"/>
            </w14:solidFill>
          </w14:textFill>
        </w:rPr>
        <w:t>钻井废弃物中SiO</w:t>
      </w:r>
      <w:r>
        <w:rPr>
          <w:rFonts w:cs="Times New Roman"/>
          <w:bCs/>
          <w:color w:val="000000" w:themeColor="text1"/>
          <w:highlight w:val="none"/>
          <w:vertAlign w:val="subscript"/>
          <w14:textFill>
            <w14:solidFill>
              <w14:schemeClr w14:val="tx1"/>
            </w14:solidFill>
          </w14:textFill>
        </w:rPr>
        <w:t>2</w:t>
      </w:r>
      <w:r>
        <w:rPr>
          <w:rFonts w:cs="Times New Roman"/>
          <w:bCs/>
          <w:color w:val="000000" w:themeColor="text1"/>
          <w:highlight w:val="none"/>
          <w14:textFill>
            <w14:solidFill>
              <w14:schemeClr w14:val="tx1"/>
            </w14:solidFill>
          </w14:textFill>
        </w:rPr>
        <w:t>、Al</w:t>
      </w:r>
      <w:r>
        <w:rPr>
          <w:rFonts w:cs="Times New Roman"/>
          <w:bCs/>
          <w:color w:val="000000" w:themeColor="text1"/>
          <w:highlight w:val="none"/>
          <w:vertAlign w:val="subscript"/>
          <w14:textFill>
            <w14:solidFill>
              <w14:schemeClr w14:val="tx1"/>
            </w14:solidFill>
          </w14:textFill>
        </w:rPr>
        <w:t>2</w:t>
      </w:r>
      <w:r>
        <w:rPr>
          <w:rFonts w:cs="Times New Roman"/>
          <w:bCs/>
          <w:color w:val="000000" w:themeColor="text1"/>
          <w:highlight w:val="none"/>
          <w14:textFill>
            <w14:solidFill>
              <w14:schemeClr w14:val="tx1"/>
            </w14:solidFill>
          </w14:textFill>
        </w:rPr>
        <w:t>O</w:t>
      </w:r>
      <w:r>
        <w:rPr>
          <w:rFonts w:cs="Times New Roman"/>
          <w:bCs/>
          <w:color w:val="000000" w:themeColor="text1"/>
          <w:highlight w:val="none"/>
          <w:vertAlign w:val="subscript"/>
          <w14:textFill>
            <w14:solidFill>
              <w14:schemeClr w14:val="tx1"/>
            </w14:solidFill>
          </w14:textFill>
        </w:rPr>
        <w:t>3</w:t>
      </w:r>
      <w:r>
        <w:rPr>
          <w:rFonts w:cs="Times New Roman"/>
          <w:bCs/>
          <w:color w:val="000000" w:themeColor="text1"/>
          <w:highlight w:val="none"/>
          <w14:textFill>
            <w14:solidFill>
              <w14:schemeClr w14:val="tx1"/>
            </w14:solidFill>
          </w14:textFill>
        </w:rPr>
        <w:t>及CaO为其</w:t>
      </w:r>
      <w:r>
        <w:rPr>
          <w:rFonts w:hint="eastAsia" w:cs="Times New Roman"/>
          <w:bCs/>
          <w:color w:val="000000" w:themeColor="text1"/>
          <w:highlight w:val="none"/>
          <w:lang w:eastAsia="zh-CN"/>
          <w14:textFill>
            <w14:solidFill>
              <w14:schemeClr w14:val="tx1"/>
            </w14:solidFill>
          </w14:textFill>
        </w:rPr>
        <w:t>主要成分</w:t>
      </w:r>
      <w:r>
        <w:rPr>
          <w:rFonts w:cs="Times New Roman"/>
          <w:bCs/>
          <w:color w:val="000000" w:themeColor="text1"/>
          <w:highlight w:val="none"/>
          <w14:textFill>
            <w14:solidFill>
              <w14:schemeClr w14:val="tx1"/>
            </w14:solidFill>
          </w14:textFill>
        </w:rPr>
        <w:t>，其与砖、水泥生料成份有相似之处，类比同类钻井废弃物处置项目，钻井废弃物</w:t>
      </w:r>
      <w:r>
        <w:rPr>
          <w:rFonts w:cs="Times New Roman"/>
          <w:color w:val="000000" w:themeColor="text1"/>
          <w:highlight w:val="none"/>
          <w14:textFill>
            <w14:solidFill>
              <w14:schemeClr w14:val="tx1"/>
            </w14:solidFill>
          </w14:textFill>
        </w:rPr>
        <w:t>资源化利用从技术上是可行的。与中石化合作的有资质单位均有接收本项目钻井固废的能力且接收能力很大，因此建设单位在钻井期应根据中石化中原油田普光分公司统筹安排，尽量就近选择有处理能力的资质单位处置本项目的钻井固废，在开钻与拉运前做好协调沟通工作，确保项目钻井固废能够得到妥善有效处置，在采取上述措施后本项目钻井固废资源化综合利用从环保角度分析是可行的。</w:t>
      </w:r>
    </w:p>
    <w:p>
      <w:pPr>
        <w:ind w:firstLine="482"/>
        <w:rPr>
          <w:rFonts w:cs="Times New Roman"/>
          <w:b/>
          <w:bCs/>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（3）油基钻井固废、废油及其他不能使用含油废物等危险废物</w:t>
      </w:r>
    </w:p>
    <w:p>
      <w:pPr>
        <w:ind w:firstLine="482"/>
        <w:rPr>
          <w:rFonts w:cs="Times New Roman"/>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油基钻井固废：</w:t>
      </w:r>
      <w:r>
        <w:rPr>
          <w:rFonts w:cs="Times New Roman"/>
          <w:color w:val="000000" w:themeColor="text1"/>
          <w:highlight w:val="none"/>
          <w14:textFill>
            <w14:solidFill>
              <w14:schemeClr w14:val="tx1"/>
            </w14:solidFill>
          </w14:textFill>
        </w:rPr>
        <w:t>三开段使用油基钻井液，</w:t>
      </w:r>
      <w:r>
        <w:rPr>
          <w:rFonts w:hint="eastAsia" w:cs="Times New Roman"/>
          <w:color w:val="000000" w:themeColor="text1"/>
          <w:highlight w:val="none"/>
          <w14:textFill>
            <w14:solidFill>
              <w14:schemeClr w14:val="tx1"/>
            </w14:solidFill>
          </w14:textFill>
        </w:rPr>
        <w:t>产生的废弃油基钻井泥浆与油基岩屑</w:t>
      </w:r>
      <w:r>
        <w:rPr>
          <w:rFonts w:cs="Times New Roman"/>
          <w:color w:val="000000" w:themeColor="text1"/>
          <w:highlight w:val="none"/>
          <w14:textFill>
            <w14:solidFill>
              <w14:schemeClr w14:val="tx1"/>
            </w14:solidFill>
          </w14:textFill>
        </w:rPr>
        <w:t>产生量约为</w:t>
      </w:r>
      <w:r>
        <w:rPr>
          <w:rFonts w:hint="eastAsia" w:cs="Times New Roman"/>
          <w:color w:val="000000" w:themeColor="text1"/>
          <w:highlight w:val="none"/>
          <w14:textFill>
            <w14:solidFill>
              <w14:schemeClr w14:val="tx1"/>
            </w14:solidFill>
          </w14:textFill>
        </w:rPr>
        <w:t>612.37m</w:t>
      </w:r>
      <w:r>
        <w:rPr>
          <w:rFonts w:cs="Times New Roman"/>
          <w:color w:val="000000" w:themeColor="text1"/>
          <w:highlight w:val="none"/>
          <w:vertAlign w:val="superscript"/>
          <w14:textFill>
            <w14:solidFill>
              <w14:schemeClr w14:val="tx1"/>
            </w14:solidFill>
          </w14:textFill>
        </w:rPr>
        <w:t>3</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废</w:t>
      </w:r>
      <w:r>
        <w:rPr>
          <w:rFonts w:cs="Times New Roman"/>
          <w:color w:val="000000" w:themeColor="text1"/>
          <w:highlight w:val="none"/>
          <w14:textFill>
            <w14:solidFill>
              <w14:schemeClr w14:val="tx1"/>
            </w14:solidFill>
          </w14:textFill>
        </w:rPr>
        <w:t>油基钻井废泥浆、岩屑暂存于新建的60m</w:t>
      </w:r>
      <w:r>
        <w:rPr>
          <w:rFonts w:cs="Times New Roman"/>
          <w:color w:val="000000" w:themeColor="text1"/>
          <w:highlight w:val="none"/>
          <w:vertAlign w:val="superscript"/>
          <w14:textFill>
            <w14:solidFill>
              <w14:schemeClr w14:val="tx1"/>
            </w14:solidFill>
          </w14:textFill>
        </w:rPr>
        <w:t>2</w:t>
      </w:r>
      <w:r>
        <w:rPr>
          <w:rFonts w:cs="Times New Roman"/>
          <w:color w:val="000000" w:themeColor="text1"/>
          <w:highlight w:val="none"/>
          <w14:textFill>
            <w14:solidFill>
              <w14:schemeClr w14:val="tx1"/>
            </w14:solidFill>
          </w14:textFill>
        </w:rPr>
        <w:t>危险废物暂存场所（采取必要的防风、防晒、防雨、防漏、防渗、防腐以及其他环境污染防治措施，不得露天堆放危险废物），泥浆和油基钻井岩屑及时交由有资质的单位处置。</w:t>
      </w:r>
    </w:p>
    <w:p>
      <w:pPr>
        <w:ind w:firstLine="482"/>
        <w:rPr>
          <w:rFonts w:cs="Times New Roman"/>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废油及其他不能使用含油废物：</w:t>
      </w:r>
      <w:r>
        <w:rPr>
          <w:rFonts w:hint="eastAsia" w:cs="Times New Roman"/>
          <w:color w:val="000000" w:themeColor="text1"/>
          <w:highlight w:val="none"/>
          <w14:textFill>
            <w14:solidFill>
              <w14:schemeClr w14:val="tx1"/>
            </w14:solidFill>
          </w14:textFill>
        </w:rPr>
        <w:t>施工期</w:t>
      </w:r>
      <w:r>
        <w:rPr>
          <w:rFonts w:cs="Times New Roman"/>
          <w:color w:val="000000" w:themeColor="text1"/>
          <w:highlight w:val="none"/>
          <w14:textFill>
            <w14:solidFill>
              <w14:schemeClr w14:val="tx1"/>
            </w14:solidFill>
          </w14:textFill>
        </w:rPr>
        <w:t>产生的废油由施工单位统一收集并综合利用，若不能全部回用，不能综合利用的废油以及擦拭站场设备产生的</w:t>
      </w:r>
      <w:r>
        <w:rPr>
          <w:rFonts w:hint="eastAsia"/>
          <w:color w:val="000000" w:themeColor="text1"/>
          <w:szCs w:val="20"/>
          <w:highlight w:val="none"/>
          <w14:textFill>
            <w14:solidFill>
              <w14:schemeClr w14:val="tx1"/>
            </w14:solidFill>
          </w14:textFill>
        </w:rPr>
        <w:t>废含油抹布手套</w:t>
      </w:r>
      <w:r>
        <w:rPr>
          <w:rFonts w:cs="Times New Roman"/>
          <w:color w:val="000000" w:themeColor="text1"/>
          <w:highlight w:val="none"/>
          <w14:textFill>
            <w14:solidFill>
              <w14:schemeClr w14:val="tx1"/>
            </w14:solidFill>
          </w14:textFill>
        </w:rPr>
        <w:t>其他含油固废交由有资质的单位处理。废油的收集、贮存和运输应满足《危险废物收集、贮存、运输技术规范》（HJ2025-2012）及《废矿物油回收利用污染控制技术规范》（HJ607-2011）相关规定。</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建设单位承诺对于本项目产生的危险废物，将严格按照《危险废物贮存污染控制标准》（GB18597-2023）、《危险废物产生单位管理计划制定指南</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危险废物转移管理办法</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危险废物收集 贮存 运输技术规范》（HJ2025）和《危险废物环境管理指南 陆上石油天然气开采》等要求采取管理，建立健全危险废物产生、收集、贮存、运输、利用、处置全过程的污染环境防治责任制度，确保各危险废物得到有效收集、贮存和处置，具体如下</w:t>
      </w:r>
      <w:r>
        <w:rPr>
          <w:rFonts w:hint="eastAsia"/>
          <w:color w:val="000000" w:themeColor="text1"/>
          <w:highlight w:val="none"/>
          <w14:textFill>
            <w14:solidFill>
              <w14:schemeClr w14:val="tx1"/>
            </w14:solidFill>
          </w14:textFill>
        </w:rPr>
        <w:t>：</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1）井场暂存的可行性分析</w:t>
      </w:r>
    </w:p>
    <w:p>
      <w:pPr>
        <w:widowControl/>
        <w:ind w:firstLine="482"/>
        <w:rPr>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油基钻井固废：</w:t>
      </w:r>
      <w:r>
        <w:rPr>
          <w:rFonts w:hint="eastAsia"/>
          <w:color w:val="000000" w:themeColor="text1"/>
          <w:highlight w:val="none"/>
          <w14:textFill>
            <w14:solidFill>
              <w14:schemeClr w14:val="tx1"/>
            </w14:solidFill>
          </w14:textFill>
        </w:rPr>
        <w:t>根据《国家危险废物名录》（2021年版）和《危险废物环境管理指南 陆上石油天然气开采》，含油钻井岩屑或废钻井泥浆以及混浆属于“HW08 废矿物油与含矿物油废物危险废物中”的“072-001-08 以矿物油为连续相配制钻井泥浆用于天然气开采所产生的钻井岩屑和废弃钻井泥浆”。井场现场油基钻井固废由双层袋密封袋装后临时贮存</w:t>
      </w:r>
      <w:r>
        <w:rPr>
          <w:rFonts w:cs="Times New Roman"/>
          <w:color w:val="000000" w:themeColor="text1"/>
          <w:kern w:val="0"/>
          <w:highlight w:val="none"/>
          <w14:textFill>
            <w14:solidFill>
              <w14:schemeClr w14:val="tx1"/>
            </w14:solidFill>
          </w14:textFill>
        </w:rPr>
        <w:t>于新建的60m</w:t>
      </w:r>
      <w:r>
        <w:rPr>
          <w:rFonts w:cs="Times New Roman"/>
          <w:color w:val="000000" w:themeColor="text1"/>
          <w:kern w:val="0"/>
          <w:highlight w:val="none"/>
          <w:vertAlign w:val="superscript"/>
          <w14:textFill>
            <w14:solidFill>
              <w14:schemeClr w14:val="tx1"/>
            </w14:solidFill>
          </w14:textFill>
        </w:rPr>
        <w:t>2</w:t>
      </w:r>
      <w:r>
        <w:rPr>
          <w:rFonts w:cs="Times New Roman"/>
          <w:color w:val="000000" w:themeColor="text1"/>
          <w:kern w:val="0"/>
          <w:highlight w:val="none"/>
          <w14:textFill>
            <w14:solidFill>
              <w14:schemeClr w14:val="tx1"/>
            </w14:solidFill>
          </w14:textFill>
        </w:rPr>
        <w:t>危险废物暂存场所（采取必要的防风、防晒、防雨、防漏、防渗、防腐以及其他环境污染防治措施，不得露天堆放危险废物），</w:t>
      </w:r>
      <w:r>
        <w:rPr>
          <w:rFonts w:hint="eastAsia"/>
          <w:color w:val="000000" w:themeColor="text1"/>
          <w:highlight w:val="none"/>
          <w14:textFill>
            <w14:solidFill>
              <w14:schemeClr w14:val="tx1"/>
            </w14:solidFill>
          </w14:textFill>
        </w:rPr>
        <w:t>暂存区按</w:t>
      </w:r>
      <w:r>
        <w:rPr>
          <w:rFonts w:hint="eastAsia"/>
          <w:bCs/>
          <w:color w:val="000000" w:themeColor="text1"/>
          <w:highlight w:val="none"/>
          <w14:textFill>
            <w14:solidFill>
              <w14:schemeClr w14:val="tx1"/>
            </w14:solidFill>
          </w14:textFill>
        </w:rPr>
        <w:t>《危险废物贮存污染控制标准》（GB18597-2023）中贮存场进行管理</w:t>
      </w:r>
      <w:r>
        <w:rPr>
          <w:rFonts w:hint="eastAsia"/>
          <w:color w:val="000000" w:themeColor="text1"/>
          <w:highlight w:val="none"/>
          <w14:textFill>
            <w14:solidFill>
              <w14:schemeClr w14:val="tx1"/>
            </w14:solidFill>
          </w14:textFill>
        </w:rPr>
        <w:t>：</w:t>
      </w:r>
      <w:r>
        <w:rPr>
          <w:rFonts w:hint="eastAsia"/>
          <w:bCs/>
          <w:color w:val="000000" w:themeColor="text1"/>
          <w:highlight w:val="none"/>
          <w14:textFill>
            <w14:solidFill>
              <w14:schemeClr w14:val="tx1"/>
            </w14:solidFill>
          </w14:textFill>
        </w:rPr>
        <w:t>①</w:t>
      </w:r>
      <w:r>
        <w:rPr>
          <w:rFonts w:hint="eastAsia"/>
          <w:color w:val="000000" w:themeColor="text1"/>
          <w:highlight w:val="none"/>
          <w14:textFill>
            <w14:solidFill>
              <w14:schemeClr w14:val="tx1"/>
            </w14:solidFill>
          </w14:textFill>
        </w:rPr>
        <w:t>采取必要的防风、防晒、防雨、防漏、防渗、防腐以及其他环境污染防治措施，不应露天堆放危险废物；②贮存设施或贮存分区内地面、墙面裙脚、堵截泄漏的围堰、接触危险废物的隔板和墙体等应采用坚固的材料建造，表面无裂缝；③贮存设施地面与裙脚应采取表面防渗措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000000" w:themeColor="text1"/>
          <w:highlight w:val="none"/>
          <w:vertAlign w:val="superscript"/>
          <w14:textFill>
            <w14:solidFill>
              <w14:schemeClr w14:val="tx1"/>
            </w14:solidFill>
          </w14:textFill>
        </w:rPr>
        <w:t>-7</w:t>
      </w:r>
      <w:r>
        <w:rPr>
          <w:rFonts w:hint="eastAsia"/>
          <w:color w:val="000000" w:themeColor="text1"/>
          <w:highlight w:val="none"/>
          <w14:textFill>
            <w14:solidFill>
              <w14:schemeClr w14:val="tx1"/>
            </w14:solidFill>
          </w14:textFill>
        </w:rPr>
        <w:t>cm/s），或至少2mm厚高密度聚乙烯膜等人工防渗材料（渗透系数不大于10</w:t>
      </w:r>
      <w:r>
        <w:rPr>
          <w:rFonts w:hint="eastAsia"/>
          <w:color w:val="000000" w:themeColor="text1"/>
          <w:highlight w:val="none"/>
          <w:vertAlign w:val="superscript"/>
          <w14:textFill>
            <w14:solidFill>
              <w14:schemeClr w14:val="tx1"/>
            </w14:solidFill>
          </w14:textFill>
        </w:rPr>
        <w:t>-10</w:t>
      </w:r>
      <w:r>
        <w:rPr>
          <w:rFonts w:hint="eastAsia"/>
          <w:color w:val="000000" w:themeColor="text1"/>
          <w:highlight w:val="none"/>
          <w14:textFill>
            <w14:solidFill>
              <w14:schemeClr w14:val="tx1"/>
            </w14:solidFill>
          </w14:textFill>
        </w:rPr>
        <w:t>cm/s），或其他防渗性能等效的材料；④贮存设施应采取技术和管理措施防止无关人员进入；⑤贮存场应设置径流疏导系统，保证能防止当地重现期不小于25年的暴雨流入贮存区域，并采取措施防止雨水冲淋危险废物，避免增加渗滤液量；贮存场可整体或分区设计液体导流和收集设施，收集设施容积应保证在最不利条件下可以容纳对应贮存区域产生的渗滤液、废水等液态物质；贮存场应采取防止危险废物扬散、流失的措施。本项目油基钻井固废暂存区采取彩钢棚防雨、防风、防晒，并由废渣收集罐盛装临时贮存，油基钻井固废采取分批分次及时交由具有相应危废处置资质单位妥善转运和处置，现场无油基固废排放</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钻井固废暂存区（危废暂存库）设置满足《危险废物贮存污染控制标准》（GB18597-2023）要求，暂存油基钻井固废时应按要求设立危废标识，因此措施可行。</w:t>
      </w:r>
    </w:p>
    <w:p>
      <w:pPr>
        <w:widowControl/>
        <w:ind w:firstLine="482"/>
        <w:rPr>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废油及其他含油固废：</w:t>
      </w:r>
      <w:r>
        <w:rPr>
          <w:color w:val="000000" w:themeColor="text1"/>
          <w:highlight w:val="none"/>
          <w14:textFill>
            <w14:solidFill>
              <w14:schemeClr w14:val="tx1"/>
            </w14:solidFill>
          </w14:textFill>
        </w:rPr>
        <w:t>井场内设置废油桶集中收集废油，废油桶置于泥浆不落地装置区，并</w:t>
      </w:r>
      <w:r>
        <w:rPr>
          <w:rFonts w:cs="Times New Roman"/>
          <w:color w:val="000000" w:themeColor="text1"/>
          <w:kern w:val="0"/>
          <w:highlight w:val="none"/>
          <w14:textFill>
            <w14:solidFill>
              <w14:schemeClr w14:val="tx1"/>
            </w14:solidFill>
          </w14:textFill>
        </w:rPr>
        <w:t>防风、防晒、防雨、防漏、防渗、防腐以及其他环境污染防治措施</w:t>
      </w:r>
      <w:r>
        <w:rPr>
          <w:color w:val="000000" w:themeColor="text1"/>
          <w:highlight w:val="none"/>
          <w14:textFill>
            <w14:solidFill>
              <w14:schemeClr w14:val="tx1"/>
            </w14:solidFill>
          </w14:textFill>
        </w:rPr>
        <w:t>。暂存区严格按照《危险废物贮存污染控制标准》（GB18597-2023）</w:t>
      </w:r>
      <w:r>
        <w:rPr>
          <w:rFonts w:hint="eastAsia"/>
          <w:color w:val="000000" w:themeColor="text1"/>
          <w:highlight w:val="none"/>
          <w14:textFill>
            <w14:solidFill>
              <w14:schemeClr w14:val="tx1"/>
            </w14:solidFill>
          </w14:textFill>
        </w:rPr>
        <w:t>中贮存点进行管理，</w:t>
      </w:r>
      <w:r>
        <w:rPr>
          <w:rFonts w:hint="eastAsia"/>
          <w:bCs/>
          <w:color w:val="000000" w:themeColor="text1"/>
          <w:highlight w:val="none"/>
          <w14:textFill>
            <w14:solidFill>
              <w14:schemeClr w14:val="tx1"/>
            </w14:solidFill>
          </w14:textFill>
        </w:rPr>
        <w:t>实时贮存量不应超过3吨。</w:t>
      </w:r>
      <w:r>
        <w:rPr>
          <w:color w:val="000000" w:themeColor="text1"/>
          <w:highlight w:val="none"/>
          <w14:textFill>
            <w14:solidFill>
              <w14:schemeClr w14:val="tx1"/>
            </w14:solidFill>
          </w14:textFill>
        </w:rPr>
        <w:t>废油</w:t>
      </w:r>
      <w:r>
        <w:rPr>
          <w:rFonts w:hint="eastAsia"/>
          <w:color w:val="000000" w:themeColor="text1"/>
          <w:szCs w:val="20"/>
          <w:highlight w:val="none"/>
          <w14:textFill>
            <w14:solidFill>
              <w14:schemeClr w14:val="tx1"/>
            </w14:solidFill>
          </w14:textFill>
        </w:rPr>
        <w:t>及废含油抹布手套</w:t>
      </w:r>
      <w:r>
        <w:rPr>
          <w:color w:val="000000" w:themeColor="text1"/>
          <w:highlight w:val="none"/>
          <w14:textFill>
            <w14:solidFill>
              <w14:schemeClr w14:val="tx1"/>
            </w14:solidFill>
          </w14:textFill>
        </w:rPr>
        <w:t>用废油桶</w:t>
      </w:r>
      <w:r>
        <w:rPr>
          <w:rFonts w:hint="eastAsia"/>
          <w:color w:val="000000" w:themeColor="text1"/>
          <w:highlight w:val="none"/>
          <w14:textFill>
            <w14:solidFill>
              <w14:schemeClr w14:val="tx1"/>
            </w14:solidFill>
          </w14:textFill>
        </w:rPr>
        <w:t>分类</w:t>
      </w:r>
      <w:r>
        <w:rPr>
          <w:color w:val="000000" w:themeColor="text1"/>
          <w:highlight w:val="none"/>
          <w14:textFill>
            <w14:solidFill>
              <w14:schemeClr w14:val="tx1"/>
            </w14:solidFill>
          </w14:textFill>
        </w:rPr>
        <w:t>收集后放置于暂存区内，按照《</w:t>
      </w:r>
      <w:r>
        <w:rPr>
          <w:rFonts w:hint="eastAsia"/>
          <w:color w:val="000000" w:themeColor="text1"/>
          <w:highlight w:val="none"/>
          <w14:textFill>
            <w14:solidFill>
              <w14:schemeClr w14:val="tx1"/>
            </w14:solidFill>
          </w14:textFill>
        </w:rPr>
        <w:t>危险废物识别标志设置技术规范</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HJ</w:t>
      </w:r>
      <w:r>
        <w:rPr>
          <w:color w:val="000000" w:themeColor="text1"/>
          <w:highlight w:val="none"/>
          <w14:textFill>
            <w14:solidFill>
              <w14:schemeClr w14:val="tx1"/>
            </w14:solidFill>
          </w14:textFill>
        </w:rPr>
        <w:t xml:space="preserve"> 1276-2022）设置危险废物识别标志，满足《危险废物贮存污染控制标准》（GB18597-2023）设计要求。暂存期间做好废油管理记录，通过擦拭站场设备等方式回收综合利用，不能综合利用的废油以及擦拭站场设备产生的其他含油固废交由有资质的单位处理，因此废油及其他含油井固废在井场内暂存可行。</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2）危险废物贮存、处置环境管理</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本项目废油等其他含油固废采用油桶收集，</w:t>
      </w:r>
      <w:r>
        <w:rPr>
          <w:rFonts w:hint="eastAsia" w:cs="Times New Roman"/>
          <w:color w:val="000000" w:themeColor="text1"/>
          <w:szCs w:val="24"/>
          <w:highlight w:val="none"/>
          <w14:textFill>
            <w14:solidFill>
              <w14:schemeClr w14:val="tx1"/>
            </w14:solidFill>
          </w14:textFill>
        </w:rPr>
        <w:t>油基钻井固废采用双层密封袋或封闭桶桶装包装，</w:t>
      </w:r>
      <w:r>
        <w:rPr>
          <w:rFonts w:cs="Times New Roman"/>
          <w:color w:val="000000" w:themeColor="text1"/>
          <w:szCs w:val="24"/>
          <w:highlight w:val="none"/>
          <w14:textFill>
            <w14:solidFill>
              <w14:schemeClr w14:val="tx1"/>
            </w14:solidFill>
          </w14:textFill>
        </w:rPr>
        <w:t>整体转运方式转运，避免转运过程中的跑冒滴漏，严格按照《危险废物收集、贮存、运输集输规范》（HJ2025-2012）等危废运输管理各项规定予以落实，场内转运车辆按照预定线路转运，加强转运人员的环境风险防范意识教育，编制转运环境风险应急预案，场外转运委托危废资质单位专业转运，转运车辆环境管理措施可行。</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加强四川省危险废物监督管理工作，四川省固体废物管理中心每年都会组织行政区域内危险废物产生单位对当年危险废物的产生、贮存、转移、利用、处置等情况进行申报，本项目须严格按照当地危险废物登记申报环境管理相关要求，以企业为单位，本项目产生危险固废阶段为子项汇总后主动向当地环境行政主管部门申报，接受监督检查。</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为加强危废的环境管理，本项目应严格按照《危险废物收集贮存运输技术规范》（HJ2025-2012）、《危险废物转移联单管理办法》（原国家环境保护总局令第5号）和《危险废物环境管理指南 陆上石油天然气开采》等相关环境管理要求，做到如下环境管理。</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1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①</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落实污染环境防治责任制度，建立健全工业危险废物产生、收集、贮存、运输、利用、处置全过程的污染环境防治责任制度。</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2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②</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落实危险废物识别标志制度，按照《危险废物识别标志设置技术规范》（HJ 1276-2022）等有关规定，对危险废物的容器和包装物以及收集、贮存、运输、利用、处置危险废物的设施、场所设置危险废物识别标志。</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3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③</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落实危险废物管理计划制度，按照《危险废物产生单位管理计划制定指南》等有关要求制定危险废物管理计划，并报所在地生态环境主管部门备案。</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4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④</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落实危险废物管理台账及申报制度，建立危险废物管理台账，如实记录有关信息，并通过国家危险废物信息管理系统向所在地生态环境主管部门申报危险废物的种类、产生量、流向、贮存、处置等有关资料。</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5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⑤</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落实危险废物经营许可证制度，禁止将危险废物提供或委托给无危险废物经营许可证的单位或者其他生产经营者从事收集、贮存、利用、处置活动。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6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⑥</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危险废物转移联单制度，转移危险废物的，应当按照《危险废物转移管理办法》的有关规定填写、运行危险废物转移联单。运输危险废物，应当采取防止污染环境的措施，并遵守国家有关危险货物运输管理的规定。废油转运实施五联单转运制度，联单第一联由产生单位自留存档，联单第二联副联由产生单位在二日内报送移出地环境保护行政主管部门；接受单位将联单第三联交付运输单位存档；将联单第四联自留存档；将联单第五联自接受危险废物之日起二日内报送接受地环境保护行政主管部门，联单保存期限为五年。</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7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⑦</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落实排污许可制度。</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8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⑧</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环境保护标准制度，按照国家有关规定和环境保护标准要求贮存、利用、处置危险废物，不得将其擅自倾倒处置；禁止混合收集、贮存、运输、处置性质不相容或未经安全性处置的危险废物。危险废物收集、贮存应当按照其特性分类进行；禁止将危险废物混入非危险废物中贮存。危险废物收集、贮存和运输过程的污染控制执行《危险废物贮存污染控制标准》（GB18597-2023）《危险废物收集贮存 运输技术规范》（HJ2025）等有关规定。</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9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⑨</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落实环境影响评价制度及环境保护三同时制度，需要配套建设的危险废物贮存、利用和处置设施应当与主体工程同时设计、同时施工、同时投入使用。</w:t>
      </w:r>
    </w:p>
    <w:p>
      <w:pPr>
        <w:ind w:firstLine="480"/>
        <w:rPr>
          <w:rFonts w:cs="Times New Roman"/>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fldChar w:fldCharType="begin"/>
      </w:r>
      <w:r>
        <w:rPr>
          <w:rFonts w:cs="Times New Roman"/>
          <w:color w:val="000000" w:themeColor="text1"/>
          <w:highlight w:val="none"/>
          <w14:textFill>
            <w14:solidFill>
              <w14:schemeClr w14:val="tx1"/>
            </w14:solidFill>
          </w14:textFill>
        </w:rPr>
        <w:instrText xml:space="preserve"> = 10 \* GB3 \* MERGEFORMAT </w:instrText>
      </w:r>
      <w:r>
        <w:rPr>
          <w:rFonts w:cs="Times New Roman"/>
          <w:color w:val="000000" w:themeColor="text1"/>
          <w:highlight w:val="none"/>
          <w14:textFill>
            <w14:solidFill>
              <w14:schemeClr w14:val="tx1"/>
            </w14:solidFill>
          </w14:textFill>
        </w:rPr>
        <w:fldChar w:fldCharType="separate"/>
      </w:r>
      <w:r>
        <w:rPr>
          <w:color w:val="000000" w:themeColor="text1"/>
          <w:highlight w:val="none"/>
          <w14:textFill>
            <w14:solidFill>
              <w14:schemeClr w14:val="tx1"/>
            </w14:solidFill>
          </w14:textFill>
        </w:rPr>
        <w:t>⑩</w:t>
      </w:r>
      <w:r>
        <w:rPr>
          <w:rFonts w:cs="Times New Roman"/>
          <w:color w:val="000000" w:themeColor="text1"/>
          <w:highlight w:val="none"/>
          <w14:textFill>
            <w14:solidFill>
              <w14:schemeClr w14:val="tx1"/>
            </w14:solidFill>
          </w14:textFill>
        </w:rPr>
        <w:fldChar w:fldCharType="end"/>
      </w:r>
      <w:r>
        <w:rPr>
          <w:rFonts w:cs="Times New Roman"/>
          <w:color w:val="000000" w:themeColor="text1"/>
          <w:highlight w:val="none"/>
          <w14:textFill>
            <w14:solidFill>
              <w14:schemeClr w14:val="tx1"/>
            </w14:solidFill>
          </w14:textFill>
        </w:rPr>
        <w:t>落实环境应急预案制度，参考《危险废物经营单位编制应急预案指南》有关规定制定意外事故的防范措施和环境应急预案，并向所在地生态环境主管部门和其他负有固体废物污染环境防治监督管理职责的部门备案。井场设专门的储存区贮存废润滑油、废含油抹布和劳保用品、含有或沾染矿物油的废弃包装物和容器等。</w:t>
      </w:r>
    </w:p>
    <w:p>
      <w:pPr>
        <w:ind w:firstLine="482"/>
        <w:rPr>
          <w:rFonts w:cs="Times New Roman"/>
          <w:b/>
          <w:bCs/>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综上所述，</w:t>
      </w:r>
      <w:r>
        <w:rPr>
          <w:rFonts w:cs="Times New Roman"/>
          <w:b/>
          <w:bCs/>
          <w:color w:val="000000" w:themeColor="text1"/>
          <w:highlight w:val="none"/>
          <w14:textFill>
            <w14:solidFill>
              <w14:schemeClr w14:val="tx1"/>
            </w14:solidFill>
          </w14:textFill>
        </w:rPr>
        <w:t>本项目钻井施工期危废主要为HW08 900-214-08</w:t>
      </w:r>
      <w:r>
        <w:rPr>
          <w:rFonts w:hint="eastAsia" w:cs="Times New Roman"/>
          <w:b/>
          <w:bCs/>
          <w:color w:val="000000" w:themeColor="text1"/>
          <w:highlight w:val="none"/>
          <w14:textFill>
            <w14:solidFill>
              <w14:schemeClr w14:val="tx1"/>
            </w14:solidFill>
          </w14:textFill>
        </w:rPr>
        <w:t>含</w:t>
      </w:r>
      <w:r>
        <w:rPr>
          <w:rFonts w:cs="Times New Roman"/>
          <w:b/>
          <w:bCs/>
          <w:color w:val="000000" w:themeColor="text1"/>
          <w:highlight w:val="none"/>
          <w14:textFill>
            <w14:solidFill>
              <w14:schemeClr w14:val="tx1"/>
            </w14:solidFill>
          </w14:textFill>
        </w:rPr>
        <w:t>废油危废</w:t>
      </w:r>
      <w:r>
        <w:rPr>
          <w:rFonts w:hint="eastAsia" w:cs="Times New Roman"/>
          <w:b/>
          <w:bCs/>
          <w:color w:val="000000" w:themeColor="text1"/>
          <w:highlight w:val="none"/>
          <w14:textFill>
            <w14:solidFill>
              <w14:schemeClr w14:val="tx1"/>
            </w14:solidFill>
          </w14:textFill>
        </w:rPr>
        <w:t>和</w:t>
      </w:r>
      <w:r>
        <w:rPr>
          <w:rFonts w:cs="Times New Roman"/>
          <w:b/>
          <w:bCs/>
          <w:color w:val="000000" w:themeColor="text1"/>
          <w:highlight w:val="none"/>
          <w14:textFill>
            <w14:solidFill>
              <w14:schemeClr w14:val="tx1"/>
            </w14:solidFill>
          </w14:textFill>
        </w:rPr>
        <w:t>HW08 072-001-08以矿物油为连续相配制钻井泥浆用于天然气开采所产生的钻井岩屑和废弃钻井泥浆，由于</w:t>
      </w:r>
      <w:r>
        <w:rPr>
          <w:rFonts w:hint="eastAsia" w:cs="Times New Roman"/>
          <w:b/>
          <w:bCs/>
          <w:color w:val="000000" w:themeColor="text1"/>
          <w:highlight w:val="none"/>
          <w14:textFill>
            <w14:solidFill>
              <w14:schemeClr w14:val="tx1"/>
            </w14:solidFill>
          </w14:textFill>
        </w:rPr>
        <w:t>本项目</w:t>
      </w:r>
      <w:r>
        <w:rPr>
          <w:rFonts w:cs="Times New Roman"/>
          <w:b/>
          <w:bCs/>
          <w:color w:val="000000" w:themeColor="text1"/>
          <w:highlight w:val="none"/>
          <w14:textFill>
            <w14:solidFill>
              <w14:schemeClr w14:val="tx1"/>
            </w14:solidFill>
          </w14:textFill>
        </w:rPr>
        <w:t>HW08</w:t>
      </w:r>
      <w:r>
        <w:rPr>
          <w:rFonts w:hint="eastAsia" w:cs="Times New Roman"/>
          <w:b/>
          <w:bCs/>
          <w:color w:val="000000" w:themeColor="text1"/>
          <w:highlight w:val="none"/>
          <w14:textFill>
            <w14:solidFill>
              <w14:schemeClr w14:val="tx1"/>
            </w14:solidFill>
          </w14:textFill>
        </w:rPr>
        <w:t>类</w:t>
      </w:r>
      <w:r>
        <w:rPr>
          <w:rFonts w:cs="Times New Roman"/>
          <w:b/>
          <w:bCs/>
          <w:color w:val="000000" w:themeColor="text1"/>
          <w:highlight w:val="none"/>
          <w14:textFill>
            <w14:solidFill>
              <w14:schemeClr w14:val="tx1"/>
            </w14:solidFill>
          </w14:textFill>
        </w:rPr>
        <w:t>危废产生量少，施工现场通过加强施工现场环境管理措施减少和控制</w:t>
      </w:r>
      <w:r>
        <w:rPr>
          <w:rFonts w:hint="eastAsia" w:cs="Times New Roman"/>
          <w:b/>
          <w:bCs/>
          <w:color w:val="000000" w:themeColor="text1"/>
          <w:highlight w:val="none"/>
          <w14:textFill>
            <w14:solidFill>
              <w14:schemeClr w14:val="tx1"/>
            </w14:solidFill>
          </w14:textFill>
        </w:rPr>
        <w:t>该类危废</w:t>
      </w:r>
      <w:r>
        <w:rPr>
          <w:rFonts w:cs="Times New Roman"/>
          <w:b/>
          <w:bCs/>
          <w:color w:val="000000" w:themeColor="text1"/>
          <w:highlight w:val="none"/>
          <w14:textFill>
            <w14:solidFill>
              <w14:schemeClr w14:val="tx1"/>
            </w14:solidFill>
          </w14:textFill>
        </w:rPr>
        <w:t>产生，产生量进一步减小，</w:t>
      </w:r>
      <w:r>
        <w:rPr>
          <w:rFonts w:hint="eastAsia" w:cs="Times New Roman"/>
          <w:b/>
          <w:bCs/>
          <w:color w:val="000000" w:themeColor="text1"/>
          <w:highlight w:val="none"/>
          <w14:textFill>
            <w14:solidFill>
              <w14:schemeClr w14:val="tx1"/>
            </w14:solidFill>
          </w14:textFill>
        </w:rPr>
        <w:t>而四川省内有大量的</w:t>
      </w:r>
      <w:r>
        <w:rPr>
          <w:rFonts w:cs="Times New Roman"/>
          <w:b/>
          <w:bCs/>
          <w:color w:val="000000" w:themeColor="text1"/>
          <w:highlight w:val="none"/>
          <w14:textFill>
            <w14:solidFill>
              <w14:schemeClr w14:val="tx1"/>
            </w14:solidFill>
          </w14:textFill>
        </w:rPr>
        <w:t xml:space="preserve">HW08 </w:t>
      </w:r>
      <w:r>
        <w:rPr>
          <w:rFonts w:hint="eastAsia" w:cs="Times New Roman"/>
          <w:b/>
          <w:bCs/>
          <w:color w:val="000000" w:themeColor="text1"/>
          <w:highlight w:val="none"/>
          <w14:textFill>
            <w14:solidFill>
              <w14:schemeClr w14:val="tx1"/>
            </w14:solidFill>
          </w14:textFill>
        </w:rPr>
        <w:t>类</w:t>
      </w:r>
      <w:r>
        <w:rPr>
          <w:rFonts w:cs="Times New Roman"/>
          <w:b/>
          <w:bCs/>
          <w:color w:val="000000" w:themeColor="text1"/>
          <w:highlight w:val="none"/>
          <w14:textFill>
            <w14:solidFill>
              <w14:schemeClr w14:val="tx1"/>
            </w14:solidFill>
          </w14:textFill>
        </w:rPr>
        <w:t>危废</w:t>
      </w:r>
      <w:r>
        <w:rPr>
          <w:rFonts w:hint="eastAsia" w:cs="Times New Roman"/>
          <w:b/>
          <w:bCs/>
          <w:color w:val="000000" w:themeColor="text1"/>
          <w:highlight w:val="none"/>
          <w14:textFill>
            <w14:solidFill>
              <w14:schemeClr w14:val="tx1"/>
            </w14:solidFill>
          </w14:textFill>
        </w:rPr>
        <w:t>处置单位，处置剩余能力很大，本项目产生的危废</w:t>
      </w:r>
      <w:r>
        <w:rPr>
          <w:rFonts w:cs="Times New Roman"/>
          <w:b/>
          <w:bCs/>
          <w:color w:val="000000" w:themeColor="text1"/>
          <w:highlight w:val="none"/>
          <w14:textFill>
            <w14:solidFill>
              <w14:schemeClr w14:val="tx1"/>
            </w14:solidFill>
          </w14:textFill>
        </w:rPr>
        <w:t>不会超过</w:t>
      </w:r>
      <w:r>
        <w:rPr>
          <w:rFonts w:hint="eastAsia" w:cs="Times New Roman"/>
          <w:b/>
          <w:bCs/>
          <w:color w:val="000000" w:themeColor="text1"/>
          <w:highlight w:val="none"/>
          <w14:textFill>
            <w14:solidFill>
              <w14:schemeClr w14:val="tx1"/>
            </w14:solidFill>
          </w14:textFill>
        </w:rPr>
        <w:t>省内</w:t>
      </w:r>
      <w:r>
        <w:rPr>
          <w:rFonts w:cs="Times New Roman"/>
          <w:b/>
          <w:bCs/>
          <w:color w:val="000000" w:themeColor="text1"/>
          <w:highlight w:val="none"/>
          <w14:textFill>
            <w14:solidFill>
              <w14:schemeClr w14:val="tx1"/>
            </w14:solidFill>
          </w14:textFill>
        </w:rPr>
        <w:t>危废处置单位处置能力，</w:t>
      </w:r>
      <w:r>
        <w:rPr>
          <w:rFonts w:hint="eastAsia" w:cs="Times New Roman"/>
          <w:b/>
          <w:bCs/>
          <w:color w:val="000000" w:themeColor="text1"/>
          <w:highlight w:val="none"/>
          <w14:textFill>
            <w14:solidFill>
              <w14:schemeClr w14:val="tx1"/>
            </w14:solidFill>
          </w14:textFill>
        </w:rPr>
        <w:t>因此项目产生的</w:t>
      </w:r>
      <w:r>
        <w:rPr>
          <w:rFonts w:cs="Times New Roman"/>
          <w:b/>
          <w:bCs/>
          <w:color w:val="000000" w:themeColor="text1"/>
          <w:highlight w:val="none"/>
          <w14:textFill>
            <w14:solidFill>
              <w14:schemeClr w14:val="tx1"/>
            </w14:solidFill>
          </w14:textFill>
        </w:rPr>
        <w:t>HW08</w:t>
      </w:r>
      <w:r>
        <w:rPr>
          <w:rFonts w:hint="eastAsia" w:cs="Times New Roman"/>
          <w:b/>
          <w:bCs/>
          <w:color w:val="000000" w:themeColor="text1"/>
          <w:highlight w:val="none"/>
          <w14:textFill>
            <w14:solidFill>
              <w14:schemeClr w14:val="tx1"/>
            </w14:solidFill>
          </w14:textFill>
        </w:rPr>
        <w:t>类</w:t>
      </w:r>
      <w:r>
        <w:rPr>
          <w:rFonts w:cs="Times New Roman"/>
          <w:b/>
          <w:bCs/>
          <w:color w:val="000000" w:themeColor="text1"/>
          <w:highlight w:val="none"/>
          <w14:textFill>
            <w14:solidFill>
              <w14:schemeClr w14:val="tx1"/>
            </w14:solidFill>
          </w14:textFill>
        </w:rPr>
        <w:t>危废交由</w:t>
      </w:r>
      <w:r>
        <w:rPr>
          <w:rFonts w:hint="eastAsia" w:cs="Times New Roman"/>
          <w:b/>
          <w:bCs/>
          <w:color w:val="000000" w:themeColor="text1"/>
          <w:highlight w:val="none"/>
          <w14:textFill>
            <w14:solidFill>
              <w14:schemeClr w14:val="tx1"/>
            </w14:solidFill>
          </w14:textFill>
        </w:rPr>
        <w:t>省内具有相应</w:t>
      </w:r>
      <w:r>
        <w:rPr>
          <w:rFonts w:cs="Times New Roman"/>
          <w:b/>
          <w:bCs/>
          <w:color w:val="000000" w:themeColor="text1"/>
          <w:highlight w:val="none"/>
          <w14:textFill>
            <w14:solidFill>
              <w14:schemeClr w14:val="tx1"/>
            </w14:solidFill>
          </w14:textFill>
        </w:rPr>
        <w:t>危废资质单位处置的措施可行。</w:t>
      </w:r>
    </w:p>
    <w:p>
      <w:pPr>
        <w:ind w:firstLine="482"/>
        <w:rPr>
          <w:rFonts w:cs="Times New Roman"/>
          <w:b/>
          <w:bCs/>
          <w:color w:val="000000" w:themeColor="text1"/>
          <w:highlight w:val="none"/>
          <w14:textFill>
            <w14:solidFill>
              <w14:schemeClr w14:val="tx1"/>
            </w14:solidFill>
          </w14:textFill>
        </w:rPr>
      </w:pPr>
      <w:r>
        <w:rPr>
          <w:rFonts w:cs="Times New Roman"/>
          <w:b/>
          <w:bCs/>
          <w:color w:val="000000" w:themeColor="text1"/>
          <w:highlight w:val="none"/>
          <w14:textFill>
            <w14:solidFill>
              <w14:schemeClr w14:val="tx1"/>
            </w14:solidFill>
          </w14:textFill>
        </w:rPr>
        <w:t>（4）生活垃圾</w:t>
      </w:r>
    </w:p>
    <w:p>
      <w:pPr>
        <w:ind w:firstLine="480"/>
        <w:rPr>
          <w:bCs/>
          <w:color w:val="000000" w:themeColor="text1"/>
          <w:szCs w:val="24"/>
          <w:highlight w:val="none"/>
          <w14:textFill>
            <w14:solidFill>
              <w14:schemeClr w14:val="tx1"/>
            </w14:solidFill>
          </w14:textFill>
        </w:rPr>
      </w:pPr>
      <w:r>
        <w:rPr>
          <w:rFonts w:cs="Times New Roman"/>
          <w:color w:val="000000" w:themeColor="text1"/>
          <w:highlight w:val="none"/>
          <w14:textFill>
            <w14:solidFill>
              <w14:schemeClr w14:val="tx1"/>
            </w14:solidFill>
          </w14:textFill>
        </w:rPr>
        <w:t>钻井期</w:t>
      </w:r>
      <w:r>
        <w:rPr>
          <w:rFonts w:cs="Times New Roman"/>
          <w:bCs/>
          <w:color w:val="000000" w:themeColor="text1"/>
          <w:highlight w:val="none"/>
          <w14:textFill>
            <w14:solidFill>
              <w14:schemeClr w14:val="tx1"/>
            </w14:solidFill>
          </w14:textFill>
        </w:rPr>
        <w:t>井场设置垃圾桶进行收集，垃圾桶进行防雨防风处理，定期清运交由当地环卫部门统一处理</w:t>
      </w:r>
      <w:r>
        <w:rPr>
          <w:bCs/>
          <w:color w:val="000000" w:themeColor="text1"/>
          <w:szCs w:val="24"/>
          <w:highlight w:val="none"/>
          <w14:textFill>
            <w14:solidFill>
              <w14:schemeClr w14:val="tx1"/>
            </w14:solidFill>
          </w14:textFill>
        </w:rPr>
        <w:t>，措施可行。</w:t>
      </w:r>
    </w:p>
    <w:p>
      <w:pPr>
        <w:ind w:firstLine="482"/>
        <w:rPr>
          <w:rFonts w:cs="Times New Roman"/>
          <w:b/>
          <w:bCs/>
          <w:color w:val="000000" w:themeColor="text1"/>
          <w:highlight w:val="none"/>
          <w14:textFill>
            <w14:solidFill>
              <w14:schemeClr w14:val="tx1"/>
            </w14:solidFill>
          </w14:textFill>
        </w:rPr>
      </w:pPr>
      <w:r>
        <w:rPr>
          <w:rFonts w:hint="eastAsia" w:cs="Times New Roman"/>
          <w:b/>
          <w:bCs/>
          <w:color w:val="000000" w:themeColor="text1"/>
          <w:highlight w:val="none"/>
          <w14:textFill>
            <w14:solidFill>
              <w14:schemeClr w14:val="tx1"/>
            </w14:solidFill>
          </w14:textFill>
        </w:rPr>
        <w:t>（5）</w:t>
      </w:r>
      <w:r>
        <w:rPr>
          <w:rFonts w:cs="Times New Roman"/>
          <w:b/>
          <w:bCs/>
          <w:color w:val="000000" w:themeColor="text1"/>
          <w:highlight w:val="none"/>
          <w14:textFill>
            <w14:solidFill>
              <w14:schemeClr w14:val="tx1"/>
            </w14:solidFill>
          </w14:textFill>
        </w:rPr>
        <w:t>废包装材料等其他一般固废</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钻井期间产生的废包装材料主要为各原辅材料的包装袋，为一般废物，集中收集后定期运至就近的废品回收站进行处理</w:t>
      </w:r>
      <w:r>
        <w:rPr>
          <w:rFonts w:hint="eastAsia"/>
          <w:bCs/>
          <w:color w:val="000000" w:themeColor="text1"/>
          <w:highlight w:val="none"/>
          <w14:textFill>
            <w14:solidFill>
              <w14:schemeClr w14:val="tx1"/>
            </w14:solidFill>
          </w14:textFill>
        </w:rPr>
        <w:t>；其他一般固废</w:t>
      </w:r>
      <w:r>
        <w:rPr>
          <w:bCs/>
          <w:color w:val="000000" w:themeColor="text1"/>
          <w:highlight w:val="none"/>
          <w14:textFill>
            <w14:solidFill>
              <w14:schemeClr w14:val="tx1"/>
            </w14:solidFill>
          </w14:textFill>
        </w:rPr>
        <w:t>部分回收重复利用，不可回用部分经收集后暂处于井场内，定期送当地废品回收站处理。</w:t>
      </w:r>
      <w:r>
        <w:rPr>
          <w:rFonts w:hint="eastAsia"/>
          <w:bCs/>
          <w:color w:val="000000" w:themeColor="text1"/>
          <w:highlight w:val="none"/>
          <w14:textFill>
            <w14:solidFill>
              <w14:schemeClr w14:val="tx1"/>
            </w14:solidFill>
          </w14:textFill>
        </w:rPr>
        <w:t>废包装材料能够得到妥善处置，该处置措施可行。</w:t>
      </w:r>
      <w:r>
        <w:rPr>
          <w:rFonts w:hint="eastAsia" w:cs="Times New Roman"/>
          <w:color w:val="000000" w:themeColor="text1"/>
          <w:szCs w:val="24"/>
          <w:highlight w:val="none"/>
          <w14:textFill>
            <w14:solidFill>
              <w14:schemeClr w14:val="tx1"/>
            </w14:solidFill>
          </w14:textFill>
        </w:rPr>
        <w:t>此外，</w:t>
      </w:r>
      <w:r>
        <w:rPr>
          <w:rFonts w:cs="Times New Roman"/>
          <w:color w:val="000000" w:themeColor="text1"/>
          <w:szCs w:val="24"/>
          <w:highlight w:val="none"/>
          <w14:textFill>
            <w14:solidFill>
              <w14:schemeClr w14:val="tx1"/>
            </w14:solidFill>
          </w14:textFill>
        </w:rPr>
        <w:t>项目站场建设</w:t>
      </w:r>
      <w:r>
        <w:rPr>
          <w:rFonts w:hint="eastAsia" w:cs="Times New Roman"/>
          <w:color w:val="000000" w:themeColor="text1"/>
          <w:szCs w:val="24"/>
          <w:highlight w:val="none"/>
          <w14:textFill>
            <w14:solidFill>
              <w14:schemeClr w14:val="tx1"/>
            </w14:solidFill>
          </w14:textFill>
        </w:rPr>
        <w:t>和集输管线施工还会</w:t>
      </w:r>
      <w:r>
        <w:rPr>
          <w:rFonts w:cs="Times New Roman"/>
          <w:color w:val="000000" w:themeColor="text1"/>
          <w:szCs w:val="24"/>
          <w:highlight w:val="none"/>
          <w14:textFill>
            <w14:solidFill>
              <w14:schemeClr w14:val="tx1"/>
            </w14:solidFill>
          </w14:textFill>
        </w:rPr>
        <w:t>产生</w:t>
      </w:r>
      <w:r>
        <w:rPr>
          <w:rFonts w:hint="eastAsia" w:cs="Times New Roman"/>
          <w:color w:val="000000" w:themeColor="text1"/>
          <w:szCs w:val="24"/>
          <w:highlight w:val="none"/>
          <w14:textFill>
            <w14:solidFill>
              <w14:schemeClr w14:val="tx1"/>
            </w14:solidFill>
          </w14:textFill>
        </w:rPr>
        <w:t>少量</w:t>
      </w:r>
      <w:r>
        <w:rPr>
          <w:rFonts w:cs="Times New Roman"/>
          <w:color w:val="000000" w:themeColor="text1"/>
          <w:szCs w:val="24"/>
          <w:highlight w:val="none"/>
          <w14:textFill>
            <w14:solidFill>
              <w14:schemeClr w14:val="tx1"/>
            </w14:solidFill>
          </w14:textFill>
        </w:rPr>
        <w:t>管道焊接、防腐作业中产生的废材料</w:t>
      </w:r>
      <w:r>
        <w:rPr>
          <w:rFonts w:hint="eastAsia" w:cs="Times New Roman"/>
          <w:color w:val="000000" w:themeColor="text1"/>
          <w:szCs w:val="24"/>
          <w:highlight w:val="none"/>
          <w14:textFill>
            <w14:solidFill>
              <w14:schemeClr w14:val="tx1"/>
            </w14:solidFill>
          </w14:textFill>
        </w:rPr>
        <w:t>，如废焊条、废材料桶等，由施工单位带走处置，不在现场，</w:t>
      </w:r>
      <w:r>
        <w:rPr>
          <w:bCs/>
          <w:color w:val="000000" w:themeColor="text1"/>
          <w:highlight w:val="none"/>
          <w14:textFill>
            <w14:solidFill>
              <w14:schemeClr w14:val="tx1"/>
            </w14:solidFill>
          </w14:textFill>
        </w:rPr>
        <w:t>措施可行。</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这些措施在川东北地区钻采工程中已实施多年，具有较好的借鉴经验。根据本井场</w:t>
      </w:r>
      <w:r>
        <w:rPr>
          <w:rFonts w:hint="eastAsia"/>
          <w:color w:val="000000" w:themeColor="text1"/>
          <w:highlight w:val="none"/>
          <w14:textFill>
            <w14:solidFill>
              <w14:schemeClr w14:val="tx1"/>
            </w14:solidFill>
          </w14:textFill>
        </w:rPr>
        <w:t>周边</w:t>
      </w:r>
      <w:r>
        <w:rPr>
          <w:color w:val="000000" w:themeColor="text1"/>
          <w:highlight w:val="none"/>
          <w14:textFill>
            <w14:solidFill>
              <w14:schemeClr w14:val="tx1"/>
            </w14:solidFill>
          </w14:textFill>
        </w:rPr>
        <w:t>其他中石化川东北地区钻采工程采用相同固废污染防治措施，在加强管理和及时转运后，无固废产生二次污染和投诉发生。因此，本项目施工期固废污染防治措施从经济和环保角度分析是合理、可行的。</w:t>
      </w:r>
    </w:p>
    <w:p>
      <w:pPr>
        <w:pStyle w:val="4"/>
        <w:spacing w:before="0" w:beforeLines="0"/>
        <w:ind w:firstLine="480"/>
        <w:rPr>
          <w:color w:val="000000" w:themeColor="text1"/>
          <w:highlight w:val="none"/>
          <w:lang w:eastAsia="zh-CN"/>
          <w14:textFill>
            <w14:solidFill>
              <w14:schemeClr w14:val="tx1"/>
            </w14:solidFill>
          </w14:textFill>
        </w:rPr>
      </w:pPr>
      <w:bookmarkStart w:id="470" w:name="_Toc120173217"/>
      <w:r>
        <w:rPr>
          <w:color w:val="000000" w:themeColor="text1"/>
          <w:highlight w:val="none"/>
          <w:lang w:eastAsia="zh-CN"/>
          <w14:textFill>
            <w14:solidFill>
              <w14:schemeClr w14:val="tx1"/>
            </w14:solidFill>
          </w14:textFill>
        </w:rPr>
        <w:t>陆生生物及其生态系统保护措施</w:t>
      </w:r>
      <w:bookmarkEnd w:id="470"/>
    </w:p>
    <w:p>
      <w:pPr>
        <w:widowControl/>
        <w:ind w:firstLine="480"/>
        <w:jc w:val="left"/>
        <w:rPr>
          <w:rFonts w:cs="Times New Roman"/>
          <w:color w:val="000000" w:themeColor="text1"/>
          <w:highlight w:val="none"/>
          <w14:textFill>
            <w14:solidFill>
              <w14:schemeClr w14:val="tx1"/>
            </w14:solidFill>
          </w14:textFill>
        </w:rPr>
      </w:pPr>
      <w:r>
        <w:rPr>
          <w:rFonts w:cs="Times New Roman"/>
          <w:color w:val="000000" w:themeColor="text1"/>
          <w:szCs w:val="24"/>
          <w:highlight w:val="none"/>
          <w:lang w:bidi="ar"/>
          <w14:textFill>
            <w14:solidFill>
              <w14:schemeClr w14:val="tx1"/>
            </w14:solidFill>
          </w14:textFill>
        </w:rPr>
        <w:t>坚持尊重自然、顺应自然、保护自然的理念，采取自然的恢复措施或绿色修复工艺，避免生态保护措</w:t>
      </w:r>
      <w:r>
        <w:rPr>
          <w:rFonts w:hint="eastAsia" w:cs="Times New Roman"/>
          <w:color w:val="000000" w:themeColor="text1"/>
          <w:szCs w:val="24"/>
          <w:highlight w:val="none"/>
          <w:lang w:bidi="ar"/>
          <w14:textFill>
            <w14:solidFill>
              <w14:schemeClr w14:val="tx1"/>
            </w14:solidFill>
          </w14:textFill>
        </w:rPr>
        <w:t>施对</w:t>
      </w:r>
      <w:r>
        <w:rPr>
          <w:rFonts w:cs="Times New Roman"/>
          <w:color w:val="000000" w:themeColor="text1"/>
          <w:szCs w:val="24"/>
          <w:highlight w:val="none"/>
          <w:lang w:bidi="ar"/>
          <w14:textFill>
            <w14:solidFill>
              <w14:schemeClr w14:val="tx1"/>
            </w14:solidFill>
          </w14:textFill>
        </w:rPr>
        <w:t>自身的不利影响。</w:t>
      </w:r>
    </w:p>
    <w:p>
      <w:pPr>
        <w:ind w:firstLine="480"/>
        <w:rPr>
          <w:rFonts w:cs="Times New Roman"/>
          <w:color w:val="000000" w:themeColor="text1"/>
          <w:szCs w:val="24"/>
          <w:highlight w:val="none"/>
          <w:lang w:bidi="ar"/>
          <w14:textFill>
            <w14:solidFill>
              <w14:schemeClr w14:val="tx1"/>
            </w14:solidFill>
          </w14:textFill>
        </w:rPr>
      </w:pPr>
      <w:r>
        <w:rPr>
          <w:rFonts w:hint="eastAsia" w:cs="Times New Roman"/>
          <w:color w:val="000000" w:themeColor="text1"/>
          <w:szCs w:val="24"/>
          <w:highlight w:val="none"/>
          <w14:textFill>
            <w14:solidFill>
              <w14:schemeClr w14:val="tx1"/>
            </w14:solidFill>
          </w14:textFill>
        </w:rPr>
        <w:t>本</w:t>
      </w:r>
      <w:r>
        <w:rPr>
          <w:rFonts w:cs="Times New Roman"/>
          <w:color w:val="000000" w:themeColor="text1"/>
          <w:szCs w:val="24"/>
          <w:highlight w:val="none"/>
          <w14:textFill>
            <w14:solidFill>
              <w14:schemeClr w14:val="tx1"/>
            </w14:solidFill>
          </w14:textFill>
        </w:rPr>
        <w:t>工程建设过程中，将不可避免地对施工区的植被、动植物、景观和周围环境产生一定影响。有些影响是永久性的和不可逆的，如</w:t>
      </w:r>
      <w:r>
        <w:rPr>
          <w:rFonts w:hint="eastAsia" w:cs="Times New Roman"/>
          <w:color w:val="000000" w:themeColor="text1"/>
          <w:szCs w:val="24"/>
          <w:highlight w:val="none"/>
          <w14:textFill>
            <w14:solidFill>
              <w14:schemeClr w14:val="tx1"/>
            </w14:solidFill>
          </w14:textFill>
        </w:rPr>
        <w:t>井场</w:t>
      </w:r>
      <w:r>
        <w:rPr>
          <w:rFonts w:cs="Times New Roman"/>
          <w:color w:val="000000" w:themeColor="text1"/>
          <w:szCs w:val="24"/>
          <w:highlight w:val="none"/>
          <w14:textFill>
            <w14:solidFill>
              <w14:schemeClr w14:val="tx1"/>
            </w14:solidFill>
          </w14:textFill>
        </w:rPr>
        <w:t>的占地；有些影响是暂时性的，如</w:t>
      </w:r>
      <w:r>
        <w:rPr>
          <w:rFonts w:cs="Times New Roman"/>
          <w:color w:val="000000" w:themeColor="text1"/>
          <w:highlight w:val="none"/>
          <w14:textFill>
            <w14:solidFill>
              <w14:schemeClr w14:val="tx1"/>
            </w14:solidFill>
          </w14:textFill>
        </w:rPr>
        <w:t>弃土、表土堆放区</w:t>
      </w:r>
      <w:r>
        <w:rPr>
          <w:rFonts w:hint="eastAsia" w:cs="Times New Roman"/>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清障</w:t>
      </w:r>
      <w:r>
        <w:rPr>
          <w:rFonts w:hint="eastAsia" w:cs="Times New Roman"/>
          <w:color w:val="000000" w:themeColor="text1"/>
          <w:highlight w:val="none"/>
          <w14:textFill>
            <w14:solidFill>
              <w14:schemeClr w14:val="tx1"/>
            </w14:solidFill>
          </w14:textFill>
        </w:rPr>
        <w:t>区</w:t>
      </w:r>
      <w:r>
        <w:rPr>
          <w:rFonts w:cs="Times New Roman"/>
          <w:color w:val="000000" w:themeColor="text1"/>
          <w:szCs w:val="24"/>
          <w:highlight w:val="none"/>
          <w14:textFill>
            <w14:solidFill>
              <w14:schemeClr w14:val="tx1"/>
            </w14:solidFill>
          </w14:textFill>
        </w:rPr>
        <w:t>。后者可通过采取自然或人工辅助措施的方法加以恢复，前者可通过采取人工措施的方法提高占地区植被覆盖率，使区域生态系统的结构和功能整体得到逐步改善，完全恢复，乃至更</w:t>
      </w:r>
      <w:r>
        <w:rPr>
          <w:rFonts w:cs="Times New Roman"/>
          <w:color w:val="000000" w:themeColor="text1"/>
          <w:szCs w:val="24"/>
          <w:highlight w:val="none"/>
          <w:lang w:bidi="ar"/>
          <w14:textFill>
            <w14:solidFill>
              <w14:schemeClr w14:val="tx1"/>
            </w14:solidFill>
          </w14:textFill>
        </w:rPr>
        <w:t>为高效。</w:t>
      </w:r>
    </w:p>
    <w:p>
      <w:pPr>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14:textFill>
            <w14:solidFill>
              <w14:schemeClr w14:val="tx1"/>
            </w14:solidFill>
          </w14:textFill>
        </w:rPr>
        <w:t>1、生态保护的宣传</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建设单位在施工期需认真做好生态保护的宣传和监督工作，如印发宣传册、制作宣传栏、定期开展宣传活动等。绝不能超计划占用耕地、</w:t>
      </w:r>
      <w:r>
        <w:rPr>
          <w:rFonts w:hint="eastAsia" w:cs="Times New Roman"/>
          <w:color w:val="000000" w:themeColor="text1"/>
          <w:szCs w:val="24"/>
          <w:highlight w:val="none"/>
          <w14:textFill>
            <w14:solidFill>
              <w14:schemeClr w14:val="tx1"/>
            </w14:solidFill>
          </w14:textFill>
        </w:rPr>
        <w:t>林地</w:t>
      </w:r>
      <w:r>
        <w:rPr>
          <w:rFonts w:cs="Times New Roman"/>
          <w:color w:val="000000" w:themeColor="text1"/>
          <w:szCs w:val="24"/>
          <w:highlight w:val="none"/>
          <w14:textFill>
            <w14:solidFill>
              <w14:schemeClr w14:val="tx1"/>
            </w14:solidFill>
          </w14:textFill>
        </w:rPr>
        <w:t>、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ind w:firstLine="480"/>
        <w:rPr>
          <w:rFonts w:eastAsia="黑体" w:cs="Times New Roman"/>
          <w:color w:val="000000" w:themeColor="text1"/>
          <w:highlight w:val="none"/>
          <w14:textFill>
            <w14:solidFill>
              <w14:schemeClr w14:val="tx1"/>
            </w14:solidFill>
          </w14:textFill>
        </w:rPr>
      </w:pPr>
      <w:bookmarkStart w:id="471" w:name="_Toc28205"/>
      <w:bookmarkStart w:id="472" w:name="_Toc5702"/>
      <w:bookmarkStart w:id="473" w:name="_Toc4301"/>
      <w:bookmarkStart w:id="474" w:name="_Toc30854"/>
      <w:bookmarkStart w:id="475" w:name="_Toc8545"/>
      <w:bookmarkStart w:id="476" w:name="_Toc32366"/>
      <w:bookmarkStart w:id="477" w:name="_Toc1108"/>
      <w:bookmarkStart w:id="478" w:name="_Toc27635"/>
      <w:r>
        <w:rPr>
          <w:rFonts w:hint="eastAsia" w:eastAsia="黑体" w:cs="Times New Roman"/>
          <w:color w:val="000000" w:themeColor="text1"/>
          <w:highlight w:val="none"/>
          <w14:textFill>
            <w14:solidFill>
              <w14:schemeClr w14:val="tx1"/>
            </w14:solidFill>
          </w14:textFill>
        </w:rPr>
        <w:t>2、避让、减缓措施</w:t>
      </w:r>
      <w:bookmarkEnd w:id="471"/>
      <w:bookmarkEnd w:id="472"/>
      <w:bookmarkEnd w:id="473"/>
      <w:bookmarkEnd w:id="474"/>
      <w:bookmarkEnd w:id="475"/>
      <w:bookmarkEnd w:id="476"/>
      <w:bookmarkEnd w:id="477"/>
      <w:bookmarkEnd w:id="478"/>
    </w:p>
    <w:p>
      <w:pPr>
        <w:widowControl/>
        <w:ind w:firstLine="482"/>
        <w:jc w:val="left"/>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（1）土地与植被保护措施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施工期间为充分的保护评价范围现有土地和植被，可采取如下保护措施：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优先采用生态友好的工程建设技术、工艺及材料。</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根据施工总体平面布置，</w:t>
      </w:r>
      <w:r>
        <w:rPr>
          <w:rFonts w:hint="eastAsia" w:cs="Times New Roman"/>
          <w:color w:val="000000" w:themeColor="text1"/>
          <w:kern w:val="0"/>
          <w:szCs w:val="24"/>
          <w:highlight w:val="none"/>
          <w14:textFill>
            <w14:solidFill>
              <w14:schemeClr w14:val="tx1"/>
            </w14:solidFill>
          </w14:textFill>
        </w:rPr>
        <w:t>严格规范施工范围，</w:t>
      </w:r>
      <w:r>
        <w:rPr>
          <w:rFonts w:cs="Times New Roman"/>
          <w:color w:val="000000" w:themeColor="text1"/>
          <w:kern w:val="0"/>
          <w:szCs w:val="24"/>
          <w:highlight w:val="none"/>
          <w14:textFill>
            <w14:solidFill>
              <w14:schemeClr w14:val="tx1"/>
            </w14:solidFill>
          </w14:textFill>
        </w:rPr>
        <w:t>确定施工用地范围，进行标桩划界，禁止施工人员进入非施工占地区，严禁任意越界破坏周围植被。</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③</w:t>
      </w:r>
      <w:r>
        <w:rPr>
          <w:rFonts w:cs="Times New Roman"/>
          <w:color w:val="000000" w:themeColor="text1"/>
          <w:kern w:val="0"/>
          <w:szCs w:val="24"/>
          <w:highlight w:val="none"/>
          <w14:textFill>
            <w14:solidFill>
              <w14:schemeClr w14:val="tx1"/>
            </w14:solidFill>
          </w14:textFill>
        </w:rPr>
        <w:t xml:space="preserve">做好环卫工作，废弃物应合理堆放，及时处置，禁止乱丢垃圾和废弃物，严禁场内污水进入外环沟，确保周边环境不被污染。 </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④</w:t>
      </w:r>
      <w:r>
        <w:rPr>
          <w:rFonts w:cs="Times New Roman"/>
          <w:color w:val="000000" w:themeColor="text1"/>
          <w:kern w:val="0"/>
          <w:szCs w:val="24"/>
          <w:highlight w:val="none"/>
          <w14:textFill>
            <w14:solidFill>
              <w14:schemeClr w14:val="tx1"/>
            </w14:solidFill>
          </w14:textFill>
        </w:rPr>
        <w:t>在项目建设过程中，</w:t>
      </w:r>
      <w:r>
        <w:rPr>
          <w:rFonts w:hint="eastAsia" w:cs="Times New Roman"/>
          <w:color w:val="000000" w:themeColor="text1"/>
          <w:kern w:val="0"/>
          <w:szCs w:val="24"/>
          <w:highlight w:val="none"/>
          <w14:textFill>
            <w14:solidFill>
              <w14:schemeClr w14:val="tx1"/>
            </w14:solidFill>
          </w14:textFill>
        </w:rPr>
        <w:t>强化临时占地的及时复耕复垦，</w:t>
      </w:r>
      <w:r>
        <w:rPr>
          <w:rFonts w:cs="Times New Roman"/>
          <w:color w:val="000000" w:themeColor="text1"/>
          <w:kern w:val="0"/>
          <w:szCs w:val="24"/>
          <w:highlight w:val="none"/>
          <w14:textFill>
            <w14:solidFill>
              <w14:schemeClr w14:val="tx1"/>
            </w14:solidFill>
          </w14:textFill>
        </w:rPr>
        <w:t>对可以恢复的临时占地及时进行植被恢复。</w:t>
      </w:r>
    </w:p>
    <w:p>
      <w:pPr>
        <w:widowControl/>
        <w:spacing w:before="35"/>
        <w:ind w:firstLine="482"/>
        <w:jc w:val="left"/>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（2）土壤侵蚀的防治对策措施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在施工过程中合理安排施工进度，施工尽量避开雨天和大风天；分段施工，减少风蚀导致的水土流失。</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划定施工作业范围和路线，不得扩大施工作业范围，尽可能减少对土壤和植被的破坏以及由此引发的水土流失。</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③</w:t>
      </w:r>
      <w:r>
        <w:rPr>
          <w:rFonts w:cs="Times New Roman"/>
          <w:color w:val="000000" w:themeColor="text1"/>
          <w:kern w:val="0"/>
          <w:szCs w:val="24"/>
          <w:highlight w:val="none"/>
          <w14:textFill>
            <w14:solidFill>
              <w14:schemeClr w14:val="tx1"/>
            </w14:solidFill>
          </w14:textFill>
        </w:rPr>
        <w:t>在井场站场施工，设置一定围挡，减少施工过程中水土流失量。</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④</w:t>
      </w:r>
      <w:r>
        <w:rPr>
          <w:rFonts w:cs="Times New Roman"/>
          <w:color w:val="000000" w:themeColor="text1"/>
          <w:kern w:val="0"/>
          <w:szCs w:val="24"/>
          <w:highlight w:val="none"/>
          <w14:textFill>
            <w14:solidFill>
              <w14:schemeClr w14:val="tx1"/>
            </w14:solidFill>
          </w14:textFill>
        </w:rPr>
        <w:t>在地面施工过程中，对于施工破坏区，施工完毕要及时平整土地及植被恢复，以防止发生新的土壤侵蚀。</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⑤</w:t>
      </w:r>
      <w:r>
        <w:rPr>
          <w:rFonts w:cs="Times New Roman"/>
          <w:color w:val="000000" w:themeColor="text1"/>
          <w:kern w:val="0"/>
          <w:szCs w:val="24"/>
          <w:highlight w:val="none"/>
          <w14:textFill>
            <w14:solidFill>
              <w14:schemeClr w14:val="tx1"/>
            </w14:solidFill>
          </w14:textFill>
        </w:rPr>
        <w:t>对于施工过程中产生的不能利用的废弃土石不得将任意裸露弃置，做到随挖随填，以免遇强降雨引起严重的水土流失。</w:t>
      </w:r>
    </w:p>
    <w:p>
      <w:pPr>
        <w:widowControl/>
        <w:spacing w:before="35"/>
        <w:ind w:firstLine="482"/>
        <w:jc w:val="left"/>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w:t>
      </w:r>
      <w:r>
        <w:rPr>
          <w:rFonts w:hint="eastAsia" w:cs="Times New Roman"/>
          <w:b/>
          <w:bCs/>
          <w:color w:val="000000" w:themeColor="text1"/>
          <w:kern w:val="0"/>
          <w:szCs w:val="24"/>
          <w:highlight w:val="none"/>
          <w14:textFill>
            <w14:solidFill>
              <w14:schemeClr w14:val="tx1"/>
            </w14:solidFill>
          </w14:textFill>
        </w:rPr>
        <w:t>3</w:t>
      </w:r>
      <w:r>
        <w:rPr>
          <w:rFonts w:cs="Times New Roman"/>
          <w:b/>
          <w:bCs/>
          <w:color w:val="000000" w:themeColor="text1"/>
          <w:kern w:val="0"/>
          <w:szCs w:val="24"/>
          <w:highlight w:val="none"/>
          <w14:textFill>
            <w14:solidFill>
              <w14:schemeClr w14:val="tx1"/>
            </w14:solidFill>
          </w14:textFill>
        </w:rPr>
        <w:t>）对陆生</w:t>
      </w:r>
      <w:r>
        <w:rPr>
          <w:rFonts w:hint="eastAsia" w:cs="Times New Roman"/>
          <w:b/>
          <w:bCs/>
          <w:color w:val="000000" w:themeColor="text1"/>
          <w:kern w:val="0"/>
          <w:szCs w:val="24"/>
          <w:highlight w:val="none"/>
          <w14:textFill>
            <w14:solidFill>
              <w14:schemeClr w14:val="tx1"/>
            </w14:solidFill>
          </w14:textFill>
        </w:rPr>
        <w:t>野生</w:t>
      </w:r>
      <w:r>
        <w:rPr>
          <w:rFonts w:cs="Times New Roman"/>
          <w:b/>
          <w:bCs/>
          <w:color w:val="000000" w:themeColor="text1"/>
          <w:kern w:val="0"/>
          <w:szCs w:val="24"/>
          <w:highlight w:val="none"/>
          <w14:textFill>
            <w14:solidFill>
              <w14:schemeClr w14:val="tx1"/>
            </w14:solidFill>
          </w14:textFill>
        </w:rPr>
        <w:t>动物保护措施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加强宣传野生动物保护法规，打击捕杀野生动物的行为</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增强</w:t>
      </w:r>
      <w:r>
        <w:rPr>
          <w:rFonts w:cs="Times New Roman"/>
          <w:color w:val="000000" w:themeColor="text1"/>
          <w:kern w:val="0"/>
          <w:szCs w:val="24"/>
          <w:highlight w:val="none"/>
          <w14:textFill>
            <w14:solidFill>
              <w14:schemeClr w14:val="tx1"/>
            </w14:solidFill>
          </w14:textFill>
        </w:rPr>
        <w:t>施工人员的保护意识，施工人员必须遵守《中华人民共和国野生动物保护法》，严禁捕猎保护动物，特别是重点保护野生动物。</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防止动物生境污染</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人类活动的增加，会给环境污染带来新的隐患。从保护生态与环境的角度出发，建议本工程开工之前，尽量做好施工规划前期工作，做好工程完工后生态环境的恢复工作，以尽量减少植被破坏对动物栖息地的不利影响。</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③</w:t>
      </w:r>
      <w:r>
        <w:rPr>
          <w:rFonts w:cs="Times New Roman"/>
          <w:color w:val="000000" w:themeColor="text1"/>
          <w:kern w:val="0"/>
          <w:szCs w:val="24"/>
          <w:highlight w:val="none"/>
          <w14:textFill>
            <w14:solidFill>
              <w14:schemeClr w14:val="tx1"/>
            </w14:solidFill>
          </w14:textFill>
        </w:rPr>
        <w:t>杜绝夜间施工，以保证自然生态系统和野生动物栖息地的稳定。</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ascii="宋体" w:hAnsi="宋体" w:cs="宋体"/>
          <w:color w:val="000000" w:themeColor="text1"/>
          <w:kern w:val="0"/>
          <w:szCs w:val="24"/>
          <w:highlight w:val="none"/>
          <w14:textFill>
            <w14:solidFill>
              <w14:schemeClr w14:val="tx1"/>
            </w14:solidFill>
          </w14:textFill>
        </w:rPr>
        <w:t>④</w:t>
      </w:r>
      <w:r>
        <w:rPr>
          <w:rFonts w:cs="Times New Roman"/>
          <w:color w:val="000000" w:themeColor="text1"/>
          <w:kern w:val="0"/>
          <w:szCs w:val="24"/>
          <w:highlight w:val="none"/>
          <w14:textFill>
            <w14:solidFill>
              <w14:schemeClr w14:val="tx1"/>
            </w14:solidFill>
          </w14:textFill>
        </w:rPr>
        <w:t>对野生动物具体保护方案</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鸟类：</w:t>
      </w:r>
      <w:r>
        <w:rPr>
          <w:rFonts w:hint="eastAsia" w:ascii="宋体" w:hAnsi="宋体" w:cs="宋体"/>
          <w:color w:val="000000" w:themeColor="text1"/>
          <w:kern w:val="0"/>
          <w:szCs w:val="24"/>
          <w:highlight w:val="none"/>
          <w14:textFill>
            <w14:solidFill>
              <w14:schemeClr w14:val="tx1"/>
            </w14:solidFill>
          </w14:textFill>
        </w:rPr>
        <w:t>①</w:t>
      </w:r>
      <w:r>
        <w:rPr>
          <w:rFonts w:cs="Times New Roman"/>
          <w:color w:val="000000" w:themeColor="text1"/>
          <w:kern w:val="0"/>
          <w:szCs w:val="24"/>
          <w:highlight w:val="none"/>
          <w14:textFill>
            <w14:solidFill>
              <w14:schemeClr w14:val="tx1"/>
            </w14:solidFill>
          </w14:textFill>
        </w:rPr>
        <w:t>尽量减少施工对植被的破坏，保证施工后植被的恢复。</w:t>
      </w:r>
      <w:r>
        <w:rPr>
          <w:rFonts w:hint="eastAsia" w:ascii="宋体" w:hAnsi="宋体" w:cs="宋体"/>
          <w:color w:val="000000" w:themeColor="text1"/>
          <w:kern w:val="0"/>
          <w:szCs w:val="24"/>
          <w:highlight w:val="none"/>
          <w14:textFill>
            <w14:solidFill>
              <w14:schemeClr w14:val="tx1"/>
            </w14:solidFill>
          </w14:textFill>
        </w:rPr>
        <w:t>②</w:t>
      </w:r>
      <w:r>
        <w:rPr>
          <w:rFonts w:cs="Times New Roman"/>
          <w:color w:val="000000" w:themeColor="text1"/>
          <w:kern w:val="0"/>
          <w:szCs w:val="24"/>
          <w:highlight w:val="none"/>
          <w14:textFill>
            <w14:solidFill>
              <w14:schemeClr w14:val="tx1"/>
            </w14:solidFill>
          </w14:textFill>
        </w:rPr>
        <w:t>增强人们的环境保护意识，加强对重点保护野生动物的保护，严禁非法猎捕保护鸟类及对人类有益的鸟类。</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兽类：保护好现有的植被，使兽类有一个稳定的栖息地。为将项目建设对兽类栖息地的影响减少到最低限度，应在所有可能的地区采用可能的方法恢复植被；对工程废物和施工人员的生活垃圾进行快速处理，尽量避免废物为鼠类等疫源性兽类提供生活环境，同时也可减少工程对动物栖息地的破坏。</w:t>
      </w:r>
    </w:p>
    <w:p>
      <w:pPr>
        <w:widowControl/>
        <w:spacing w:before="35"/>
        <w:ind w:firstLine="482"/>
        <w:jc w:val="left"/>
        <w:rPr>
          <w:rFonts w:cs="Times New Roman"/>
          <w:b/>
          <w:bCs/>
          <w:color w:val="000000" w:themeColor="text1"/>
          <w:kern w:val="0"/>
          <w:szCs w:val="24"/>
          <w:highlight w:val="none"/>
          <w14:textFill>
            <w14:solidFill>
              <w14:schemeClr w14:val="tx1"/>
            </w14:solidFill>
          </w14:textFill>
        </w:rPr>
      </w:pPr>
      <w:r>
        <w:rPr>
          <w:rFonts w:cs="Times New Roman"/>
          <w:b/>
          <w:bCs/>
          <w:color w:val="000000" w:themeColor="text1"/>
          <w:kern w:val="0"/>
          <w:szCs w:val="24"/>
          <w:highlight w:val="none"/>
          <w14:textFill>
            <w14:solidFill>
              <w14:schemeClr w14:val="tx1"/>
            </w14:solidFill>
          </w14:textFill>
        </w:rPr>
        <w:t>（</w:t>
      </w:r>
      <w:r>
        <w:rPr>
          <w:rFonts w:hint="eastAsia" w:cs="Times New Roman"/>
          <w:b/>
          <w:bCs/>
          <w:color w:val="000000" w:themeColor="text1"/>
          <w:kern w:val="0"/>
          <w:szCs w:val="24"/>
          <w:highlight w:val="none"/>
          <w14:textFill>
            <w14:solidFill>
              <w14:schemeClr w14:val="tx1"/>
            </w14:solidFill>
          </w14:textFill>
        </w:rPr>
        <w:t>4</w:t>
      </w:r>
      <w:r>
        <w:rPr>
          <w:rFonts w:cs="Times New Roman"/>
          <w:b/>
          <w:bCs/>
          <w:color w:val="000000" w:themeColor="text1"/>
          <w:kern w:val="0"/>
          <w:szCs w:val="24"/>
          <w:highlight w:val="none"/>
          <w14:textFill>
            <w14:solidFill>
              <w14:schemeClr w14:val="tx1"/>
            </w14:solidFill>
          </w14:textFill>
        </w:rPr>
        <w:t>）</w:t>
      </w:r>
      <w:r>
        <w:rPr>
          <w:rFonts w:hint="eastAsia" w:cs="Times New Roman"/>
          <w:b/>
          <w:bCs/>
          <w:color w:val="000000" w:themeColor="text1"/>
          <w:kern w:val="0"/>
          <w:szCs w:val="24"/>
          <w:highlight w:val="none"/>
          <w14:textFill>
            <w14:solidFill>
              <w14:schemeClr w14:val="tx1"/>
            </w14:solidFill>
          </w14:textFill>
        </w:rPr>
        <w:t>对重点保护野生动物保护措施</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评价区人类活动较为频繁，</w:t>
      </w:r>
      <w:r>
        <w:rPr>
          <w:rFonts w:hint="eastAsia" w:cs="Times New Roman"/>
          <w:color w:val="000000" w:themeColor="text1"/>
          <w:kern w:val="0"/>
          <w:szCs w:val="24"/>
          <w:highlight w:val="none"/>
          <w14:textFill>
            <w14:solidFill>
              <w14:schemeClr w14:val="tx1"/>
            </w14:solidFill>
          </w14:textFill>
        </w:rPr>
        <w:t>未分布</w:t>
      </w:r>
      <w:r>
        <w:rPr>
          <w:rFonts w:cs="Times New Roman"/>
          <w:color w:val="000000" w:themeColor="text1"/>
          <w:kern w:val="0"/>
          <w:szCs w:val="24"/>
          <w:highlight w:val="none"/>
          <w14:textFill>
            <w14:solidFill>
              <w14:schemeClr w14:val="tx1"/>
            </w14:solidFill>
          </w14:textFill>
        </w:rPr>
        <w:t>适宜的</w:t>
      </w:r>
      <w:r>
        <w:rPr>
          <w:rFonts w:hint="eastAsia" w:cs="Times New Roman"/>
          <w:color w:val="000000" w:themeColor="text1"/>
          <w:kern w:val="0"/>
          <w:szCs w:val="24"/>
          <w:highlight w:val="none"/>
          <w14:textFill>
            <w14:solidFill>
              <w14:schemeClr w14:val="tx1"/>
            </w14:solidFill>
          </w14:textFill>
        </w:rPr>
        <w:t>重点保护野生动物</w:t>
      </w:r>
      <w:r>
        <w:rPr>
          <w:rFonts w:cs="Times New Roman"/>
          <w:color w:val="000000" w:themeColor="text1"/>
          <w:kern w:val="0"/>
          <w:szCs w:val="24"/>
          <w:highlight w:val="none"/>
          <w14:textFill>
            <w14:solidFill>
              <w14:schemeClr w14:val="tx1"/>
            </w14:solidFill>
          </w14:textFill>
        </w:rPr>
        <w:t>雀鹰、画眉栖息地</w:t>
      </w:r>
      <w:r>
        <w:rPr>
          <w:rFonts w:hint="eastAsia" w:cs="Times New Roman"/>
          <w:color w:val="000000" w:themeColor="text1"/>
          <w:kern w:val="0"/>
          <w:szCs w:val="24"/>
          <w:highlight w:val="none"/>
          <w14:textFill>
            <w14:solidFill>
              <w14:schemeClr w14:val="tx1"/>
            </w14:solidFill>
          </w14:textFill>
        </w:rPr>
        <w:t>及生境</w:t>
      </w:r>
      <w:r>
        <w:rPr>
          <w:rFonts w:cs="Times New Roman"/>
          <w:color w:val="000000" w:themeColor="text1"/>
          <w:kern w:val="0"/>
          <w:szCs w:val="24"/>
          <w:highlight w:val="none"/>
          <w14:textFill>
            <w14:solidFill>
              <w14:schemeClr w14:val="tx1"/>
            </w14:solidFill>
          </w14:textFill>
        </w:rPr>
        <w:t>，</w:t>
      </w:r>
      <w:r>
        <w:rPr>
          <w:rFonts w:hint="eastAsia" w:cs="Times New Roman"/>
          <w:color w:val="000000" w:themeColor="text1"/>
          <w:kern w:val="0"/>
          <w:szCs w:val="24"/>
          <w:highlight w:val="none"/>
          <w14:textFill>
            <w14:solidFill>
              <w14:schemeClr w14:val="tx1"/>
            </w14:solidFill>
          </w14:textFill>
        </w:rPr>
        <w:t>其</w:t>
      </w:r>
      <w:r>
        <w:rPr>
          <w:rFonts w:cs="Times New Roman"/>
          <w:color w:val="000000" w:themeColor="text1"/>
          <w:kern w:val="0"/>
          <w:szCs w:val="24"/>
          <w:highlight w:val="none"/>
          <w14:textFill>
            <w14:solidFill>
              <w14:schemeClr w14:val="tx1"/>
            </w14:solidFill>
          </w14:textFill>
        </w:rPr>
        <w:t>主要为过境取食及活动。同时，雀鹰、画眉飞翔能力和自主迁徙能力较强，捕食范围很广，施工活动对其影响很小，在施工期，要加强在施工人员中的宣传教育，</w:t>
      </w:r>
      <w:r>
        <w:rPr>
          <w:rFonts w:hint="eastAsia" w:cs="Times New Roman"/>
          <w:color w:val="000000" w:themeColor="text1"/>
          <w:kern w:val="0"/>
          <w:szCs w:val="24"/>
          <w:highlight w:val="none"/>
          <w14:textFill>
            <w14:solidFill>
              <w14:schemeClr w14:val="tx1"/>
            </w14:solidFill>
          </w14:textFill>
        </w:rPr>
        <w:t>如发现上述保护动物过境，要加强保护，</w:t>
      </w:r>
      <w:r>
        <w:rPr>
          <w:rFonts w:cs="Times New Roman"/>
          <w:color w:val="000000" w:themeColor="text1"/>
          <w:kern w:val="0"/>
          <w:szCs w:val="24"/>
          <w:highlight w:val="none"/>
          <w14:textFill>
            <w14:solidFill>
              <w14:schemeClr w14:val="tx1"/>
            </w14:solidFill>
          </w14:textFill>
        </w:rPr>
        <w:t>严禁捕捉，同时，要文明施工，将人为影响降至最低。</w:t>
      </w:r>
    </w:p>
    <w:p>
      <w:pPr>
        <w:widowControl/>
        <w:ind w:firstLine="482"/>
        <w:jc w:val="left"/>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（5）对生态公益林的避让和优化占用</w:t>
      </w:r>
    </w:p>
    <w:p>
      <w:pPr>
        <w:widowControl/>
        <w:ind w:firstLine="480"/>
        <w:jc w:val="left"/>
        <w:rPr>
          <w:rFonts w:cs="Times New Roman"/>
          <w:color w:val="000000" w:themeColor="text1"/>
          <w:kern w:val="0"/>
          <w:szCs w:val="24"/>
          <w:highlight w:val="none"/>
          <w14:textFill>
            <w14:solidFill>
              <w14:schemeClr w14:val="tx1"/>
            </w14:solidFill>
          </w14:textFill>
        </w:rPr>
      </w:pPr>
      <w:r>
        <w:rPr>
          <w:rFonts w:hint="eastAsia" w:cs="Times New Roman"/>
          <w:color w:val="000000" w:themeColor="text1"/>
          <w:kern w:val="0"/>
          <w:szCs w:val="24"/>
          <w:highlight w:val="none"/>
          <w14:textFill>
            <w14:solidFill>
              <w14:schemeClr w14:val="tx1"/>
            </w14:solidFill>
          </w14:textFill>
        </w:rPr>
        <w:t>项目施工占地不涉及宣汉县公益林</w:t>
      </w:r>
      <w:r>
        <w:rPr>
          <w:rFonts w:hint="eastAsia" w:cs="Times New Roman"/>
          <w:color w:val="000000" w:themeColor="text1"/>
          <w:kern w:val="0"/>
          <w:szCs w:val="24"/>
          <w:highlight w:val="none"/>
          <w:lang w:eastAsia="zh-CN"/>
          <w14:textFill>
            <w14:solidFill>
              <w14:schemeClr w14:val="tx1"/>
            </w14:solidFill>
          </w14:textFill>
        </w:rPr>
        <w:t>、</w:t>
      </w:r>
      <w:r>
        <w:rPr>
          <w:rFonts w:hint="eastAsia" w:cs="Times New Roman"/>
          <w:color w:val="000000" w:themeColor="text1"/>
          <w:kern w:val="0"/>
          <w:szCs w:val="24"/>
          <w:highlight w:val="none"/>
          <w:lang w:val="en-US" w:eastAsia="zh-CN"/>
          <w14:textFill>
            <w14:solidFill>
              <w14:schemeClr w14:val="tx1"/>
            </w14:solidFill>
          </w14:textFill>
        </w:rPr>
        <w:t>天然林</w:t>
      </w:r>
      <w:r>
        <w:rPr>
          <w:rFonts w:hint="eastAsia" w:cs="Times New Roman"/>
          <w:color w:val="000000" w:themeColor="text1"/>
          <w:kern w:val="0"/>
          <w:szCs w:val="24"/>
          <w:highlight w:val="none"/>
          <w14:textFill>
            <w14:solidFill>
              <w14:schemeClr w14:val="tx1"/>
            </w14:solidFill>
          </w14:textFill>
        </w:rPr>
        <w:t>，</w:t>
      </w:r>
      <w:r>
        <w:rPr>
          <w:rFonts w:hint="eastAsia" w:cs="Times New Roman"/>
          <w:color w:val="000000" w:themeColor="text1"/>
          <w:kern w:val="0"/>
          <w:szCs w:val="24"/>
          <w:highlight w:val="none"/>
          <w:lang w:val="en-US" w:eastAsia="zh-CN"/>
          <w14:textFill>
            <w14:solidFill>
              <w14:schemeClr w14:val="tx1"/>
            </w14:solidFill>
          </w14:textFill>
        </w:rPr>
        <w:t>距离其最近距离约50m</w:t>
      </w:r>
      <w:r>
        <w:rPr>
          <w:rFonts w:hint="eastAsia" w:cs="Times New Roman"/>
          <w:color w:val="000000" w:themeColor="text1"/>
          <w:kern w:val="0"/>
          <w:szCs w:val="24"/>
          <w:highlight w:val="none"/>
          <w14:textFill>
            <w14:solidFill>
              <w14:schemeClr w14:val="tx1"/>
            </w14:solidFill>
          </w14:textFill>
        </w:rPr>
        <w:t>。项目施工期间，需要严格按照施工占地范围界限施工，严禁越界破坏公益林情况发生。</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（6）</w:t>
      </w:r>
      <w:r>
        <w:rPr>
          <w:rFonts w:cs="Times New Roman"/>
          <w:b/>
          <w:bCs/>
          <w:color w:val="000000" w:themeColor="text1"/>
          <w:szCs w:val="24"/>
          <w:highlight w:val="none"/>
          <w14:textFill>
            <w14:solidFill>
              <w14:schemeClr w14:val="tx1"/>
            </w14:solidFill>
          </w14:textFill>
        </w:rPr>
        <w:t>外来入侵植物防范措施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目前防止外来物种入侵的方法主要有植物检疫、人工方法防治、化学方法防治、生物防治等。结合工程特点，要求加大宣传力度，对外来物种的危害以及传播途径向施工人员进行宣传；对现有的外来种，利用工程施工的机会，对有种子的植物要现场烧毁，以防种子扩散，在临时占地的地方要及时绿化等。</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在施工占地区或裸地绿化应采取相应的防范措施，在选择绿化树种和水土保持植物中不使用外来入侵植物，尽可能使用乡土树种。</w:t>
      </w:r>
    </w:p>
    <w:p>
      <w:pPr>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14:textFill>
            <w14:solidFill>
              <w14:schemeClr w14:val="tx1"/>
            </w14:solidFill>
          </w14:textFill>
        </w:rPr>
        <w:t>3、恢复和补偿措施</w:t>
      </w:r>
    </w:p>
    <w:p>
      <w:pPr>
        <w:widowControl/>
        <w:ind w:firstLine="480"/>
        <w:jc w:val="left"/>
        <w:rPr>
          <w:rFonts w:cs="Times New Roman"/>
          <w:color w:val="000000" w:themeColor="text1"/>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陆生植物</w:t>
      </w:r>
      <w:r>
        <w:rPr>
          <w:rFonts w:hint="eastAsia" w:cs="Times New Roman"/>
          <w:color w:val="000000" w:themeColor="text1"/>
          <w:szCs w:val="24"/>
          <w:highlight w:val="none"/>
          <w:lang w:bidi="ar"/>
          <w14:textFill>
            <w14:solidFill>
              <w14:schemeClr w14:val="tx1"/>
            </w14:solidFill>
          </w14:textFill>
        </w:rPr>
        <w:t>恢复原则是</w:t>
      </w:r>
      <w:r>
        <w:rPr>
          <w:rFonts w:cs="Times New Roman"/>
          <w:color w:val="000000" w:themeColor="text1"/>
          <w:szCs w:val="24"/>
          <w:highlight w:val="none"/>
          <w:lang w:bidi="ar"/>
          <w14:textFill>
            <w14:solidFill>
              <w14:schemeClr w14:val="tx1"/>
            </w14:solidFill>
          </w14:textFill>
        </w:rPr>
        <w:t>优先使用原生表土和选用乡土物种，防止外来生物入侵，构建与周边生态环境相协调的植物群落，最终形成可自我维持的生态系统。生态修复的目标主要包括：恢复植被和土壤，保证一定的植被覆盖度和土壤肥力；维持物种种类和组成，保护生物多样性；实现生物群落的恢复，提高生态系统的生产力和自我维持力；维持生境的连通性等。</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（1）</w:t>
      </w:r>
      <w:r>
        <w:rPr>
          <w:rFonts w:cs="Times New Roman"/>
          <w:b/>
          <w:bCs/>
          <w:color w:val="000000" w:themeColor="text1"/>
          <w:szCs w:val="24"/>
          <w:highlight w:val="none"/>
          <w14:textFill>
            <w14:solidFill>
              <w14:schemeClr w14:val="tx1"/>
            </w14:solidFill>
          </w14:textFill>
        </w:rPr>
        <w:t>表土剥离及堆存</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工程建设过程伴随着土石方开挖、回填活动，不可避免地对</w:t>
      </w:r>
      <w:r>
        <w:rPr>
          <w:rFonts w:hint="eastAsia" w:cs="Times New Roman"/>
          <w:color w:val="000000" w:themeColor="text1"/>
          <w:szCs w:val="24"/>
          <w:highlight w:val="none"/>
          <w14:textFill>
            <w14:solidFill>
              <w14:schemeClr w14:val="tx1"/>
            </w14:solidFill>
          </w14:textFill>
        </w:rPr>
        <w:t>耕地</w:t>
      </w:r>
      <w:r>
        <w:rPr>
          <w:rFonts w:cs="Times New Roman"/>
          <w:color w:val="000000" w:themeColor="text1"/>
          <w:szCs w:val="24"/>
          <w:highlight w:val="none"/>
          <w14:textFill>
            <w14:solidFill>
              <w14:schemeClr w14:val="tx1"/>
            </w14:solidFill>
          </w14:textFill>
        </w:rPr>
        <w:t>造成破坏，毁坏地表植被、挖损和埋压土地、破坏地表土壤等，不仅降低了土壤抗蚀能力，加剧了评价区水土流失。根据区域环境的特点，需针对性地开展表土剥离和堆存，尽可能的减少水土流失。</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剥离区域</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施工结束后需要复绿的区域都应列为表土剥离区域，但在实际设计中应根据具体情况分析确定，如根据施工区域土层厚度、肥沃程度及后续植物措施搭配等确定。</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对于</w:t>
      </w:r>
      <w:r>
        <w:rPr>
          <w:rFonts w:hint="eastAsia" w:cs="Times New Roman"/>
          <w:color w:val="000000" w:themeColor="text1"/>
          <w:szCs w:val="24"/>
          <w:highlight w:val="none"/>
          <w14:textFill>
            <w14:solidFill>
              <w14:schemeClr w14:val="tx1"/>
            </w14:solidFill>
          </w14:textFill>
        </w:rPr>
        <w:t>升压站区域</w:t>
      </w:r>
      <w:r>
        <w:rPr>
          <w:rFonts w:cs="Times New Roman"/>
          <w:color w:val="000000" w:themeColor="text1"/>
          <w:szCs w:val="24"/>
          <w:highlight w:val="none"/>
          <w14:textFill>
            <w14:solidFill>
              <w14:schemeClr w14:val="tx1"/>
            </w14:solidFill>
          </w14:textFill>
        </w:rPr>
        <w:t>，在</w:t>
      </w:r>
      <w:r>
        <w:rPr>
          <w:rFonts w:hint="eastAsia" w:cs="Times New Roman"/>
          <w:color w:val="000000" w:themeColor="text1"/>
          <w:szCs w:val="24"/>
          <w:highlight w:val="none"/>
          <w14:textFill>
            <w14:solidFill>
              <w14:schemeClr w14:val="tx1"/>
            </w14:solidFill>
          </w14:textFill>
        </w:rPr>
        <w:t>开工</w:t>
      </w:r>
      <w:r>
        <w:rPr>
          <w:rFonts w:cs="Times New Roman"/>
          <w:color w:val="000000" w:themeColor="text1"/>
          <w:szCs w:val="24"/>
          <w:highlight w:val="none"/>
          <w14:textFill>
            <w14:solidFill>
              <w14:schemeClr w14:val="tx1"/>
            </w14:solidFill>
          </w14:textFill>
        </w:rPr>
        <w:t>前，应首先剥离表层土，将其暂时堆放在表土堆存场，用塑料薄膜或草席覆盖，以防止雨水冲刷和风扬，作为</w:t>
      </w:r>
      <w:r>
        <w:rPr>
          <w:rFonts w:hint="eastAsia" w:cs="Times New Roman"/>
          <w:color w:val="000000" w:themeColor="text1"/>
          <w:szCs w:val="24"/>
          <w:highlight w:val="none"/>
          <w14:textFill>
            <w14:solidFill>
              <w14:schemeClr w14:val="tx1"/>
            </w14:solidFill>
          </w14:textFill>
        </w:rPr>
        <w:t>项目完工后</w:t>
      </w:r>
      <w:r>
        <w:rPr>
          <w:rFonts w:cs="Times New Roman"/>
          <w:color w:val="000000" w:themeColor="text1"/>
          <w:szCs w:val="24"/>
          <w:highlight w:val="none"/>
          <w14:textFill>
            <w14:solidFill>
              <w14:schemeClr w14:val="tx1"/>
            </w14:solidFill>
          </w14:textFill>
        </w:rPr>
        <w:t>覆土造地或绿化的回填表土之用。</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剥离厚度</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表层土的厚度平均为20cm，厚的可达30cm，但在具体的设计中应根据剥离区域土壤耕植层厚度及后期复绿所需回填量来确定剥离厚度。由于区域内表土厚度存在差异，对土层深厚、肥沃的地方可适当深剥，对土层较薄、肥力不高的地方可适当浅剥，在总量控制</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用多少剥多少</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的前提下应尽量将剥离区域内最肥沃的部分土壤剥离出来。</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③</w:t>
      </w:r>
      <w:r>
        <w:rPr>
          <w:rFonts w:cs="Times New Roman"/>
          <w:color w:val="000000" w:themeColor="text1"/>
          <w:szCs w:val="24"/>
          <w:highlight w:val="none"/>
          <w14:textFill>
            <w14:solidFill>
              <w14:schemeClr w14:val="tx1"/>
            </w14:solidFill>
          </w14:textFill>
        </w:rPr>
        <w:t>保存及保护</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a</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表土临时堆存应尽量占用场内空闲地，如场内无适合堆处则应另行征地，表土保存过程中应设有临时防护措施。</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b</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根据剥离量和堆放条件，先用塑料彩条布或薄膜覆盖即可，四周用编制土袋临时挡护，编织袋外0.5m</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1.0m处设临时排水沟，堆积形成后可利用铲车或推土机对顶部和边坡稍作压实，顶部应向外侧做成一定坡度，便于排水。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如保存期较长，超过1个生长季，可撒播草籽临时绿化，草种应该选择有培肥地力的</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豆科</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牧草。如堆放在渣场，一般应集中堆放在渣场下游或者两侧地势平缓处，避开低洼及水流汇集处。</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④</w:t>
      </w:r>
      <w:r>
        <w:rPr>
          <w:rFonts w:cs="Times New Roman"/>
          <w:color w:val="000000" w:themeColor="text1"/>
          <w:szCs w:val="24"/>
          <w:highlight w:val="none"/>
          <w14:textFill>
            <w14:solidFill>
              <w14:schemeClr w14:val="tx1"/>
            </w14:solidFill>
          </w14:textFill>
        </w:rPr>
        <w:t>回填利用</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a</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为提高草皮成活率，植草皮前应先覆土，覆土应控制厚度，一般为3cm</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5cm，覆土时应适当压实，增加与边坡粘合力，避免剥落或因含水量增加与草皮一起顺坡向下滑移，如采用框格植草护坡，也应在框格内覆土。</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b</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表土回填及整地过程中应地面与周边地形相协调，应避免出现中间低四周高，以避免雨天造成洼地积水。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临时占地利用完毕后应先铲除地表泥结石层，然后回填表土进行全面整地，全面整地后地面高度应与周边相一致，以利于复绿。</w:t>
      </w:r>
    </w:p>
    <w:p>
      <w:pPr>
        <w:ind w:firstLine="482"/>
        <w:rPr>
          <w:rFonts w:cs="Times New Roman"/>
          <w:b/>
          <w:bCs/>
          <w:color w:val="000000" w:themeColor="text1"/>
          <w:szCs w:val="24"/>
          <w:highlight w:val="none"/>
          <w14:textFill>
            <w14:solidFill>
              <w14:schemeClr w14:val="tx1"/>
            </w14:solidFill>
          </w14:textFill>
        </w:rPr>
      </w:pPr>
      <w:r>
        <w:rPr>
          <w:rFonts w:hint="eastAsia" w:cs="Times New Roman"/>
          <w:b/>
          <w:bCs/>
          <w:color w:val="000000" w:themeColor="text1"/>
          <w:szCs w:val="24"/>
          <w:highlight w:val="none"/>
          <w14:textFill>
            <w14:solidFill>
              <w14:schemeClr w14:val="tx1"/>
            </w14:solidFill>
          </w14:textFill>
        </w:rPr>
        <w:t>（2）</w:t>
      </w:r>
      <w:r>
        <w:rPr>
          <w:rFonts w:cs="Times New Roman"/>
          <w:b/>
          <w:bCs/>
          <w:color w:val="000000" w:themeColor="text1"/>
          <w:szCs w:val="24"/>
          <w:highlight w:val="none"/>
          <w14:textFill>
            <w14:solidFill>
              <w14:schemeClr w14:val="tx1"/>
            </w14:solidFill>
          </w14:textFill>
        </w:rPr>
        <w:t>恢复措施与技术</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①</w:t>
      </w:r>
      <w:r>
        <w:rPr>
          <w:rFonts w:cs="Times New Roman"/>
          <w:color w:val="000000" w:themeColor="text1"/>
          <w:szCs w:val="24"/>
          <w:highlight w:val="none"/>
          <w14:textFill>
            <w14:solidFill>
              <w14:schemeClr w14:val="tx1"/>
            </w14:solidFill>
          </w14:textFill>
        </w:rPr>
        <w:t>植被恢复措施与技术</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a</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对因施工期间破坏的各种植被和生境、临时占用的植被及各种施工迹地，工程结束后应该尽量通过实施生态恢复措施使其逐步得到恢复。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b</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在植被恢复或其他生态恢复活动中，应该依照适地适树、原生性、特有性、实用性的基本科学原则，种植当地生态系统中原有的重要的各种植物种类，乔、灌、草植物有机搭配。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在采集种子或繁殖体时，要根据不同树种和植物，注意选择具有生长正常、健壮、结实率高等优良性状的种源。</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d</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不能营造单一树种的单优群落，要营造为混交林，以最大限度保证群落丰富及生物多样性。</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e</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尽量利用自然更新的方式恢复植被，并且注意恢复过程中的环境保护，同时加强管护，要通过围栏等措施防止人、畜破坏。</w:t>
      </w:r>
    </w:p>
    <w:p>
      <w:pPr>
        <w:ind w:firstLine="480"/>
        <w:rPr>
          <w:rFonts w:cs="Times New Roman"/>
          <w:color w:val="000000" w:themeColor="text1"/>
          <w:szCs w:val="24"/>
          <w:highlight w:val="none"/>
          <w14:textFill>
            <w14:solidFill>
              <w14:schemeClr w14:val="tx1"/>
            </w14:solidFill>
          </w14:textFill>
        </w:rPr>
      </w:pPr>
      <w:r>
        <w:rPr>
          <w:rFonts w:hint="eastAsia" w:ascii="宋体" w:hAnsi="宋体" w:cs="宋体"/>
          <w:color w:val="000000" w:themeColor="text1"/>
          <w:szCs w:val="24"/>
          <w:highlight w:val="none"/>
          <w14:textFill>
            <w14:solidFill>
              <w14:schemeClr w14:val="tx1"/>
            </w14:solidFill>
          </w14:textFill>
        </w:rPr>
        <w:t>②</w:t>
      </w:r>
      <w:r>
        <w:rPr>
          <w:rFonts w:cs="Times New Roman"/>
          <w:color w:val="000000" w:themeColor="text1"/>
          <w:szCs w:val="24"/>
          <w:highlight w:val="none"/>
          <w14:textFill>
            <w14:solidFill>
              <w14:schemeClr w14:val="tx1"/>
            </w14:solidFill>
          </w14:textFill>
        </w:rPr>
        <w:t>植物资源恢复措施及技术</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a</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对各施工区</w:t>
      </w:r>
      <w:r>
        <w:rPr>
          <w:rFonts w:hint="eastAsia" w:cs="Times New Roman"/>
          <w:color w:val="000000" w:themeColor="text1"/>
          <w:szCs w:val="24"/>
          <w:highlight w:val="none"/>
          <w14:textFill>
            <w14:solidFill>
              <w14:schemeClr w14:val="tx1"/>
            </w14:solidFill>
          </w14:textFill>
        </w:rPr>
        <w:t>发现的</w:t>
      </w:r>
      <w:r>
        <w:rPr>
          <w:rFonts w:cs="Times New Roman"/>
          <w:color w:val="000000" w:themeColor="text1"/>
          <w:szCs w:val="24"/>
          <w:highlight w:val="none"/>
          <w14:textFill>
            <w14:solidFill>
              <w14:schemeClr w14:val="tx1"/>
            </w14:solidFill>
          </w14:textFill>
        </w:rPr>
        <w:t>重要植物要认真清查登记、备案。以便在今后植物资源的恢复中作为选择植物种类的依据。</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b</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种植原生种，杜绝外来种。在植被恢复或其他生态恢复活动中，避免外来种可能对当地的生态系统造成无可挽回的破坏。</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c</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多种植当地的特有植物。</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d</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注意采种时间、种源选择，以及造林时间。造林时，严格执行苗木检验，做好苗木保护，提高造林质量，保证成活率。加强抚育管理和管护，使植被尽快恢复。</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e</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植物种类选择</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在进行植被恢复时，根据适地适树、原生性、特有性、观赏性等原则，应该采用有</w:t>
      </w:r>
      <w:r>
        <w:rPr>
          <w:rFonts w:hint="eastAsia" w:cs="Times New Roman"/>
          <w:color w:val="000000" w:themeColor="text1"/>
          <w:szCs w:val="24"/>
          <w:highlight w:val="none"/>
          <w14:textFill>
            <w14:solidFill>
              <w14:schemeClr w14:val="tx1"/>
            </w14:solidFill>
          </w14:textFill>
        </w:rPr>
        <w:t>生态</w:t>
      </w:r>
      <w:r>
        <w:rPr>
          <w:rFonts w:cs="Times New Roman"/>
          <w:color w:val="000000" w:themeColor="text1"/>
          <w:szCs w:val="24"/>
          <w:highlight w:val="none"/>
          <w14:textFill>
            <w14:solidFill>
              <w14:schemeClr w14:val="tx1"/>
            </w14:solidFill>
          </w14:textFill>
        </w:rPr>
        <w:t>价值</w:t>
      </w:r>
      <w:r>
        <w:rPr>
          <w:rFonts w:hint="eastAsia" w:cs="Times New Roman"/>
          <w:color w:val="000000" w:themeColor="text1"/>
          <w:szCs w:val="24"/>
          <w:highlight w:val="none"/>
          <w14:textFill>
            <w14:solidFill>
              <w14:schemeClr w14:val="tx1"/>
            </w14:solidFill>
          </w14:textFill>
        </w:rPr>
        <w:t>或</w:t>
      </w:r>
      <w:r>
        <w:rPr>
          <w:rFonts w:cs="Times New Roman"/>
          <w:color w:val="000000" w:themeColor="text1"/>
          <w:szCs w:val="24"/>
          <w:highlight w:val="none"/>
          <w14:textFill>
            <w14:solidFill>
              <w14:schemeClr w14:val="tx1"/>
            </w14:solidFill>
          </w14:textFill>
        </w:rPr>
        <w:t>经济价值的当地特有的原生植物，尤其是那些被项目建设破坏的重要物种。第一，可以恢复和增加当地植物多样性；第二，可以使植被恢复和绿化具有地方特色；第三，就地取材，可以降低绿化成本；第四，选择有一定经济价值的原生种类，可以增加一定的经济收入。</w:t>
      </w:r>
    </w:p>
    <w:p>
      <w:pPr>
        <w:widowControl/>
        <w:ind w:firstLine="482"/>
        <w:jc w:val="left"/>
        <w:rPr>
          <w:rFonts w:cs="Times New Roman"/>
          <w:b/>
          <w:bCs/>
          <w:color w:val="000000" w:themeColor="text1"/>
          <w:kern w:val="0"/>
          <w:szCs w:val="24"/>
          <w:highlight w:val="none"/>
          <w14:textFill>
            <w14:solidFill>
              <w14:schemeClr w14:val="tx1"/>
            </w14:solidFill>
          </w14:textFill>
        </w:rPr>
      </w:pPr>
      <w:r>
        <w:rPr>
          <w:rFonts w:hint="eastAsia" w:cs="Times New Roman"/>
          <w:b/>
          <w:bCs/>
          <w:color w:val="000000" w:themeColor="text1"/>
          <w:kern w:val="0"/>
          <w:szCs w:val="24"/>
          <w:highlight w:val="none"/>
          <w14:textFill>
            <w14:solidFill>
              <w14:schemeClr w14:val="tx1"/>
            </w14:solidFill>
          </w14:textFill>
        </w:rPr>
        <w:t>（3）资金</w:t>
      </w:r>
      <w:r>
        <w:rPr>
          <w:rFonts w:cs="Times New Roman"/>
          <w:b/>
          <w:bCs/>
          <w:color w:val="000000" w:themeColor="text1"/>
          <w:kern w:val="0"/>
          <w:szCs w:val="24"/>
          <w:highlight w:val="none"/>
          <w14:textFill>
            <w14:solidFill>
              <w14:schemeClr w14:val="tx1"/>
            </w14:solidFill>
          </w14:textFill>
        </w:rPr>
        <w:t>保障</w:t>
      </w:r>
    </w:p>
    <w:p>
      <w:pPr>
        <w:widowControl/>
        <w:ind w:firstLine="480"/>
        <w:jc w:val="left"/>
        <w:rPr>
          <w:rFonts w:cs="Times New Roman"/>
          <w:color w:val="000000" w:themeColor="text1"/>
          <w:kern w:val="0"/>
          <w:szCs w:val="24"/>
          <w:highlight w:val="none"/>
          <w14:textFill>
            <w14:solidFill>
              <w14:schemeClr w14:val="tx1"/>
            </w14:solidFill>
          </w14:textFill>
        </w:rPr>
      </w:pPr>
      <w:r>
        <w:rPr>
          <w:rFonts w:cs="Times New Roman"/>
          <w:color w:val="000000" w:themeColor="text1"/>
          <w:kern w:val="0"/>
          <w:szCs w:val="24"/>
          <w:highlight w:val="none"/>
          <w14:textFill>
            <w14:solidFill>
              <w14:schemeClr w14:val="tx1"/>
            </w14:solidFill>
          </w14:textFill>
        </w:rPr>
        <w:t>设立生态补偿专项经费，将野生动植物的保护和监测费用、工程地形地貌恢复费用纳入生态补偿费，确保生态恢复资金足额到位。</w:t>
      </w:r>
    </w:p>
    <w:p>
      <w:pPr>
        <w:pStyle w:val="3"/>
        <w:spacing w:before="0" w:beforeLines="0"/>
        <w:rPr>
          <w:color w:val="000000" w:themeColor="text1"/>
          <w:highlight w:val="none"/>
          <w:lang w:eastAsia="zh-CN"/>
          <w14:textFill>
            <w14:solidFill>
              <w14:schemeClr w14:val="tx1"/>
            </w14:solidFill>
          </w14:textFill>
        </w:rPr>
      </w:pPr>
      <w:bookmarkStart w:id="479" w:name="6.2运营期环境保护措施及可行性分析"/>
      <w:bookmarkEnd w:id="479"/>
      <w:bookmarkStart w:id="480" w:name="6.1.5生态环境保护措施"/>
      <w:bookmarkEnd w:id="480"/>
      <w:bookmarkStart w:id="481" w:name="_bookmark33"/>
      <w:bookmarkEnd w:id="481"/>
      <w:bookmarkStart w:id="482" w:name="_Toc23726"/>
      <w:r>
        <w:rPr>
          <w:color w:val="000000" w:themeColor="text1"/>
          <w:highlight w:val="none"/>
          <w:lang w:eastAsia="zh-CN"/>
          <w14:textFill>
            <w14:solidFill>
              <w14:schemeClr w14:val="tx1"/>
            </w14:solidFill>
          </w14:textFill>
        </w:rPr>
        <w:t>试采期环境保护措施及可行性分析</w:t>
      </w:r>
      <w:bookmarkEnd w:id="482"/>
      <w:bookmarkStart w:id="483" w:name="6.2.1废水污染物防治措施"/>
      <w:bookmarkEnd w:id="483"/>
    </w:p>
    <w:p>
      <w:pPr>
        <w:pStyle w:val="4"/>
        <w:spacing w:before="0" w:beforeLines="0"/>
        <w:ind w:firstLine="480"/>
        <w:rPr>
          <w:b/>
          <w:color w:val="000000" w:themeColor="text1"/>
          <w:highlight w:val="none"/>
          <w:lang w:eastAsia="zh-CN"/>
          <w14:textFill>
            <w14:solidFill>
              <w14:schemeClr w14:val="tx1"/>
            </w14:solidFill>
          </w14:textFill>
        </w:rPr>
      </w:pPr>
      <w:bookmarkStart w:id="484" w:name="_Toc120173219"/>
      <w:r>
        <w:rPr>
          <w:color w:val="000000" w:themeColor="text1"/>
          <w:highlight w:val="none"/>
          <w:lang w:eastAsia="zh-CN"/>
          <w14:textFill>
            <w14:solidFill>
              <w14:schemeClr w14:val="tx1"/>
            </w14:solidFill>
          </w14:textFill>
        </w:rPr>
        <w:t>试采期大气环境污染防治措施可行性分析</w:t>
      </w:r>
      <w:bookmarkEnd w:id="484"/>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1、水套</w:t>
      </w:r>
      <w:r>
        <w:rPr>
          <w:rFonts w:hint="eastAsia" w:eastAsia="黑体" w:cs="Times New Roman"/>
          <w:color w:val="000000" w:themeColor="text1"/>
          <w:highlight w:val="none"/>
          <w14:textFill>
            <w14:solidFill>
              <w14:schemeClr w14:val="tx1"/>
            </w14:solidFill>
          </w14:textFill>
        </w:rPr>
        <w:t>加热炉</w:t>
      </w:r>
      <w:r>
        <w:rPr>
          <w:rFonts w:eastAsia="黑体" w:cs="Times New Roman"/>
          <w:color w:val="000000" w:themeColor="text1"/>
          <w:highlight w:val="none"/>
          <w14:textFill>
            <w14:solidFill>
              <w14:schemeClr w14:val="tx1"/>
            </w14:solidFill>
          </w14:textFill>
        </w:rPr>
        <w:t>燃气废气治理措施</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w:t>
      </w:r>
      <w:r>
        <w:rPr>
          <w:rFonts w:hint="eastAsia" w:cs="Times New Roman"/>
          <w:bCs/>
          <w:color w:val="000000" w:themeColor="text1"/>
          <w:highlight w:val="none"/>
          <w14:textFill>
            <w14:solidFill>
              <w14:schemeClr w14:val="tx1"/>
            </w14:solidFill>
          </w14:textFill>
        </w:rPr>
        <w:t>依托的</w:t>
      </w:r>
      <w:r>
        <w:rPr>
          <w:rFonts w:cs="Times New Roman"/>
          <w:bCs/>
          <w:color w:val="000000" w:themeColor="text1"/>
          <w:highlight w:val="none"/>
          <w14:textFill>
            <w14:solidFill>
              <w14:schemeClr w14:val="tx1"/>
            </w14:solidFill>
          </w14:textFill>
        </w:rPr>
        <w:t>水套加热炉所用的燃料气为集气总站反输的燃料气，为净化后硫化氢含量极低的天然气（≤6mg/m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，总硫含硫≤20mg/m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），废气产生量较小，且通过自带的8m高排气筒排放，同时加强水套加热炉的保养维护，在采取上述措施后水套</w:t>
      </w:r>
      <w:r>
        <w:rPr>
          <w:rFonts w:hint="eastAsia" w:cs="Times New Roman"/>
          <w:bCs/>
          <w:color w:val="000000" w:themeColor="text1"/>
          <w:highlight w:val="none"/>
          <w14:textFill>
            <w14:solidFill>
              <w14:schemeClr w14:val="tx1"/>
            </w14:solidFill>
          </w14:textFill>
        </w:rPr>
        <w:t>加热炉</w:t>
      </w:r>
      <w:r>
        <w:rPr>
          <w:rFonts w:cs="Times New Roman"/>
          <w:bCs/>
          <w:color w:val="000000" w:themeColor="text1"/>
          <w:highlight w:val="none"/>
          <w14:textFill>
            <w14:solidFill>
              <w14:schemeClr w14:val="tx1"/>
            </w14:solidFill>
          </w14:textFill>
        </w:rPr>
        <w:t>燃气废气治理措施有效可行。</w:t>
      </w:r>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2、火炬及放空系统长明灯燃烧废气治理措施</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本项目火炬及放空系统长明灯所用的燃料气为集气总站反输的燃料气，为净化后硫化氢含量极低的天然气（≤6mg/m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，总硫含硫≤20mg/m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），废气产生量较小，且通过55m高的放空火炬排放，在采取上述措施后火炬及放空系统长明灯燃烧废气治理措施有效可行。</w:t>
      </w:r>
    </w:p>
    <w:p>
      <w:pPr>
        <w:ind w:firstLine="480"/>
        <w:rPr>
          <w:rFonts w:eastAsia="黑体" w:cs="Times New Roman"/>
          <w:color w:val="000000" w:themeColor="text1"/>
          <w:highlight w:val="none"/>
          <w14:textFill>
            <w14:solidFill>
              <w14:schemeClr w14:val="tx1"/>
            </w14:solidFill>
          </w14:textFill>
        </w:rPr>
      </w:pPr>
      <w:r>
        <w:rPr>
          <w:rFonts w:hint="eastAsia" w:eastAsia="黑体" w:cs="Times New Roman"/>
          <w:color w:val="000000" w:themeColor="text1"/>
          <w:highlight w:val="none"/>
          <w14:textFill>
            <w14:solidFill>
              <w14:schemeClr w14:val="tx1"/>
            </w14:solidFill>
          </w14:textFill>
        </w:rPr>
        <w:t>3</w:t>
      </w:r>
      <w:r>
        <w:rPr>
          <w:rFonts w:eastAsia="黑体" w:cs="Times New Roman"/>
          <w:color w:val="000000" w:themeColor="text1"/>
          <w:highlight w:val="none"/>
          <w14:textFill>
            <w14:solidFill>
              <w14:schemeClr w14:val="tx1"/>
            </w14:solidFill>
          </w14:textFill>
        </w:rPr>
        <w:t>、非正常工况放空废气</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项目设备检修排放的</w:t>
      </w:r>
      <w:r>
        <w:rPr>
          <w:rFonts w:hint="eastAsia" w:cs="Times New Roman"/>
          <w:bCs/>
          <w:color w:val="000000" w:themeColor="text1"/>
          <w:highlight w:val="none"/>
          <w14:textFill>
            <w14:solidFill>
              <w14:schemeClr w14:val="tx1"/>
            </w14:solidFill>
          </w14:textFill>
        </w:rPr>
        <w:t>燃烧废</w:t>
      </w:r>
      <w:r>
        <w:rPr>
          <w:rFonts w:cs="Times New Roman"/>
          <w:bCs/>
          <w:color w:val="000000" w:themeColor="text1"/>
          <w:highlight w:val="none"/>
          <w14:textFill>
            <w14:solidFill>
              <w14:schemeClr w14:val="tx1"/>
            </w14:solidFill>
          </w14:textFill>
        </w:rPr>
        <w:t>气，属间歇排放，通过55m高的放空火炬点火燃烧</w:t>
      </w:r>
      <w:r>
        <w:rPr>
          <w:rFonts w:cs="Times New Roman"/>
          <w:color w:val="000000" w:themeColor="text1"/>
          <w:highlight w:val="none"/>
          <w14:textFill>
            <w14:solidFill>
              <w14:schemeClr w14:val="tx1"/>
            </w14:solidFill>
          </w14:textFill>
        </w:rPr>
        <w:t>，根据同行业经验和《石油天然气开采业污染防治技术政策》要求，本项目检测期间排放的天然气量远远低于油气集输损耗率0.5%。根据</w:t>
      </w:r>
      <w:r>
        <w:rPr>
          <w:bCs/>
          <w:color w:val="000000" w:themeColor="text1"/>
          <w:szCs w:val="24"/>
          <w:highlight w:val="none"/>
          <w14:textFill>
            <w14:solidFill>
              <w14:schemeClr w14:val="tx1"/>
            </w14:solidFill>
          </w14:textFill>
        </w:rPr>
        <w:t>《陆上石油天然气开采工业大气污染物排放标准》（GB39728-2020）</w:t>
      </w:r>
      <w:r>
        <w:rPr>
          <w:rFonts w:hint="eastAsia"/>
          <w:bCs/>
          <w:color w:val="000000" w:themeColor="text1"/>
          <w:szCs w:val="24"/>
          <w:highlight w:val="none"/>
          <w14:textFill>
            <w14:solidFill>
              <w14:schemeClr w14:val="tx1"/>
            </w14:solidFill>
          </w14:textFill>
        </w:rPr>
        <w:t>（</w:t>
      </w:r>
      <w:r>
        <w:rPr>
          <w:rFonts w:hint="eastAsia"/>
          <w:bCs/>
          <w:i/>
          <w:iCs/>
          <w:color w:val="000000" w:themeColor="text1"/>
          <w:szCs w:val="24"/>
          <w:highlight w:val="none"/>
          <w14:textFill>
            <w14:solidFill>
              <w14:schemeClr w14:val="tx1"/>
            </w14:solidFill>
          </w14:textFill>
        </w:rPr>
        <w:t>5.7.3 对油气田放空天然气应予以回收。不能回收或难以回收的，应经燃烧后放空；不能燃烧直接放空的，应报生态环境主管部门备案</w:t>
      </w:r>
      <w:r>
        <w:rPr>
          <w:rFonts w:hint="eastAsia"/>
          <w:bCs/>
          <w:color w:val="000000" w:themeColor="text1"/>
          <w:szCs w:val="24"/>
          <w:highlight w:val="none"/>
          <w14:textFill>
            <w14:solidFill>
              <w14:schemeClr w14:val="tx1"/>
            </w14:solidFill>
          </w14:textFill>
        </w:rPr>
        <w:t>）和《甲烷排放控制行动方案》（环气候〔2023〕67号）（</w:t>
      </w:r>
      <w:r>
        <w:rPr>
          <w:rFonts w:hint="eastAsia"/>
          <w:bCs/>
          <w:i/>
          <w:iCs/>
          <w:color w:val="000000" w:themeColor="text1"/>
          <w:szCs w:val="24"/>
          <w:highlight w:val="none"/>
          <w14:textFill>
            <w14:solidFill>
              <w14:schemeClr w14:val="tx1"/>
            </w14:solidFill>
          </w14:textFill>
        </w:rPr>
        <w:t>4.强化甲烷综合利用。促进油气田放空甲烷排放管控，鼓励企业因地制宜开展伴生气与放空气回收利用，不能回收或难以回收的，应经燃烧后放空。</w:t>
      </w:r>
      <w:r>
        <w:rPr>
          <w:rFonts w:hint="eastAsia"/>
          <w:bCs/>
          <w:color w:val="000000" w:themeColor="text1"/>
          <w:szCs w:val="24"/>
          <w:highlight w:val="none"/>
          <w14:textFill>
            <w14:solidFill>
              <w14:schemeClr w14:val="tx1"/>
            </w14:solidFill>
          </w14:textFill>
        </w:rPr>
        <w:t>）的相关要求</w:t>
      </w:r>
      <w:r>
        <w:rPr>
          <w:rFonts w:cs="Times New Roman"/>
          <w:bCs/>
          <w:color w:val="000000" w:themeColor="text1"/>
          <w:highlight w:val="none"/>
          <w14:textFill>
            <w14:solidFill>
              <w14:schemeClr w14:val="tx1"/>
            </w14:solidFill>
          </w14:textFill>
        </w:rPr>
        <w:t>，</w:t>
      </w:r>
      <w:r>
        <w:rPr>
          <w:rFonts w:cs="Times New Roman"/>
          <w:color w:val="000000" w:themeColor="text1"/>
          <w:highlight w:val="none"/>
          <w14:textFill>
            <w14:solidFill>
              <w14:schemeClr w14:val="tx1"/>
            </w14:solidFill>
          </w14:textFill>
        </w:rPr>
        <w:t>因此本项目对</w:t>
      </w:r>
      <w:r>
        <w:rPr>
          <w:rFonts w:hint="eastAsia" w:cs="Times New Roman"/>
          <w:color w:val="000000" w:themeColor="text1"/>
          <w:highlight w:val="none"/>
          <w14:textFill>
            <w14:solidFill>
              <w14:schemeClr w14:val="tx1"/>
            </w14:solidFill>
          </w14:textFill>
        </w:rPr>
        <w:t>非正常情况下放空的</w:t>
      </w:r>
      <w:r>
        <w:rPr>
          <w:rFonts w:cs="Times New Roman"/>
          <w:color w:val="000000" w:themeColor="text1"/>
          <w:highlight w:val="none"/>
          <w14:textFill>
            <w14:solidFill>
              <w14:schemeClr w14:val="tx1"/>
            </w14:solidFill>
          </w14:textFill>
        </w:rPr>
        <w:t>天然气采取</w:t>
      </w:r>
      <w:r>
        <w:rPr>
          <w:rFonts w:hint="eastAsia" w:cs="Times New Roman"/>
          <w:bCs/>
          <w:color w:val="000000" w:themeColor="text1"/>
          <w:highlight w:val="none"/>
          <w14:textFill>
            <w14:solidFill>
              <w14:schemeClr w14:val="tx1"/>
            </w14:solidFill>
          </w14:textFill>
        </w:rPr>
        <w:t>5</w:t>
      </w:r>
      <w:r>
        <w:rPr>
          <w:rFonts w:cs="Times New Roman"/>
          <w:bCs/>
          <w:color w:val="000000" w:themeColor="text1"/>
          <w:highlight w:val="none"/>
          <w14:textFill>
            <w14:solidFill>
              <w14:schemeClr w14:val="tx1"/>
            </w14:solidFill>
          </w14:textFill>
        </w:rPr>
        <w:t>5m高</w:t>
      </w:r>
      <w:r>
        <w:rPr>
          <w:rFonts w:cs="Times New Roman"/>
          <w:color w:val="000000" w:themeColor="text1"/>
          <w:highlight w:val="none"/>
          <w14:textFill>
            <w14:solidFill>
              <w14:schemeClr w14:val="tx1"/>
            </w14:solidFill>
          </w14:textFill>
        </w:rPr>
        <w:t>的放空火炬点火燃烧是可行的。</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bookmarkStart w:id="485" w:name="_Hlk88248100"/>
      <w:r>
        <w:rPr>
          <w:rFonts w:ascii="Times New Roman" w:hAnsi="Times New Roman"/>
          <w:bCs/>
          <w:color w:val="000000" w:themeColor="text1"/>
          <w:kern w:val="2"/>
          <w:highlight w:val="none"/>
          <w:lang w:eastAsia="zh-CN"/>
          <w14:textFill>
            <w14:solidFill>
              <w14:schemeClr w14:val="tx1"/>
            </w14:solidFill>
          </w14:textFill>
        </w:rPr>
        <w:t>本项目试采井站废气采用的处理措施均为天然气开发项目处理过程中常用的处置措施，已在建设单位同类型天然气试采井站工程项目中广泛应用，各节点废气均能做到达标排放，不会改变区域环境功能，废气处理措施合理、可行。</w:t>
      </w:r>
      <w:bookmarkEnd w:id="485"/>
    </w:p>
    <w:p>
      <w:pPr>
        <w:pStyle w:val="4"/>
        <w:spacing w:before="0" w:beforeLines="0"/>
        <w:ind w:firstLine="480"/>
        <w:rPr>
          <w:b/>
          <w:color w:val="000000" w:themeColor="text1"/>
          <w:highlight w:val="none"/>
          <w:lang w:eastAsia="zh-CN"/>
          <w14:textFill>
            <w14:solidFill>
              <w14:schemeClr w14:val="tx1"/>
            </w14:solidFill>
          </w14:textFill>
        </w:rPr>
      </w:pPr>
      <w:bookmarkStart w:id="486" w:name="_Toc120173220"/>
      <w:r>
        <w:rPr>
          <w:color w:val="000000" w:themeColor="text1"/>
          <w:highlight w:val="none"/>
          <w:lang w:eastAsia="zh-CN"/>
          <w14:textFill>
            <w14:solidFill>
              <w14:schemeClr w14:val="tx1"/>
            </w14:solidFill>
          </w14:textFill>
        </w:rPr>
        <w:t>废水污染物防治措施</w:t>
      </w:r>
      <w:bookmarkEnd w:id="486"/>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1、治理措施</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（1）生活污水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w:t>
      </w:r>
      <w:r>
        <w:rPr>
          <w:rFonts w:cs="Times New Roman"/>
          <w:color w:val="000000" w:themeColor="text1"/>
          <w:szCs w:val="24"/>
          <w:highlight w:val="none"/>
          <w14:textFill>
            <w14:solidFill>
              <w14:schemeClr w14:val="tx1"/>
            </w14:solidFill>
          </w14:textFill>
        </w:rPr>
        <w:t>试采期</w:t>
      </w:r>
      <w:r>
        <w:rPr>
          <w:rFonts w:hint="eastAsia" w:cs="Times New Roman"/>
          <w:color w:val="000000" w:themeColor="text1"/>
          <w:szCs w:val="24"/>
          <w:highlight w:val="none"/>
          <w14:textFill>
            <w14:solidFill>
              <w14:schemeClr w14:val="tx1"/>
            </w14:solidFill>
          </w14:textFill>
        </w:rPr>
        <w:t>为无人值守站场，无生活污水产生</w:t>
      </w:r>
      <w:r>
        <w:rPr>
          <w:rFonts w:cs="Times New Roman"/>
          <w:bCs/>
          <w:color w:val="000000" w:themeColor="text1"/>
          <w:highlight w:val="none"/>
          <w14:textFill>
            <w14:solidFill>
              <w14:schemeClr w14:val="tx1"/>
            </w14:solidFill>
          </w14:textFill>
        </w:rPr>
        <w:t>。</w:t>
      </w:r>
    </w:p>
    <w:p>
      <w:pPr>
        <w:ind w:firstLine="482"/>
        <w:rPr>
          <w:rFonts w:cs="Times New Roman"/>
          <w:b/>
          <w:color w:val="000000" w:themeColor="text1"/>
          <w:highlight w:val="none"/>
          <w14:textFill>
            <w14:solidFill>
              <w14:schemeClr w14:val="tx1"/>
            </w14:solidFill>
          </w14:textFill>
        </w:rPr>
      </w:pPr>
      <w:r>
        <w:rPr>
          <w:rFonts w:cs="Times New Roman"/>
          <w:b/>
          <w:color w:val="000000" w:themeColor="text1"/>
          <w:highlight w:val="none"/>
          <w14:textFill>
            <w14:solidFill>
              <w14:schemeClr w14:val="tx1"/>
            </w14:solidFill>
          </w14:textFill>
        </w:rPr>
        <w:t>（2）</w:t>
      </w:r>
      <w:r>
        <w:rPr>
          <w:rFonts w:hint="eastAsia" w:cs="Times New Roman"/>
          <w:b/>
          <w:color w:val="000000" w:themeColor="text1"/>
          <w:highlight w:val="none"/>
          <w14:textFill>
            <w14:solidFill>
              <w14:schemeClr w14:val="tx1"/>
            </w14:solidFill>
          </w14:textFill>
        </w:rPr>
        <w:t>采出水</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本项目试采期地层水产生量预计最大为10m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/d</w:t>
      </w:r>
      <w:r>
        <w:rPr>
          <w:rFonts w:hint="eastAsia" w:cs="Times New Roman"/>
          <w:bCs/>
          <w:color w:val="000000" w:themeColor="text1"/>
          <w:highlight w:val="none"/>
          <w14:textFill>
            <w14:solidFill>
              <w14:schemeClr w14:val="tx1"/>
            </w14:solidFill>
          </w14:textFill>
        </w:rPr>
        <w:t>（初期可达50m</w:t>
      </w:r>
      <w:r>
        <w:rPr>
          <w:rFonts w:hint="eastAsia" w:cs="Times New Roman"/>
          <w:bCs/>
          <w:color w:val="000000" w:themeColor="text1"/>
          <w:highlight w:val="none"/>
          <w:vertAlign w:val="superscript"/>
          <w14:textFill>
            <w14:solidFill>
              <w14:schemeClr w14:val="tx1"/>
            </w14:solidFill>
          </w14:textFill>
        </w:rPr>
        <w:t>3</w:t>
      </w:r>
      <w:r>
        <w:rPr>
          <w:rFonts w:hint="eastAsia" w:cs="Times New Roman"/>
          <w:bCs/>
          <w:color w:val="000000" w:themeColor="text1"/>
          <w:highlight w:val="none"/>
          <w14:textFill>
            <w14:solidFill>
              <w14:schemeClr w14:val="tx1"/>
            </w14:solidFill>
          </w14:textFill>
        </w:rPr>
        <w:t>/d）</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依托大湾</w:t>
      </w:r>
      <w:r>
        <w:rPr>
          <w:rFonts w:hint="eastAsia" w:cs="Times New Roman"/>
          <w:bCs/>
          <w:color w:val="000000" w:themeColor="text1"/>
          <w:highlight w:val="none"/>
          <w:lang w:eastAsia="zh-CN"/>
          <w14:textFill>
            <w14:solidFill>
              <w14:schemeClr w14:val="tx1"/>
            </w14:solidFill>
          </w14:textFill>
        </w:rPr>
        <w:t>408试采站</w:t>
      </w:r>
      <w:r>
        <w:rPr>
          <w:rFonts w:cs="Times New Roman"/>
          <w:bCs/>
          <w:color w:val="000000" w:themeColor="text1"/>
          <w:highlight w:val="none"/>
          <w14:textFill>
            <w14:solidFill>
              <w14:schemeClr w14:val="tx1"/>
            </w14:solidFill>
          </w14:textFill>
        </w:rPr>
        <w:t>内1个30m</w:t>
      </w:r>
      <w:r>
        <w:rPr>
          <w:rFonts w:cs="Times New Roman"/>
          <w:bCs/>
          <w:color w:val="000000" w:themeColor="text1"/>
          <w:highlight w:val="none"/>
          <w:vertAlign w:val="superscript"/>
          <w14:textFill>
            <w14:solidFill>
              <w14:schemeClr w14:val="tx1"/>
            </w14:solidFill>
          </w14:textFill>
        </w:rPr>
        <w:t>3</w:t>
      </w:r>
      <w:r>
        <w:rPr>
          <w:rFonts w:cs="Times New Roman"/>
          <w:bCs/>
          <w:color w:val="000000" w:themeColor="text1"/>
          <w:highlight w:val="none"/>
          <w14:textFill>
            <w14:solidFill>
              <w14:schemeClr w14:val="tx1"/>
            </w14:solidFill>
          </w14:textFill>
        </w:rPr>
        <w:t>火炬分液罐进行收集，定期拉运能保证井站污水罐对项目废水的收纳。井站设置火炬分液罐于防渗区，做好火炬分液罐的保养检查，杜绝</w:t>
      </w:r>
      <w:r>
        <w:rPr>
          <w:rFonts w:hint="eastAsia" w:cs="Times New Roman"/>
          <w:bCs/>
          <w:color w:val="000000" w:themeColor="text1"/>
          <w:highlight w:val="none"/>
          <w14:textFill>
            <w14:solidFill>
              <w14:schemeClr w14:val="tx1"/>
            </w14:solidFill>
          </w14:textFill>
        </w:rPr>
        <w:t>污水泄漏</w:t>
      </w:r>
      <w:r>
        <w:rPr>
          <w:rFonts w:cs="Times New Roman"/>
          <w:bCs/>
          <w:color w:val="000000" w:themeColor="text1"/>
          <w:highlight w:val="none"/>
          <w14:textFill>
            <w14:solidFill>
              <w14:schemeClr w14:val="tx1"/>
            </w14:solidFill>
          </w14:textFill>
        </w:rPr>
        <w:t>；本项目</w:t>
      </w:r>
      <w:r>
        <w:rPr>
          <w:rFonts w:cs="Times New Roman"/>
          <w:color w:val="000000" w:themeColor="text1"/>
          <w:highlight w:val="none"/>
          <w14:textFill>
            <w14:solidFill>
              <w14:schemeClr w14:val="tx1"/>
            </w14:solidFill>
          </w14:textFill>
        </w:rPr>
        <w:t>采气废水经</w:t>
      </w:r>
      <w:r>
        <w:rPr>
          <w:rFonts w:cs="Times New Roman"/>
          <w:color w:val="000000" w:themeColor="text1"/>
          <w:szCs w:val="24"/>
          <w:highlight w:val="none"/>
          <w14:textFill>
            <w14:solidFill>
              <w14:schemeClr w14:val="tx1"/>
            </w14:solidFill>
          </w14:textFill>
        </w:rPr>
        <w:t>密闭罐车拉运至赵家坝污水处理站达标后管输至</w:t>
      </w:r>
      <w:r>
        <w:rPr>
          <w:rFonts w:hint="eastAsia" w:cs="Times New Roman"/>
          <w:color w:val="000000" w:themeColor="text1"/>
          <w:szCs w:val="24"/>
          <w:highlight w:val="none"/>
          <w14:textFill>
            <w14:solidFill>
              <w14:schemeClr w14:val="tx1"/>
            </w14:solidFill>
          </w14:textFill>
        </w:rPr>
        <w:t>普光3井</w:t>
      </w:r>
      <w:r>
        <w:rPr>
          <w:rFonts w:cs="Times New Roman"/>
          <w:color w:val="000000" w:themeColor="text1"/>
          <w:szCs w:val="24"/>
          <w:highlight w:val="none"/>
          <w14:textFill>
            <w14:solidFill>
              <w14:schemeClr w14:val="tx1"/>
            </w14:solidFill>
          </w14:textFill>
        </w:rPr>
        <w:t>回注站回注，不外排</w:t>
      </w:r>
      <w:r>
        <w:rPr>
          <w:rFonts w:cs="Times New Roman"/>
          <w:bCs/>
          <w:color w:val="000000" w:themeColor="text1"/>
          <w:highlight w:val="none"/>
          <w14:textFill>
            <w14:solidFill>
              <w14:schemeClr w14:val="tx1"/>
            </w14:solidFill>
          </w14:textFill>
        </w:rPr>
        <w:t>，应做好采气废水转运计划，及时转运采气废水，确保废水得到有效处置。</w:t>
      </w:r>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2、</w:t>
      </w:r>
      <w:r>
        <w:rPr>
          <w:rFonts w:hint="eastAsia" w:eastAsia="黑体" w:cs="Times New Roman"/>
          <w:color w:val="000000" w:themeColor="text1"/>
          <w:highlight w:val="none"/>
          <w14:textFill>
            <w14:solidFill>
              <w14:schemeClr w14:val="tx1"/>
            </w14:solidFill>
          </w14:textFill>
        </w:rPr>
        <w:t>采出水</w:t>
      </w:r>
      <w:r>
        <w:rPr>
          <w:rFonts w:eastAsia="黑体" w:cs="Times New Roman"/>
          <w:color w:val="000000" w:themeColor="text1"/>
          <w:highlight w:val="none"/>
          <w14:textFill>
            <w14:solidFill>
              <w14:schemeClr w14:val="tx1"/>
            </w14:solidFill>
          </w14:textFill>
        </w:rPr>
        <w:t>依托措施的可行性分析</w:t>
      </w:r>
    </w:p>
    <w:p>
      <w:pPr>
        <w:ind w:firstLine="480"/>
        <w:rPr>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本项目采气废水经</w:t>
      </w:r>
      <w:r>
        <w:rPr>
          <w:rFonts w:cs="Times New Roman"/>
          <w:color w:val="000000" w:themeColor="text1"/>
          <w:szCs w:val="24"/>
          <w:highlight w:val="none"/>
          <w14:textFill>
            <w14:solidFill>
              <w14:schemeClr w14:val="tx1"/>
            </w14:solidFill>
          </w14:textFill>
        </w:rPr>
        <w:t>密闭罐车拉运至赵家坝污水处理站达标后管输至</w:t>
      </w:r>
      <w:r>
        <w:rPr>
          <w:rFonts w:hint="eastAsia" w:cs="Times New Roman"/>
          <w:color w:val="000000" w:themeColor="text1"/>
          <w:szCs w:val="24"/>
          <w:highlight w:val="none"/>
          <w14:textFill>
            <w14:solidFill>
              <w14:schemeClr w14:val="tx1"/>
            </w14:solidFill>
          </w14:textFill>
        </w:rPr>
        <w:t>普光3</w:t>
      </w:r>
      <w:r>
        <w:rPr>
          <w:rFonts w:cs="Times New Roman"/>
          <w:color w:val="000000" w:themeColor="text1"/>
          <w:szCs w:val="24"/>
          <w:highlight w:val="none"/>
          <w14:textFill>
            <w14:solidFill>
              <w14:schemeClr w14:val="tx1"/>
            </w14:solidFill>
          </w14:textFill>
        </w:rPr>
        <w:t>井回注站回注，</w:t>
      </w:r>
      <w:r>
        <w:rPr>
          <w:rFonts w:cs="Times New Roman"/>
          <w:color w:val="000000" w:themeColor="text1"/>
          <w:highlight w:val="none"/>
          <w14:textFill>
            <w14:solidFill>
              <w14:schemeClr w14:val="tx1"/>
            </w14:solidFill>
          </w14:textFill>
        </w:rPr>
        <w:t>回注量小，根据前文分析，赵家坝污水处理</w:t>
      </w:r>
      <w:r>
        <w:rPr>
          <w:rFonts w:hint="eastAsia" w:cs="Times New Roman"/>
          <w:color w:val="000000" w:themeColor="text1"/>
          <w:highlight w:val="none"/>
          <w14:textFill>
            <w14:solidFill>
              <w14:schemeClr w14:val="tx1"/>
            </w14:solidFill>
          </w14:textFill>
        </w:rPr>
        <w:t>站</w:t>
      </w:r>
      <w:r>
        <w:rPr>
          <w:rFonts w:cs="Times New Roman"/>
          <w:color w:val="000000" w:themeColor="text1"/>
          <w:highlight w:val="none"/>
          <w14:textFill>
            <w14:solidFill>
              <w14:schemeClr w14:val="tx1"/>
            </w14:solidFill>
          </w14:textFill>
        </w:rPr>
        <w:t>和回注站接收处理能力满足试采期采气废水处理要求</w:t>
      </w:r>
      <w:r>
        <w:rPr>
          <w:rFonts w:hint="eastAsia"/>
          <w:color w:val="000000" w:themeColor="text1"/>
          <w:highlight w:val="none"/>
          <w14:textFill>
            <w14:solidFill>
              <w14:schemeClr w14:val="tx1"/>
            </w14:solidFill>
          </w14:textFill>
        </w:rPr>
        <w:t>。</w:t>
      </w:r>
    </w:p>
    <w:p>
      <w:pPr>
        <w:pStyle w:val="252"/>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根据前文分析，</w:t>
      </w:r>
      <w:r>
        <w:rPr>
          <w:rFonts w:hint="eastAsia"/>
          <w:color w:val="000000" w:themeColor="text1"/>
          <w:highlight w:val="none"/>
          <w14:textFill>
            <w14:solidFill>
              <w14:schemeClr w14:val="tx1"/>
            </w14:solidFill>
          </w14:textFill>
        </w:rPr>
        <w:t>赵家坝污水处理站</w:t>
      </w:r>
      <w:r>
        <w:rPr>
          <w:color w:val="000000" w:themeColor="text1"/>
          <w:highlight w:val="none"/>
          <w14:textFill>
            <w14:solidFill>
              <w14:schemeClr w14:val="tx1"/>
            </w14:solidFill>
          </w14:textFill>
        </w:rPr>
        <w:t>和</w:t>
      </w:r>
      <w:r>
        <w:rPr>
          <w:rFonts w:hint="eastAsia"/>
          <w:color w:val="000000" w:themeColor="text1"/>
          <w:highlight w:val="none"/>
          <w14:textFill>
            <w14:solidFill>
              <w14:schemeClr w14:val="tx1"/>
            </w14:solidFill>
          </w14:textFill>
        </w:rPr>
        <w:t>普光3井</w:t>
      </w:r>
      <w:r>
        <w:rPr>
          <w:color w:val="000000" w:themeColor="text1"/>
          <w:highlight w:val="none"/>
          <w14:textFill>
            <w14:solidFill>
              <w14:schemeClr w14:val="tx1"/>
            </w14:solidFill>
          </w14:textFill>
        </w:rPr>
        <w:t>回注站接收处理能力满足试采期采气废水处理要求</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同时赵家坝污水处理站运行多年，工艺成熟稳定，水质能长期稳定达标，满足作业废水预处理要求；</w:t>
      </w:r>
      <w:r>
        <w:rPr>
          <w:rFonts w:hint="eastAsia"/>
          <w:color w:val="000000" w:themeColor="text1"/>
          <w:highlight w:val="none"/>
          <w14:textFill>
            <w14:solidFill>
              <w14:schemeClr w14:val="tx1"/>
            </w14:solidFill>
          </w14:textFill>
        </w:rPr>
        <w:t>普光3井</w:t>
      </w:r>
      <w:r>
        <w:rPr>
          <w:color w:val="000000" w:themeColor="text1"/>
          <w:highlight w:val="none"/>
          <w14:textFill>
            <w14:solidFill>
              <w14:schemeClr w14:val="tx1"/>
            </w14:solidFill>
          </w14:textFill>
        </w:rPr>
        <w:t>已稳定运行</w:t>
      </w:r>
      <w:r>
        <w:rPr>
          <w:rFonts w:hint="eastAsia"/>
          <w:color w:val="000000" w:themeColor="text1"/>
          <w:highlight w:val="none"/>
          <w14:textFill>
            <w14:solidFill>
              <w14:schemeClr w14:val="tx1"/>
            </w14:solidFill>
          </w14:textFill>
        </w:rPr>
        <w:t>多</w:t>
      </w:r>
      <w:r>
        <w:rPr>
          <w:color w:val="000000" w:themeColor="text1"/>
          <w:highlight w:val="none"/>
          <w14:textFill>
            <w14:solidFill>
              <w14:schemeClr w14:val="tx1"/>
            </w14:solidFill>
          </w14:textFill>
        </w:rPr>
        <w:t>年，地下空间结构稳定，运行期间未检测到地下空间发生结构变化，剩余日回注量远大于本项目钻井作业废水产生量，剩余储集空间较大，满足回注要求</w:t>
      </w:r>
      <w:r>
        <w:rPr>
          <w:bCs/>
          <w:color w:val="000000" w:themeColor="text1"/>
          <w:szCs w:val="24"/>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此外，非正常工况井下作业废水产生频次为1次/a，单井排放量为50m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/a，</w:t>
      </w:r>
      <w:r>
        <w:rPr>
          <w:rFonts w:hint="eastAsia" w:cs="Times New Roman"/>
          <w:bCs/>
          <w:color w:val="000000" w:themeColor="text1"/>
          <w:highlight w:val="none"/>
          <w14:textFill>
            <w14:solidFill>
              <w14:schemeClr w14:val="tx1"/>
            </w14:solidFill>
          </w14:textFill>
        </w:rPr>
        <w:t>通过拟建采出水管线</w:t>
      </w:r>
      <w:r>
        <w:rPr>
          <w:color w:val="000000" w:themeColor="text1"/>
          <w:highlight w:val="none"/>
          <w14:textFill>
            <w14:solidFill>
              <w14:schemeClr w14:val="tx1"/>
            </w14:solidFill>
          </w14:textFill>
        </w:rPr>
        <w:t>外输至</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缓冲罐暂存后</w:t>
      </w:r>
      <w:r>
        <w:rPr>
          <w:rFonts w:cs="Times New Roman"/>
          <w:color w:val="000000" w:themeColor="text1"/>
          <w:highlight w:val="none"/>
          <w14:textFill>
            <w14:solidFill>
              <w14:schemeClr w14:val="tx1"/>
            </w14:solidFill>
          </w14:textFill>
        </w:rPr>
        <w:t>经</w:t>
      </w:r>
      <w:r>
        <w:rPr>
          <w:rFonts w:cs="Times New Roman"/>
          <w:color w:val="000000" w:themeColor="text1"/>
          <w:szCs w:val="24"/>
          <w:highlight w:val="none"/>
          <w14:textFill>
            <w14:solidFill>
              <w14:schemeClr w14:val="tx1"/>
            </w14:solidFill>
          </w14:textFill>
        </w:rPr>
        <w:t>密闭罐车拉运至</w:t>
      </w:r>
      <w:r>
        <w:rPr>
          <w:rFonts w:hint="eastAsia" w:cs="Times New Roman"/>
          <w:color w:val="000000" w:themeColor="text1"/>
          <w:szCs w:val="24"/>
          <w:highlight w:val="none"/>
          <w14:textFill>
            <w14:solidFill>
              <w14:schemeClr w14:val="tx1"/>
            </w14:solidFill>
          </w14:textFill>
        </w:rPr>
        <w:t>赵家坝污水处理站</w:t>
      </w:r>
      <w:r>
        <w:rPr>
          <w:rFonts w:cs="Times New Roman"/>
          <w:color w:val="000000" w:themeColor="text1"/>
          <w:szCs w:val="24"/>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管输至</w:t>
      </w:r>
      <w:r>
        <w:rPr>
          <w:rFonts w:hint="eastAsia" w:cs="Times New Roman"/>
          <w:color w:val="000000" w:themeColor="text1"/>
          <w:szCs w:val="24"/>
          <w:highlight w:val="none"/>
          <w14:textFill>
            <w14:solidFill>
              <w14:schemeClr w14:val="tx1"/>
            </w14:solidFill>
          </w14:textFill>
        </w:rPr>
        <w:t>普光3井回注站</w:t>
      </w:r>
      <w:r>
        <w:rPr>
          <w:rFonts w:cs="Times New Roman"/>
          <w:color w:val="000000" w:themeColor="text1"/>
          <w:szCs w:val="24"/>
          <w:highlight w:val="none"/>
          <w14:textFill>
            <w14:solidFill>
              <w14:schemeClr w14:val="tx1"/>
            </w14:solidFill>
          </w14:textFill>
        </w:rPr>
        <w:t>回注</w:t>
      </w:r>
      <w:r>
        <w:rPr>
          <w:rFonts w:hint="eastAsia" w:cs="Times New Roman"/>
          <w:color w:val="000000" w:themeColor="text1"/>
          <w:szCs w:val="24"/>
          <w:highlight w:val="none"/>
          <w14:textFill>
            <w14:solidFill>
              <w14:schemeClr w14:val="tx1"/>
            </w14:solidFill>
          </w14:textFill>
        </w:rPr>
        <w:t>，不外排，根据前文分析，其废水量相对于采出水水量小得多，通过合理调配后能有效收集处置，因此措施可行。</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试采井站废水采用的处理措施为中石化在川东北地区常用的处置措施，已在建设单位同类型天然气试采井站工程项目中广泛应用，依托污水处理站专门为中石化钻采项目服务，运行稳定可靠，废水均能做到达标排放或有效回注，</w:t>
      </w:r>
      <w:r>
        <w:rPr>
          <w:rFonts w:hint="eastAsia" w:cs="Times New Roman"/>
          <w:bCs/>
          <w:color w:val="000000" w:themeColor="text1"/>
          <w:szCs w:val="24"/>
          <w:highlight w:val="none"/>
          <w14:textFill>
            <w14:solidFill>
              <w14:schemeClr w14:val="tx1"/>
            </w14:solidFill>
          </w14:textFill>
        </w:rPr>
        <w:t>不外排，</w:t>
      </w:r>
      <w:r>
        <w:rPr>
          <w:rFonts w:cs="Times New Roman"/>
          <w:bCs/>
          <w:color w:val="000000" w:themeColor="text1"/>
          <w:szCs w:val="24"/>
          <w:highlight w:val="none"/>
          <w14:textFill>
            <w14:solidFill>
              <w14:schemeClr w14:val="tx1"/>
            </w14:solidFill>
          </w14:textFill>
        </w:rPr>
        <w:t>因此，废水处理措施合理、可行。</w:t>
      </w:r>
    </w:p>
    <w:p>
      <w:pPr>
        <w:pStyle w:val="4"/>
        <w:spacing w:before="0" w:beforeLines="0"/>
        <w:ind w:firstLine="480"/>
        <w:rPr>
          <w:b/>
          <w:color w:val="000000" w:themeColor="text1"/>
          <w:highlight w:val="none"/>
          <w:lang w:eastAsia="zh-CN"/>
          <w14:textFill>
            <w14:solidFill>
              <w14:schemeClr w14:val="tx1"/>
            </w14:solidFill>
          </w14:textFill>
        </w:rPr>
      </w:pPr>
      <w:bookmarkStart w:id="487" w:name="6.2.2地下水防治措施可行性分析"/>
      <w:bookmarkEnd w:id="487"/>
      <w:bookmarkStart w:id="488" w:name="_Toc120173221"/>
      <w:r>
        <w:rPr>
          <w:color w:val="000000" w:themeColor="text1"/>
          <w:highlight w:val="none"/>
          <w:lang w:eastAsia="zh-CN"/>
          <w14:textFill>
            <w14:solidFill>
              <w14:schemeClr w14:val="tx1"/>
            </w14:solidFill>
          </w14:textFill>
        </w:rPr>
        <w:t>地下水和土壤环境防治措施可行性分析</w:t>
      </w:r>
      <w:bookmarkEnd w:id="488"/>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项目实施对地下水及土壤可能造成的影响主要发生在施工期间。试采期井站暂存废水等污染物较少，</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szCs w:val="24"/>
          <w:highlight w:val="none"/>
          <w14:textFill>
            <w14:solidFill>
              <w14:schemeClr w14:val="tx1"/>
            </w14:solidFill>
          </w14:textFill>
        </w:rPr>
        <w:t>进行了防渗和设置围堰，废水</w:t>
      </w:r>
      <w:r>
        <w:rPr>
          <w:rFonts w:hint="eastAsia" w:cs="Times New Roman"/>
          <w:bCs/>
          <w:color w:val="000000" w:themeColor="text1"/>
          <w:szCs w:val="24"/>
          <w:highlight w:val="none"/>
          <w14:textFill>
            <w14:solidFill>
              <w14:schemeClr w14:val="tx1"/>
            </w14:solidFill>
          </w14:textFill>
        </w:rPr>
        <w:t>等污染物</w:t>
      </w:r>
      <w:r>
        <w:rPr>
          <w:rFonts w:cs="Times New Roman"/>
          <w:bCs/>
          <w:color w:val="000000" w:themeColor="text1"/>
          <w:szCs w:val="24"/>
          <w:highlight w:val="none"/>
          <w14:textFill>
            <w14:solidFill>
              <w14:schemeClr w14:val="tx1"/>
            </w14:solidFill>
          </w14:textFill>
        </w:rPr>
        <w:t>难以泄露，有完善的防漏洒措施，难以对地下水和土壤环境造成影响。</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地下水和土壤污染防治措施坚持</w:t>
      </w:r>
      <w:r>
        <w:rPr>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源头控制、末端防治、污染监控、应急响应相结合</w:t>
      </w:r>
      <w:r>
        <w:rPr>
          <w:bCs/>
          <w:color w:val="000000" w:themeColor="text1"/>
          <w:kern w:val="2"/>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的原则，即采取主动控制和被动控制相结合的措施。本项目试采期方井、</w:t>
      </w:r>
      <w:r>
        <w:rPr>
          <w:rFonts w:hint="eastAsia" w:ascii="Times New Roman" w:hAnsi="Times New Roman"/>
          <w:bCs/>
          <w:color w:val="000000" w:themeColor="text1"/>
          <w:highlight w:val="none"/>
          <w:lang w:eastAsia="zh-CN"/>
          <w14:textFill>
            <w14:solidFill>
              <w14:schemeClr w14:val="tx1"/>
            </w14:solidFill>
          </w14:textFill>
        </w:rPr>
        <w:t>酸液缓冲罐、</w:t>
      </w:r>
      <w:r>
        <w:rPr>
          <w:rFonts w:ascii="Times New Roman" w:hAnsi="Times New Roman"/>
          <w:bCs/>
          <w:color w:val="000000" w:themeColor="text1"/>
          <w:kern w:val="2"/>
          <w:highlight w:val="none"/>
          <w:lang w:eastAsia="zh-CN"/>
          <w14:textFill>
            <w14:solidFill>
              <w14:schemeClr w14:val="tx1"/>
            </w14:solidFill>
          </w14:textFill>
        </w:rPr>
        <w:t>和流程区进行了分区分级防渗清污分流等措施，同时对井站外临时占地进行了生态恢复，进行监测合格后复耕复植，井站内空地采取硬化，井站内清污分流，能有效避免项目对地下水和土壤环境造成影响。在方井或</w:t>
      </w:r>
      <w:r>
        <w:rPr>
          <w:rFonts w:hint="eastAsia" w:ascii="Times New Roman" w:hAnsi="Times New Roman"/>
          <w:bCs/>
          <w:color w:val="000000" w:themeColor="text1"/>
          <w:highlight w:val="none"/>
          <w:lang w:eastAsia="zh-CN"/>
          <w14:textFill>
            <w14:solidFill>
              <w14:schemeClr w14:val="tx1"/>
            </w14:solidFill>
          </w14:textFill>
        </w:rPr>
        <w:t>酸液缓冲罐</w:t>
      </w:r>
      <w:r>
        <w:rPr>
          <w:rFonts w:ascii="Times New Roman" w:hAnsi="Times New Roman"/>
          <w:bCs/>
          <w:color w:val="000000" w:themeColor="text1"/>
          <w:highlight w:val="none"/>
          <w:lang w:eastAsia="zh-CN"/>
          <w14:textFill>
            <w14:solidFill>
              <w14:schemeClr w14:val="tx1"/>
            </w14:solidFill>
          </w14:textFill>
        </w:rPr>
        <w:t>、</w:t>
      </w:r>
      <w:r>
        <w:rPr>
          <w:rFonts w:ascii="Times New Roman" w:hAnsi="Times New Roman"/>
          <w:bCs/>
          <w:color w:val="000000" w:themeColor="text1"/>
          <w:kern w:val="2"/>
          <w:highlight w:val="none"/>
          <w:lang w:eastAsia="zh-CN"/>
          <w14:textFill>
            <w14:solidFill>
              <w14:schemeClr w14:val="tx1"/>
            </w14:solidFill>
          </w14:textFill>
        </w:rPr>
        <w:t>垮塌或外溢、泄漏，防渗失效等极端情况下，本项目一般应设置备用</w:t>
      </w:r>
      <w:r>
        <w:rPr>
          <w:rFonts w:hint="eastAsia" w:ascii="Times New Roman" w:hAnsi="Times New Roman"/>
          <w:bCs/>
          <w:color w:val="000000" w:themeColor="text1"/>
          <w:kern w:val="2"/>
          <w:highlight w:val="none"/>
          <w:lang w:eastAsia="zh-CN"/>
          <w14:textFill>
            <w14:solidFill>
              <w14:schemeClr w14:val="tx1"/>
            </w14:solidFill>
          </w14:textFill>
        </w:rPr>
        <w:t>酸液缓冲罐</w:t>
      </w:r>
      <w:r>
        <w:rPr>
          <w:rFonts w:ascii="Times New Roman" w:hAnsi="Times New Roman"/>
          <w:bCs/>
          <w:color w:val="000000" w:themeColor="text1"/>
          <w:kern w:val="2"/>
          <w:highlight w:val="none"/>
          <w:lang w:eastAsia="zh-CN"/>
          <w14:textFill>
            <w14:solidFill>
              <w14:schemeClr w14:val="tx1"/>
            </w14:solidFill>
          </w14:textFill>
        </w:rPr>
        <w:t>，封闭外环沟，及时将泄漏的污水转移至备用</w:t>
      </w:r>
      <w:r>
        <w:rPr>
          <w:rFonts w:hint="eastAsia" w:ascii="Times New Roman" w:hAnsi="Times New Roman"/>
          <w:bCs/>
          <w:color w:val="000000" w:themeColor="text1"/>
          <w:kern w:val="2"/>
          <w:highlight w:val="none"/>
          <w:lang w:eastAsia="zh-CN"/>
          <w14:textFill>
            <w14:solidFill>
              <w14:schemeClr w14:val="tx1"/>
            </w14:solidFill>
          </w14:textFill>
        </w:rPr>
        <w:t>酸液缓冲罐</w:t>
      </w:r>
      <w:r>
        <w:rPr>
          <w:rFonts w:ascii="Times New Roman" w:hAnsi="Times New Roman"/>
          <w:bCs/>
          <w:color w:val="000000" w:themeColor="text1"/>
          <w:kern w:val="2"/>
          <w:highlight w:val="none"/>
          <w:lang w:eastAsia="zh-CN"/>
          <w14:textFill>
            <w14:solidFill>
              <w14:schemeClr w14:val="tx1"/>
            </w14:solidFill>
          </w14:textFill>
        </w:rPr>
        <w:t>或罐车转运处理，同时对事故进行处理恢复，降低污染范围和影响。</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根据《环境影响评价技术导则 地下水环境》（HJ610-2016）中分区防控措施和《石油化工工程防渗技术规范》（GB/T 50934）中的有关要求，本项目</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和</w:t>
      </w:r>
      <w:r>
        <w:rPr>
          <w:rFonts w:cs="Times New Roman"/>
          <w:color w:val="000000" w:themeColor="text1"/>
          <w:highlight w:val="none"/>
          <w14:textFill>
            <w14:solidFill>
              <w14:schemeClr w14:val="tx1"/>
            </w14:solidFill>
          </w14:textFill>
        </w:rPr>
        <w:t>生产流程区</w:t>
      </w:r>
      <w:r>
        <w:rPr>
          <w:rFonts w:cs="Times New Roman"/>
          <w:bCs/>
          <w:color w:val="000000" w:themeColor="text1"/>
          <w:highlight w:val="none"/>
          <w14:textFill>
            <w14:solidFill>
              <w14:schemeClr w14:val="tx1"/>
            </w14:solidFill>
          </w14:textFill>
        </w:rPr>
        <w:t>置于地面上，</w:t>
      </w:r>
      <w:r>
        <w:rPr>
          <w:rFonts w:hint="eastAsia" w:cs="Times New Roman"/>
          <w:bCs/>
          <w:color w:val="000000" w:themeColor="text1"/>
          <w:highlight w:val="none"/>
          <w14:textFill>
            <w14:solidFill>
              <w14:schemeClr w14:val="tx1"/>
            </w14:solidFill>
          </w14:textFill>
        </w:rPr>
        <w:t>采出水管线有完善的监控截断装置，污水泄漏</w:t>
      </w:r>
      <w:r>
        <w:rPr>
          <w:rFonts w:cs="Times New Roman"/>
          <w:bCs/>
          <w:color w:val="000000" w:themeColor="text1"/>
          <w:highlight w:val="none"/>
          <w14:textFill>
            <w14:solidFill>
              <w14:schemeClr w14:val="tx1"/>
            </w14:solidFill>
          </w14:textFill>
        </w:rPr>
        <w:t>后可以及时发现处理</w:t>
      </w:r>
      <w:r>
        <w:rPr>
          <w:rFonts w:hint="eastAsia" w:cs="Times New Roman"/>
          <w:bCs/>
          <w:color w:val="000000" w:themeColor="text1"/>
          <w:highlight w:val="none"/>
          <w14:textFill>
            <w14:solidFill>
              <w14:schemeClr w14:val="tx1"/>
            </w14:solidFill>
          </w14:textFill>
        </w:rPr>
        <w:t>，污染控制难易程度为易</w:t>
      </w:r>
      <w:r>
        <w:rPr>
          <w:rFonts w:cs="Times New Roman"/>
          <w:bCs/>
          <w:color w:val="000000" w:themeColor="text1"/>
          <w:highlight w:val="none"/>
          <w14:textFill>
            <w14:solidFill>
              <w14:schemeClr w14:val="tx1"/>
            </w14:solidFill>
          </w14:textFill>
        </w:rPr>
        <w:t>，</w:t>
      </w:r>
      <w:r>
        <w:rPr>
          <w:rFonts w:hint="eastAsia" w:cs="Times New Roman"/>
          <w:bCs/>
          <w:color w:val="000000" w:themeColor="text1"/>
          <w:highlight w:val="none"/>
          <w14:textFill>
            <w14:solidFill>
              <w14:schemeClr w14:val="tx1"/>
            </w14:solidFill>
          </w14:textFill>
        </w:rPr>
        <w:t>场地天然包气带防污性能为中，采出水等含持久性污染物，</w:t>
      </w:r>
      <w:r>
        <w:rPr>
          <w:rFonts w:cs="Times New Roman"/>
          <w:bCs/>
          <w:color w:val="000000" w:themeColor="text1"/>
          <w:highlight w:val="none"/>
          <w14:textFill>
            <w14:solidFill>
              <w14:schemeClr w14:val="tx1"/>
            </w14:solidFill>
          </w14:textFill>
        </w:rPr>
        <w:t>因此</w:t>
      </w:r>
      <w:r>
        <w:rPr>
          <w:rFonts w:hint="eastAsia" w:cs="Times New Roman"/>
          <w:bCs/>
          <w:color w:val="000000" w:themeColor="text1"/>
          <w:highlight w:val="none"/>
          <w:lang w:eastAsia="zh-CN"/>
          <w14:textFill>
            <w14:solidFill>
              <w14:schemeClr w14:val="tx1"/>
            </w14:solidFill>
          </w14:textFill>
        </w:rPr>
        <w:t>酸液缓冲罐</w:t>
      </w:r>
      <w:r>
        <w:rPr>
          <w:rFonts w:hint="eastAsia" w:cs="Times New Roman"/>
          <w:bCs/>
          <w:color w:val="000000" w:themeColor="text1"/>
          <w:highlight w:val="none"/>
          <w14:textFill>
            <w14:solidFill>
              <w14:schemeClr w14:val="tx1"/>
            </w14:solidFill>
          </w14:textFill>
        </w:rPr>
        <w:t>、</w:t>
      </w:r>
      <w:r>
        <w:rPr>
          <w:rFonts w:cs="Times New Roman"/>
          <w:bCs/>
          <w:color w:val="000000" w:themeColor="text1"/>
          <w:highlight w:val="none"/>
          <w14:textFill>
            <w14:solidFill>
              <w14:schemeClr w14:val="tx1"/>
            </w14:solidFill>
          </w14:textFill>
        </w:rPr>
        <w:t>生产流程区属于一般防渗区，</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和生产流程区建设选在钻井井场进行了重点防渗或一般防渗的区域进行建设，若</w:t>
      </w:r>
      <w:r>
        <w:rPr>
          <w:rFonts w:hint="eastAsia" w:cs="Times New Roman"/>
          <w:bCs/>
          <w:color w:val="000000" w:themeColor="text1"/>
          <w:highlight w:val="none"/>
          <w14:textFill>
            <w14:solidFill>
              <w14:schemeClr w14:val="tx1"/>
            </w14:solidFill>
          </w14:textFill>
        </w:rPr>
        <w:t>上述</w:t>
      </w:r>
      <w:r>
        <w:rPr>
          <w:rFonts w:cs="Times New Roman"/>
          <w:bCs/>
          <w:color w:val="000000" w:themeColor="text1"/>
          <w:highlight w:val="none"/>
          <w14:textFill>
            <w14:solidFill>
              <w14:schemeClr w14:val="tx1"/>
            </w14:solidFill>
          </w14:textFill>
        </w:rPr>
        <w:t>防渗区无法满足建设时，应至少做一般防渗，并在</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罐区修建围堰，围堰内容积要足够储存</w:t>
      </w:r>
      <w:r>
        <w:rPr>
          <w:rFonts w:hint="eastAsia" w:cs="Times New Roman"/>
          <w:bCs/>
          <w:color w:val="000000" w:themeColor="text1"/>
          <w:highlight w:val="none"/>
          <w:lang w:eastAsia="zh-CN"/>
          <w14:textFill>
            <w14:solidFill>
              <w14:schemeClr w14:val="tx1"/>
            </w14:solidFill>
          </w14:textFill>
        </w:rPr>
        <w:t>酸液缓冲罐</w:t>
      </w:r>
      <w:r>
        <w:rPr>
          <w:rFonts w:cs="Times New Roman"/>
          <w:bCs/>
          <w:color w:val="000000" w:themeColor="text1"/>
          <w:highlight w:val="none"/>
          <w14:textFill>
            <w14:solidFill>
              <w14:schemeClr w14:val="tx1"/>
            </w14:solidFill>
          </w14:textFill>
        </w:rPr>
        <w:t>泄露的污水</w:t>
      </w:r>
      <w:r>
        <w:rPr>
          <w:rFonts w:hint="eastAsia" w:cs="Times New Roman"/>
          <w:bCs/>
          <w:color w:val="000000" w:themeColor="text1"/>
          <w:highlight w:val="none"/>
          <w14:textFill>
            <w14:solidFill>
              <w14:schemeClr w14:val="tx1"/>
            </w14:solidFill>
          </w14:textFill>
        </w:rPr>
        <w:t>，采出水管线沿线基础进行一般防渗，</w:t>
      </w:r>
      <w:r>
        <w:rPr>
          <w:rFonts w:cs="Times New Roman"/>
          <w:bCs/>
          <w:color w:val="000000" w:themeColor="text1"/>
          <w:highlight w:val="none"/>
          <w14:textFill>
            <w14:solidFill>
              <w14:schemeClr w14:val="tx1"/>
            </w14:solidFill>
          </w14:textFill>
        </w:rPr>
        <w:t>因此</w:t>
      </w:r>
      <w:r>
        <w:rPr>
          <w:rFonts w:hint="eastAsia" w:cs="Times New Roman"/>
          <w:bCs/>
          <w:color w:val="000000" w:themeColor="text1"/>
          <w:highlight w:val="none"/>
          <w:lang w:eastAsia="zh-CN"/>
          <w14:textFill>
            <w14:solidFill>
              <w14:schemeClr w14:val="tx1"/>
            </w14:solidFill>
          </w14:textFill>
        </w:rPr>
        <w:t>酸液缓冲罐</w:t>
      </w:r>
      <w:r>
        <w:rPr>
          <w:rFonts w:hint="eastAsia" w:cs="Times New Roman"/>
          <w:bCs/>
          <w:color w:val="000000" w:themeColor="text1"/>
          <w:highlight w:val="none"/>
          <w14:textFill>
            <w14:solidFill>
              <w14:schemeClr w14:val="tx1"/>
            </w14:solidFill>
          </w14:textFill>
        </w:rPr>
        <w:t>和采出水管线</w:t>
      </w:r>
      <w:r>
        <w:rPr>
          <w:rFonts w:cs="Times New Roman"/>
          <w:bCs/>
          <w:color w:val="000000" w:themeColor="text1"/>
          <w:highlight w:val="none"/>
          <w14:textFill>
            <w14:solidFill>
              <w14:schemeClr w14:val="tx1"/>
            </w14:solidFill>
          </w14:textFill>
        </w:rPr>
        <w:t>的建设时可行有效的。</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试采井站地下水土壤污染防治措施为中石化在川东北地区常用的处置措施，已在建设单位同类型天然气试采井站工程项目中广泛应用，采气试采未发生过地下水和土壤污染事故，因此，地下水和土壤防治处理措施合理、可行。</w:t>
      </w:r>
    </w:p>
    <w:p>
      <w:pPr>
        <w:pStyle w:val="4"/>
        <w:spacing w:before="0" w:beforeLines="0"/>
        <w:ind w:firstLine="480"/>
        <w:rPr>
          <w:b/>
          <w:color w:val="000000" w:themeColor="text1"/>
          <w:highlight w:val="none"/>
          <w:lang w:eastAsia="zh-CN"/>
          <w14:textFill>
            <w14:solidFill>
              <w14:schemeClr w14:val="tx1"/>
            </w14:solidFill>
          </w14:textFill>
        </w:rPr>
      </w:pPr>
      <w:bookmarkStart w:id="489" w:name="6.2.3噪声防治措施"/>
      <w:bookmarkEnd w:id="489"/>
      <w:bookmarkStart w:id="490" w:name="_Toc120173222"/>
      <w:r>
        <w:rPr>
          <w:color w:val="000000" w:themeColor="text1"/>
          <w:highlight w:val="none"/>
          <w:lang w:eastAsia="zh-CN"/>
          <w14:textFill>
            <w14:solidFill>
              <w14:schemeClr w14:val="tx1"/>
            </w14:solidFill>
          </w14:textFill>
        </w:rPr>
        <w:t>噪声防治措施</w:t>
      </w:r>
      <w:bookmarkEnd w:id="490"/>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根据泵的噪声频谱特性，采取的噪声控制措施为隔声、减震等，具体措施为：</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（1）平面布置时进行合理布局，控制气流速度，减少站场工艺管线的弯头、三通等管件，降低</w:t>
      </w:r>
      <w:r>
        <w:rPr>
          <w:rFonts w:hint="eastAsia" w:cs="Times New Roman"/>
          <w:bCs/>
          <w:color w:val="000000" w:themeColor="text1"/>
          <w:szCs w:val="24"/>
          <w:highlight w:val="none"/>
          <w14:textFill>
            <w14:solidFill>
              <w14:schemeClr w14:val="tx1"/>
            </w14:solidFill>
          </w14:textFill>
        </w:rPr>
        <w:t>试采</w:t>
      </w:r>
      <w:r>
        <w:rPr>
          <w:rFonts w:cs="Times New Roman"/>
          <w:bCs/>
          <w:color w:val="000000" w:themeColor="text1"/>
          <w:szCs w:val="24"/>
          <w:highlight w:val="none"/>
          <w14:textFill>
            <w14:solidFill>
              <w14:schemeClr w14:val="tx1"/>
            </w14:solidFill>
          </w14:textFill>
        </w:rPr>
        <w:t>站内噪声。</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（2）选用高效低噪声的水套加热炉、分离器和调压设备。</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（3）种植绿化隔声</w:t>
      </w:r>
      <w:r>
        <w:rPr>
          <w:rFonts w:hint="eastAsia" w:cs="Times New Roman"/>
          <w:bCs/>
          <w:color w:val="000000" w:themeColor="text1"/>
          <w:szCs w:val="24"/>
          <w:highlight w:val="none"/>
          <w14:textFill>
            <w14:solidFill>
              <w14:schemeClr w14:val="tx1"/>
            </w14:solidFill>
          </w14:textFill>
        </w:rPr>
        <w:t>；</w:t>
      </w:r>
    </w:p>
    <w:p>
      <w:pPr>
        <w:tabs>
          <w:tab w:val="left" w:pos="0"/>
        </w:tabs>
        <w:ind w:firstLine="480"/>
        <w:rPr>
          <w:rFonts w:cs="Times New Roman"/>
          <w:bCs/>
          <w:color w:val="000000" w:themeColor="text1"/>
          <w:szCs w:val="24"/>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（4）针对</w:t>
      </w:r>
      <w:r>
        <w:rPr>
          <w:rFonts w:cs="Times New Roman"/>
          <w:bCs/>
          <w:color w:val="000000" w:themeColor="text1"/>
          <w:szCs w:val="24"/>
          <w:highlight w:val="none"/>
          <w14:textFill>
            <w14:solidFill>
              <w14:schemeClr w14:val="tx1"/>
            </w14:solidFill>
          </w14:textFill>
        </w:rPr>
        <w:t>放空</w:t>
      </w:r>
      <w:r>
        <w:rPr>
          <w:rFonts w:hint="eastAsia" w:cs="Times New Roman"/>
          <w:bCs/>
          <w:color w:val="000000" w:themeColor="text1"/>
          <w:szCs w:val="24"/>
          <w:highlight w:val="none"/>
          <w14:textFill>
            <w14:solidFill>
              <w14:schemeClr w14:val="tx1"/>
            </w14:solidFill>
          </w14:textFill>
        </w:rPr>
        <w:t>作业</w:t>
      </w:r>
      <w:r>
        <w:rPr>
          <w:rFonts w:cs="Times New Roman"/>
          <w:bCs/>
          <w:color w:val="000000" w:themeColor="text1"/>
          <w:szCs w:val="24"/>
          <w:highlight w:val="none"/>
          <w14:textFill>
            <w14:solidFill>
              <w14:schemeClr w14:val="tx1"/>
            </w14:solidFill>
          </w14:textFill>
        </w:rPr>
        <w:t>时</w:t>
      </w:r>
      <w:r>
        <w:rPr>
          <w:rFonts w:hint="eastAsia" w:cs="Times New Roman"/>
          <w:bCs/>
          <w:color w:val="000000" w:themeColor="text1"/>
          <w:szCs w:val="24"/>
          <w:highlight w:val="none"/>
          <w14:textFill>
            <w14:solidFill>
              <w14:schemeClr w14:val="tx1"/>
            </w14:solidFill>
          </w14:textFill>
        </w:rPr>
        <w:t>，采取</w:t>
      </w:r>
      <w:r>
        <w:rPr>
          <w:rFonts w:cs="Times New Roman"/>
          <w:bCs/>
          <w:color w:val="000000" w:themeColor="text1"/>
          <w:szCs w:val="24"/>
          <w:highlight w:val="none"/>
          <w14:textFill>
            <w14:solidFill>
              <w14:schemeClr w14:val="tx1"/>
            </w14:solidFill>
          </w14:textFill>
        </w:rPr>
        <w:t>及时疏散附近居民，对</w:t>
      </w:r>
      <w:r>
        <w:rPr>
          <w:rFonts w:hint="eastAsia" w:cs="Times New Roman"/>
          <w:bCs/>
          <w:color w:val="000000" w:themeColor="text1"/>
          <w:szCs w:val="24"/>
          <w:highlight w:val="none"/>
          <w14:textFill>
            <w14:solidFill>
              <w14:schemeClr w14:val="tx1"/>
            </w14:solidFill>
          </w14:textFill>
        </w:rPr>
        <w:t>周边居民的声</w:t>
      </w:r>
      <w:r>
        <w:rPr>
          <w:rFonts w:cs="Times New Roman"/>
          <w:bCs/>
          <w:color w:val="000000" w:themeColor="text1"/>
          <w:szCs w:val="24"/>
          <w:highlight w:val="none"/>
          <w14:textFill>
            <w14:solidFill>
              <w14:schemeClr w14:val="tx1"/>
            </w14:solidFill>
          </w14:textFill>
        </w:rPr>
        <w:t>环境影响较小。</w:t>
      </w:r>
    </w:p>
    <w:p>
      <w:pPr>
        <w:tabs>
          <w:tab w:val="left" w:pos="0"/>
        </w:tabs>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试采期采取以上措施为中石化在川东北地区常用的处置措施，类比已在建设单位同类型天然气试采井站工程，项目试采期不会对声环境和敏感点（农户）造成噪声污染影响，因此，试采期噪声污染防治措施合理、可行。</w:t>
      </w:r>
    </w:p>
    <w:p>
      <w:pPr>
        <w:pStyle w:val="4"/>
        <w:spacing w:before="0" w:beforeLines="0"/>
        <w:ind w:firstLine="480"/>
        <w:rPr>
          <w:b/>
          <w:color w:val="000000" w:themeColor="text1"/>
          <w:highlight w:val="none"/>
          <w:lang w:eastAsia="zh-CN"/>
          <w14:textFill>
            <w14:solidFill>
              <w14:schemeClr w14:val="tx1"/>
            </w14:solidFill>
          </w14:textFill>
        </w:rPr>
      </w:pPr>
      <w:bookmarkStart w:id="491" w:name="6.2.4固体废弃物处置措施"/>
      <w:bookmarkEnd w:id="491"/>
      <w:bookmarkStart w:id="492" w:name="_Toc120173223"/>
      <w:r>
        <w:rPr>
          <w:color w:val="000000" w:themeColor="text1"/>
          <w:highlight w:val="none"/>
          <w:lang w:eastAsia="zh-CN"/>
          <w14:textFill>
            <w14:solidFill>
              <w14:schemeClr w14:val="tx1"/>
            </w14:solidFill>
          </w14:textFill>
        </w:rPr>
        <w:t>固体废弃物处置措施</w:t>
      </w:r>
      <w:bookmarkEnd w:id="492"/>
    </w:p>
    <w:p>
      <w:pPr>
        <w:ind w:firstLine="480"/>
        <w:rPr>
          <w:rFonts w:cs="Times New Roman"/>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本项目试采期无生活垃圾</w:t>
      </w:r>
      <w:r>
        <w:rPr>
          <w:rFonts w:hint="eastAsia"/>
          <w:bCs/>
          <w:color w:val="000000" w:themeColor="text1"/>
          <w:highlight w:val="none"/>
          <w14:textFill>
            <w14:solidFill>
              <w14:schemeClr w14:val="tx1"/>
            </w14:solidFill>
          </w14:textFill>
        </w:rPr>
        <w:t>、清管废渣</w:t>
      </w:r>
      <w:r>
        <w:rPr>
          <w:bCs/>
          <w:color w:val="000000" w:themeColor="text1"/>
          <w:highlight w:val="none"/>
          <w14:textFill>
            <w14:solidFill>
              <w14:schemeClr w14:val="tx1"/>
            </w14:solidFill>
          </w14:textFill>
        </w:rPr>
        <w:t>产生，</w:t>
      </w:r>
      <w:r>
        <w:rPr>
          <w:rFonts w:hint="eastAsia"/>
          <w:bCs/>
          <w:color w:val="000000" w:themeColor="text1"/>
          <w:highlight w:val="none"/>
          <w14:textFill>
            <w14:solidFill>
              <w14:schemeClr w14:val="tx1"/>
            </w14:solidFill>
          </w14:textFill>
        </w:rPr>
        <w:t>除砂器撬产生的砂土杂质</w:t>
      </w:r>
      <w:r>
        <w:rPr>
          <w:color w:val="000000" w:themeColor="text1"/>
          <w:szCs w:val="20"/>
          <w:highlight w:val="none"/>
          <w14:textFill>
            <w14:solidFill>
              <w14:schemeClr w14:val="tx1"/>
            </w14:solidFill>
          </w14:textFill>
        </w:rPr>
        <w:t>定期就近交给依法取得生态环境部门关于利用和处置相关工业固体废物项目环评批复、具有处理处置相应固体废物能力并配套建设有废气、废水、固废等污染物治理设施的单位进行资源化利用</w:t>
      </w:r>
      <w:r>
        <w:rPr>
          <w:rFonts w:hint="eastAsia"/>
          <w:color w:val="000000" w:themeColor="text1"/>
          <w:szCs w:val="20"/>
          <w:highlight w:val="none"/>
          <w14:textFill>
            <w14:solidFill>
              <w14:schemeClr w14:val="tx1"/>
            </w14:solidFill>
          </w14:textFill>
        </w:rPr>
        <w:t>；三甘醇脱水单元产生的</w:t>
      </w:r>
      <w:r>
        <w:rPr>
          <w:rFonts w:hint="eastAsia"/>
          <w:color w:val="000000" w:themeColor="text1"/>
          <w:highlight w:val="none"/>
          <w14:textFill>
            <w14:solidFill>
              <w14:schemeClr w14:val="tx1"/>
            </w14:solidFill>
          </w14:textFill>
        </w:rPr>
        <w:t>废活性炭暂存于危险废物暂存间，定期交由资质单位处置</w:t>
      </w:r>
      <w:r>
        <w:rPr>
          <w:color w:val="000000" w:themeColor="text1"/>
          <w:szCs w:val="24"/>
          <w:highlight w:val="none"/>
          <w14:textFill>
            <w14:solidFill>
              <w14:schemeClr w14:val="tx1"/>
            </w14:solidFill>
          </w14:textFill>
        </w:rPr>
        <w:t>，处置措施合理、可行</w:t>
      </w:r>
      <w:r>
        <w:rPr>
          <w:bCs/>
          <w:color w:val="000000" w:themeColor="text1"/>
          <w:highlight w:val="none"/>
          <w14:textFill>
            <w14:solidFill>
              <w14:schemeClr w14:val="tx1"/>
            </w14:solidFill>
          </w14:textFill>
        </w:rPr>
        <w:t>。</w:t>
      </w:r>
    </w:p>
    <w:p>
      <w:pPr>
        <w:pStyle w:val="4"/>
        <w:spacing w:before="0" w:beforeLines="0"/>
        <w:ind w:firstLine="480"/>
        <w:rPr>
          <w:b/>
          <w:color w:val="000000" w:themeColor="text1"/>
          <w:highlight w:val="none"/>
          <w:lang w:eastAsia="zh-CN"/>
          <w14:textFill>
            <w14:solidFill>
              <w14:schemeClr w14:val="tx1"/>
            </w14:solidFill>
          </w14:textFill>
        </w:rPr>
      </w:pPr>
      <w:bookmarkStart w:id="493" w:name="_Toc120173224"/>
      <w:r>
        <w:rPr>
          <w:color w:val="000000" w:themeColor="text1"/>
          <w:highlight w:val="none"/>
          <w:lang w:eastAsia="zh-CN"/>
          <w14:textFill>
            <w14:solidFill>
              <w14:schemeClr w14:val="tx1"/>
            </w14:solidFill>
          </w14:textFill>
        </w:rPr>
        <w:t>陆生生物及其生态系统保护措施</w:t>
      </w:r>
      <w:bookmarkEnd w:id="493"/>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试采期不涉及新增占地，无新增固废和新增生活污水产生，因此试采期需管护好项目区植被恢复成效，防止新的水土流失情况发生。</w:t>
      </w:r>
    </w:p>
    <w:p>
      <w:pPr>
        <w:pStyle w:val="3"/>
        <w:spacing w:before="0" w:beforeLines="0"/>
        <w:rPr>
          <w:color w:val="000000" w:themeColor="text1"/>
          <w:highlight w:val="none"/>
          <w:lang w:eastAsia="zh-CN"/>
          <w14:textFill>
            <w14:solidFill>
              <w14:schemeClr w14:val="tx1"/>
            </w14:solidFill>
          </w14:textFill>
        </w:rPr>
      </w:pPr>
      <w:bookmarkStart w:id="494" w:name="_Toc14763"/>
      <w:r>
        <w:rPr>
          <w:rFonts w:hint="eastAsia"/>
          <w:color w:val="000000" w:themeColor="text1"/>
          <w:highlight w:val="none"/>
          <w:lang w:eastAsia="zh-CN"/>
          <w14:textFill>
            <w14:solidFill>
              <w14:schemeClr w14:val="tx1"/>
            </w14:solidFill>
          </w14:textFill>
        </w:rPr>
        <w:t>项目完工及试采结束</w:t>
      </w:r>
      <w:r>
        <w:rPr>
          <w:color w:val="000000" w:themeColor="text1"/>
          <w:highlight w:val="none"/>
          <w:lang w:eastAsia="zh-CN"/>
          <w14:textFill>
            <w14:solidFill>
              <w14:schemeClr w14:val="tx1"/>
            </w14:solidFill>
          </w14:textFill>
        </w:rPr>
        <w:t>后环境保护措施及可行性分析</w:t>
      </w:r>
      <w:bookmarkEnd w:id="494"/>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（1）对拆除地面设施过程中产生的垃圾及时外运，送至指定的垃圾填埋场处理。</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（2）保留各类绿化、生态保护设施，以保持评价区生态环境功能不变。</w:t>
      </w:r>
    </w:p>
    <w:p>
      <w:pPr>
        <w:ind w:firstLine="480"/>
        <w:rPr>
          <w:bCs/>
          <w:color w:val="000000" w:themeColor="text1"/>
          <w:szCs w:val="24"/>
          <w:highlight w:val="none"/>
          <w14:textFill>
            <w14:solidFill>
              <w14:schemeClr w14:val="tx1"/>
            </w14:solidFill>
          </w14:textFill>
        </w:rPr>
      </w:pP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3</w:t>
      </w:r>
      <w:r>
        <w:rPr>
          <w:bCs/>
          <w:color w:val="000000" w:themeColor="text1"/>
          <w:szCs w:val="24"/>
          <w:highlight w:val="none"/>
          <w14:textFill>
            <w14:solidFill>
              <w14:schemeClr w14:val="tx1"/>
            </w14:solidFill>
          </w14:textFill>
        </w:rPr>
        <w:t>）加强与拆除后原有占地复耕或生态恢复责任人员的沟通，若发现生态恢复未达到预期效果，则及时进行补种、施肥等措施，确保生态恢复达到目标要求，同时采取措施防止新的水土流失情况发生。</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评价认为，在采取了上述污染防治措施后，可减缓</w:t>
      </w:r>
      <w:r>
        <w:rPr>
          <w:rFonts w:hint="eastAsia" w:cs="Times New Roman"/>
          <w:color w:val="000000" w:themeColor="text1"/>
          <w:highlight w:val="none"/>
          <w14:textFill>
            <w14:solidFill>
              <w14:schemeClr w14:val="tx1"/>
            </w14:solidFill>
          </w14:textFill>
        </w:rPr>
        <w:t>项目完工及试采结束</w:t>
      </w:r>
      <w:r>
        <w:rPr>
          <w:rFonts w:cs="Times New Roman"/>
          <w:color w:val="000000" w:themeColor="text1"/>
          <w:highlight w:val="none"/>
          <w14:textFill>
            <w14:solidFill>
              <w14:schemeClr w14:val="tx1"/>
            </w14:solidFill>
          </w14:textFill>
        </w:rPr>
        <w:t>后</w:t>
      </w:r>
      <w:r>
        <w:rPr>
          <w:rFonts w:cs="Times New Roman"/>
          <w:bCs/>
          <w:color w:val="000000" w:themeColor="text1"/>
          <w:highlight w:val="none"/>
          <w14:textFill>
            <w14:solidFill>
              <w14:schemeClr w14:val="tx1"/>
            </w14:solidFill>
          </w14:textFill>
        </w:rPr>
        <w:t>对环境的影响，措施可行。</w:t>
      </w:r>
    </w:p>
    <w:p>
      <w:pPr>
        <w:pStyle w:val="2"/>
        <w:spacing w:before="480" w:beforeLines="200" w:after="0" w:line="480" w:lineRule="auto"/>
        <w:ind w:firstLine="560"/>
        <w:rPr>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bookmarkStart w:id="495" w:name="第七章_环境影响经济损益分析"/>
      <w:bookmarkEnd w:id="495"/>
      <w:bookmarkStart w:id="496" w:name="_bookmark34"/>
      <w:bookmarkEnd w:id="496"/>
    </w:p>
    <w:p>
      <w:pPr>
        <w:pStyle w:val="2"/>
        <w:rPr>
          <w:color w:val="000000" w:themeColor="text1"/>
          <w:highlight w:val="none"/>
          <w:lang w:eastAsia="zh-CN"/>
          <w14:textFill>
            <w14:solidFill>
              <w14:schemeClr w14:val="tx1"/>
            </w14:solidFill>
          </w14:textFill>
        </w:rPr>
      </w:pPr>
      <w:bookmarkStart w:id="497" w:name="_Toc13844"/>
      <w:r>
        <w:rPr>
          <w:color w:val="000000" w:themeColor="text1"/>
          <w:highlight w:val="none"/>
          <w:lang w:eastAsia="zh-CN"/>
          <w14:textFill>
            <w14:solidFill>
              <w14:schemeClr w14:val="tx1"/>
            </w14:solidFill>
          </w14:textFill>
        </w:rPr>
        <w:t>环境影响经济损益分析</w:t>
      </w:r>
      <w:bookmarkEnd w:id="497"/>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环境经济损益分析主要任务是衡量建设项目要投入的环保投资所能收到的环境保护效果，本评价环境经济损益分析主要研究工程环境经济损益情况，除需计算用于控制污染所需投资和费用外，还同时核算可能收到的环境与经济效益。</w:t>
      </w:r>
    </w:p>
    <w:p>
      <w:pPr>
        <w:pStyle w:val="3"/>
        <w:spacing w:before="120"/>
        <w:rPr>
          <w:color w:val="000000" w:themeColor="text1"/>
          <w:highlight w:val="none"/>
          <w:lang w:eastAsia="zh-CN"/>
          <w14:textFill>
            <w14:solidFill>
              <w14:schemeClr w14:val="tx1"/>
            </w14:solidFill>
          </w14:textFill>
        </w:rPr>
      </w:pPr>
      <w:bookmarkStart w:id="498" w:name="_bookmark35"/>
      <w:bookmarkEnd w:id="498"/>
      <w:bookmarkStart w:id="499" w:name="7.1环保投资估算"/>
      <w:bookmarkEnd w:id="499"/>
      <w:bookmarkStart w:id="500" w:name="_Toc11322"/>
      <w:r>
        <w:rPr>
          <w:color w:val="000000" w:themeColor="text1"/>
          <w:highlight w:val="none"/>
          <w:lang w:eastAsia="zh-CN"/>
          <w14:textFill>
            <w14:solidFill>
              <w14:schemeClr w14:val="tx1"/>
            </w14:solidFill>
          </w14:textFill>
        </w:rPr>
        <w:t>环保投资估算</w:t>
      </w:r>
      <w:bookmarkEnd w:id="500"/>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本项目总投资</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万元</w:t>
      </w:r>
      <w:r>
        <w:rPr>
          <w:rFonts w:cs="Times New Roman"/>
          <w:bCs/>
          <w:color w:val="000000" w:themeColor="text1"/>
          <w:szCs w:val="24"/>
          <w:highlight w:val="none"/>
          <w14:textFill>
            <w14:solidFill>
              <w14:schemeClr w14:val="tx1"/>
            </w14:solidFill>
          </w14:textFill>
        </w:rPr>
        <w:t>，</w:t>
      </w:r>
      <w:bookmarkStart w:id="501" w:name="_Hlk156337410"/>
      <w:r>
        <w:rPr>
          <w:rFonts w:cs="Times New Roman"/>
          <w:bCs/>
          <w:color w:val="000000" w:themeColor="text1"/>
          <w:szCs w:val="24"/>
          <w:highlight w:val="none"/>
          <w14:textFill>
            <w14:solidFill>
              <w14:schemeClr w14:val="tx1"/>
            </w14:solidFill>
          </w14:textFill>
        </w:rPr>
        <w:t>环保投资</w:t>
      </w:r>
      <w:r>
        <w:rPr>
          <w:rFonts w:hint="eastAsia" w:cs="Times New Roman"/>
          <w:bCs/>
          <w:color w:val="000000" w:themeColor="text1"/>
          <w:szCs w:val="24"/>
          <w:highlight w:val="none"/>
          <w:lang w:eastAsia="zh-CN"/>
          <w14:textFill>
            <w14:solidFill>
              <w14:schemeClr w14:val="tx1"/>
            </w14:solidFill>
          </w14:textFill>
        </w:rPr>
        <w:t>***</w:t>
      </w:r>
      <w:r>
        <w:rPr>
          <w:rFonts w:hint="eastAsia" w:cs="Times New Roman"/>
          <w:bCs/>
          <w:color w:val="000000" w:themeColor="text1"/>
          <w:szCs w:val="24"/>
          <w:highlight w:val="none"/>
          <w14:textFill>
            <w14:solidFill>
              <w14:schemeClr w14:val="tx1"/>
            </w14:solidFill>
          </w14:textFill>
        </w:rPr>
        <w:t>万元</w:t>
      </w:r>
      <w:r>
        <w:rPr>
          <w:rFonts w:cs="Times New Roman"/>
          <w:bCs/>
          <w:color w:val="000000" w:themeColor="text1"/>
          <w:szCs w:val="24"/>
          <w:highlight w:val="none"/>
          <w14:textFill>
            <w14:solidFill>
              <w14:schemeClr w14:val="tx1"/>
            </w14:solidFill>
          </w14:textFill>
        </w:rPr>
        <w:t>，占总投资的</w:t>
      </w:r>
      <w:bookmarkEnd w:id="501"/>
      <w:r>
        <w:rPr>
          <w:rFonts w:hint="eastAsia" w:cs="Times New Roman"/>
          <w:bCs/>
          <w:color w:val="000000" w:themeColor="text1"/>
          <w:szCs w:val="24"/>
          <w:highlight w:val="none"/>
          <w14:textFill>
            <w14:solidFill>
              <w14:schemeClr w14:val="tx1"/>
            </w14:solidFill>
          </w14:textFill>
        </w:rPr>
        <w:t>5.76%</w:t>
      </w:r>
      <w:r>
        <w:rPr>
          <w:rFonts w:cs="Times New Roman"/>
          <w:bCs/>
          <w:color w:val="000000" w:themeColor="text1"/>
          <w:szCs w:val="24"/>
          <w:highlight w:val="none"/>
          <w14:textFill>
            <w14:solidFill>
              <w14:schemeClr w14:val="tx1"/>
            </w14:solidFill>
          </w14:textFill>
        </w:rPr>
        <w:t>。环保投资主要用于废水治理、固体废物处理、噪声污染防治，以及施工迹地生态恢复等，符合该项目的实际特点。具体情况见</w:t>
      </w:r>
      <w:r>
        <w:rPr>
          <w:rFonts w:cs="Times New Roman"/>
          <w:bCs/>
          <w:color w:val="000000" w:themeColor="text1"/>
          <w:szCs w:val="24"/>
          <w:highlight w:val="none"/>
          <w14:textFill>
            <w14:solidFill>
              <w14:schemeClr w14:val="tx1"/>
            </w14:solidFill>
          </w14:textFill>
        </w:rPr>
        <w:fldChar w:fldCharType="begin"/>
      </w:r>
      <w:r>
        <w:rPr>
          <w:rFonts w:cs="Times New Roman"/>
          <w:bCs/>
          <w:color w:val="000000" w:themeColor="text1"/>
          <w:szCs w:val="24"/>
          <w:highlight w:val="none"/>
          <w14:textFill>
            <w14:solidFill>
              <w14:schemeClr w14:val="tx1"/>
            </w14:solidFill>
          </w14:textFill>
        </w:rPr>
        <w:instrText xml:space="preserve"> REF _Ref142859751 \h  \* MERGEFORMAT </w:instrText>
      </w:r>
      <w:r>
        <w:rPr>
          <w:rFonts w:cs="Times New Roman"/>
          <w:bCs/>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8.1</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bCs/>
          <w:color w:val="000000" w:themeColor="text1"/>
          <w:szCs w:val="24"/>
          <w:highlight w:val="none"/>
          <w14:textFill>
            <w14:solidFill>
              <w14:schemeClr w14:val="tx1"/>
            </w14:solidFill>
          </w14:textFill>
        </w:rPr>
        <w:fldChar w:fldCharType="end"/>
      </w:r>
      <w:r>
        <w:rPr>
          <w:rFonts w:cs="Times New Roman"/>
          <w:bCs/>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502" w:name="_Ref142859751"/>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502"/>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本项目环保措施及投资估算一览表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80"/>
        <w:gridCol w:w="6245"/>
        <w:gridCol w:w="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项目</w:t>
            </w:r>
          </w:p>
        </w:tc>
        <w:tc>
          <w:tcPr>
            <w:tcW w:w="6245"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内容</w:t>
            </w:r>
          </w:p>
        </w:tc>
        <w:tc>
          <w:tcPr>
            <w:tcW w:w="99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废气治理</w:t>
            </w: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施工期：土石方覆盖材料，洒水降尘；放喷设施（套）、放喷池等</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7"/>
              <w:rPr>
                <w:color w:val="000000" w:themeColor="text1"/>
                <w:highlight w:val="none"/>
                <w14:textFill>
                  <w14:solidFill>
                    <w14:schemeClr w14:val="tx1"/>
                  </w14:solidFill>
                </w14:textFill>
              </w:rPr>
            </w:pP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w:t>
            </w:r>
            <w:r>
              <w:rPr>
                <w:rFonts w:hint="eastAsia"/>
                <w:color w:val="000000" w:themeColor="text1"/>
                <w:highlight w:val="none"/>
                <w14:textFill>
                  <w14:solidFill>
                    <w14:schemeClr w14:val="tx1"/>
                  </w14:solidFill>
                </w14:textFill>
              </w:rPr>
              <w:t>对依托的</w:t>
            </w:r>
            <w:r>
              <w:rPr>
                <w:color w:val="000000" w:themeColor="text1"/>
                <w:highlight w:val="none"/>
                <w14:textFill>
                  <w14:solidFill>
                    <w14:schemeClr w14:val="tx1"/>
                  </w14:solidFill>
                </w14:textFill>
              </w:rPr>
              <w:t>水套加热炉、放空火炬保养维护</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废水治理</w:t>
            </w: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施工期：新建环保厕所，钻前施工废水沉淀池，泥浆不落地系统，废水转运，</w:t>
            </w:r>
            <w:r>
              <w:rPr>
                <w:rFonts w:hint="eastAsia"/>
                <w:color w:val="000000" w:themeColor="text1"/>
                <w:highlight w:val="none"/>
                <w14:textFill>
                  <w14:solidFill>
                    <w14:schemeClr w14:val="tx1"/>
                  </w14:solidFill>
                </w14:textFill>
              </w:rPr>
              <w:t>放喷</w:t>
            </w:r>
            <w:r>
              <w:rPr>
                <w:color w:val="000000" w:themeColor="text1"/>
                <w:highlight w:val="none"/>
                <w14:textFill>
                  <w14:solidFill>
                    <w14:schemeClr w14:val="tx1"/>
                  </w14:solidFill>
                </w14:textFill>
              </w:rPr>
              <w:t>池</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7"/>
              <w:rPr>
                <w:color w:val="000000" w:themeColor="text1"/>
                <w:highlight w:val="none"/>
                <w14:textFill>
                  <w14:solidFill>
                    <w14:schemeClr w14:val="tx1"/>
                  </w14:solidFill>
                </w14:textFill>
              </w:rPr>
            </w:pP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试采期：依托已建的1个30m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火炬分液罐，火炬分液罐区防渗，</w:t>
            </w:r>
            <w:r>
              <w:rPr>
                <w:rFonts w:hint="eastAsia"/>
                <w:color w:val="000000" w:themeColor="text1"/>
                <w:highlight w:val="none"/>
                <w14:textFill>
                  <w14:solidFill>
                    <w14:schemeClr w14:val="tx1"/>
                  </w14:solidFill>
                </w14:textFill>
              </w:rPr>
              <w:t>对</w:t>
            </w:r>
            <w:r>
              <w:rPr>
                <w:color w:val="000000" w:themeColor="text1"/>
                <w:highlight w:val="none"/>
                <w14:textFill>
                  <w14:solidFill>
                    <w14:schemeClr w14:val="tx1"/>
                  </w14:solidFill>
                </w14:textFill>
              </w:rPr>
              <w:t>废水定期转运</w:t>
            </w:r>
          </w:p>
        </w:tc>
        <w:tc>
          <w:tcPr>
            <w:tcW w:w="997"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6</w:t>
            </w:r>
            <w:r>
              <w:rPr>
                <w:color w:val="000000" w:themeColor="text1"/>
                <w:highlight w:val="none"/>
                <w14:textFill>
                  <w14:solidFill>
                    <w14:schemeClr w14:val="tx1"/>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噪声治理</w:t>
            </w: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施工期：合理安排施工作业时间；选用低噪声设备；发电机、泥浆泵等设置隔声、吸声棚；为柴油机安装消声器和减震基础等</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7"/>
              <w:rPr>
                <w:color w:val="000000" w:themeColor="text1"/>
                <w:highlight w:val="none"/>
                <w14:textFill>
                  <w14:solidFill>
                    <w14:schemeClr w14:val="tx1"/>
                  </w14:solidFill>
                </w14:textFill>
              </w:rPr>
            </w:pP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试采期：合理布局，基础减振等</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固废治理</w:t>
            </w: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施工期：土石方回填；生活垃圾交市政环卫部门统一处理；施工废料由施工方回收利用或统一清运；泥浆不落地系统；钻井泥浆及钻井固废转运处置，废油桶收集及暂存</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7"/>
              <w:rPr>
                <w:color w:val="000000" w:themeColor="text1"/>
                <w:highlight w:val="none"/>
                <w14:textFill>
                  <w14:solidFill>
                    <w14:schemeClr w14:val="tx1"/>
                  </w14:solidFill>
                </w14:textFill>
              </w:rPr>
            </w:pP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试采期：生活垃圾交当地环卫部门处置，清管废渣清运集中</w:t>
            </w:r>
            <w:r>
              <w:rPr>
                <w:rFonts w:hint="eastAsia"/>
                <w:color w:val="000000" w:themeColor="text1"/>
                <w:highlight w:val="none"/>
                <w14:textFill>
                  <w14:solidFill>
                    <w14:schemeClr w14:val="tx1"/>
                  </w14:solidFill>
                </w14:textFill>
              </w:rPr>
              <w:t>处置</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地下水及土壤防治措施</w:t>
            </w: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施工期：清污分流，排水沟，弃土场覆盖围挡，分区分级防渗，污染监测</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试采期：清污分流，分区分级防渗，污染监测</w:t>
            </w:r>
          </w:p>
        </w:tc>
        <w:tc>
          <w:tcPr>
            <w:tcW w:w="997"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w:t>
            </w:r>
            <w:r>
              <w:rPr>
                <w:color w:val="000000" w:themeColor="text1"/>
                <w:highlight w:val="none"/>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生态恢复</w:t>
            </w: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青苗（林木）赔偿，临时占地施工迹地地表恢复等</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污染监控</w:t>
            </w: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施工期环境监测，正常时例行监测，污染发生时加密监测</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试采期环境监测，正常时例行监测，污染发生时加密监测</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风险防控措施</w:t>
            </w: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r>
              <w:rPr>
                <w:rFonts w:hint="eastAsia"/>
                <w:color w:val="000000" w:themeColor="text1"/>
                <w:highlight w:val="none"/>
                <w14:textFill>
                  <w14:solidFill>
                    <w14:schemeClr w14:val="tx1"/>
                  </w14:solidFill>
                </w14:textFill>
              </w:rPr>
              <w:t>井喷事故风险的应急处置措施、制定应急处置预案、环境风险应急预案等；</w:t>
            </w:r>
            <w:r>
              <w:rPr>
                <w:color w:val="000000" w:themeColor="text1"/>
                <w:highlight w:val="none"/>
                <w14:textFill>
                  <w14:solidFill>
                    <w14:schemeClr w14:val="tx1"/>
                  </w14:solidFill>
                </w14:textFill>
              </w:rPr>
              <w:t>地表水三级防控，分区防渗，测试放喷应急措施等</w:t>
            </w:r>
          </w:p>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试采期：清污分流，分区分级防渗，污染监测</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Merge w:val="continue"/>
            <w:vAlign w:val="center"/>
          </w:tcPr>
          <w:p>
            <w:pPr>
              <w:pStyle w:val="297"/>
              <w:rPr>
                <w:color w:val="000000" w:themeColor="text1"/>
                <w:highlight w:val="none"/>
                <w14:textFill>
                  <w14:solidFill>
                    <w14:schemeClr w14:val="tx1"/>
                  </w14:solidFill>
                </w14:textFill>
              </w:rPr>
            </w:pPr>
          </w:p>
        </w:tc>
        <w:tc>
          <w:tcPr>
            <w:tcW w:w="6245"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风向标、环保管理、事故人员撤离等修订应急预案并定期演练，加强站内设备及管线的巡线</w:t>
            </w:r>
          </w:p>
        </w:tc>
        <w:tc>
          <w:tcPr>
            <w:tcW w:w="997"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jc w:val="center"/>
        </w:trPr>
        <w:tc>
          <w:tcPr>
            <w:tcW w:w="98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合计</w:t>
            </w:r>
          </w:p>
        </w:tc>
        <w:tc>
          <w:tcPr>
            <w:tcW w:w="6245"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97" w:type="dxa"/>
            <w:vAlign w:val="center"/>
          </w:tcPr>
          <w:p>
            <w:pPr>
              <w:pStyle w:val="297"/>
              <w:rPr>
                <w:rFonts w:hint="eastAsia" w:eastAsia="宋体"/>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w:t>
            </w:r>
          </w:p>
        </w:tc>
      </w:tr>
    </w:tbl>
    <w:p>
      <w:pPr>
        <w:pStyle w:val="3"/>
        <w:spacing w:before="0" w:beforeLines="0"/>
        <w:rPr>
          <w:color w:val="000000" w:themeColor="text1"/>
          <w:highlight w:val="none"/>
          <w:lang w:eastAsia="zh-CN"/>
          <w14:textFill>
            <w14:solidFill>
              <w14:schemeClr w14:val="tx1"/>
            </w14:solidFill>
          </w14:textFill>
        </w:rPr>
      </w:pPr>
      <w:bookmarkStart w:id="503" w:name="_bookmark36"/>
      <w:bookmarkEnd w:id="503"/>
      <w:bookmarkStart w:id="504" w:name="7.2“三效益”分析"/>
      <w:bookmarkEnd w:id="504"/>
      <w:bookmarkStart w:id="505" w:name="_Toc9691"/>
      <w:r>
        <w:rPr>
          <w:rFonts w:hint="eastAsia" w:ascii="黑体" w:hAnsi="黑体" w:cs="黑体"/>
          <w:color w:val="000000" w:themeColor="text1"/>
          <w:highlight w:val="none"/>
          <w:lang w:eastAsia="zh-CN"/>
          <w14:textFill>
            <w14:solidFill>
              <w14:schemeClr w14:val="tx1"/>
            </w14:solidFill>
          </w14:textFill>
        </w:rPr>
        <w:t>“三效益”</w:t>
      </w:r>
      <w:r>
        <w:rPr>
          <w:color w:val="000000" w:themeColor="text1"/>
          <w:highlight w:val="none"/>
          <w:lang w:eastAsia="zh-CN"/>
          <w14:textFill>
            <w14:solidFill>
              <w14:schemeClr w14:val="tx1"/>
            </w14:solidFill>
          </w14:textFill>
        </w:rPr>
        <w:t>分析</w:t>
      </w:r>
      <w:bookmarkEnd w:id="505"/>
    </w:p>
    <w:p>
      <w:pPr>
        <w:pStyle w:val="4"/>
        <w:spacing w:before="0" w:beforeLines="0"/>
        <w:ind w:firstLine="480"/>
        <w:rPr>
          <w:b/>
          <w:color w:val="000000" w:themeColor="text1"/>
          <w:highlight w:val="none"/>
          <w:lang w:eastAsia="zh-CN"/>
          <w14:textFill>
            <w14:solidFill>
              <w14:schemeClr w14:val="tx1"/>
            </w14:solidFill>
          </w14:textFill>
        </w:rPr>
      </w:pPr>
      <w:bookmarkStart w:id="506" w:name="7.2.1经济效益"/>
      <w:bookmarkEnd w:id="506"/>
      <w:bookmarkStart w:id="507" w:name="_Toc120173229"/>
      <w:r>
        <w:rPr>
          <w:color w:val="000000" w:themeColor="text1"/>
          <w:highlight w:val="none"/>
          <w:lang w:eastAsia="zh-CN"/>
          <w14:textFill>
            <w14:solidFill>
              <w14:schemeClr w14:val="tx1"/>
            </w14:solidFill>
          </w14:textFill>
        </w:rPr>
        <w:t>经济效益</w:t>
      </w:r>
      <w:bookmarkEnd w:id="507"/>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内部效益：中国石油化工股份有限公司中原油田普光分公司项目总投资</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14:textFill>
            <w14:solidFill>
              <w14:schemeClr w14:val="tx1"/>
            </w14:solidFill>
          </w14:textFill>
        </w:rPr>
        <w:t>万元</w:t>
      </w:r>
      <w:r>
        <w:rPr>
          <w:rFonts w:cs="Times New Roman"/>
          <w:color w:val="000000" w:themeColor="text1"/>
          <w:szCs w:val="24"/>
          <w:highlight w:val="none"/>
          <w14:textFill>
            <w14:solidFill>
              <w14:schemeClr w14:val="tx1"/>
            </w14:solidFill>
          </w14:textFill>
        </w:rPr>
        <w:t>建设本项目，</w:t>
      </w:r>
      <w:r>
        <w:rPr>
          <w:color w:val="000000" w:themeColor="text1"/>
          <w:szCs w:val="24"/>
          <w:highlight w:val="none"/>
          <w14:textFill>
            <w14:solidFill>
              <w14:schemeClr w14:val="tx1"/>
            </w14:solidFill>
          </w14:textFill>
        </w:rPr>
        <w:t>产气规模预计</w:t>
      </w:r>
      <w:r>
        <w:rPr>
          <w:rFonts w:hint="eastAsia"/>
          <w:color w:val="000000" w:themeColor="text1"/>
          <w:szCs w:val="24"/>
          <w:highlight w:val="none"/>
          <w14:textFill>
            <w14:solidFill>
              <w14:schemeClr w14:val="tx1"/>
            </w14:solidFill>
          </w14:textFill>
        </w:rPr>
        <w:t>15</w:t>
      </w:r>
      <w:r>
        <w:rPr>
          <w:color w:val="000000" w:themeColor="text1"/>
          <w:szCs w:val="24"/>
          <w:highlight w:val="none"/>
          <w14:textFill>
            <w14:solidFill>
              <w14:schemeClr w14:val="tx1"/>
            </w14:solidFill>
          </w14:textFill>
        </w:rPr>
        <w:t>×10</w:t>
      </w:r>
      <w:r>
        <w:rPr>
          <w:color w:val="000000" w:themeColor="text1"/>
          <w:szCs w:val="24"/>
          <w:highlight w:val="none"/>
          <w:vertAlign w:val="superscript"/>
          <w14:textFill>
            <w14:solidFill>
              <w14:schemeClr w14:val="tx1"/>
            </w14:solidFill>
          </w14:textFill>
        </w:rPr>
        <w:t>4</w:t>
      </w:r>
      <w:r>
        <w:rPr>
          <w:color w:val="000000" w:themeColor="text1"/>
          <w:szCs w:val="24"/>
          <w:highlight w:val="none"/>
          <w14:textFill>
            <w14:solidFill>
              <w14:schemeClr w14:val="tx1"/>
            </w14:solidFill>
          </w14:textFill>
        </w:rPr>
        <w:t>m</w:t>
      </w:r>
      <w:r>
        <w:rPr>
          <w:color w:val="000000" w:themeColor="text1"/>
          <w:szCs w:val="24"/>
          <w:highlight w:val="none"/>
          <w:vertAlign w:val="superscript"/>
          <w14:textFill>
            <w14:solidFill>
              <w14:schemeClr w14:val="tx1"/>
            </w14:solidFill>
          </w14:textFill>
        </w:rPr>
        <w:t>3</w:t>
      </w:r>
      <w:r>
        <w:rPr>
          <w:color w:val="000000" w:themeColor="text1"/>
          <w:szCs w:val="24"/>
          <w:highlight w:val="none"/>
          <w14:textFill>
            <w14:solidFill>
              <w14:schemeClr w14:val="tx1"/>
            </w14:solidFill>
          </w14:textFill>
        </w:rPr>
        <w:t>/d</w:t>
      </w:r>
      <w:r>
        <w:rPr>
          <w:rFonts w:hint="eastAsia"/>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本项目经济效益较好，具有较强的盈利能力和偿债能力，在财务上是可行的。</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外部效果：根据有关资料，每万立方天然气用于工业，平均可创产值2.650万元；每万立方天然气用于城市民用可节约城市供煤运费补贴640元。因此本项目实施可为社会创造工业产值和节约运煤补贴。</w:t>
      </w:r>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从内部经济效益和外部经济效益来看，该工程的投产将普光气田内天然气资源的优势转化为经济优势，可大大增加地方利税收入，企业也将获得巨大的利润，为该地区带来巨大的天然气化工等方面经济效益。</w:t>
      </w:r>
    </w:p>
    <w:p>
      <w:pPr>
        <w:pStyle w:val="4"/>
        <w:spacing w:before="0" w:beforeLines="0"/>
        <w:ind w:firstLine="480"/>
        <w:rPr>
          <w:b/>
          <w:color w:val="000000" w:themeColor="text1"/>
          <w:highlight w:val="none"/>
          <w:lang w:eastAsia="zh-CN"/>
          <w14:textFill>
            <w14:solidFill>
              <w14:schemeClr w14:val="tx1"/>
            </w14:solidFill>
          </w14:textFill>
        </w:rPr>
      </w:pPr>
      <w:bookmarkStart w:id="508" w:name="7.2.2社会效益"/>
      <w:bookmarkEnd w:id="508"/>
      <w:bookmarkStart w:id="509" w:name="_Toc120173230"/>
      <w:r>
        <w:rPr>
          <w:color w:val="000000" w:themeColor="text1"/>
          <w:highlight w:val="none"/>
          <w:lang w:eastAsia="zh-CN"/>
          <w14:textFill>
            <w14:solidFill>
              <w14:schemeClr w14:val="tx1"/>
            </w14:solidFill>
          </w14:textFill>
        </w:rPr>
        <w:t>社会效益</w:t>
      </w:r>
      <w:bookmarkEnd w:id="509"/>
    </w:p>
    <w:p>
      <w:pPr>
        <w:ind w:firstLine="480"/>
        <w:rPr>
          <w:rFonts w:cs="Times New Roman"/>
          <w:color w:val="000000" w:themeColor="text1"/>
          <w:szCs w:val="24"/>
          <w:highlight w:val="none"/>
          <w14:textFill>
            <w14:solidFill>
              <w14:schemeClr w14:val="tx1"/>
            </w14:solidFill>
          </w14:textFill>
        </w:rPr>
      </w:pPr>
      <w:r>
        <w:rPr>
          <w:rFonts w:cs="Times New Roman"/>
          <w:color w:val="000000" w:themeColor="text1"/>
          <w:szCs w:val="24"/>
          <w:highlight w:val="none"/>
          <w14:textFill>
            <w14:solidFill>
              <w14:schemeClr w14:val="tx1"/>
            </w14:solidFill>
          </w14:textFill>
        </w:rPr>
        <w:t>根据项目建设内容，社会环境影响分析见</w:t>
      </w:r>
      <w:r>
        <w:rPr>
          <w:rFonts w:cs="Times New Roman"/>
          <w:color w:val="000000" w:themeColor="text1"/>
          <w:szCs w:val="24"/>
          <w:highlight w:val="none"/>
          <w14:textFill>
            <w14:solidFill>
              <w14:schemeClr w14:val="tx1"/>
            </w14:solidFill>
          </w14:textFill>
        </w:rPr>
        <w:fldChar w:fldCharType="begin"/>
      </w:r>
      <w:r>
        <w:rPr>
          <w:rFonts w:cs="Times New Roman"/>
          <w:color w:val="000000" w:themeColor="text1"/>
          <w:szCs w:val="24"/>
          <w:highlight w:val="none"/>
          <w14:textFill>
            <w14:solidFill>
              <w14:schemeClr w14:val="tx1"/>
            </w14:solidFill>
          </w14:textFill>
        </w:rPr>
        <w:instrText xml:space="preserve"> REF _Ref142859760 \h  \* MERGEFORMAT </w:instrText>
      </w:r>
      <w:r>
        <w:rPr>
          <w:rFonts w:cs="Times New Roman"/>
          <w:color w:val="000000" w:themeColor="text1"/>
          <w:szCs w:val="24"/>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8.2</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rFonts w:cs="Times New Roman"/>
          <w:color w:val="000000" w:themeColor="text1"/>
          <w:szCs w:val="24"/>
          <w:highlight w:val="none"/>
          <w14:textFill>
            <w14:solidFill>
              <w14:schemeClr w14:val="tx1"/>
            </w14:solidFill>
          </w14:textFill>
        </w:rPr>
        <w:fldChar w:fldCharType="end"/>
      </w:r>
      <w:r>
        <w:rPr>
          <w:rFonts w:cs="Times New Roman"/>
          <w:color w:val="000000" w:themeColor="text1"/>
          <w:szCs w:val="24"/>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510" w:name="_Ref142859760"/>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8.2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510"/>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社会环境影响一览表</w:t>
      </w:r>
    </w:p>
    <w:tbl>
      <w:tblPr>
        <w:tblStyle w:val="54"/>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66"/>
        <w:gridCol w:w="4586"/>
        <w:gridCol w:w="33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4895" w:type="dxa"/>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环境影响因素</w:t>
            </w:r>
          </w:p>
        </w:tc>
        <w:tc>
          <w:tcPr>
            <w:tcW w:w="3327"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环保措施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负面影响</w:t>
            </w:r>
          </w:p>
        </w:tc>
        <w:tc>
          <w:tcPr>
            <w:tcW w:w="462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放喷管线出口位置修建放喷池，建挡墙减小热辐射影响。会对周边农作物产生轻度影响，本项目放喷池周边的植被主要为</w:t>
            </w:r>
            <w:r>
              <w:rPr>
                <w:rFonts w:hint="eastAsia"/>
                <w:color w:val="000000" w:themeColor="text1"/>
                <w:highlight w:val="none"/>
                <w14:textFill>
                  <w14:solidFill>
                    <w14:schemeClr w14:val="tx1"/>
                  </w14:solidFill>
                </w14:textFill>
              </w:rPr>
              <w:t>杂木</w:t>
            </w:r>
            <w:r>
              <w:rPr>
                <w:color w:val="000000" w:themeColor="text1"/>
                <w:highlight w:val="none"/>
                <w14:textFill>
                  <w14:solidFill>
                    <w14:schemeClr w14:val="tx1"/>
                  </w14:solidFill>
                </w14:textFill>
              </w:rPr>
              <w:t>和灌木林地。</w:t>
            </w:r>
          </w:p>
        </w:tc>
        <w:tc>
          <w:tcPr>
            <w:tcW w:w="3327"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对热辐射破坏的植被进行补偿。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4629"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钻井噪声影响、测试防喷影响需要以及钻遇含硫地层对居民进行临时撤离。对居民生产生活产生轻度的影响。雨水冲入耕地或林地对农业生产、植被生长产生轻度影响。</w:t>
            </w:r>
          </w:p>
        </w:tc>
        <w:tc>
          <w:tcPr>
            <w:tcW w:w="3327"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通过协调补偿方式解决。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正面影响</w:t>
            </w:r>
          </w:p>
        </w:tc>
        <w:tc>
          <w:tcPr>
            <w:tcW w:w="0" w:type="auto"/>
            <w:gridSpan w:val="2"/>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天然气属于清洁能源，天然气的开采可以缓解用气紧张，增加企业经济效益，促进社会、经济发展，增大区域清洁能源的使用，对调整能源结构、缓解地区能源缺口有积极意义。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0" w:type="auto"/>
            <w:gridSpan w:val="2"/>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项目钻井前会对乡村公路做维护及改建，加强了当地交通基础设施建设，改善交通条件。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Merge w:val="continue"/>
            <w:vAlign w:val="center"/>
          </w:tcPr>
          <w:p>
            <w:pPr>
              <w:pStyle w:val="297"/>
              <w:rPr>
                <w:color w:val="000000" w:themeColor="text1"/>
                <w:highlight w:val="none"/>
                <w14:textFill>
                  <w14:solidFill>
                    <w14:schemeClr w14:val="tx1"/>
                  </w14:solidFill>
                </w14:textFill>
              </w:rPr>
            </w:pPr>
          </w:p>
        </w:tc>
        <w:tc>
          <w:tcPr>
            <w:tcW w:w="0" w:type="auto"/>
            <w:gridSpan w:val="2"/>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拟建井站位于农村地区，有富余劳动力，本工程建设可带来一定的就业机会，解决当地部分人员就业，增加当地居民收入，促进本地经济发展。</w:t>
            </w:r>
          </w:p>
        </w:tc>
      </w:tr>
    </w:tbl>
    <w:p>
      <w:pPr>
        <w:pStyle w:val="21"/>
        <w:spacing w:before="120" w:beforeLines="5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从上表可看出，虽然项目建设存在一定的社会环境负面影响，在采取相应的环保措施后，负面影响降低或可避免，为社会环境所接受；而项目对调整社会能源结构、促进当地经济发展、改善当地交通状况等社会环境正面影响很明显，从总体来看，项目正面影响远高于负面影响，为社会环境所接受</w:t>
      </w:r>
      <w:r>
        <w:rPr>
          <w:rFonts w:ascii="Times New Roman" w:hAnsi="Times New Roman"/>
          <w:bCs/>
          <w:color w:val="000000" w:themeColor="text1"/>
          <w:kern w:val="2"/>
          <w:highlight w:val="none"/>
          <w:lang w:eastAsia="zh-CN"/>
          <w14:textFill>
            <w14:solidFill>
              <w14:schemeClr w14:val="tx1"/>
            </w14:solidFill>
          </w14:textFill>
        </w:rPr>
        <w:t>。</w:t>
      </w:r>
    </w:p>
    <w:p>
      <w:pPr>
        <w:pStyle w:val="4"/>
        <w:spacing w:before="0" w:beforeLines="0"/>
        <w:ind w:firstLine="480"/>
        <w:rPr>
          <w:b/>
          <w:color w:val="000000" w:themeColor="text1"/>
          <w:highlight w:val="none"/>
          <w:lang w:eastAsia="zh-CN"/>
          <w14:textFill>
            <w14:solidFill>
              <w14:schemeClr w14:val="tx1"/>
            </w14:solidFill>
          </w14:textFill>
        </w:rPr>
      </w:pPr>
      <w:bookmarkStart w:id="511" w:name="7.2.3环境效益"/>
      <w:bookmarkEnd w:id="511"/>
      <w:bookmarkStart w:id="512" w:name="_Toc120173231"/>
      <w:r>
        <w:rPr>
          <w:color w:val="000000" w:themeColor="text1"/>
          <w:highlight w:val="none"/>
          <w:lang w:eastAsia="zh-CN"/>
          <w14:textFill>
            <w14:solidFill>
              <w14:schemeClr w14:val="tx1"/>
            </w14:solidFill>
          </w14:textFill>
        </w:rPr>
        <w:t>环境效益</w:t>
      </w:r>
      <w:bookmarkEnd w:id="512"/>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天然气利用可以减少环境空气污染物的排放量，改善环境空气质量。本项目在减轻大气环境影响方面效益显著，与燃油和燃煤相比具有更高的环境效益。</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我国的能源结构以煤炭为主，以煤为主的能源结构是造成大气污染的主要原因。根据世界各国污染治理的经验，减轻大气污染措施之一就是用无污染或低污染的优质能源替代煤炭。燃烧天然气排放的CO、NO</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、SO</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、灰分大大低于煤和原油的排放量。天然气燃烧可以节省NO</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、SO</w:t>
      </w:r>
      <w:r>
        <w:rPr>
          <w:rFonts w:ascii="Times New Roman" w:hAnsi="Times New Roman"/>
          <w:bCs/>
          <w:color w:val="000000" w:themeColor="text1"/>
          <w:kern w:val="2"/>
          <w:highlight w:val="none"/>
          <w:vertAlign w:val="subscript"/>
          <w:lang w:eastAsia="zh-CN"/>
          <w14:textFill>
            <w14:solidFill>
              <w14:schemeClr w14:val="tx1"/>
            </w14:solidFill>
          </w14:textFill>
        </w:rPr>
        <w:t>2</w:t>
      </w:r>
      <w:r>
        <w:rPr>
          <w:rFonts w:ascii="Times New Roman" w:hAnsi="Times New Roman"/>
          <w:bCs/>
          <w:color w:val="000000" w:themeColor="text1"/>
          <w:kern w:val="2"/>
          <w:highlight w:val="none"/>
          <w:lang w:eastAsia="zh-CN"/>
          <w14:textFill>
            <w14:solidFill>
              <w14:schemeClr w14:val="tx1"/>
            </w14:solidFill>
          </w14:textFill>
        </w:rPr>
        <w:t>、烟尘、固体废物等处理费用，减少燃煤灰渣引起的土地占用。因此本项目的建设将很大程度上减少了燃煤等对环境的污染影响，带来较好的环境效益。</w:t>
      </w:r>
    </w:p>
    <w:p>
      <w:pPr>
        <w:pStyle w:val="3"/>
        <w:spacing w:before="0" w:beforeLines="0"/>
        <w:rPr>
          <w:color w:val="000000" w:themeColor="text1"/>
          <w:highlight w:val="none"/>
          <w:lang w:eastAsia="zh-CN"/>
          <w14:textFill>
            <w14:solidFill>
              <w14:schemeClr w14:val="tx1"/>
            </w14:solidFill>
          </w14:textFill>
        </w:rPr>
      </w:pPr>
      <w:bookmarkStart w:id="513" w:name="_bookmark37"/>
      <w:bookmarkEnd w:id="513"/>
      <w:bookmarkStart w:id="514" w:name="7.3环境经济损益分析结论"/>
      <w:bookmarkEnd w:id="514"/>
      <w:bookmarkStart w:id="515" w:name="_Toc13164"/>
      <w:r>
        <w:rPr>
          <w:color w:val="000000" w:themeColor="text1"/>
          <w:highlight w:val="none"/>
          <w:lang w:eastAsia="zh-CN"/>
          <w14:textFill>
            <w14:solidFill>
              <w14:schemeClr w14:val="tx1"/>
            </w14:solidFill>
          </w14:textFill>
        </w:rPr>
        <w:t>环境经济损益分析结论</w:t>
      </w:r>
      <w:bookmarkEnd w:id="515"/>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经济效益显著，项目建设符合社会效益、经济效益和环境效益统一的原则，环保投资小，由此可见，工程可衡量的环境损失远远小于工程带来的经济效益、环境效益和社会效益，工程的建设实现了经济效益、环境效益和社会效益的统一。</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的实施，可以改善用气地区能源结构，天然气替代煤炭燃烧，减少因燃煤造成的环境污染，改善大气环境质量，本项目对环境的影响，从长远角度考虑，有利于环境质量改善，正面影响大于负面影响；天然气的应用，对提高人民生活质量、加快国民经济的发展产生积极作用，同时会为社会上缴大量税金，社会效益明显。本项目建设是可行的，符合社会、经济与环境协调发展的原则。</w:t>
      </w:r>
    </w:p>
    <w:p>
      <w:pPr>
        <w:pStyle w:val="2"/>
        <w:spacing w:before="480" w:beforeLines="200" w:after="0" w:line="480" w:lineRule="auto"/>
        <w:ind w:firstLine="560"/>
        <w:rPr>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2"/>
        <w:rPr>
          <w:b/>
          <w:color w:val="000000" w:themeColor="text1"/>
          <w:highlight w:val="none"/>
          <w:lang w:eastAsia="zh-CN"/>
          <w14:textFill>
            <w14:solidFill>
              <w14:schemeClr w14:val="tx1"/>
            </w14:solidFill>
          </w14:textFill>
        </w:rPr>
      </w:pPr>
      <w:bookmarkStart w:id="516" w:name="_Toc21023"/>
      <w:r>
        <w:rPr>
          <w:color w:val="000000" w:themeColor="text1"/>
          <w:highlight w:val="none"/>
          <w:lang w:eastAsia="zh-CN"/>
          <w14:textFill>
            <w14:solidFill>
              <w14:schemeClr w14:val="tx1"/>
            </w14:solidFill>
          </w14:textFill>
        </w:rPr>
        <w:t>清洁生产</w:t>
      </w:r>
      <w:r>
        <w:rPr>
          <w:rFonts w:hint="eastAsia"/>
          <w:color w:val="000000" w:themeColor="text1"/>
          <w:highlight w:val="none"/>
          <w:lang w:eastAsia="zh-CN"/>
          <w14:textFill>
            <w14:solidFill>
              <w14:schemeClr w14:val="tx1"/>
            </w14:solidFill>
          </w14:textFill>
        </w:rPr>
        <w:t>、</w:t>
      </w:r>
      <w:r>
        <w:rPr>
          <w:color w:val="000000" w:themeColor="text1"/>
          <w:highlight w:val="none"/>
          <w:lang w:eastAsia="zh-CN"/>
          <w14:textFill>
            <w14:solidFill>
              <w14:schemeClr w14:val="tx1"/>
            </w14:solidFill>
          </w14:textFill>
        </w:rPr>
        <w:t>总量控制</w:t>
      </w:r>
      <w:r>
        <w:rPr>
          <w:rFonts w:hint="eastAsia"/>
          <w:color w:val="000000" w:themeColor="text1"/>
          <w:highlight w:val="none"/>
          <w:lang w:eastAsia="zh-CN"/>
          <w14:textFill>
            <w14:solidFill>
              <w14:schemeClr w14:val="tx1"/>
            </w14:solidFill>
          </w14:textFill>
        </w:rPr>
        <w:t>及碳排放</w:t>
      </w:r>
      <w:bookmarkEnd w:id="516"/>
    </w:p>
    <w:p>
      <w:pPr>
        <w:pStyle w:val="3"/>
        <w:spacing w:before="0" w:beforeLines="0"/>
        <w:rPr>
          <w:color w:val="000000" w:themeColor="text1"/>
          <w:highlight w:val="none"/>
          <w:lang w:eastAsia="zh-CN"/>
          <w14:textFill>
            <w14:solidFill>
              <w14:schemeClr w14:val="tx1"/>
            </w14:solidFill>
          </w14:textFill>
        </w:rPr>
      </w:pPr>
      <w:bookmarkStart w:id="517" w:name="_Toc22968"/>
      <w:r>
        <w:rPr>
          <w:color w:val="000000" w:themeColor="text1"/>
          <w:highlight w:val="none"/>
          <w:lang w:eastAsia="zh-CN"/>
          <w14:textFill>
            <w14:solidFill>
              <w14:schemeClr w14:val="tx1"/>
            </w14:solidFill>
          </w14:textFill>
        </w:rPr>
        <w:t>清洁生产分析</w:t>
      </w:r>
      <w:bookmarkEnd w:id="517"/>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目前，天然气开采业建设项目未被纳入</w:t>
      </w:r>
      <w:r>
        <w:rPr>
          <w:rFonts w:hint="eastAsia"/>
          <w:color w:val="000000" w:themeColor="text1"/>
          <w:highlight w:val="none"/>
          <w14:textFill>
            <w14:solidFill>
              <w14:schemeClr w14:val="tx1"/>
            </w14:solidFill>
          </w14:textFill>
        </w:rPr>
        <w:t>生态环境部</w:t>
      </w:r>
      <w:r>
        <w:rPr>
          <w:color w:val="000000" w:themeColor="text1"/>
          <w:highlight w:val="none"/>
          <w14:textFill>
            <w14:solidFill>
              <w14:schemeClr w14:val="tx1"/>
            </w14:solidFill>
          </w14:textFill>
        </w:rPr>
        <w:t>颁布的重点行业清洁生产标准目录中，根据对清洁生产评价评标体系查询，未发现针对天然气开采的清洁生产评价体系，故本评价从天然气开采建设的各个环节出发，对本项目的产品、原材料、工艺技术的清洁性以及三废治理工艺的先进性进行分析比较，并提出清洁生产措施和建议等。</w:t>
      </w:r>
    </w:p>
    <w:p>
      <w:pPr>
        <w:pStyle w:val="4"/>
        <w:spacing w:before="0" w:beforeLines="0"/>
        <w:ind w:firstLine="480"/>
        <w:rPr>
          <w:color w:val="000000" w:themeColor="text1"/>
          <w:highlight w:val="none"/>
          <w:lang w:eastAsia="zh-CN"/>
          <w14:textFill>
            <w14:solidFill>
              <w14:schemeClr w14:val="tx1"/>
            </w14:solidFill>
          </w14:textFill>
        </w:rPr>
      </w:pPr>
      <w:bookmarkStart w:id="518" w:name="_Toc120173235"/>
      <w:r>
        <w:rPr>
          <w:color w:val="000000" w:themeColor="text1"/>
          <w:highlight w:val="none"/>
          <w:lang w:eastAsia="zh-CN"/>
          <w14:textFill>
            <w14:solidFill>
              <w14:schemeClr w14:val="tx1"/>
            </w14:solidFill>
          </w14:textFill>
        </w:rPr>
        <w:t>工艺技术选择合理性分析</w:t>
      </w:r>
      <w:bookmarkEnd w:id="518"/>
    </w:p>
    <w:p>
      <w:pPr>
        <w:pStyle w:val="21"/>
        <w:ind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本项目以网电为动力，只有在停电等紧急情况下才启用柴油发电机供电，可减少柴油机废气排放。柴油发电机主要能源为柴油，项目设置多台柴油机进行组合，使柴油机运行功率最接近钻井所需要的动力功率，让柴油机运行时可处于高效运行状态，以减少柴油的使用量和减少废气排放。柴油机效率达到国内清洁生产先进水平。</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钻井液</w:t>
      </w:r>
      <w:r>
        <w:rPr>
          <w:rFonts w:hint="eastAsia"/>
          <w:color w:val="000000" w:themeColor="text1"/>
          <w:highlight w:val="none"/>
          <w14:textFill>
            <w14:solidFill>
              <w14:schemeClr w14:val="tx1"/>
            </w14:solidFill>
          </w14:textFill>
        </w:rPr>
        <w:t>优先</w:t>
      </w:r>
      <w:r>
        <w:rPr>
          <w:color w:val="000000" w:themeColor="text1"/>
          <w:highlight w:val="none"/>
          <w14:textFill>
            <w14:solidFill>
              <w14:schemeClr w14:val="tx1"/>
            </w14:solidFill>
          </w14:textFill>
        </w:rPr>
        <w:t>采用较清洁的水基钻井液为主，不含重金属，并且可根据不同地层性质和地下压力进行组份调整，能较好地满足钻井需要。符合清洁生产的要求。</w:t>
      </w:r>
    </w:p>
    <w:p>
      <w:pPr>
        <w:pStyle w:val="4"/>
        <w:spacing w:before="0" w:beforeLines="0"/>
        <w:ind w:firstLine="480"/>
        <w:rPr>
          <w:color w:val="000000" w:themeColor="text1"/>
          <w:highlight w:val="none"/>
          <w:lang w:eastAsia="zh-CN"/>
          <w14:textFill>
            <w14:solidFill>
              <w14:schemeClr w14:val="tx1"/>
            </w14:solidFill>
          </w14:textFill>
        </w:rPr>
      </w:pPr>
      <w:bookmarkStart w:id="519" w:name="_Toc120173236"/>
      <w:r>
        <w:rPr>
          <w:color w:val="000000" w:themeColor="text1"/>
          <w:highlight w:val="none"/>
          <w:lang w:eastAsia="zh-CN"/>
          <w14:textFill>
            <w14:solidFill>
              <w14:schemeClr w14:val="tx1"/>
            </w14:solidFill>
          </w14:textFill>
        </w:rPr>
        <w:t>产品的清洁性分析</w:t>
      </w:r>
      <w:bookmarkEnd w:id="519"/>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项目产品为天然气，属清洁、优质、具有竞争力的能源和化工原料。天然气单位热量所产生的温室气体CO</w:t>
      </w:r>
      <w:r>
        <w:rPr>
          <w:color w:val="000000" w:themeColor="text1"/>
          <w:highlight w:val="none"/>
          <w:vertAlign w:val="subscript"/>
          <w14:textFill>
            <w14:solidFill>
              <w14:schemeClr w14:val="tx1"/>
            </w14:solidFill>
          </w14:textFill>
        </w:rPr>
        <w:t>2</w:t>
      </w:r>
      <w:r>
        <w:rPr>
          <w:color w:val="000000" w:themeColor="text1"/>
          <w:highlight w:val="none"/>
          <w14:textFill>
            <w14:solidFill>
              <w14:schemeClr w14:val="tx1"/>
            </w14:solidFill>
          </w14:textFill>
        </w:rPr>
        <w:t>只是煤炭的一半左右，比石油少三分之一，天然气与电力比较，在燃料费用上的节省是显著的，但投资费用较大；与焦炭、原煤比较，虽无价格优势，但环保性和产品质量优势明显；与汽油、液化气相比，其价格和环境性能也有明显优势，天然气替代工业用油和液化石油气，有直接的经济效益，容易被用户接受，同时技改的投资少，属清洁产品。</w:t>
      </w:r>
    </w:p>
    <w:p>
      <w:pPr>
        <w:pStyle w:val="4"/>
        <w:spacing w:before="0" w:beforeLines="0"/>
        <w:ind w:firstLine="480"/>
        <w:rPr>
          <w:b/>
          <w:color w:val="000000" w:themeColor="text1"/>
          <w:highlight w:val="none"/>
          <w:lang w:eastAsia="zh-CN"/>
          <w14:textFill>
            <w14:solidFill>
              <w14:schemeClr w14:val="tx1"/>
            </w14:solidFill>
          </w14:textFill>
        </w:rPr>
      </w:pPr>
      <w:bookmarkStart w:id="520" w:name="_Toc120173237"/>
      <w:r>
        <w:rPr>
          <w:color w:val="000000" w:themeColor="text1"/>
          <w:highlight w:val="none"/>
          <w:lang w:eastAsia="zh-CN"/>
          <w14:textFill>
            <w14:solidFill>
              <w14:schemeClr w14:val="tx1"/>
            </w14:solidFill>
          </w14:textFill>
        </w:rPr>
        <w:t>清洁生产措施</w:t>
      </w:r>
      <w:bookmarkEnd w:id="520"/>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（1）废水处理措施</w:t>
      </w:r>
    </w:p>
    <w:p>
      <w:pPr>
        <w:ind w:firstLine="480"/>
        <w:rPr>
          <w:color w:val="000000" w:themeColor="text1"/>
          <w:highlight w:val="none"/>
          <w14:textFill>
            <w14:solidFill>
              <w14:schemeClr w14:val="tx1"/>
            </w14:solidFill>
          </w14:textFill>
        </w:rPr>
      </w:pPr>
      <w:r>
        <w:rPr>
          <w:rFonts w:cs="Times New Roman"/>
          <w:color w:val="000000" w:themeColor="text1"/>
          <w:highlight w:val="none"/>
          <w14:textFill>
            <w14:solidFill>
              <w14:schemeClr w14:val="tx1"/>
            </w14:solidFill>
          </w14:textFill>
        </w:rPr>
        <w:t>本项目钻井废水</w:t>
      </w:r>
      <w:r>
        <w:rPr>
          <w:rFonts w:hint="eastAsia" w:cs="Times New Roman"/>
          <w:color w:val="000000" w:themeColor="text1"/>
          <w:highlight w:val="none"/>
          <w14:textFill>
            <w14:solidFill>
              <w14:schemeClr w14:val="tx1"/>
            </w14:solidFill>
          </w14:textFill>
        </w:rPr>
        <w:t>、初期雨水、洗井废水</w:t>
      </w:r>
      <w:r>
        <w:rPr>
          <w:rFonts w:cs="Times New Roman"/>
          <w:color w:val="000000" w:themeColor="text1"/>
          <w:highlight w:val="none"/>
          <w14:textFill>
            <w14:solidFill>
              <w14:schemeClr w14:val="tx1"/>
            </w14:solidFill>
          </w14:textFill>
        </w:rPr>
        <w:t>和压裂返排液</w:t>
      </w:r>
      <w:r>
        <w:rPr>
          <w:rFonts w:hint="eastAsia" w:cs="Times New Roman"/>
          <w:color w:val="000000" w:themeColor="text1"/>
          <w:highlight w:val="none"/>
          <w14:textFill>
            <w14:solidFill>
              <w14:schemeClr w14:val="tx1"/>
            </w14:solidFill>
          </w14:textFill>
        </w:rPr>
        <w:t>等</w:t>
      </w:r>
      <w:r>
        <w:rPr>
          <w:color w:val="000000" w:themeColor="text1"/>
          <w:highlight w:val="none"/>
          <w14:textFill>
            <w14:solidFill>
              <w14:schemeClr w14:val="tx1"/>
            </w14:solidFill>
          </w14:textFill>
        </w:rPr>
        <w:t>通过在井场内或井场间回用实现最大程度回用，做到正常工况下无压裂液外排，若不能回用的压裂液全部</w:t>
      </w:r>
      <w:r>
        <w:rPr>
          <w:rFonts w:hint="eastAsia"/>
          <w:bCs/>
          <w:color w:val="000000" w:themeColor="text1"/>
          <w:szCs w:val="24"/>
          <w:highlight w:val="none"/>
          <w14:textFill>
            <w14:solidFill>
              <w14:schemeClr w14:val="tx1"/>
            </w14:solidFill>
          </w14:textFill>
        </w:rPr>
        <w:t>外输</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内缓冲罐暂存</w:t>
      </w:r>
      <w:r>
        <w:rPr>
          <w:bCs/>
          <w:color w:val="000000" w:themeColor="text1"/>
          <w:szCs w:val="24"/>
          <w:highlight w:val="none"/>
          <w14:textFill>
            <w14:solidFill>
              <w14:schemeClr w14:val="tx1"/>
            </w14:solidFill>
          </w14:textFill>
        </w:rPr>
        <w:t>，然后通过密闭罐车拉运至</w:t>
      </w:r>
      <w:r>
        <w:rPr>
          <w:rFonts w:hint="eastAsia"/>
          <w:bCs/>
          <w:color w:val="000000" w:themeColor="text1"/>
          <w:szCs w:val="24"/>
          <w:highlight w:val="none"/>
          <w14:textFill>
            <w14:solidFill>
              <w14:schemeClr w14:val="tx1"/>
            </w14:solidFill>
          </w14:textFill>
        </w:rPr>
        <w:t>赵家坝污水处理站</w:t>
      </w:r>
      <w:r>
        <w:rPr>
          <w:bCs/>
          <w:color w:val="000000" w:themeColor="text1"/>
          <w:szCs w:val="24"/>
          <w:highlight w:val="none"/>
          <w14:textFill>
            <w14:solidFill>
              <w14:schemeClr w14:val="tx1"/>
            </w14:solidFill>
          </w14:textFill>
        </w:rPr>
        <w:t>达到《</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6596-2016）中注入水基本要求后管输至</w:t>
      </w:r>
      <w:r>
        <w:rPr>
          <w:rFonts w:hint="eastAsia"/>
          <w:bCs/>
          <w:color w:val="000000" w:themeColor="text1"/>
          <w:szCs w:val="24"/>
          <w:highlight w:val="none"/>
          <w14:textFill>
            <w14:solidFill>
              <w14:schemeClr w14:val="tx1"/>
            </w14:solidFill>
          </w14:textFill>
        </w:rPr>
        <w:t>普光3井回注站</w:t>
      </w:r>
      <w:r>
        <w:rPr>
          <w:bCs/>
          <w:color w:val="000000" w:themeColor="text1"/>
          <w:szCs w:val="24"/>
          <w:highlight w:val="none"/>
          <w14:textFill>
            <w14:solidFill>
              <w14:schemeClr w14:val="tx1"/>
            </w14:solidFill>
          </w14:textFill>
        </w:rPr>
        <w:t>回注处理，不外排</w:t>
      </w:r>
      <w:r>
        <w:rPr>
          <w:color w:val="000000" w:themeColor="text1"/>
          <w:highlight w:val="none"/>
          <w14:textFill>
            <w14:solidFill>
              <w14:schemeClr w14:val="tx1"/>
            </w14:solidFill>
          </w14:textFill>
        </w:rPr>
        <w:t>，对地表水和浅层地下水无影响。</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（2）施工期生活污水</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井场钻井建设施工阶段生活污水</w:t>
      </w:r>
      <w:r>
        <w:rPr>
          <w:rFonts w:ascii="Times New Roman" w:hAnsi="Times New Roman"/>
          <w:color w:val="000000" w:themeColor="text1"/>
          <w:highlight w:val="none"/>
          <w:lang w:eastAsia="zh-CN"/>
          <w14:textFill>
            <w14:solidFill>
              <w14:schemeClr w14:val="tx1"/>
            </w14:solidFill>
          </w14:textFill>
        </w:rPr>
        <w:t>经生态厕所收集后定期由密闭罐车拉运至周边生活污水处理厂处理</w:t>
      </w:r>
      <w:r>
        <w:rPr>
          <w:rFonts w:ascii="Times New Roman" w:hAnsi="Times New Roman"/>
          <w:bCs/>
          <w:color w:val="000000" w:themeColor="text1"/>
          <w:kern w:val="2"/>
          <w:highlight w:val="none"/>
          <w:lang w:eastAsia="zh-CN"/>
          <w14:textFill>
            <w14:solidFill>
              <w14:schemeClr w14:val="tx1"/>
            </w14:solidFill>
          </w14:textFill>
        </w:rPr>
        <w:t>。</w:t>
      </w:r>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（3）废气处置措施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本项目正常工况下均采取带压采输气，</w:t>
      </w:r>
      <w:r>
        <w:rPr>
          <w:rFonts w:hint="eastAsia"/>
          <w:color w:val="000000" w:themeColor="text1"/>
          <w:highlight w:val="none"/>
          <w14:textFill>
            <w14:solidFill>
              <w14:schemeClr w14:val="tx1"/>
            </w14:solidFill>
          </w14:textFill>
        </w:rPr>
        <w:t>无组织废气少。水套加热炉和放空火炬使用</w:t>
      </w:r>
      <w:r>
        <w:rPr>
          <w:rFonts w:hint="eastAsia"/>
          <w:color w:val="000000" w:themeColor="text1"/>
          <w:highlight w:val="none"/>
          <w:lang w:eastAsia="zh-CN"/>
          <w14:textFill>
            <w14:solidFill>
              <w14:schemeClr w14:val="tx1"/>
            </w14:solidFill>
          </w14:textFill>
        </w:rPr>
        <w:t>集气总站反输的燃料气</w:t>
      </w:r>
      <w:r>
        <w:rPr>
          <w:color w:val="000000" w:themeColor="text1"/>
          <w:highlight w:val="none"/>
          <w14:textFill>
            <w14:solidFill>
              <w14:schemeClr w14:val="tx1"/>
            </w14:solidFill>
          </w14:textFill>
        </w:rPr>
        <w:t>，</w:t>
      </w:r>
      <w:bookmarkStart w:id="521" w:name="_Hlk91002276"/>
      <w:r>
        <w:rPr>
          <w:rFonts w:hint="eastAsia"/>
          <w:color w:val="000000" w:themeColor="text1"/>
          <w:highlight w:val="none"/>
          <w14:textFill>
            <w14:solidFill>
              <w14:schemeClr w14:val="tx1"/>
            </w14:solidFill>
          </w14:textFill>
        </w:rPr>
        <w:t>放空</w:t>
      </w:r>
      <w:r>
        <w:rPr>
          <w:color w:val="000000" w:themeColor="text1"/>
          <w:highlight w:val="none"/>
          <w14:textFill>
            <w14:solidFill>
              <w14:schemeClr w14:val="tx1"/>
            </w14:solidFill>
          </w14:textFill>
        </w:rPr>
        <w:t>废气采用引至</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5m高的放空火炬点火燃烧方式燃烧后排放。</w:t>
      </w:r>
      <w:bookmarkEnd w:id="521"/>
    </w:p>
    <w:p>
      <w:pPr>
        <w:pStyle w:val="21"/>
        <w:spacing w:before="0"/>
        <w:ind w:left="0" w:firstLine="482"/>
        <w:jc w:val="both"/>
        <w:rPr>
          <w:rFonts w:ascii="Times New Roman" w:hAnsi="Times New Roman"/>
          <w:b/>
          <w:color w:val="000000" w:themeColor="text1"/>
          <w:kern w:val="2"/>
          <w:highlight w:val="none"/>
          <w:lang w:eastAsia="zh-CN"/>
          <w14:textFill>
            <w14:solidFill>
              <w14:schemeClr w14:val="tx1"/>
            </w14:solidFill>
          </w14:textFill>
        </w:rPr>
      </w:pPr>
      <w:r>
        <w:rPr>
          <w:rFonts w:ascii="Times New Roman" w:hAnsi="Times New Roman"/>
          <w:b/>
          <w:color w:val="000000" w:themeColor="text1"/>
          <w:kern w:val="2"/>
          <w:highlight w:val="none"/>
          <w:lang w:eastAsia="zh-CN"/>
          <w14:textFill>
            <w14:solidFill>
              <w14:schemeClr w14:val="tx1"/>
            </w14:solidFill>
          </w14:textFill>
        </w:rPr>
        <w:t>（4）固体废物处理措施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钻井液采用水基泥浆，并采用钻井液闭环管理系统，对钻井泥浆进行循环使用，完井后产生的废泥浆和岩屑定期用密闭罐车及时就近交给依法取得生态环境部门关于利用和处置相关工业固体废物项目环评批复、具有处理处置相应固体废物能力并配套建设有废气、废水、固废等污染物治理设施的单位进行资源化利用；整个过程产生的少量废油优先综合利用后交给具有相应资质的单位处理，无固废外排。</w:t>
      </w:r>
    </w:p>
    <w:p>
      <w:pPr>
        <w:pStyle w:val="4"/>
        <w:spacing w:before="0" w:beforeLines="0"/>
        <w:ind w:firstLine="480"/>
        <w:rPr>
          <w:b/>
          <w:color w:val="000000" w:themeColor="text1"/>
          <w:highlight w:val="none"/>
          <w:lang w:eastAsia="zh-CN"/>
          <w14:textFill>
            <w14:solidFill>
              <w14:schemeClr w14:val="tx1"/>
            </w14:solidFill>
          </w14:textFill>
        </w:rPr>
      </w:pPr>
      <w:bookmarkStart w:id="522" w:name="_Toc120173238"/>
      <w:r>
        <w:rPr>
          <w:color w:val="000000" w:themeColor="text1"/>
          <w:highlight w:val="none"/>
          <w:lang w:eastAsia="zh-CN"/>
          <w14:textFill>
            <w14:solidFill>
              <w14:schemeClr w14:val="tx1"/>
            </w14:solidFill>
          </w14:textFill>
        </w:rPr>
        <w:t>清洁生产结论</w:t>
      </w:r>
      <w:bookmarkEnd w:id="522"/>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贯彻了清洁生产原则，符合清洁生产的要求及国家目前有关节能减排要求。为保持良好的清洁生产水平，鉴于钻井工程属高风险行业，本评价建议主要是加强管理，减少生产中的跑、冒、滴、漏现象，同时按照钻井行业规范做好井控和防喷措施，做好现场的应急措施。加强人员培训，</w:t>
      </w:r>
      <w:r>
        <w:rPr>
          <w:rFonts w:hint="eastAsia"/>
          <w:color w:val="000000" w:themeColor="text1"/>
          <w:highlight w:val="none"/>
          <w14:textFill>
            <w14:solidFill>
              <w14:schemeClr w14:val="tx1"/>
            </w14:solidFill>
          </w14:textFill>
        </w:rPr>
        <w:t>增强</w:t>
      </w:r>
      <w:r>
        <w:rPr>
          <w:color w:val="000000" w:themeColor="text1"/>
          <w:highlight w:val="none"/>
          <w14:textFill>
            <w14:solidFill>
              <w14:schemeClr w14:val="tx1"/>
            </w14:solidFill>
          </w14:textFill>
        </w:rPr>
        <w:t>职工清洁生产意识，尽可能的避免环境风险事故的发生，将本项目清洁生产</w:t>
      </w:r>
      <w:r>
        <w:rPr>
          <w:rFonts w:hint="eastAsia"/>
          <w:color w:val="000000" w:themeColor="text1"/>
          <w:highlight w:val="none"/>
          <w14:textFill>
            <w14:solidFill>
              <w14:schemeClr w14:val="tx1"/>
            </w14:solidFill>
          </w14:textFill>
        </w:rPr>
        <w:t>保持</w:t>
      </w:r>
      <w:r>
        <w:rPr>
          <w:color w:val="000000" w:themeColor="text1"/>
          <w:highlight w:val="none"/>
          <w14:textFill>
            <w14:solidFill>
              <w14:schemeClr w14:val="tx1"/>
            </w14:solidFill>
          </w14:textFill>
        </w:rPr>
        <w:t>在国内先进水平。</w:t>
      </w:r>
    </w:p>
    <w:p>
      <w:pPr>
        <w:pStyle w:val="3"/>
        <w:spacing w:before="120"/>
        <w:rPr>
          <w:color w:val="000000" w:themeColor="text1"/>
          <w:highlight w:val="none"/>
          <w:lang w:eastAsia="zh-CN"/>
          <w14:textFill>
            <w14:solidFill>
              <w14:schemeClr w14:val="tx1"/>
            </w14:solidFill>
          </w14:textFill>
        </w:rPr>
      </w:pPr>
      <w:bookmarkStart w:id="523" w:name="_Toc6259"/>
      <w:r>
        <w:rPr>
          <w:color w:val="000000" w:themeColor="text1"/>
          <w:highlight w:val="none"/>
          <w:lang w:eastAsia="zh-CN"/>
          <w14:textFill>
            <w14:solidFill>
              <w14:schemeClr w14:val="tx1"/>
            </w14:solidFill>
          </w14:textFill>
        </w:rPr>
        <w:t>总量控制</w:t>
      </w:r>
      <w:bookmarkEnd w:id="523"/>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本项目为天然气开发勘探项目，根据《关于做好固定污染源排污许可清理整顿和2020年排污许可发证登记工作的通知》（环办环评函〔2019〕939号）和《固定污染源排污许可分类管理名录》（2019年版），本项目实行登记管理。中国石油化工股份有限公司中原油田普光分公司在达州地区各个集气站场均无总量控制指标要求，因此本评价建议本项目不核定大气总量指标。</w:t>
      </w:r>
    </w:p>
    <w:p>
      <w:pPr>
        <w:ind w:firstLine="480"/>
        <w:rPr>
          <w:rFonts w:cs="Times New Roman"/>
          <w:bCs/>
          <w:color w:val="000000" w:themeColor="text1"/>
          <w:highlight w:val="none"/>
          <w14:textFill>
            <w14:solidFill>
              <w14:schemeClr w14:val="tx1"/>
            </w14:solidFill>
          </w14:textFill>
        </w:rPr>
      </w:pPr>
      <w:bookmarkStart w:id="524" w:name="第八章_环境管理与环境监测"/>
      <w:bookmarkEnd w:id="524"/>
      <w:bookmarkStart w:id="525" w:name="_bookmark38"/>
      <w:bookmarkEnd w:id="525"/>
      <w:r>
        <w:rPr>
          <w:rFonts w:hint="eastAsia" w:cs="Times New Roman"/>
          <w:bCs/>
          <w:color w:val="000000" w:themeColor="text1"/>
          <w:szCs w:val="24"/>
          <w:highlight w:val="none"/>
          <w14:textFill>
            <w14:solidFill>
              <w14:schemeClr w14:val="tx1"/>
            </w14:solidFill>
          </w14:textFill>
        </w:rPr>
        <w:t>施工期</w:t>
      </w:r>
      <w:r>
        <w:rPr>
          <w:rFonts w:cs="Times New Roman"/>
          <w:bCs/>
          <w:color w:val="000000" w:themeColor="text1"/>
          <w:szCs w:val="24"/>
          <w:highlight w:val="none"/>
          <w14:textFill>
            <w14:solidFill>
              <w14:schemeClr w14:val="tx1"/>
            </w14:solidFill>
          </w14:textFill>
        </w:rPr>
        <w:t>项目钻井废水、</w:t>
      </w:r>
      <w:r>
        <w:rPr>
          <w:rFonts w:hint="eastAsia" w:cs="Times New Roman"/>
          <w:bCs/>
          <w:color w:val="000000" w:themeColor="text1"/>
          <w:szCs w:val="24"/>
          <w:highlight w:val="none"/>
          <w14:textFill>
            <w14:solidFill>
              <w14:schemeClr w14:val="tx1"/>
            </w14:solidFill>
          </w14:textFill>
        </w:rPr>
        <w:t>初期雨水、</w:t>
      </w:r>
      <w:r>
        <w:rPr>
          <w:rFonts w:cs="Times New Roman"/>
          <w:bCs/>
          <w:color w:val="000000" w:themeColor="text1"/>
          <w:szCs w:val="24"/>
          <w:highlight w:val="none"/>
          <w14:textFill>
            <w14:solidFill>
              <w14:schemeClr w14:val="tx1"/>
            </w14:solidFill>
          </w14:textFill>
        </w:rPr>
        <w:t>洗井废水和压裂返排液</w:t>
      </w:r>
      <w:r>
        <w:rPr>
          <w:rFonts w:hint="eastAsia" w:cs="Times New Roman"/>
          <w:bCs/>
          <w:color w:val="000000" w:themeColor="text1"/>
          <w:szCs w:val="24"/>
          <w:highlight w:val="none"/>
          <w14:textFill>
            <w14:solidFill>
              <w14:schemeClr w14:val="tx1"/>
            </w14:solidFill>
          </w14:textFill>
        </w:rPr>
        <w:t>等尽量回用，不能回用部分</w:t>
      </w:r>
      <w:r>
        <w:rPr>
          <w:rFonts w:cs="Times New Roman"/>
          <w:bCs/>
          <w:color w:val="000000" w:themeColor="text1"/>
          <w:szCs w:val="24"/>
          <w:highlight w:val="none"/>
          <w14:textFill>
            <w14:solidFill>
              <w14:schemeClr w14:val="tx1"/>
            </w14:solidFill>
          </w14:textFill>
        </w:rPr>
        <w:t>通过</w:t>
      </w:r>
      <w:r>
        <w:rPr>
          <w:rFonts w:cs="Times New Roman"/>
          <w:color w:val="000000" w:themeColor="text1"/>
          <w:szCs w:val="24"/>
          <w:highlight w:val="none"/>
          <w14:textFill>
            <w14:solidFill>
              <w14:schemeClr w14:val="tx1"/>
            </w14:solidFill>
          </w14:textFill>
        </w:rPr>
        <w:t>密闭罐车拉运至</w:t>
      </w:r>
      <w:r>
        <w:rPr>
          <w:rFonts w:hint="eastAsia" w:cs="Times New Roman"/>
          <w:color w:val="000000" w:themeColor="text1"/>
          <w:szCs w:val="24"/>
          <w:highlight w:val="none"/>
          <w14:textFill>
            <w14:solidFill>
              <w14:schemeClr w14:val="tx1"/>
            </w14:solidFill>
          </w14:textFill>
        </w:rPr>
        <w:t>赵家坝污水处理站</w:t>
      </w:r>
      <w:r>
        <w:rPr>
          <w:rFonts w:cs="Times New Roman"/>
          <w:color w:val="000000" w:themeColor="text1"/>
          <w:szCs w:val="24"/>
          <w:highlight w:val="none"/>
          <w14:textFill>
            <w14:solidFill>
              <w14:schemeClr w14:val="tx1"/>
            </w14:solidFill>
          </w14:textFill>
        </w:rPr>
        <w:t>达标后管输至</w:t>
      </w:r>
      <w:r>
        <w:rPr>
          <w:rFonts w:hint="eastAsia" w:cs="Times New Roman"/>
          <w:color w:val="000000" w:themeColor="text1"/>
          <w:szCs w:val="24"/>
          <w:highlight w:val="none"/>
          <w14:textFill>
            <w14:solidFill>
              <w14:schemeClr w14:val="tx1"/>
            </w14:solidFill>
          </w14:textFill>
        </w:rPr>
        <w:t>普光3井回注站</w:t>
      </w:r>
      <w:r>
        <w:rPr>
          <w:rFonts w:cs="Times New Roman"/>
          <w:color w:val="000000" w:themeColor="text1"/>
          <w:szCs w:val="24"/>
          <w:highlight w:val="none"/>
          <w14:textFill>
            <w14:solidFill>
              <w14:schemeClr w14:val="tx1"/>
            </w14:solidFill>
          </w14:textFill>
        </w:rPr>
        <w:t>回注，不外排</w:t>
      </w:r>
      <w:r>
        <w:rPr>
          <w:rFonts w:hint="eastAsia" w:cs="Times New Roman"/>
          <w:bCs/>
          <w:color w:val="000000" w:themeColor="text1"/>
          <w:szCs w:val="24"/>
          <w:highlight w:val="none"/>
          <w14:textFill>
            <w14:solidFill>
              <w14:schemeClr w14:val="tx1"/>
            </w14:solidFill>
          </w14:textFill>
        </w:rPr>
        <w:t>；试采期采出水（含初期压裂返排液）通过新建管道外输至大湾</w:t>
      </w:r>
      <w:r>
        <w:rPr>
          <w:rFonts w:hint="eastAsia" w:cs="Times New Roman"/>
          <w:bCs/>
          <w:color w:val="000000" w:themeColor="text1"/>
          <w:szCs w:val="24"/>
          <w:highlight w:val="none"/>
          <w:lang w:eastAsia="zh-CN"/>
          <w14:textFill>
            <w14:solidFill>
              <w14:schemeClr w14:val="tx1"/>
            </w14:solidFill>
          </w14:textFill>
        </w:rPr>
        <w:t>408试采站</w:t>
      </w:r>
      <w:r>
        <w:rPr>
          <w:rFonts w:hint="eastAsia" w:cs="Times New Roman"/>
          <w:bCs/>
          <w:color w:val="000000" w:themeColor="text1"/>
          <w:szCs w:val="24"/>
          <w:highlight w:val="none"/>
          <w14:textFill>
            <w14:solidFill>
              <w14:schemeClr w14:val="tx1"/>
            </w14:solidFill>
          </w14:textFill>
        </w:rPr>
        <w:t>暂存最终</w:t>
      </w:r>
      <w:r>
        <w:rPr>
          <w:rFonts w:cs="Times New Roman"/>
          <w:color w:val="000000" w:themeColor="text1"/>
          <w:szCs w:val="24"/>
          <w:highlight w:val="none"/>
          <w14:textFill>
            <w14:solidFill>
              <w14:schemeClr w14:val="tx1"/>
            </w14:solidFill>
          </w14:textFill>
        </w:rPr>
        <w:t>密闭罐车拉运至</w:t>
      </w:r>
      <w:r>
        <w:rPr>
          <w:rFonts w:hint="eastAsia" w:cs="Times New Roman"/>
          <w:color w:val="000000" w:themeColor="text1"/>
          <w:szCs w:val="24"/>
          <w:highlight w:val="none"/>
          <w14:textFill>
            <w14:solidFill>
              <w14:schemeClr w14:val="tx1"/>
            </w14:solidFill>
          </w14:textFill>
        </w:rPr>
        <w:t>赵家坝污水处理站</w:t>
      </w:r>
      <w:r>
        <w:rPr>
          <w:rFonts w:cs="Times New Roman"/>
          <w:color w:val="000000" w:themeColor="text1"/>
          <w:szCs w:val="24"/>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管输至</w:t>
      </w:r>
      <w:r>
        <w:rPr>
          <w:rFonts w:hint="eastAsia" w:cs="Times New Roman"/>
          <w:color w:val="000000" w:themeColor="text1"/>
          <w:szCs w:val="24"/>
          <w:highlight w:val="none"/>
          <w14:textFill>
            <w14:solidFill>
              <w14:schemeClr w14:val="tx1"/>
            </w14:solidFill>
          </w14:textFill>
        </w:rPr>
        <w:t>普光3井回注站</w:t>
      </w:r>
      <w:r>
        <w:rPr>
          <w:rFonts w:cs="Times New Roman"/>
          <w:color w:val="000000" w:themeColor="text1"/>
          <w:szCs w:val="24"/>
          <w:highlight w:val="none"/>
          <w14:textFill>
            <w14:solidFill>
              <w14:schemeClr w14:val="tx1"/>
            </w14:solidFill>
          </w14:textFill>
        </w:rPr>
        <w:t>回注，不外排</w:t>
      </w:r>
      <w:r>
        <w:rPr>
          <w:rFonts w:cs="Times New Roman"/>
          <w:bCs/>
          <w:color w:val="000000" w:themeColor="text1"/>
          <w:szCs w:val="24"/>
          <w:highlight w:val="none"/>
          <w14:textFill>
            <w14:solidFill>
              <w14:schemeClr w14:val="tx1"/>
            </w14:solidFill>
          </w14:textFill>
        </w:rPr>
        <w:t>。本项目处理后回注的废水不计算总量，处理后外排的废水的总量纳入依托的废水处理设施总量指标。</w:t>
      </w:r>
    </w:p>
    <w:p>
      <w:pPr>
        <w:pStyle w:val="3"/>
        <w:spacing w:before="120"/>
        <w:rPr>
          <w:color w:val="000000" w:themeColor="text1"/>
          <w:highlight w:val="none"/>
          <w14:textFill>
            <w14:solidFill>
              <w14:schemeClr w14:val="tx1"/>
            </w14:solidFill>
          </w14:textFill>
        </w:rPr>
      </w:pPr>
      <w:bookmarkStart w:id="526" w:name="_Toc141445924"/>
      <w:bookmarkStart w:id="527" w:name="_Toc73976443"/>
      <w:bookmarkStart w:id="528" w:name="_Toc140941348"/>
      <w:bookmarkStart w:id="529" w:name="_Toc73980761"/>
      <w:bookmarkStart w:id="530" w:name="_Toc10909"/>
      <w:bookmarkStart w:id="531" w:name="_Toc154388414"/>
      <w:r>
        <w:rPr>
          <w:rFonts w:hint="eastAsia"/>
          <w:color w:val="000000" w:themeColor="text1"/>
          <w:highlight w:val="none"/>
          <w14:textFill>
            <w14:solidFill>
              <w14:schemeClr w14:val="tx1"/>
            </w14:solidFill>
          </w14:textFill>
        </w:rPr>
        <w:t>碳排放</w:t>
      </w:r>
      <w:bookmarkEnd w:id="526"/>
      <w:bookmarkEnd w:id="527"/>
      <w:bookmarkEnd w:id="528"/>
      <w:bookmarkEnd w:id="529"/>
      <w:r>
        <w:rPr>
          <w:rFonts w:hint="eastAsia"/>
          <w:color w:val="000000" w:themeColor="text1"/>
          <w:highlight w:val="none"/>
          <w14:textFill>
            <w14:solidFill>
              <w14:schemeClr w14:val="tx1"/>
            </w14:solidFill>
          </w14:textFill>
        </w:rPr>
        <w:t>建议</w:t>
      </w:r>
      <w:bookmarkEnd w:id="530"/>
      <w:bookmarkEnd w:id="531"/>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对气候变化事关国内国际两个大局，是参与全球治理、构建人类命运共同体的重要平台和实现高质量发展、建设生态文明的重要抓手，同时也是一项事关国计民生的现实任务。习近平总书记多次就应对气候变化问题做出重要指示，在多个国际场合阐述了应对气候变化对构建人类命运共同体的重要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为更好</w:t>
      </w:r>
      <w:r>
        <w:rPr>
          <w:rFonts w:hint="eastAsia"/>
          <w:color w:val="000000" w:themeColor="text1"/>
          <w:highlight w:val="none"/>
          <w:lang w:eastAsia="zh-CN"/>
          <w14:textFill>
            <w14:solidFill>
              <w14:schemeClr w14:val="tx1"/>
            </w14:solidFill>
          </w14:textFill>
        </w:rPr>
        <w:t>地</w:t>
      </w:r>
      <w:r>
        <w:rPr>
          <w:color w:val="000000" w:themeColor="text1"/>
          <w:highlight w:val="none"/>
          <w14:textFill>
            <w14:solidFill>
              <w14:schemeClr w14:val="tx1"/>
            </w14:solidFill>
          </w14:textFill>
        </w:rPr>
        <w:t>应对气候变化，聚焦绿色低碳发展，以二氧化碳排放达峰目标和中和愿景为导向﹐推动绿色低碳可持续发展﹐充分发挥央企重点企业带头作用，建设单位积极响应国家颁布的碳排放相关政策，在运营期间，建议条件允许的情况下，将井站检修事故废气点火后燃烧排放，大大减少甲烷所带来的温室效应，同时建议井场上尽可能使用网电发电，减少柴油机废气的产生</w:t>
      </w:r>
      <w:r>
        <w:rPr>
          <w:rFonts w:hint="eastAsia"/>
          <w:color w:val="000000" w:themeColor="text1"/>
          <w:highlight w:val="none"/>
          <w14:textFill>
            <w14:solidFill>
              <w14:schemeClr w14:val="tx1"/>
            </w14:solidFill>
          </w14:textFill>
        </w:rPr>
        <w:t>。</w:t>
      </w:r>
    </w:p>
    <w:p>
      <w:pPr>
        <w:ind w:firstLine="480"/>
        <w:rPr>
          <w:rFonts w:cs="Times New Roman"/>
          <w:color w:val="000000" w:themeColor="text1"/>
          <w:szCs w:val="24"/>
          <w:highlight w:val="none"/>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2"/>
        <w:rPr>
          <w:b/>
          <w:color w:val="000000" w:themeColor="text1"/>
          <w:highlight w:val="none"/>
          <w:lang w:eastAsia="zh-CN"/>
          <w14:textFill>
            <w14:solidFill>
              <w14:schemeClr w14:val="tx1"/>
            </w14:solidFill>
          </w14:textFill>
        </w:rPr>
      </w:pPr>
      <w:bookmarkStart w:id="532" w:name="_Toc23613"/>
      <w:r>
        <w:rPr>
          <w:color w:val="000000" w:themeColor="text1"/>
          <w:highlight w:val="none"/>
          <w:lang w:eastAsia="zh-CN"/>
          <w14:textFill>
            <w14:solidFill>
              <w14:schemeClr w14:val="tx1"/>
            </w14:solidFill>
          </w14:textFill>
        </w:rPr>
        <w:t>环境管理与环境监测</w:t>
      </w:r>
      <w:bookmarkEnd w:id="532"/>
    </w:p>
    <w:p>
      <w:pPr>
        <w:pStyle w:val="3"/>
        <w:spacing w:before="0" w:beforeLines="0"/>
        <w:rPr>
          <w:color w:val="000000" w:themeColor="text1"/>
          <w:highlight w:val="none"/>
          <w:lang w:eastAsia="zh-CN"/>
          <w14:textFill>
            <w14:solidFill>
              <w14:schemeClr w14:val="tx1"/>
            </w14:solidFill>
          </w14:textFill>
        </w:rPr>
      </w:pPr>
      <w:bookmarkStart w:id="533" w:name="8.1环境管理"/>
      <w:bookmarkEnd w:id="533"/>
      <w:bookmarkStart w:id="534" w:name="_bookmark39"/>
      <w:bookmarkEnd w:id="534"/>
      <w:bookmarkStart w:id="535" w:name="_Toc21873"/>
      <w:r>
        <w:rPr>
          <w:color w:val="000000" w:themeColor="text1"/>
          <w:highlight w:val="none"/>
          <w:lang w:eastAsia="zh-CN"/>
          <w14:textFill>
            <w14:solidFill>
              <w14:schemeClr w14:val="tx1"/>
            </w14:solidFill>
          </w14:textFill>
        </w:rPr>
        <w:t>环境管理</w:t>
      </w:r>
      <w:bookmarkEnd w:id="535"/>
    </w:p>
    <w:p>
      <w:pPr>
        <w:pStyle w:val="4"/>
        <w:spacing w:before="0" w:beforeLines="0"/>
        <w:ind w:firstLine="480"/>
        <w:rPr>
          <w:b/>
          <w:color w:val="000000" w:themeColor="text1"/>
          <w:highlight w:val="none"/>
          <w:lang w:eastAsia="zh-CN"/>
          <w14:textFill>
            <w14:solidFill>
              <w14:schemeClr w14:val="tx1"/>
            </w14:solidFill>
          </w14:textFill>
        </w:rPr>
      </w:pPr>
      <w:bookmarkStart w:id="536" w:name="8.1.1环境管理的目的和意义"/>
      <w:bookmarkEnd w:id="536"/>
      <w:bookmarkStart w:id="537" w:name="_Toc120173242"/>
      <w:r>
        <w:rPr>
          <w:color w:val="000000" w:themeColor="text1"/>
          <w:highlight w:val="none"/>
          <w:lang w:eastAsia="zh-CN"/>
          <w14:textFill>
            <w14:solidFill>
              <w14:schemeClr w14:val="tx1"/>
            </w14:solidFill>
          </w14:textFill>
        </w:rPr>
        <w:t>环境管理的目的和意义</w:t>
      </w:r>
      <w:bookmarkEnd w:id="537"/>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环境管理是协调经济、社会、环境有序发展的重要手段。环境管理就是以环境科学理论为基础，运用经济、法律、技术、行政、教育等手段去约束人类的社会经济活动，达到不超出环境容量的极限，又能满足人类日益增长的物质生活需要，并使经济发展与生态环境维持在相互可以接受的水平。实践证明，要解决好建设项目的环境问题，首先必须强化其环境管理。</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项目建成后应加强环境管理工作，按照国家的环保政策，建立环境管理制度，治理污染源，减少污染物的排放，最大限度地减少项目施工期和试采期对周围环境的不利影响，实现经济效益、社会效益和环境效益的统一。</w:t>
      </w:r>
    </w:p>
    <w:p>
      <w:pPr>
        <w:pStyle w:val="4"/>
        <w:spacing w:before="0" w:beforeLines="0"/>
        <w:ind w:firstLine="480"/>
        <w:rPr>
          <w:b/>
          <w:color w:val="000000" w:themeColor="text1"/>
          <w:highlight w:val="none"/>
          <w:lang w:eastAsia="zh-CN"/>
          <w14:textFill>
            <w14:solidFill>
              <w14:schemeClr w14:val="tx1"/>
            </w14:solidFill>
          </w14:textFill>
        </w:rPr>
      </w:pPr>
      <w:bookmarkStart w:id="538" w:name="8.1.2环境管理机构及职责"/>
      <w:bookmarkEnd w:id="538"/>
      <w:bookmarkStart w:id="539" w:name="_Toc120173243"/>
      <w:r>
        <w:rPr>
          <w:color w:val="000000" w:themeColor="text1"/>
          <w:highlight w:val="none"/>
          <w:lang w:eastAsia="zh-CN"/>
          <w14:textFill>
            <w14:solidFill>
              <w14:schemeClr w14:val="tx1"/>
            </w14:solidFill>
          </w14:textFill>
        </w:rPr>
        <w:t>施工期环境管理</w:t>
      </w:r>
      <w:bookmarkEnd w:id="539"/>
    </w:p>
    <w:p>
      <w:pPr>
        <w:ind w:firstLine="480"/>
        <w:rPr>
          <w:rFonts w:eastAsia="黑体" w:cs="Times New Roman"/>
          <w:color w:val="000000" w:themeColor="text1"/>
          <w:highlight w:val="none"/>
          <w14:textFill>
            <w14:solidFill>
              <w14:schemeClr w14:val="tx1"/>
            </w14:solidFill>
          </w14:textFill>
        </w:rPr>
      </w:pPr>
      <w:bookmarkStart w:id="540" w:name="8.1.4运营期环境管理"/>
      <w:bookmarkEnd w:id="540"/>
      <w:r>
        <w:rPr>
          <w:rFonts w:eastAsia="黑体" w:cs="Times New Roman"/>
          <w:color w:val="000000" w:themeColor="text1"/>
          <w:highlight w:val="none"/>
          <w14:textFill>
            <w14:solidFill>
              <w14:schemeClr w14:val="tx1"/>
            </w14:solidFill>
          </w14:textFill>
        </w:rPr>
        <w:t>1、建立有效的环保措施落实监督检查机制</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由于井场井站涉及钻前、钻井、压裂和试采运营四个阶段，建设单位应设专人负责监督不同施工单位在各自实施阶段过程中的环境保护工作，同时监督施工单位落实环境保护措施。在施工承包合同中，应该包括有关环境保护条款，如生态保护措施，水土保持措施，施工设备排放的废气、噪声控制措施和环境保护目标，环境监控措施，环保专项资金的落实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在钻井施工阶段重点监督检查如下环保措施：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1）泥浆不落地处理环保措施的执行和运行情况，确保措施有效、可靠、可行；</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2）按照环保设计和环评文件要求，监督检查废水、固废严禁外排措施的执行情况；</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3）监督检查环境风险防范措施、应急预案、应急演练、地下水跟踪监测计划等制度措施制定和执行情况。</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在储层改造阶段重点监督检查如下环保措施：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1）阶段取水，避免对当地水资源的占用影响当地河流水体生境；</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2）返排液收集、转运、处置措施执行情况；</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3）分区防渗措施可靠性情况，监督检查是否发生污染泄漏并及时整改。</w:t>
      </w:r>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2、建立有效的环境管理机构</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设方应设专人负责各作业单元HSE管理制度的贯彻执行，主要职责在于监督承包商履行承包合同，监督作业进程。制定作业环境保护规定。根据施工作业合同中有关环保要求和各作业特点，分别制定各项环保措施。如在施工过程中，要求在保证安全和顺利施工的情况下，减少对土地的征用及植被、作物的人为破坏，禁止猎杀野生动物；在车辆运输中，要事先确定路线，防止车辆油料及物料装运泄漏等。</w:t>
      </w:r>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3、建立完善的环保工作计划</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1）在施工前制定环境保护规划</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收集施工地区现有的自然生态环境、社会环境状况以及当地政府有关环境保护的法规等，作为制定规划的依据。重点考虑生态、野生动物、植物等。</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2）进行环境保护培训</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在施工前需对全体员工进行环境保护知识和环保意识培训，并结合施工计划提出具体的环保措施。</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3）紧急情况处理计划</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计划中要考虑施工中可能出现的紧急情况，并明确处理紧急情况的协调及提交相关的恢复措施报告。</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4）施工结束后的恢复计划</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施工前必须制定恢复计划，主要包括：收集所有的施工材料废弃物和生活废弃物、填实污水坑并用土压实，尽量恢复工区内的自然排水通道，营地</w:t>
      </w:r>
      <w:r>
        <w:rPr>
          <w:rFonts w:hint="eastAsia"/>
          <w:color w:val="000000" w:themeColor="text1"/>
          <w:highlight w:val="none"/>
          <w14:textFill>
            <w14:solidFill>
              <w14:schemeClr w14:val="tx1"/>
            </w14:solidFill>
          </w14:textFill>
        </w:rPr>
        <w:t>拆除</w:t>
      </w:r>
      <w:r>
        <w:rPr>
          <w:color w:val="000000" w:themeColor="text1"/>
          <w:highlight w:val="none"/>
          <w14:textFill>
            <w14:solidFill>
              <w14:schemeClr w14:val="tx1"/>
            </w14:solidFill>
          </w14:textFill>
        </w:rPr>
        <w:t>后不留废弃物品，并对现场作业环境和营地环境恢复情况进行回访等。</w:t>
      </w:r>
    </w:p>
    <w:p>
      <w:pPr>
        <w:pStyle w:val="4"/>
        <w:spacing w:before="0" w:beforeLines="0"/>
        <w:ind w:firstLine="480"/>
        <w:rPr>
          <w:b/>
          <w:color w:val="000000" w:themeColor="text1"/>
          <w:highlight w:val="none"/>
          <w:lang w:eastAsia="zh-CN"/>
          <w14:textFill>
            <w14:solidFill>
              <w14:schemeClr w14:val="tx1"/>
            </w14:solidFill>
          </w14:textFill>
        </w:rPr>
      </w:pPr>
      <w:bookmarkStart w:id="541" w:name="_Toc120173244"/>
      <w:r>
        <w:rPr>
          <w:color w:val="000000" w:themeColor="text1"/>
          <w:highlight w:val="none"/>
          <w:lang w:eastAsia="zh-CN"/>
          <w14:textFill>
            <w14:solidFill>
              <w14:schemeClr w14:val="tx1"/>
            </w14:solidFill>
          </w14:textFill>
        </w:rPr>
        <w:t>试采期环境管理</w:t>
      </w:r>
      <w:bookmarkEnd w:id="541"/>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1、加强环保设备的管理</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建立环保</w:t>
      </w:r>
      <w:r>
        <w:rPr>
          <w:rFonts w:hint="eastAsia"/>
          <w:color w:val="000000" w:themeColor="text1"/>
          <w:highlight w:val="none"/>
          <w14:textFill>
            <w14:solidFill>
              <w14:schemeClr w14:val="tx1"/>
            </w14:solidFill>
          </w14:textFill>
        </w:rPr>
        <w:t>设备台账</w:t>
      </w:r>
      <w:r>
        <w:rPr>
          <w:color w:val="000000" w:themeColor="text1"/>
          <w:highlight w:val="none"/>
          <w14:textFill>
            <w14:solidFill>
              <w14:schemeClr w14:val="tx1"/>
            </w14:solidFill>
          </w14:textFill>
        </w:rPr>
        <w:t>，制定主要环保设备的操作规程及安排专门操作人员，建立重点处理设备的“环保运行记录”等。</w:t>
      </w:r>
    </w:p>
    <w:p>
      <w:pPr>
        <w:ind w:firstLine="480"/>
        <w:rPr>
          <w:rFonts w:eastAsia="黑体" w:cs="Times New Roman"/>
          <w:color w:val="000000" w:themeColor="text1"/>
          <w:highlight w:val="none"/>
          <w14:textFill>
            <w14:solidFill>
              <w14:schemeClr w14:val="tx1"/>
            </w14:solidFill>
          </w14:textFill>
        </w:rPr>
      </w:pPr>
      <w:r>
        <w:rPr>
          <w:rFonts w:eastAsia="黑体" w:cs="Times New Roman"/>
          <w:color w:val="000000" w:themeColor="text1"/>
          <w:highlight w:val="none"/>
          <w14:textFill>
            <w14:solidFill>
              <w14:schemeClr w14:val="tx1"/>
            </w14:solidFill>
          </w14:textFill>
        </w:rPr>
        <w:t>2、落实管理制度</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除加强环保设备的基础管理外，尚需狠抓制度的落实，制定环保经济责任制考核制度，以提高各部门对环境保护的责任感。</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项目试采期，环境管理除做好监督与检查站场各项环保设施的运行和维护等工作外，工作重点应针对工艺装置或管线破裂后天然气泄漏着火爆炸、着火爆炸等重大事故的预防和处理上。重大环境污染事故不同于一般的环境污染，它没有固定的排放方式和排放途径，具有发生突然、危害严重、污染影响长远且难于完全消除等特点。为此，必须制定相应的事故预防措施、事故应急措施以及恢复补偿措施等。</w:t>
      </w:r>
    </w:p>
    <w:p>
      <w:pPr>
        <w:pStyle w:val="3"/>
        <w:spacing w:before="0" w:beforeLines="0"/>
        <w:rPr>
          <w:color w:val="000000" w:themeColor="text1"/>
          <w:highlight w:val="none"/>
          <w:lang w:eastAsia="zh-CN"/>
          <w14:textFill>
            <w14:solidFill>
              <w14:schemeClr w14:val="tx1"/>
            </w14:solidFill>
          </w14:textFill>
        </w:rPr>
      </w:pPr>
      <w:bookmarkStart w:id="542" w:name="_Toc11338"/>
      <w:r>
        <w:rPr>
          <w:color w:val="000000" w:themeColor="text1"/>
          <w:highlight w:val="none"/>
          <w:lang w:eastAsia="zh-CN"/>
          <w14:textFill>
            <w14:solidFill>
              <w14:schemeClr w14:val="tx1"/>
            </w14:solidFill>
          </w14:textFill>
        </w:rPr>
        <w:t>污染物排放清单</w:t>
      </w:r>
      <w:bookmarkEnd w:id="542"/>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根据《建设项目环境影</w:t>
      </w:r>
      <w:r>
        <w:rPr>
          <w:color w:val="000000" w:themeColor="text1"/>
          <w:highlight w:val="none"/>
          <w:lang w:eastAsia="zh-CN"/>
          <w14:textFill>
            <w14:solidFill>
              <w14:schemeClr w14:val="tx1"/>
            </w14:solidFill>
          </w14:textFill>
        </w:rPr>
        <w:t>响评价技术导则 总纲》（HJ2.1-2016）相关要求，</w:t>
      </w:r>
      <w:r>
        <w:rPr>
          <w:rFonts w:hint="eastAsia"/>
          <w:color w:val="000000" w:themeColor="text1"/>
          <w:highlight w:val="none"/>
          <w:lang w:eastAsia="zh-CN"/>
          <w14:textFill>
            <w14:solidFill>
              <w14:schemeClr w14:val="tx1"/>
            </w14:solidFill>
          </w14:textFill>
        </w:rPr>
        <w:t>建设项目</w:t>
      </w:r>
      <w:r>
        <w:rPr>
          <w:color w:val="000000" w:themeColor="text1"/>
          <w:highlight w:val="none"/>
          <w:lang w:eastAsia="zh-CN"/>
          <w14:textFill>
            <w14:solidFill>
              <w14:schemeClr w14:val="tx1"/>
            </w14:solidFill>
          </w14:textFill>
        </w:rPr>
        <w:t>应给出污染物排放清单，明确污染物排放的管理要求。包括工程组成及原辅材料组分要求，建设项</w:t>
      </w:r>
      <w:r>
        <w:rPr>
          <w:rFonts w:ascii="Times New Roman" w:hAnsi="Times New Roman"/>
          <w:bCs/>
          <w:color w:val="000000" w:themeColor="text1"/>
          <w:kern w:val="2"/>
          <w:highlight w:val="none"/>
          <w:lang w:eastAsia="zh-CN"/>
          <w14:textFill>
            <w14:solidFill>
              <w14:schemeClr w14:val="tx1"/>
            </w14:solidFill>
          </w14:textFill>
        </w:rPr>
        <w:t>目拟采取的环境保护措施及主要运行参数，排放的污染物种类、</w:t>
      </w:r>
      <w:r>
        <w:rPr>
          <w:rFonts w:hint="eastAsia" w:ascii="Times New Roman" w:hAnsi="Times New Roman"/>
          <w:bCs/>
          <w:color w:val="000000" w:themeColor="text1"/>
          <w:kern w:val="2"/>
          <w:highlight w:val="none"/>
          <w:lang w:eastAsia="zh-CN"/>
          <w14:textFill>
            <w14:solidFill>
              <w14:schemeClr w14:val="tx1"/>
            </w14:solidFill>
          </w14:textFill>
        </w:rPr>
        <w:t>排</w:t>
      </w:r>
      <w:r>
        <w:rPr>
          <w:rFonts w:ascii="Times New Roman" w:hAnsi="Times New Roman"/>
          <w:bCs/>
          <w:color w:val="000000" w:themeColor="text1"/>
          <w:kern w:val="2"/>
          <w:highlight w:val="none"/>
          <w:lang w:eastAsia="zh-CN"/>
          <w14:textFill>
            <w14:solidFill>
              <w14:schemeClr w14:val="tx1"/>
            </w14:solidFill>
          </w14:textFill>
        </w:rPr>
        <w:t>放浓度和总量指标，污染物排放的分时段要求，排污口信息，执行的环境标准，环境风险防范措施以及环境监测等。提出应向社会公开的信息内容。本项目污染物排放具体见</w:t>
      </w:r>
      <w:r>
        <w:rPr>
          <w:rFonts w:ascii="Times New Roman" w:hAnsi="Times New Roman"/>
          <w:bCs/>
          <w:color w:val="000000" w:themeColor="text1"/>
          <w:kern w:val="2"/>
          <w:highlight w:val="none"/>
          <w:lang w:eastAsia="zh-CN"/>
          <w14:textFill>
            <w14:solidFill>
              <w14:schemeClr w14:val="tx1"/>
            </w14:solidFill>
          </w14:textFill>
        </w:rPr>
        <w:fldChar w:fldCharType="begin"/>
      </w:r>
      <w:r>
        <w:rPr>
          <w:rFonts w:ascii="Times New Roman" w:hAnsi="Times New Roman"/>
          <w:bCs/>
          <w:color w:val="000000" w:themeColor="text1"/>
          <w:kern w:val="2"/>
          <w:highlight w:val="none"/>
          <w:lang w:eastAsia="zh-CN"/>
          <w14:textFill>
            <w14:solidFill>
              <w14:schemeClr w14:val="tx1"/>
            </w14:solidFill>
          </w14:textFill>
        </w:rPr>
        <w:instrText xml:space="preserve"> REF _Ref142859786 \h  \* MERGEFORMAT </w:instrText>
      </w:r>
      <w:r>
        <w:rPr>
          <w:rFonts w:ascii="Times New Roman" w:hAnsi="Times New Roman"/>
          <w:bCs/>
          <w:color w:val="000000" w:themeColor="text1"/>
          <w:kern w:val="2"/>
          <w:highlight w:val="none"/>
          <w:lang w:eastAsia="zh-CN"/>
          <w14:textFill>
            <w14:solidFill>
              <w14:schemeClr w14:val="tx1"/>
            </w14:solidFill>
          </w14:textFill>
        </w:rPr>
        <w:fldChar w:fldCharType="separate"/>
      </w:r>
      <w:r>
        <w:rPr>
          <w:rFonts w:hint="eastAsia" w:ascii="Times New Roman" w:hAnsi="Times New Roman"/>
          <w:bCs/>
          <w:color w:val="000000" w:themeColor="text1"/>
          <w:kern w:val="2"/>
          <w:highlight w:val="none"/>
          <w:lang w:eastAsia="zh-CN"/>
          <w14:textFill>
            <w14:solidFill>
              <w14:schemeClr w14:val="tx1"/>
            </w14:solidFill>
          </w14:textFill>
        </w:rPr>
        <w:t>表</w:t>
      </w:r>
      <w:r>
        <w:rPr>
          <w:rFonts w:ascii="Times New Roman" w:hAnsi="Times New Roman"/>
          <w:bCs/>
          <w:color w:val="000000" w:themeColor="text1"/>
          <w:kern w:val="2"/>
          <w:highlight w:val="none"/>
          <w:lang w:eastAsia="zh-CN"/>
          <w14:textFill>
            <w14:solidFill>
              <w14:schemeClr w14:val="tx1"/>
            </w14:solidFill>
          </w14:textFill>
        </w:rPr>
        <w:t>10.2</w:t>
      </w:r>
      <w:r>
        <w:rPr>
          <w:rFonts w:ascii="Times New Roman" w:hAnsi="Times New Roman"/>
          <w:bCs/>
          <w:color w:val="000000" w:themeColor="text1"/>
          <w:kern w:val="2"/>
          <w:highlight w:val="none"/>
          <w:lang w:eastAsia="zh-CN"/>
          <w14:textFill>
            <w14:solidFill>
              <w14:schemeClr w14:val="tx1"/>
            </w14:solidFill>
          </w14:textFill>
        </w:rPr>
        <w:noBreakHyphen/>
      </w:r>
      <w:r>
        <w:rPr>
          <w:rFonts w:ascii="Times New Roman" w:hAnsi="Times New Roman"/>
          <w:bCs/>
          <w:color w:val="000000" w:themeColor="text1"/>
          <w:kern w:val="2"/>
          <w:highlight w:val="none"/>
          <w:lang w:eastAsia="zh-CN"/>
          <w14:textFill>
            <w14:solidFill>
              <w14:schemeClr w14:val="tx1"/>
            </w14:solidFill>
          </w14:textFill>
        </w:rPr>
        <w:t>1</w:t>
      </w:r>
      <w:r>
        <w:rPr>
          <w:rFonts w:ascii="Times New Roman" w:hAnsi="Times New Roman"/>
          <w:bCs/>
          <w:color w:val="000000" w:themeColor="text1"/>
          <w:kern w:val="2"/>
          <w:highlight w:val="none"/>
          <w:lang w:eastAsia="zh-CN"/>
          <w14:textFill>
            <w14:solidFill>
              <w14:schemeClr w14:val="tx1"/>
            </w14:solidFill>
          </w14:textFill>
        </w:rPr>
        <w:fldChar w:fldCharType="end"/>
      </w:r>
      <w:r>
        <w:rPr>
          <w:rFonts w:ascii="Times New Roman" w:hAnsi="Times New Roman"/>
          <w:bCs/>
          <w:color w:val="000000" w:themeColor="text1"/>
          <w:kern w:val="2"/>
          <w:highlight w:val="none"/>
          <w:lang w:eastAsia="zh-CN"/>
          <w14:textFill>
            <w14:solidFill>
              <w14:schemeClr w14:val="tx1"/>
            </w14:solidFill>
          </w14:textFill>
        </w:rPr>
        <w:t>。</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p>
    <w:p>
      <w:pPr>
        <w:pStyle w:val="203"/>
        <w:spacing w:before="120"/>
        <w:rPr>
          <w:color w:val="000000" w:themeColor="text1"/>
          <w:highlight w:val="none"/>
          <w14:textFill>
            <w14:solidFill>
              <w14:schemeClr w14:val="tx1"/>
            </w14:solidFill>
          </w14:textFill>
        </w:rPr>
      </w:pPr>
      <w:bookmarkStart w:id="543" w:name="_Ref142859786"/>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10.2</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543"/>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本项目污染物排放清单一览表</w:t>
      </w:r>
    </w:p>
    <w:tbl>
      <w:tblPr>
        <w:tblStyle w:val="54"/>
        <w:tblW w:w="1332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2"/>
        <w:gridCol w:w="1418"/>
        <w:gridCol w:w="1276"/>
        <w:gridCol w:w="881"/>
        <w:gridCol w:w="801"/>
        <w:gridCol w:w="970"/>
        <w:gridCol w:w="3726"/>
        <w:gridCol w:w="851"/>
        <w:gridCol w:w="2268"/>
        <w:gridCol w:w="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Header/>
          <w:jc w:val="center"/>
        </w:trPr>
        <w:tc>
          <w:tcPr>
            <w:tcW w:w="56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w:t>
            </w:r>
            <w:r>
              <w:rPr>
                <w:b/>
                <w:bCs/>
                <w:color w:val="000000" w:themeColor="text1"/>
                <w:w w:val="99"/>
                <w:highlight w:val="none"/>
                <w14:textFill>
                  <w14:solidFill>
                    <w14:schemeClr w14:val="tx1"/>
                  </w14:solidFill>
                </w14:textFill>
              </w:rPr>
              <w:t>物</w:t>
            </w:r>
          </w:p>
        </w:tc>
        <w:tc>
          <w:tcPr>
            <w:tcW w:w="2694" w:type="dxa"/>
            <w:gridSpan w:val="2"/>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污染物种类</w:t>
            </w:r>
          </w:p>
        </w:tc>
        <w:tc>
          <w:tcPr>
            <w:tcW w:w="88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排放浓度mg/m</w:t>
            </w:r>
            <w:r>
              <w:rPr>
                <w:b/>
                <w:bCs/>
                <w:color w:val="000000" w:themeColor="text1"/>
                <w:highlight w:val="none"/>
                <w:vertAlign w:val="superscript"/>
                <w14:textFill>
                  <w14:solidFill>
                    <w14:schemeClr w14:val="tx1"/>
                  </w14:solidFill>
                </w14:textFill>
              </w:rPr>
              <w:t>3</w:t>
            </w:r>
          </w:p>
        </w:tc>
        <w:tc>
          <w:tcPr>
            <w:tcW w:w="80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排放速率kg/h</w:t>
            </w:r>
          </w:p>
        </w:tc>
        <w:tc>
          <w:tcPr>
            <w:tcW w:w="970"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排放量t/a</w:t>
            </w:r>
          </w:p>
        </w:tc>
        <w:tc>
          <w:tcPr>
            <w:tcW w:w="3726"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环保措施</w:t>
            </w:r>
          </w:p>
        </w:tc>
        <w:tc>
          <w:tcPr>
            <w:tcW w:w="851"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运行参数</w:t>
            </w:r>
          </w:p>
        </w:tc>
        <w:tc>
          <w:tcPr>
            <w:tcW w:w="2268" w:type="dxa"/>
            <w:vAlign w:val="center"/>
          </w:tcPr>
          <w:p>
            <w:pPr>
              <w:pStyle w:val="297"/>
              <w:rPr>
                <w:b/>
                <w:bCs/>
                <w:color w:val="000000" w:themeColor="text1"/>
                <w:highlight w:val="none"/>
                <w14:textFill>
                  <w14:solidFill>
                    <w14:schemeClr w14:val="tx1"/>
                  </w14:solidFill>
                </w14:textFill>
              </w:rPr>
            </w:pPr>
            <w:r>
              <w:rPr>
                <w:b/>
                <w:bCs/>
                <w:color w:val="000000" w:themeColor="text1"/>
                <w:spacing w:val="-4"/>
                <w:highlight w:val="none"/>
                <w14:textFill>
                  <w14:solidFill>
                    <w14:schemeClr w14:val="tx1"/>
                  </w14:solidFill>
                </w14:textFill>
              </w:rPr>
              <w:t>处理效果、执行标准或拟达</w:t>
            </w:r>
            <w:r>
              <w:rPr>
                <w:b/>
                <w:bCs/>
                <w:color w:val="000000" w:themeColor="text1"/>
                <w:highlight w:val="none"/>
                <w14:textFill>
                  <w14:solidFill>
                    <w14:schemeClr w14:val="tx1"/>
                  </w14:solidFill>
                </w14:textFill>
              </w:rPr>
              <w:t>要求</w:t>
            </w:r>
          </w:p>
        </w:tc>
        <w:tc>
          <w:tcPr>
            <w:tcW w:w="572" w:type="dxa"/>
            <w:vAlign w:val="center"/>
          </w:tcPr>
          <w:p>
            <w:pPr>
              <w:pStyle w:val="297"/>
              <w:rPr>
                <w:b/>
                <w:bCs/>
                <w:color w:val="000000" w:themeColor="text1"/>
                <w:highlight w:val="none"/>
                <w14:textFill>
                  <w14:solidFill>
                    <w14:schemeClr w14:val="tx1"/>
                  </w14:solidFill>
                </w14:textFill>
              </w:rPr>
            </w:pPr>
            <w:r>
              <w:rPr>
                <w:b/>
                <w:bCs/>
                <w:color w:val="000000" w:themeColor="text1"/>
                <w:highlight w:val="none"/>
                <w14:textFill>
                  <w14:solidFill>
                    <w14:schemeClr w14:val="tx1"/>
                  </w14:solidFill>
                </w14:textFill>
              </w:rPr>
              <w:t>总量控制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大气污染物</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施工扬尘</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position w:val="2"/>
                <w:highlight w:val="none"/>
                <w14:textFill>
                  <w14:solidFill>
                    <w14:schemeClr w14:val="tx1"/>
                  </w14:solidFill>
                </w14:textFill>
              </w:rPr>
              <w:t>TSP</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372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定期洒水抑尘</w:t>
            </w:r>
          </w:p>
        </w:tc>
        <w:tc>
          <w:tcPr>
            <w:tcW w:w="8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施工期，白天</w:t>
            </w:r>
          </w:p>
        </w:tc>
        <w:tc>
          <w:tcPr>
            <w:tcW w:w="226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对周围环境影响很小</w:t>
            </w: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施工机械和运输车辆尾气、压裂作业废气</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CO、NOx等</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3726" w:type="dxa"/>
            <w:tcBorders>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选用尾气排放达标机械车辆，加强保养维护</w:t>
            </w:r>
          </w:p>
        </w:tc>
        <w:tc>
          <w:tcPr>
            <w:tcW w:w="851"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施工期，白天</w:t>
            </w:r>
          </w:p>
        </w:tc>
        <w:tc>
          <w:tcPr>
            <w:tcW w:w="2268" w:type="dxa"/>
            <w:tcBorders>
              <w:top w:val="single" w:color="auto" w:sz="4" w:space="0"/>
              <w:left w:val="single" w:color="auto" w:sz="4" w:space="0"/>
              <w:bottom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对周围环境影响很小</w:t>
            </w:r>
          </w:p>
        </w:tc>
        <w:tc>
          <w:tcPr>
            <w:tcW w:w="572" w:type="dxa"/>
            <w:tcBorders>
              <w:lef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无组织挥发性废气</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无组织挥发性有机物</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3726" w:type="dxa"/>
            <w:tcBorders>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51" w:type="dxa"/>
            <w:tcBorders>
              <w:top w:val="single" w:color="auto" w:sz="4" w:space="0"/>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钻井期</w:t>
            </w:r>
          </w:p>
        </w:tc>
        <w:tc>
          <w:tcPr>
            <w:tcW w:w="2268" w:type="dxa"/>
            <w:tcBorders>
              <w:top w:val="single" w:color="auto" w:sz="4" w:space="0"/>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满足《陆上石油天然气开采工业大气污染物排放标准》（GB39728—2020）要求</w:t>
            </w:r>
          </w:p>
        </w:tc>
        <w:tc>
          <w:tcPr>
            <w:tcW w:w="572" w:type="dxa"/>
            <w:tcBorders>
              <w:lef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备用柴油发电机尾气</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NOx</w:t>
            </w:r>
          </w:p>
        </w:tc>
        <w:tc>
          <w:tcPr>
            <w:tcW w:w="8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150</w:t>
            </w:r>
          </w:p>
        </w:tc>
        <w:tc>
          <w:tcPr>
            <w:tcW w:w="8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1.17</w:t>
            </w:r>
          </w:p>
        </w:tc>
        <w:tc>
          <w:tcPr>
            <w:tcW w:w="970"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3726" w:type="dxa"/>
            <w:vMerge w:val="restart"/>
            <w:tcBorders>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自带消烟除尘装置处理后经6m高排气筒排放</w:t>
            </w:r>
          </w:p>
        </w:tc>
        <w:tc>
          <w:tcPr>
            <w:tcW w:w="851" w:type="dxa"/>
            <w:vMerge w:val="restart"/>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偶尔</w:t>
            </w:r>
          </w:p>
        </w:tc>
        <w:tc>
          <w:tcPr>
            <w:tcW w:w="2268" w:type="dxa"/>
            <w:vMerge w:val="restart"/>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对周围环境影响很小</w:t>
            </w:r>
          </w:p>
        </w:tc>
        <w:tc>
          <w:tcPr>
            <w:tcW w:w="572" w:type="dxa"/>
            <w:vMerge w:val="restart"/>
            <w:tcBorders>
              <w:lef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SO</w:t>
            </w:r>
            <w:r>
              <w:rPr>
                <w:color w:val="000000" w:themeColor="text1"/>
                <w:highlight w:val="none"/>
                <w:vertAlign w:val="subscript"/>
                <w14:textFill>
                  <w14:solidFill>
                    <w14:schemeClr w14:val="tx1"/>
                  </w14:solidFill>
                </w14:textFill>
              </w:rPr>
              <w:t>2</w:t>
            </w:r>
          </w:p>
        </w:tc>
        <w:tc>
          <w:tcPr>
            <w:tcW w:w="8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1.0</w:t>
            </w:r>
          </w:p>
        </w:tc>
        <w:tc>
          <w:tcPr>
            <w:tcW w:w="8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0.008</w:t>
            </w:r>
          </w:p>
        </w:tc>
        <w:tc>
          <w:tcPr>
            <w:tcW w:w="970"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3726" w:type="dxa"/>
            <w:vMerge w:val="continue"/>
            <w:tcBorders>
              <w:right w:val="single" w:color="auto" w:sz="4" w:space="0"/>
            </w:tcBorders>
            <w:vAlign w:val="center"/>
          </w:tcPr>
          <w:p>
            <w:pPr>
              <w:pStyle w:val="297"/>
              <w:rPr>
                <w:color w:val="000000" w:themeColor="text1"/>
                <w:highlight w:val="none"/>
                <w14:textFill>
                  <w14:solidFill>
                    <w14:schemeClr w14:val="tx1"/>
                  </w14:solidFill>
                </w14:textFill>
              </w:rPr>
            </w:pPr>
          </w:p>
        </w:tc>
        <w:tc>
          <w:tcPr>
            <w:tcW w:w="851" w:type="dxa"/>
            <w:vMerge w:val="continue"/>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p>
        </w:tc>
        <w:tc>
          <w:tcPr>
            <w:tcW w:w="2268" w:type="dxa"/>
            <w:vMerge w:val="continue"/>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p>
        </w:tc>
        <w:tc>
          <w:tcPr>
            <w:tcW w:w="572" w:type="dxa"/>
            <w:vMerge w:val="continue"/>
            <w:tcBorders>
              <w:left w:val="single" w:color="auto" w:sz="4" w:space="0"/>
            </w:tcBorders>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TSP</w:t>
            </w:r>
          </w:p>
        </w:tc>
        <w:tc>
          <w:tcPr>
            <w:tcW w:w="88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41</w:t>
            </w:r>
          </w:p>
        </w:tc>
        <w:tc>
          <w:tcPr>
            <w:tcW w:w="8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0.33</w:t>
            </w:r>
          </w:p>
        </w:tc>
        <w:tc>
          <w:tcPr>
            <w:tcW w:w="970"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3726" w:type="dxa"/>
            <w:vMerge w:val="continue"/>
            <w:tcBorders>
              <w:right w:val="single" w:color="auto" w:sz="4" w:space="0"/>
            </w:tcBorders>
            <w:vAlign w:val="center"/>
          </w:tcPr>
          <w:p>
            <w:pPr>
              <w:pStyle w:val="297"/>
              <w:rPr>
                <w:color w:val="000000" w:themeColor="text1"/>
                <w:highlight w:val="none"/>
                <w14:textFill>
                  <w14:solidFill>
                    <w14:schemeClr w14:val="tx1"/>
                  </w14:solidFill>
                </w14:textFill>
              </w:rPr>
            </w:pPr>
          </w:p>
        </w:tc>
        <w:tc>
          <w:tcPr>
            <w:tcW w:w="851" w:type="dxa"/>
            <w:vMerge w:val="continue"/>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p>
        </w:tc>
        <w:tc>
          <w:tcPr>
            <w:tcW w:w="2268" w:type="dxa"/>
            <w:vMerge w:val="continue"/>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p>
        </w:tc>
        <w:tc>
          <w:tcPr>
            <w:tcW w:w="572" w:type="dxa"/>
            <w:vMerge w:val="continue"/>
            <w:tcBorders>
              <w:left w:val="single" w:color="auto" w:sz="4" w:space="0"/>
            </w:tcBorders>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restart"/>
            <w:vAlign w:val="center"/>
          </w:tcPr>
          <w:p>
            <w:pPr>
              <w:pStyle w:val="297"/>
              <w:rPr>
                <w:color w:val="000000" w:themeColor="text1"/>
                <w:highlight w:val="none"/>
                <w14:textFill>
                  <w14:solidFill>
                    <w14:schemeClr w14:val="tx1"/>
                  </w14:solidFill>
                </w14:textFill>
              </w:rPr>
            </w:pPr>
            <w:r>
              <w:rPr>
                <w:color w:val="000000" w:themeColor="text1"/>
                <w14:textFill>
                  <w14:solidFill>
                    <w14:schemeClr w14:val="tx1"/>
                  </w14:solidFill>
                </w14:textFill>
              </w:rPr>
              <w:t>加热炉、火炬长明灯等燃烧产生的烟气</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881" w:type="dxa"/>
            <w:vAlign w:val="center"/>
          </w:tcPr>
          <w:p>
            <w:pPr>
              <w:ind w:firstLine="474" w:firstLineChars="200"/>
              <w:jc w:val="center"/>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ind w:firstLine="474" w:firstLineChars="200"/>
              <w:jc w:val="center"/>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ind w:firstLine="474" w:firstLineChars="200"/>
              <w:jc w:val="center"/>
              <w:rPr>
                <w:color w:val="000000" w:themeColor="text1"/>
                <w:w w:val="99"/>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3726" w:type="dxa"/>
            <w:vMerge w:val="restart"/>
            <w:tcBorders>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14:textFill>
                  <w14:solidFill>
                    <w14:schemeClr w14:val="tx1"/>
                  </w14:solidFill>
                </w14:textFill>
              </w:rPr>
              <w:t>水套加热炉燃烧废气通过自带8m高排气筒排放；火炬长明灯等燃烧产生的烟气经55m高放空火炬点火燃烧排放</w:t>
            </w:r>
          </w:p>
        </w:tc>
        <w:tc>
          <w:tcPr>
            <w:tcW w:w="851" w:type="dxa"/>
            <w:vMerge w:val="restart"/>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14:textFill>
                  <w14:solidFill>
                    <w14:schemeClr w14:val="tx1"/>
                  </w14:solidFill>
                </w14:textFill>
              </w:rPr>
              <w:t>全年</w:t>
            </w:r>
          </w:p>
        </w:tc>
        <w:tc>
          <w:tcPr>
            <w:tcW w:w="2268" w:type="dxa"/>
            <w:vMerge w:val="restart"/>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14:textFill>
                  <w14:solidFill>
                    <w14:schemeClr w14:val="tx1"/>
                  </w14:solidFill>
                </w14:textFill>
              </w:rPr>
              <w:t>《锅炉大气污染物排放标准》（GB13271-2014）与《大气污染物综合排放标准》（GB16297-1996）</w:t>
            </w:r>
          </w:p>
        </w:tc>
        <w:tc>
          <w:tcPr>
            <w:tcW w:w="572" w:type="dxa"/>
            <w:vMerge w:val="restart"/>
            <w:tcBorders>
              <w:left w:val="single" w:color="auto" w:sz="4" w:space="0"/>
            </w:tcBorders>
            <w:vAlign w:val="center"/>
          </w:tcPr>
          <w:p>
            <w:pPr>
              <w:pStyle w:val="297"/>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14:textFill>
                  <w14:solidFill>
                    <w14:schemeClr w14:val="tx1"/>
                  </w14:solidFill>
                </w14:textFill>
              </w:rPr>
              <w:t>NOx</w:t>
            </w:r>
          </w:p>
        </w:tc>
        <w:tc>
          <w:tcPr>
            <w:tcW w:w="881" w:type="dxa"/>
            <w:vAlign w:val="center"/>
          </w:tcPr>
          <w:p>
            <w:pPr>
              <w:ind w:firstLine="474" w:firstLineChars="200"/>
              <w:jc w:val="center"/>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ind w:firstLine="474" w:firstLineChars="200"/>
              <w:jc w:val="center"/>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ind w:firstLine="474" w:firstLineChars="200"/>
              <w:jc w:val="center"/>
              <w:rPr>
                <w:color w:val="000000" w:themeColor="text1"/>
                <w:w w:val="99"/>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3726" w:type="dxa"/>
            <w:vMerge w:val="continue"/>
            <w:tcBorders>
              <w:right w:val="single" w:color="auto" w:sz="4" w:space="0"/>
            </w:tcBorders>
            <w:vAlign w:val="center"/>
          </w:tcPr>
          <w:p>
            <w:pPr>
              <w:pStyle w:val="297"/>
              <w:rPr>
                <w:color w:val="000000" w:themeColor="text1"/>
                <w:highlight w:val="none"/>
                <w14:textFill>
                  <w14:solidFill>
                    <w14:schemeClr w14:val="tx1"/>
                  </w14:solidFill>
                </w14:textFill>
              </w:rPr>
            </w:pPr>
          </w:p>
        </w:tc>
        <w:tc>
          <w:tcPr>
            <w:tcW w:w="851" w:type="dxa"/>
            <w:vMerge w:val="continue"/>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p>
        </w:tc>
        <w:tc>
          <w:tcPr>
            <w:tcW w:w="2268" w:type="dxa"/>
            <w:vMerge w:val="continue"/>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p>
        </w:tc>
        <w:tc>
          <w:tcPr>
            <w:tcW w:w="572" w:type="dxa"/>
            <w:vMerge w:val="continue"/>
            <w:tcBorders>
              <w:left w:val="single" w:color="auto" w:sz="4" w:space="0"/>
            </w:tcBorders>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非正常工况放空废气</w:t>
            </w:r>
          </w:p>
        </w:tc>
        <w:tc>
          <w:tcPr>
            <w:tcW w:w="1276"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非甲烷总烃</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少量</w:t>
            </w:r>
            <w:r>
              <w:rPr>
                <w:rFonts w:hint="eastAsia"/>
                <w:bCs/>
                <w:color w:val="000000" w:themeColor="text1"/>
                <w:szCs w:val="21"/>
                <w:highlight w:val="none"/>
                <w14:textFill>
                  <w14:solidFill>
                    <w14:schemeClr w14:val="tx1"/>
                  </w14:solidFill>
                </w14:textFill>
              </w:rPr>
              <w:t>（</w:t>
            </w:r>
            <w:r>
              <w:rPr>
                <w:color w:val="000000" w:themeColor="text1"/>
                <w:highlight w:val="none"/>
                <w14:textFill>
                  <w14:solidFill>
                    <w14:schemeClr w14:val="tx1"/>
                  </w14:solidFill>
                </w14:textFill>
              </w:rPr>
              <w:t>NOx</w:t>
            </w:r>
            <w:r>
              <w:rPr>
                <w:rFonts w:hint="eastAsia"/>
                <w:bCs/>
                <w:color w:val="000000" w:themeColor="text1"/>
                <w:szCs w:val="21"/>
                <w:highlight w:val="none"/>
                <w14:textFill>
                  <w14:solidFill>
                    <w14:schemeClr w14:val="tx1"/>
                  </w14:solidFill>
                </w14:textFill>
              </w:rPr>
              <w:t>）</w:t>
            </w:r>
          </w:p>
        </w:tc>
        <w:tc>
          <w:tcPr>
            <w:tcW w:w="3726" w:type="dxa"/>
            <w:tcBorders>
              <w:right w:val="single" w:color="auto" w:sz="4" w:space="0"/>
            </w:tcBorders>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引至放空火炬燃烧排放</w:t>
            </w:r>
          </w:p>
        </w:tc>
        <w:tc>
          <w:tcPr>
            <w:tcW w:w="851" w:type="dxa"/>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偶尔</w:t>
            </w:r>
          </w:p>
        </w:tc>
        <w:tc>
          <w:tcPr>
            <w:tcW w:w="2268" w:type="dxa"/>
            <w:tcBorders>
              <w:left w:val="single" w:color="auto" w:sz="4" w:space="0"/>
              <w:righ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《大气污染物综合排放标准》（GB16297-1996）</w:t>
            </w:r>
          </w:p>
        </w:tc>
        <w:tc>
          <w:tcPr>
            <w:tcW w:w="572" w:type="dxa"/>
            <w:tcBorders>
              <w:left w:val="single" w:color="auto" w:sz="4" w:space="0"/>
            </w:tcBorders>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水污染物</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钻井废水</w:t>
            </w:r>
          </w:p>
        </w:tc>
        <w:tc>
          <w:tcPr>
            <w:tcW w:w="1276"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石油类、悬浮物、COD及氯化物等</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1331</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3726"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约90%回用于区块内钻井或压裂液配置，剩余的转运预处理后回注</w:t>
            </w:r>
          </w:p>
        </w:tc>
        <w:tc>
          <w:tcPr>
            <w:tcW w:w="851"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钻井期定期转运</w:t>
            </w:r>
          </w:p>
        </w:tc>
        <w:tc>
          <w:tcPr>
            <w:tcW w:w="2268"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污水全部回用或回注</w:t>
            </w: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洗井废水</w:t>
            </w:r>
          </w:p>
        </w:tc>
        <w:tc>
          <w:tcPr>
            <w:tcW w:w="1276" w:type="dxa"/>
            <w:vMerge w:val="continue"/>
            <w:vAlign w:val="center"/>
          </w:tcPr>
          <w:p>
            <w:pPr>
              <w:pStyle w:val="297"/>
              <w:rPr>
                <w:color w:val="000000" w:themeColor="text1"/>
                <w:highlight w:val="none"/>
                <w14:textFill>
                  <w14:solidFill>
                    <w14:schemeClr w14:val="tx1"/>
                  </w14:solidFill>
                </w14:textFill>
              </w:rPr>
            </w:pP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w:t>
            </w:r>
            <w:r>
              <w:rPr>
                <w:color w:val="000000" w:themeColor="text1"/>
                <w:highlight w:val="none"/>
                <w14:textFill>
                  <w14:solidFill>
                    <w14:schemeClr w14:val="tx1"/>
                  </w14:solidFill>
                </w14:textFill>
              </w:rPr>
              <w:t>00m</w:t>
            </w:r>
            <w:r>
              <w:rPr>
                <w:color w:val="000000" w:themeColor="text1"/>
                <w:highlight w:val="none"/>
                <w:vertAlign w:val="superscript"/>
                <w14:textFill>
                  <w14:solidFill>
                    <w14:schemeClr w14:val="tx1"/>
                  </w14:solidFill>
                </w14:textFill>
              </w:rPr>
              <w:t>3</w:t>
            </w:r>
          </w:p>
        </w:tc>
        <w:tc>
          <w:tcPr>
            <w:tcW w:w="3726" w:type="dxa"/>
            <w:vMerge w:val="continue"/>
            <w:vAlign w:val="center"/>
          </w:tcPr>
          <w:p>
            <w:pPr>
              <w:pStyle w:val="297"/>
              <w:rPr>
                <w:color w:val="000000" w:themeColor="text1"/>
                <w:highlight w:val="none"/>
                <w14:textFill>
                  <w14:solidFill>
                    <w14:schemeClr w14:val="tx1"/>
                  </w14:solidFill>
                </w14:textFill>
              </w:rPr>
            </w:pPr>
          </w:p>
        </w:tc>
        <w:tc>
          <w:tcPr>
            <w:tcW w:w="851" w:type="dxa"/>
            <w:vMerge w:val="continue"/>
            <w:vAlign w:val="center"/>
          </w:tcPr>
          <w:p>
            <w:pPr>
              <w:pStyle w:val="297"/>
              <w:rPr>
                <w:color w:val="000000" w:themeColor="text1"/>
                <w:w w:val="99"/>
                <w:highlight w:val="none"/>
                <w14:textFill>
                  <w14:solidFill>
                    <w14:schemeClr w14:val="tx1"/>
                  </w14:solidFill>
                </w14:textFill>
              </w:rPr>
            </w:pPr>
          </w:p>
        </w:tc>
        <w:tc>
          <w:tcPr>
            <w:tcW w:w="2268" w:type="dxa"/>
            <w:vMerge w:val="continue"/>
            <w:vAlign w:val="center"/>
          </w:tcPr>
          <w:p>
            <w:pPr>
              <w:pStyle w:val="297"/>
              <w:rPr>
                <w:color w:val="000000" w:themeColor="text1"/>
                <w:highlight w:val="none"/>
                <w14:textFill>
                  <w14:solidFill>
                    <w14:schemeClr w14:val="tx1"/>
                  </w14:solidFill>
                </w14:textFill>
              </w:rPr>
            </w:pP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压裂返排液</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石油类、悬浮物、COD等</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750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3726" w:type="dxa"/>
            <w:vMerge w:val="continue"/>
            <w:vAlign w:val="center"/>
          </w:tcPr>
          <w:p>
            <w:pPr>
              <w:pStyle w:val="297"/>
              <w:rPr>
                <w:color w:val="000000" w:themeColor="text1"/>
                <w:highlight w:val="none"/>
                <w14:textFill>
                  <w14:solidFill>
                    <w14:schemeClr w14:val="tx1"/>
                  </w14:solidFill>
                </w14:textFill>
              </w:rPr>
            </w:pPr>
          </w:p>
        </w:tc>
        <w:tc>
          <w:tcPr>
            <w:tcW w:w="851" w:type="dxa"/>
            <w:vMerge w:val="continue"/>
            <w:vAlign w:val="center"/>
          </w:tcPr>
          <w:p>
            <w:pPr>
              <w:pStyle w:val="297"/>
              <w:rPr>
                <w:color w:val="000000" w:themeColor="text1"/>
                <w:w w:val="99"/>
                <w:highlight w:val="none"/>
                <w14:textFill>
                  <w14:solidFill>
                    <w14:schemeClr w14:val="tx1"/>
                  </w14:solidFill>
                </w14:textFill>
              </w:rPr>
            </w:pPr>
          </w:p>
        </w:tc>
        <w:tc>
          <w:tcPr>
            <w:tcW w:w="2268" w:type="dxa"/>
            <w:vMerge w:val="continue"/>
            <w:vAlign w:val="center"/>
          </w:tcPr>
          <w:p>
            <w:pPr>
              <w:pStyle w:val="297"/>
              <w:rPr>
                <w:color w:val="000000" w:themeColor="text1"/>
                <w:highlight w:val="none"/>
                <w14:textFill>
                  <w14:solidFill>
                    <w14:schemeClr w14:val="tx1"/>
                  </w14:solidFill>
                </w14:textFill>
              </w:rPr>
            </w:pP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钻井生活污水</w:t>
            </w:r>
          </w:p>
        </w:tc>
        <w:tc>
          <w:tcPr>
            <w:tcW w:w="1276"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COD</w:t>
            </w:r>
            <w:r>
              <w:rPr>
                <w:color w:val="000000" w:themeColor="text1"/>
                <w:highlight w:val="none"/>
                <w:vertAlign w:val="subscript"/>
                <w14:textFill>
                  <w14:solidFill>
                    <w14:schemeClr w14:val="tx1"/>
                  </w14:solidFill>
                </w14:textFill>
              </w:rPr>
              <w:t>Cr</w:t>
            </w:r>
            <w:r>
              <w:rPr>
                <w:color w:val="000000" w:themeColor="text1"/>
                <w:highlight w:val="none"/>
                <w14:textFill>
                  <w14:solidFill>
                    <w14:schemeClr w14:val="tx1"/>
                  </w14:solidFill>
                </w14:textFill>
              </w:rPr>
              <w:t>、BOD</w:t>
            </w:r>
            <w:r>
              <w:rPr>
                <w:color w:val="000000" w:themeColor="text1"/>
                <w:highlight w:val="none"/>
                <w:vertAlign w:val="subscript"/>
                <w14:textFill>
                  <w14:solidFill>
                    <w14:schemeClr w14:val="tx1"/>
                  </w14:solidFill>
                </w14:textFill>
              </w:rPr>
              <w:t>5</w:t>
            </w:r>
            <w:r>
              <w:rPr>
                <w:color w:val="000000" w:themeColor="text1"/>
                <w:highlight w:val="none"/>
                <w14:textFill>
                  <w14:solidFill>
                    <w14:schemeClr w14:val="tx1"/>
                  </w14:solidFill>
                </w14:textFill>
              </w:rPr>
              <w:t>、SS等</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2.88m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生活污水经生态厕所收集后定期由密闭罐车拉运至周边生活污水处理厂处理</w:t>
            </w:r>
          </w:p>
        </w:tc>
        <w:tc>
          <w:tcPr>
            <w:tcW w:w="851" w:type="dxa"/>
            <w:vMerge w:val="continue"/>
            <w:vAlign w:val="center"/>
          </w:tcPr>
          <w:p>
            <w:pPr>
              <w:pStyle w:val="297"/>
              <w:rPr>
                <w:color w:val="000000" w:themeColor="text1"/>
                <w:w w:val="99"/>
                <w:highlight w:val="none"/>
                <w14:textFill>
                  <w14:solidFill>
                    <w14:schemeClr w14:val="tx1"/>
                  </w14:solidFill>
                </w14:textFill>
              </w:rPr>
            </w:pPr>
          </w:p>
        </w:tc>
        <w:tc>
          <w:tcPr>
            <w:tcW w:w="2268"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有效收集处理，无乱排</w:t>
            </w: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钻前生活污水</w:t>
            </w:r>
          </w:p>
        </w:tc>
        <w:tc>
          <w:tcPr>
            <w:tcW w:w="1276" w:type="dxa"/>
            <w:vMerge w:val="continue"/>
            <w:vAlign w:val="center"/>
          </w:tcPr>
          <w:p>
            <w:pPr>
              <w:pStyle w:val="297"/>
              <w:rPr>
                <w:color w:val="000000" w:themeColor="text1"/>
                <w:highlight w:val="none"/>
                <w14:textFill>
                  <w14:solidFill>
                    <w14:schemeClr w14:val="tx1"/>
                  </w14:solidFill>
                </w14:textFill>
              </w:rPr>
            </w:pP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利用农户已有的设施进行收集处置</w:t>
            </w:r>
          </w:p>
        </w:tc>
        <w:tc>
          <w:tcPr>
            <w:tcW w:w="851" w:type="dxa"/>
            <w:vMerge w:val="continue"/>
            <w:vAlign w:val="center"/>
          </w:tcPr>
          <w:p>
            <w:pPr>
              <w:pStyle w:val="297"/>
              <w:rPr>
                <w:color w:val="000000" w:themeColor="text1"/>
                <w:w w:val="99"/>
                <w:highlight w:val="none"/>
                <w14:textFill>
                  <w14:solidFill>
                    <w14:schemeClr w14:val="tx1"/>
                  </w14:solidFill>
                </w14:textFill>
              </w:rPr>
            </w:pPr>
          </w:p>
        </w:tc>
        <w:tc>
          <w:tcPr>
            <w:tcW w:w="2268" w:type="dxa"/>
            <w:vMerge w:val="continue"/>
            <w:vAlign w:val="center"/>
          </w:tcPr>
          <w:p>
            <w:pPr>
              <w:pStyle w:val="297"/>
              <w:rPr>
                <w:color w:val="000000" w:themeColor="text1"/>
                <w:highlight w:val="none"/>
                <w14:textFill>
                  <w14:solidFill>
                    <w14:schemeClr w14:val="tx1"/>
                  </w14:solidFill>
                </w14:textFill>
              </w:rPr>
            </w:pP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钻前施工废水</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SS和石油类</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少量</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经隔油池沉淀处理后回用于洒水降尘</w:t>
            </w:r>
          </w:p>
        </w:tc>
        <w:tc>
          <w:tcPr>
            <w:tcW w:w="8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w:t>
            </w:r>
          </w:p>
        </w:tc>
        <w:tc>
          <w:tcPr>
            <w:tcW w:w="2268" w:type="dxa"/>
            <w:vMerge w:val="continue"/>
            <w:vAlign w:val="center"/>
          </w:tcPr>
          <w:p>
            <w:pPr>
              <w:pStyle w:val="297"/>
              <w:rPr>
                <w:color w:val="000000" w:themeColor="text1"/>
                <w:highlight w:val="none"/>
                <w14:textFill>
                  <w14:solidFill>
                    <w14:schemeClr w14:val="tx1"/>
                  </w14:solidFill>
                </w14:textFill>
              </w:rPr>
            </w:pP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采出水</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石油类、悬浮物、COD及氯化物等</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80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970" w:type="dxa"/>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10</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（初期可达50m</w:t>
            </w:r>
            <w:r>
              <w:rPr>
                <w:rFonts w:hint="eastAsia"/>
                <w:color w:val="000000" w:themeColor="text1"/>
                <w:highlight w:val="none"/>
                <w:vertAlign w:val="superscript"/>
                <w14:textFill>
                  <w14:solidFill>
                    <w14:schemeClr w14:val="tx1"/>
                  </w14:solidFill>
                </w14:textFill>
              </w:rPr>
              <w:t>3</w:t>
            </w:r>
            <w:r>
              <w:rPr>
                <w:rFonts w:hint="eastAsia"/>
                <w:color w:val="000000" w:themeColor="text1"/>
                <w:highlight w:val="none"/>
                <w14:textFill>
                  <w14:solidFill>
                    <w14:schemeClr w14:val="tx1"/>
                  </w14:solidFill>
                </w14:textFill>
              </w:rPr>
              <w:t>/d）</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外输至</w:t>
            </w:r>
            <w:r>
              <w:rPr>
                <w:rFonts w:hint="eastAsia"/>
                <w:color w:val="000000" w:themeColor="text1"/>
                <w:highlight w:val="none"/>
                <w14:textFill>
                  <w14:solidFill>
                    <w14:schemeClr w14:val="tx1"/>
                  </w14:solidFill>
                </w14:textFill>
              </w:rPr>
              <w:t>大湾</w:t>
            </w:r>
            <w:r>
              <w:rPr>
                <w:rFonts w:hint="eastAsia"/>
                <w:color w:val="000000" w:themeColor="text1"/>
                <w:highlight w:val="none"/>
                <w:lang w:eastAsia="zh-CN"/>
                <w14:textFill>
                  <w14:solidFill>
                    <w14:schemeClr w14:val="tx1"/>
                  </w14:solidFill>
                </w14:textFill>
              </w:rPr>
              <w:t>408试采站</w:t>
            </w:r>
            <w:r>
              <w:rPr>
                <w:rFonts w:hint="eastAsia"/>
                <w:color w:val="000000" w:themeColor="text1"/>
                <w:highlight w:val="none"/>
                <w14:textFill>
                  <w14:solidFill>
                    <w14:schemeClr w14:val="tx1"/>
                  </w14:solidFill>
                </w14:textFill>
              </w:rPr>
              <w:t>暂存后</w:t>
            </w:r>
            <w:r>
              <w:rPr>
                <w:color w:val="000000" w:themeColor="text1"/>
                <w:highlight w:val="none"/>
                <w14:textFill>
                  <w14:solidFill>
                    <w14:schemeClr w14:val="tx1"/>
                  </w14:solidFill>
                </w14:textFill>
              </w:rPr>
              <w:t>拉运至</w:t>
            </w:r>
            <w:r>
              <w:rPr>
                <w:rFonts w:hint="eastAsia"/>
                <w:color w:val="000000" w:themeColor="text1"/>
                <w:highlight w:val="none"/>
                <w14:textFill>
                  <w14:solidFill>
                    <w14:schemeClr w14:val="tx1"/>
                  </w14:solidFill>
                </w14:textFill>
              </w:rPr>
              <w:t>赵家坝污水处理站</w:t>
            </w:r>
            <w:r>
              <w:rPr>
                <w:color w:val="000000" w:themeColor="text1"/>
                <w:highlight w:val="none"/>
                <w14:textFill>
                  <w14:solidFill>
                    <w14:schemeClr w14:val="tx1"/>
                  </w14:solidFill>
                </w14:textFill>
              </w:rPr>
              <w:t>达标后</w:t>
            </w:r>
            <w:r>
              <w:rPr>
                <w:rFonts w:hint="eastAsia"/>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color w:val="000000" w:themeColor="text1"/>
                <w:highlight w:val="none"/>
                <w14:textFill>
                  <w14:solidFill>
                    <w14:schemeClr w14:val="tx1"/>
                  </w14:solidFill>
                </w14:textFill>
              </w:rPr>
              <w:t>管输至</w:t>
            </w:r>
            <w:r>
              <w:rPr>
                <w:rFonts w:hint="eastAsia"/>
                <w:color w:val="000000" w:themeColor="text1"/>
                <w:highlight w:val="none"/>
                <w14:textFill>
                  <w14:solidFill>
                    <w14:schemeClr w14:val="tx1"/>
                  </w14:solidFill>
                </w14:textFill>
              </w:rPr>
              <w:t>普光3井回注站</w:t>
            </w:r>
            <w:r>
              <w:rPr>
                <w:color w:val="000000" w:themeColor="text1"/>
                <w:highlight w:val="none"/>
                <w14:textFill>
                  <w14:solidFill>
                    <w14:schemeClr w14:val="tx1"/>
                  </w14:solidFill>
                </w14:textFill>
              </w:rPr>
              <w:t>回注，不外排</w:t>
            </w:r>
          </w:p>
        </w:tc>
        <w:tc>
          <w:tcPr>
            <w:tcW w:w="8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试采期定期转运</w:t>
            </w:r>
          </w:p>
        </w:tc>
        <w:tc>
          <w:tcPr>
            <w:tcW w:w="226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污水全部回注</w:t>
            </w: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噪声污染物</w:t>
            </w: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施工期设备噪声</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1771"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75</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103dB</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选用低噪声设备、加强维护保养，置于钻井井场内，基础安装减振垫层，柴油发电机设置于室内</w:t>
            </w:r>
          </w:p>
        </w:tc>
        <w:tc>
          <w:tcPr>
            <w:tcW w:w="8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连续/间断</w:t>
            </w:r>
          </w:p>
        </w:tc>
        <w:tc>
          <w:tcPr>
            <w:tcW w:w="2268" w:type="dxa"/>
            <w:vAlign w:val="center"/>
          </w:tcPr>
          <w:p>
            <w:pPr>
              <w:pStyle w:val="297"/>
              <w:rPr>
                <w:color w:val="000000" w:themeColor="text1"/>
                <w:highlight w:val="none"/>
                <w14:textFill>
                  <w14:solidFill>
                    <w14:schemeClr w14:val="tx1"/>
                  </w14:solidFill>
                </w14:textFill>
              </w:rPr>
            </w:pPr>
            <w:r>
              <w:rPr>
                <w:color w:val="000000" w:themeColor="text1"/>
                <w:spacing w:val="-4"/>
                <w:highlight w:val="none"/>
                <w14:textFill>
                  <w14:solidFill>
                    <w14:schemeClr w14:val="tx1"/>
                  </w14:solidFill>
                </w14:textFill>
              </w:rPr>
              <w:t>不扰民</w:t>
            </w: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试采期噪声</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噪声</w:t>
            </w:r>
          </w:p>
        </w:tc>
        <w:tc>
          <w:tcPr>
            <w:tcW w:w="881" w:type="dxa"/>
            <w:vAlign w:val="center"/>
          </w:tcPr>
          <w:p>
            <w:pPr>
              <w:pStyle w:val="297"/>
              <w:rPr>
                <w:color w:val="000000" w:themeColor="text1"/>
                <w:highlight w:val="none"/>
                <w14:textFill>
                  <w14:solidFill>
                    <w14:schemeClr w14:val="tx1"/>
                  </w14:solidFill>
                </w14:textFill>
              </w:rPr>
            </w:pPr>
            <w:r>
              <w:rPr>
                <w:color w:val="000000" w:themeColor="text1"/>
                <w:w w:val="99"/>
                <w:highlight w:val="none"/>
                <w14:textFill>
                  <w14:solidFill>
                    <w14:schemeClr w14:val="tx1"/>
                  </w14:solidFill>
                </w14:textFill>
              </w:rPr>
              <w:t>—</w:t>
            </w:r>
          </w:p>
        </w:tc>
        <w:tc>
          <w:tcPr>
            <w:tcW w:w="1771" w:type="dxa"/>
            <w:gridSpan w:val="2"/>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＜55dB</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A</w:t>
            </w:r>
            <w:r>
              <w:rPr>
                <w:rFonts w:hint="eastAsia"/>
                <w:color w:val="000000" w:themeColor="text1"/>
                <w:highlight w:val="none"/>
                <w14:textFill>
                  <w14:solidFill>
                    <w14:schemeClr w14:val="tx1"/>
                  </w14:solidFill>
                </w14:textFill>
              </w:rPr>
              <w:t>)</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设备选型时选择低噪声设备，设置减震基础；站内工艺管道的设计考虑合理的流速，减少气流噪声；站内设备合理布局</w:t>
            </w:r>
          </w:p>
        </w:tc>
        <w:tc>
          <w:tcPr>
            <w:tcW w:w="8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连续</w:t>
            </w:r>
          </w:p>
        </w:tc>
        <w:tc>
          <w:tcPr>
            <w:tcW w:w="2268" w:type="dxa"/>
            <w:vAlign w:val="center"/>
          </w:tcPr>
          <w:p>
            <w:pPr>
              <w:pStyle w:val="297"/>
              <w:rPr>
                <w:color w:val="000000" w:themeColor="text1"/>
                <w:spacing w:val="-4"/>
                <w:highlight w:val="none"/>
                <w14:textFill>
                  <w14:solidFill>
                    <w14:schemeClr w14:val="tx1"/>
                  </w14:solidFill>
                </w14:textFill>
              </w:rPr>
            </w:pPr>
            <w:r>
              <w:rPr>
                <w:color w:val="000000" w:themeColor="text1"/>
                <w:spacing w:val="-4"/>
                <w:highlight w:val="none"/>
                <w14:textFill>
                  <w14:solidFill>
                    <w14:schemeClr w14:val="tx1"/>
                  </w14:solidFill>
                </w14:textFill>
              </w:rPr>
              <w:t>《工业企业厂界环境噪声排放标准》（GB12348-2008）2类标准</w:t>
            </w:r>
          </w:p>
        </w:tc>
        <w:tc>
          <w:tcPr>
            <w:tcW w:w="572"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jc w:val="center"/>
        </w:trPr>
        <w:tc>
          <w:tcPr>
            <w:tcW w:w="562"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固体废物</w:t>
            </w:r>
          </w:p>
        </w:tc>
        <w:tc>
          <w:tcPr>
            <w:tcW w:w="1418"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施工期固废</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清水岩屑</w:t>
            </w:r>
          </w:p>
        </w:tc>
        <w:tc>
          <w:tcPr>
            <w:tcW w:w="2652"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85.59m</w:t>
            </w:r>
            <w:r>
              <w:rPr>
                <w:color w:val="000000" w:themeColor="text1"/>
                <w:highlight w:val="none"/>
                <w:vertAlign w:val="superscript"/>
                <w14:textFill>
                  <w14:solidFill>
                    <w14:schemeClr w14:val="tx1"/>
                  </w14:solidFill>
                </w14:textFill>
              </w:rPr>
              <w:t>3</w:t>
            </w:r>
          </w:p>
        </w:tc>
        <w:tc>
          <w:tcPr>
            <w:tcW w:w="3726" w:type="dxa"/>
            <w:vMerge w:val="restart"/>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经泥浆不落地工艺进行固液分离后及时就近交给依法取得生态环境部门关于利用和处置相关工业固体废物项目环评批复、具有处理处置相应固体废物能力并配套建设有废气、废水、固废等污染物治理设施的单位进行资源化利用（或油基岩屑、废油基泥浆交由资质单位处置）</w:t>
            </w:r>
          </w:p>
        </w:tc>
        <w:tc>
          <w:tcPr>
            <w:tcW w:w="851"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钻井期定期转运</w:t>
            </w:r>
          </w:p>
        </w:tc>
        <w:tc>
          <w:tcPr>
            <w:tcW w:w="2840" w:type="dxa"/>
            <w:gridSpan w:val="2"/>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妥善处置，不会对环境造成二次污染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75" w:hRule="atLeast"/>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水基钻井固废</w:t>
            </w:r>
          </w:p>
        </w:tc>
        <w:tc>
          <w:tcPr>
            <w:tcW w:w="2652"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3816.95t</w:t>
            </w:r>
          </w:p>
        </w:tc>
        <w:tc>
          <w:tcPr>
            <w:tcW w:w="3726" w:type="dxa"/>
            <w:vMerge w:val="continue"/>
            <w:vAlign w:val="center"/>
          </w:tcPr>
          <w:p>
            <w:pPr>
              <w:pStyle w:val="297"/>
              <w:jc w:val="left"/>
              <w:rPr>
                <w:color w:val="000000" w:themeColor="text1"/>
                <w:highlight w:val="none"/>
                <w14:textFill>
                  <w14:solidFill>
                    <w14:schemeClr w14:val="tx1"/>
                  </w14:solidFill>
                </w14:textFill>
              </w:rPr>
            </w:pPr>
          </w:p>
        </w:tc>
        <w:tc>
          <w:tcPr>
            <w:tcW w:w="851" w:type="dxa"/>
            <w:vMerge w:val="continue"/>
            <w:vAlign w:val="center"/>
          </w:tcPr>
          <w:p>
            <w:pPr>
              <w:pStyle w:val="297"/>
              <w:rPr>
                <w:color w:val="000000" w:themeColor="text1"/>
                <w:highlight w:val="none"/>
                <w14:textFill>
                  <w14:solidFill>
                    <w14:schemeClr w14:val="tx1"/>
                  </w14:solidFill>
                </w14:textFill>
              </w:rPr>
            </w:pPr>
          </w:p>
        </w:tc>
        <w:tc>
          <w:tcPr>
            <w:tcW w:w="2840" w:type="dxa"/>
            <w:gridSpan w:val="2"/>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75" w:hRule="atLeast"/>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油基钻井固废</w:t>
            </w:r>
          </w:p>
        </w:tc>
        <w:tc>
          <w:tcPr>
            <w:tcW w:w="2652"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612.37m</w:t>
            </w:r>
            <w:r>
              <w:rPr>
                <w:color w:val="000000" w:themeColor="text1"/>
                <w:szCs w:val="21"/>
                <w:highlight w:val="none"/>
                <w:vertAlign w:val="superscript"/>
                <w14:textFill>
                  <w14:solidFill>
                    <w14:schemeClr w14:val="tx1"/>
                  </w14:solidFill>
                </w14:textFill>
              </w:rPr>
              <w:t>3</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废油基泥浆、油基岩屑</w:t>
            </w:r>
            <w:r>
              <w:rPr>
                <w:rFonts w:hint="eastAsia"/>
                <w:color w:val="000000" w:themeColor="text1"/>
                <w:szCs w:val="21"/>
                <w:highlight w:val="none"/>
                <w14:textFill>
                  <w14:solidFill>
                    <w14:schemeClr w14:val="tx1"/>
                  </w14:solidFill>
                </w14:textFill>
              </w:rPr>
              <w:t>）</w:t>
            </w:r>
          </w:p>
        </w:tc>
        <w:tc>
          <w:tcPr>
            <w:tcW w:w="3726" w:type="dxa"/>
            <w:vAlign w:val="center"/>
          </w:tcPr>
          <w:p>
            <w:pPr>
              <w:pStyle w:val="297"/>
              <w:jc w:val="left"/>
              <w:rPr>
                <w:color w:val="000000" w:themeColor="text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三开采用</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14:textFill>
                  <w14:solidFill>
                    <w14:schemeClr w14:val="tx1"/>
                  </w14:solidFill>
                </w14:textFill>
              </w:rPr>
              <w:t>钻井液（若三开钻遇特地层，则采用油基钻井液）</w:t>
            </w:r>
            <w:r>
              <w:rPr>
                <w:color w:val="000000" w:themeColor="text1"/>
                <w:szCs w:val="21"/>
                <w:highlight w:val="none"/>
                <w14:textFill>
                  <w14:solidFill>
                    <w14:schemeClr w14:val="tx1"/>
                  </w14:solidFill>
                </w14:textFill>
              </w:rPr>
              <w:t>废泥浆、岩屑暂存于新建的60m</w:t>
            </w:r>
            <w:r>
              <w:rPr>
                <w:color w:val="000000" w:themeColor="text1"/>
                <w:szCs w:val="21"/>
                <w:highlight w:val="none"/>
                <w:vertAlign w:val="superscript"/>
                <w14:textFill>
                  <w14:solidFill>
                    <w14:schemeClr w14:val="tx1"/>
                  </w14:solidFill>
                </w14:textFill>
              </w:rPr>
              <w:t>2</w:t>
            </w:r>
            <w:r>
              <w:rPr>
                <w:color w:val="000000" w:themeColor="text1"/>
                <w:szCs w:val="21"/>
                <w:highlight w:val="none"/>
                <w14:textFill>
                  <w14:solidFill>
                    <w14:schemeClr w14:val="tx1"/>
                  </w14:solidFill>
                </w14:textFill>
              </w:rPr>
              <w:t>危险废物暂存场所（采取必要的防风、防晒、防雨、防漏、防渗、防腐以及其他环境污染防治措施，不得露天堆放危险废物），泥浆和油基钻井岩屑</w:t>
            </w:r>
            <w:r>
              <w:rPr>
                <w:rFonts w:hint="eastAsia"/>
                <w:color w:val="000000" w:themeColor="text1"/>
                <w:szCs w:val="21"/>
                <w:highlight w:val="none"/>
                <w14:textFill>
                  <w14:solidFill>
                    <w14:schemeClr w14:val="tx1"/>
                  </w14:solidFill>
                </w14:textFill>
              </w:rPr>
              <w:t>及时</w:t>
            </w:r>
            <w:r>
              <w:rPr>
                <w:color w:val="000000" w:themeColor="text1"/>
                <w:szCs w:val="21"/>
                <w:highlight w:val="none"/>
                <w14:textFill>
                  <w14:solidFill>
                    <w14:schemeClr w14:val="tx1"/>
                  </w14:solidFill>
                </w14:textFill>
              </w:rPr>
              <w:t>交由有资质的单位处置</w:t>
            </w:r>
          </w:p>
        </w:tc>
        <w:tc>
          <w:tcPr>
            <w:tcW w:w="851" w:type="dxa"/>
            <w:vMerge w:val="continue"/>
            <w:vAlign w:val="center"/>
          </w:tcPr>
          <w:p>
            <w:pPr>
              <w:pStyle w:val="297"/>
              <w:rPr>
                <w:color w:val="000000" w:themeColor="text1"/>
                <w:highlight w:val="none"/>
                <w14:textFill>
                  <w14:solidFill>
                    <w14:schemeClr w14:val="tx1"/>
                  </w14:solidFill>
                </w14:textFill>
              </w:rPr>
            </w:pPr>
          </w:p>
        </w:tc>
        <w:tc>
          <w:tcPr>
            <w:tcW w:w="2840" w:type="dxa"/>
            <w:gridSpan w:val="2"/>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废油</w:t>
            </w:r>
          </w:p>
        </w:tc>
        <w:tc>
          <w:tcPr>
            <w:tcW w:w="2652"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0.7</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通过设置废油桶收集，暂存于泥浆不落地装置区临时堆放区内，</w:t>
            </w:r>
            <w:r>
              <w:rPr>
                <w:rFonts w:hint="eastAsia"/>
                <w:color w:val="000000" w:themeColor="text1"/>
                <w:highlight w:val="none"/>
                <w14:textFill>
                  <w14:solidFill>
                    <w14:schemeClr w14:val="tx1"/>
                  </w14:solidFill>
                </w14:textFill>
              </w:rPr>
              <w:t>最终</w:t>
            </w:r>
            <w:r>
              <w:rPr>
                <w:color w:val="000000" w:themeColor="text1"/>
                <w:highlight w:val="none"/>
                <w14:textFill>
                  <w14:solidFill>
                    <w14:schemeClr w14:val="tx1"/>
                  </w14:solidFill>
                </w14:textFill>
              </w:rPr>
              <w:t>由钻井队综合利用或交由有资质的单位处理</w:t>
            </w:r>
          </w:p>
        </w:tc>
        <w:tc>
          <w:tcPr>
            <w:tcW w:w="851" w:type="dxa"/>
            <w:vMerge w:val="continue"/>
            <w:vAlign w:val="center"/>
          </w:tcPr>
          <w:p>
            <w:pPr>
              <w:pStyle w:val="297"/>
              <w:rPr>
                <w:color w:val="000000" w:themeColor="text1"/>
                <w:highlight w:val="none"/>
                <w14:textFill>
                  <w14:solidFill>
                    <w14:schemeClr w14:val="tx1"/>
                  </w14:solidFill>
                </w14:textFill>
              </w:rPr>
            </w:pPr>
          </w:p>
        </w:tc>
        <w:tc>
          <w:tcPr>
            <w:tcW w:w="2840" w:type="dxa"/>
            <w:gridSpan w:val="2"/>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废含油抹布手套</w:t>
            </w:r>
            <w:r>
              <w:rPr>
                <w:rFonts w:hint="eastAsia"/>
                <w:color w:val="000000" w:themeColor="text1"/>
                <w:highlight w:val="none"/>
                <w14:textFill>
                  <w14:solidFill>
                    <w14:schemeClr w14:val="tx1"/>
                  </w14:solidFill>
                </w14:textFill>
              </w:rPr>
              <w:t>等含油固废</w:t>
            </w:r>
          </w:p>
        </w:tc>
        <w:tc>
          <w:tcPr>
            <w:tcW w:w="2652"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少量</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通过设置废油桶收集，暂存于泥浆不落地装置区临时堆放区内，交由有资质的单位处理</w:t>
            </w:r>
          </w:p>
        </w:tc>
        <w:tc>
          <w:tcPr>
            <w:tcW w:w="851" w:type="dxa"/>
            <w:vMerge w:val="continue"/>
            <w:vAlign w:val="center"/>
          </w:tcPr>
          <w:p>
            <w:pPr>
              <w:pStyle w:val="297"/>
              <w:rPr>
                <w:color w:val="000000" w:themeColor="text1"/>
                <w:highlight w:val="none"/>
                <w14:textFill>
                  <w14:solidFill>
                    <w14:schemeClr w14:val="tx1"/>
                  </w14:solidFill>
                </w14:textFill>
              </w:rPr>
            </w:pPr>
          </w:p>
        </w:tc>
        <w:tc>
          <w:tcPr>
            <w:tcW w:w="2840" w:type="dxa"/>
            <w:gridSpan w:val="2"/>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废包装材料</w:t>
            </w:r>
          </w:p>
        </w:tc>
        <w:tc>
          <w:tcPr>
            <w:tcW w:w="2652"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2.0t</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集中收集后部分回用，剩余的送当地废品回收站处理</w:t>
            </w:r>
          </w:p>
        </w:tc>
        <w:tc>
          <w:tcPr>
            <w:tcW w:w="851" w:type="dxa"/>
            <w:vMerge w:val="continue"/>
            <w:vAlign w:val="center"/>
          </w:tcPr>
          <w:p>
            <w:pPr>
              <w:pStyle w:val="297"/>
              <w:rPr>
                <w:color w:val="000000" w:themeColor="text1"/>
                <w:highlight w:val="none"/>
                <w14:textFill>
                  <w14:solidFill>
                    <w14:schemeClr w14:val="tx1"/>
                  </w14:solidFill>
                </w14:textFill>
              </w:rPr>
            </w:pPr>
          </w:p>
        </w:tc>
        <w:tc>
          <w:tcPr>
            <w:tcW w:w="2840" w:type="dxa"/>
            <w:gridSpan w:val="2"/>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2652"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22.5kg/d</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集中收集，交由当地环卫部门处置</w:t>
            </w:r>
          </w:p>
        </w:tc>
        <w:tc>
          <w:tcPr>
            <w:tcW w:w="851" w:type="dxa"/>
            <w:vMerge w:val="continue"/>
            <w:vAlign w:val="center"/>
          </w:tcPr>
          <w:p>
            <w:pPr>
              <w:pStyle w:val="297"/>
              <w:rPr>
                <w:color w:val="000000" w:themeColor="text1"/>
                <w:highlight w:val="none"/>
                <w14:textFill>
                  <w14:solidFill>
                    <w14:schemeClr w14:val="tx1"/>
                  </w14:solidFill>
                </w14:textFill>
              </w:rPr>
            </w:pPr>
          </w:p>
        </w:tc>
        <w:tc>
          <w:tcPr>
            <w:tcW w:w="2840" w:type="dxa"/>
            <w:gridSpan w:val="2"/>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钻前、完井搬迁与</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站</w:t>
            </w:r>
            <w:r>
              <w:rPr>
                <w:rFonts w:hint="eastAsia"/>
                <w:color w:val="000000" w:themeColor="text1"/>
                <w:highlight w:val="none"/>
                <w14:textFill>
                  <w14:solidFill>
                    <w14:schemeClr w14:val="tx1"/>
                  </w14:solidFill>
                </w14:textFill>
              </w:rPr>
              <w:t>、集输管道等</w:t>
            </w:r>
            <w:r>
              <w:rPr>
                <w:color w:val="000000" w:themeColor="text1"/>
                <w:highlight w:val="none"/>
                <w14:textFill>
                  <w14:solidFill>
                    <w14:schemeClr w14:val="tx1"/>
                  </w14:solidFill>
                </w14:textFill>
              </w:rPr>
              <w:t>建设建筑垃圾</w:t>
            </w:r>
          </w:p>
        </w:tc>
        <w:tc>
          <w:tcPr>
            <w:tcW w:w="2652" w:type="dxa"/>
            <w:gridSpan w:val="3"/>
            <w:vAlign w:val="center"/>
          </w:tcPr>
          <w:p>
            <w:pPr>
              <w:pStyle w:val="297"/>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40t</w:t>
            </w:r>
          </w:p>
        </w:tc>
        <w:tc>
          <w:tcPr>
            <w:tcW w:w="3726" w:type="dxa"/>
            <w:vAlign w:val="center"/>
          </w:tcPr>
          <w:p>
            <w:pPr>
              <w:pStyle w:val="297"/>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施工队伍统一收集清运至政府指定地方</w:t>
            </w:r>
          </w:p>
        </w:tc>
        <w:tc>
          <w:tcPr>
            <w:tcW w:w="8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完井搬迁期</w:t>
            </w:r>
          </w:p>
        </w:tc>
        <w:tc>
          <w:tcPr>
            <w:tcW w:w="2840" w:type="dxa"/>
            <w:gridSpan w:val="2"/>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restart"/>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试采期固废</w:t>
            </w: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清管废渣</w:t>
            </w:r>
          </w:p>
        </w:tc>
        <w:tc>
          <w:tcPr>
            <w:tcW w:w="2652"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w:t>
            </w:r>
            <w:r>
              <w:rPr>
                <w:rFonts w:hint="eastAsia"/>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/a</w:t>
            </w:r>
          </w:p>
        </w:tc>
        <w:tc>
          <w:tcPr>
            <w:tcW w:w="3726" w:type="dxa"/>
            <w:vAlign w:val="center"/>
          </w:tcPr>
          <w:p>
            <w:pPr>
              <w:pStyle w:val="297"/>
              <w:rPr>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统一收集后</w:t>
            </w:r>
            <w:r>
              <w:rPr>
                <w:rFonts w:hint="eastAsia"/>
                <w:bCs/>
                <w:color w:val="000000" w:themeColor="text1"/>
                <w:highlight w:val="none"/>
                <w14:textFill>
                  <w14:solidFill>
                    <w14:schemeClr w14:val="tx1"/>
                  </w14:solidFill>
                </w14:textFill>
              </w:rPr>
              <w:t>交由有资质单位处理</w:t>
            </w:r>
          </w:p>
        </w:tc>
        <w:tc>
          <w:tcPr>
            <w:tcW w:w="8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清管废渣</w:t>
            </w:r>
          </w:p>
        </w:tc>
        <w:tc>
          <w:tcPr>
            <w:tcW w:w="2840" w:type="dxa"/>
            <w:gridSpan w:val="2"/>
            <w:vMerge w:val="continue"/>
            <w:vAlign w:val="center"/>
          </w:tcPr>
          <w:p>
            <w:pPr>
              <w:pStyle w:val="297"/>
              <w:rPr>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562" w:type="dxa"/>
            <w:vMerge w:val="continue"/>
            <w:vAlign w:val="center"/>
          </w:tcPr>
          <w:p>
            <w:pPr>
              <w:pStyle w:val="297"/>
              <w:rPr>
                <w:color w:val="000000" w:themeColor="text1"/>
                <w:highlight w:val="none"/>
                <w14:textFill>
                  <w14:solidFill>
                    <w14:schemeClr w14:val="tx1"/>
                  </w14:solidFill>
                </w14:textFill>
              </w:rPr>
            </w:pPr>
          </w:p>
        </w:tc>
        <w:tc>
          <w:tcPr>
            <w:tcW w:w="1418" w:type="dxa"/>
            <w:vMerge w:val="continue"/>
            <w:vAlign w:val="center"/>
          </w:tcPr>
          <w:p>
            <w:pPr>
              <w:pStyle w:val="297"/>
              <w:rPr>
                <w:color w:val="000000" w:themeColor="text1"/>
                <w:highlight w:val="none"/>
                <w14:textFill>
                  <w14:solidFill>
                    <w14:schemeClr w14:val="tx1"/>
                  </w14:solidFill>
                </w14:textFill>
              </w:rPr>
            </w:pPr>
          </w:p>
        </w:tc>
        <w:tc>
          <w:tcPr>
            <w:tcW w:w="127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2652" w:type="dxa"/>
            <w:gridSpan w:val="3"/>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2.19t/a</w:t>
            </w:r>
          </w:p>
        </w:tc>
        <w:tc>
          <w:tcPr>
            <w:tcW w:w="3726"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交由</w:t>
            </w:r>
            <w:r>
              <w:rPr>
                <w:rFonts w:hint="eastAsia"/>
                <w:color w:val="000000" w:themeColor="text1"/>
                <w:highlight w:val="none"/>
                <w14:textFill>
                  <w14:solidFill>
                    <w14:schemeClr w14:val="tx1"/>
                  </w14:solidFill>
                </w14:textFill>
              </w:rPr>
              <w:t>毛坝</w:t>
            </w:r>
            <w:r>
              <w:rPr>
                <w:color w:val="000000" w:themeColor="text1"/>
                <w:highlight w:val="none"/>
                <w14:textFill>
                  <w14:solidFill>
                    <w14:schemeClr w14:val="tx1"/>
                  </w14:solidFill>
                </w14:textFill>
              </w:rPr>
              <w:t>镇环卫部门处置</w:t>
            </w:r>
          </w:p>
        </w:tc>
        <w:tc>
          <w:tcPr>
            <w:tcW w:w="851" w:type="dxa"/>
            <w:vAlign w:val="center"/>
          </w:tcPr>
          <w:p>
            <w:pPr>
              <w:pStyle w:val="297"/>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生活垃圾</w:t>
            </w:r>
          </w:p>
        </w:tc>
        <w:tc>
          <w:tcPr>
            <w:tcW w:w="2840" w:type="dxa"/>
            <w:gridSpan w:val="2"/>
            <w:vMerge w:val="continue"/>
            <w:vAlign w:val="center"/>
          </w:tcPr>
          <w:p>
            <w:pPr>
              <w:pStyle w:val="297"/>
              <w:rPr>
                <w:color w:val="000000" w:themeColor="text1"/>
                <w:highlight w:val="none"/>
                <w14:textFill>
                  <w14:solidFill>
                    <w14:schemeClr w14:val="tx1"/>
                  </w14:solidFill>
                </w14:textFill>
              </w:rPr>
            </w:pPr>
          </w:p>
        </w:tc>
      </w:tr>
    </w:tbl>
    <w:p>
      <w:pPr>
        <w:pStyle w:val="3"/>
        <w:spacing w:before="120"/>
        <w:ind w:firstLine="480"/>
        <w:rPr>
          <w:color w:val="000000" w:themeColor="text1"/>
          <w:szCs w:val="24"/>
          <w:highlight w:val="none"/>
          <w:lang w:eastAsia="zh-CN"/>
          <w14:textFill>
            <w14:solidFill>
              <w14:schemeClr w14:val="tx1"/>
            </w14:solidFill>
          </w14:textFill>
        </w:rPr>
        <w:sectPr>
          <w:pgSz w:w="16840" w:h="11910" w:orient="landscape"/>
          <w:pgMar w:top="1440" w:right="1800" w:bottom="1440" w:left="1800" w:header="964" w:footer="964" w:gutter="0"/>
          <w:cols w:space="720" w:num="1"/>
          <w:docGrid w:linePitch="326" w:charSpace="0"/>
        </w:sectPr>
      </w:pPr>
      <w:bookmarkStart w:id="544" w:name="_bookmark40"/>
      <w:bookmarkEnd w:id="544"/>
      <w:bookmarkStart w:id="545" w:name="8.2环境监测"/>
      <w:bookmarkEnd w:id="545"/>
    </w:p>
    <w:p>
      <w:pPr>
        <w:pStyle w:val="3"/>
        <w:spacing w:before="0" w:beforeLines="0"/>
        <w:rPr>
          <w:color w:val="000000" w:themeColor="text1"/>
          <w:highlight w:val="none"/>
          <w:lang w:eastAsia="zh-CN"/>
          <w14:textFill>
            <w14:solidFill>
              <w14:schemeClr w14:val="tx1"/>
            </w14:solidFill>
          </w14:textFill>
        </w:rPr>
      </w:pPr>
      <w:bookmarkStart w:id="546" w:name="_Toc2757"/>
      <w:r>
        <w:rPr>
          <w:color w:val="000000" w:themeColor="text1"/>
          <w:highlight w:val="none"/>
          <w:lang w:eastAsia="zh-CN"/>
          <w14:textFill>
            <w14:solidFill>
              <w14:schemeClr w14:val="tx1"/>
            </w14:solidFill>
          </w14:textFill>
        </w:rPr>
        <w:t>环境监测</w:t>
      </w:r>
      <w:bookmarkEnd w:id="546"/>
    </w:p>
    <w:p>
      <w:pPr>
        <w:pStyle w:val="4"/>
        <w:spacing w:before="0" w:beforeLines="0"/>
        <w:ind w:firstLine="480"/>
        <w:rPr>
          <w:b/>
          <w:color w:val="000000" w:themeColor="text1"/>
          <w:highlight w:val="none"/>
          <w:lang w:eastAsia="zh-CN"/>
          <w14:textFill>
            <w14:solidFill>
              <w14:schemeClr w14:val="tx1"/>
            </w14:solidFill>
          </w14:textFill>
        </w:rPr>
      </w:pPr>
      <w:bookmarkStart w:id="547" w:name="_Toc120173247"/>
      <w:r>
        <w:rPr>
          <w:color w:val="000000" w:themeColor="text1"/>
          <w:highlight w:val="none"/>
          <w:lang w:eastAsia="zh-CN"/>
          <w14:textFill>
            <w14:solidFill>
              <w14:schemeClr w14:val="tx1"/>
            </w14:solidFill>
          </w14:textFill>
        </w:rPr>
        <w:t>监测计划</w:t>
      </w:r>
      <w:bookmarkEnd w:id="547"/>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从本评价的预测结论来看，项目单位在建设施工过程及运行过程中的环境影响，除采取必要的工程性措施控制外，更需通过环境管理来解决。而环境监测是环境管理重要的手段之一。今后，通过周围环境质量及企业生产污染排放的实时监控，可正确、迅速、完整地为建设单位日常环境管理及制定环境污染事故应急措施提供必要数据。</w:t>
      </w:r>
    </w:p>
    <w:p>
      <w:pPr>
        <w:ind w:firstLine="480"/>
        <w:rPr>
          <w:color w:val="000000" w:themeColor="text1"/>
          <w:highlight w:val="none"/>
          <w14:textFill>
            <w14:solidFill>
              <w14:schemeClr w14:val="tx1"/>
            </w14:solidFill>
          </w14:textFill>
        </w:rPr>
      </w:pPr>
      <w:bookmarkStart w:id="548" w:name="8.2.1监测计划"/>
      <w:bookmarkEnd w:id="548"/>
      <w:r>
        <w:rPr>
          <w:color w:val="000000" w:themeColor="text1"/>
          <w:highlight w:val="none"/>
          <w14:textFill>
            <w14:solidFill>
              <w14:schemeClr w14:val="tx1"/>
            </w14:solidFill>
          </w14:textFill>
        </w:rPr>
        <w:t>根据天然气试采对区域环境可能产生的影响，确定本项目环境监测对象为土壤、水、气、声。监测范围一般根据各种污染因子对环境产生的影响范围而定，具体范围可参见环境影响范围。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本项目正常施工或生产期间开展定期监测，在事故时进行应急监测。参照《排污单位自行监测技术指南 总则》（HJ819-2017）、《工业企业土壤和地下水自行监测 技术指南（试行）》（HJ1209-2021）</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《排污单位自行监测技术指南 陆上石油天然气开采工业》（HJ1248—2022）</w:t>
      </w:r>
      <w:r>
        <w:rPr>
          <w:rFonts w:hint="eastAsia"/>
          <w:color w:val="000000" w:themeColor="text1"/>
          <w:highlight w:val="none"/>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《地下水环境监测技术规范》（HJ 164-2020）</w:t>
      </w:r>
      <w:r>
        <w:rPr>
          <w:rFonts w:hint="eastAsia" w:cs="Times New Roman"/>
          <w:color w:val="000000" w:themeColor="text1"/>
          <w:highlight w:val="none"/>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《突发环境事件应急监测技术规范》（HJ 589-2021）</w:t>
      </w:r>
      <w:r>
        <w:rPr>
          <w:color w:val="000000" w:themeColor="text1"/>
          <w:highlight w:val="none"/>
          <w14:textFill>
            <w14:solidFill>
              <w14:schemeClr w14:val="tx1"/>
            </w14:solidFill>
          </w14:textFill>
        </w:rPr>
        <w:t>中的有关规定要求，针对本项目产排污特点，制定本项目的监测计划。</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根据项目的特点，环境监测重点为井场场界噪声值、最近居民点的噪声值和场界周边</w:t>
      </w:r>
      <w:r>
        <w:rPr>
          <w:rFonts w:hint="eastAsia"/>
          <w:color w:val="000000" w:themeColor="text1"/>
          <w:highlight w:val="none"/>
          <w14:textFill>
            <w14:solidFill>
              <w14:schemeClr w14:val="tx1"/>
            </w14:solidFill>
          </w14:textFill>
        </w:rPr>
        <w:t>H</w:t>
      </w:r>
      <w:r>
        <w:rPr>
          <w:rFonts w:hint="eastAsia"/>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S、</w:t>
      </w:r>
      <w:r>
        <w:rPr>
          <w:color w:val="000000" w:themeColor="text1"/>
          <w:highlight w:val="none"/>
          <w14:textFill>
            <w14:solidFill>
              <w14:schemeClr w14:val="tx1"/>
            </w14:solidFill>
          </w14:textFill>
        </w:rPr>
        <w:t>CH</w:t>
      </w:r>
      <w:r>
        <w:rPr>
          <w:color w:val="000000" w:themeColor="text1"/>
          <w:highlight w:val="none"/>
          <w:vertAlign w:val="subscript"/>
          <w14:textFill>
            <w14:solidFill>
              <w14:schemeClr w14:val="tx1"/>
            </w14:solidFill>
          </w14:textFill>
        </w:rPr>
        <w:t>4</w:t>
      </w:r>
      <w:r>
        <w:rPr>
          <w:color w:val="000000" w:themeColor="text1"/>
          <w:highlight w:val="none"/>
          <w14:textFill>
            <w14:solidFill>
              <w14:schemeClr w14:val="tx1"/>
            </w14:solidFill>
          </w14:textFill>
        </w:rPr>
        <w:t>浓度。</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在钻入气层后根据钻井出现井喷、井漏、井涌、气侵等情况检测</w:t>
      </w:r>
      <w:r>
        <w:rPr>
          <w:rFonts w:hint="eastAsia"/>
          <w:color w:val="000000" w:themeColor="text1"/>
          <w:highlight w:val="none"/>
          <w14:textFill>
            <w14:solidFill>
              <w14:schemeClr w14:val="tx1"/>
            </w14:solidFill>
          </w14:textFill>
        </w:rPr>
        <w:t>H</w:t>
      </w:r>
      <w:r>
        <w:rPr>
          <w:rFonts w:hint="eastAsia"/>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S、</w:t>
      </w:r>
      <w:r>
        <w:rPr>
          <w:color w:val="000000" w:themeColor="text1"/>
          <w:highlight w:val="none"/>
          <w14:textFill>
            <w14:solidFill>
              <w14:schemeClr w14:val="tx1"/>
            </w14:solidFill>
          </w14:textFill>
        </w:rPr>
        <w:t>CH</w:t>
      </w:r>
      <w:r>
        <w:rPr>
          <w:color w:val="000000" w:themeColor="text1"/>
          <w:highlight w:val="none"/>
          <w:vertAlign w:val="subscript"/>
          <w14:textFill>
            <w14:solidFill>
              <w14:schemeClr w14:val="tx1"/>
            </w14:solidFill>
          </w14:textFill>
        </w:rPr>
        <w:t>4</w:t>
      </w:r>
      <w:r>
        <w:rPr>
          <w:color w:val="000000" w:themeColor="text1"/>
          <w:highlight w:val="none"/>
          <w14:textFill>
            <w14:solidFill>
              <w14:schemeClr w14:val="tx1"/>
            </w14:solidFill>
          </w14:textFill>
        </w:rPr>
        <w:t>浓度，测试和事故放喷时根据事故控制情况监测</w:t>
      </w:r>
      <w:r>
        <w:rPr>
          <w:rFonts w:hint="eastAsia"/>
          <w:color w:val="000000" w:themeColor="text1"/>
          <w:highlight w:val="none"/>
          <w14:textFill>
            <w14:solidFill>
              <w14:schemeClr w14:val="tx1"/>
            </w14:solidFill>
          </w14:textFill>
        </w:rPr>
        <w:t>H</w:t>
      </w:r>
      <w:r>
        <w:rPr>
          <w:rFonts w:hint="eastAsia"/>
          <w:color w:val="000000" w:themeColor="text1"/>
          <w:highlight w:val="none"/>
          <w:vertAlign w:val="subscript"/>
          <w14:textFill>
            <w14:solidFill>
              <w14:schemeClr w14:val="tx1"/>
            </w14:solidFill>
          </w14:textFill>
        </w:rPr>
        <w:t>2</w:t>
      </w:r>
      <w:r>
        <w:rPr>
          <w:rFonts w:hint="eastAsia"/>
          <w:color w:val="000000" w:themeColor="text1"/>
          <w:highlight w:val="none"/>
          <w14:textFill>
            <w14:solidFill>
              <w14:schemeClr w14:val="tx1"/>
            </w14:solidFill>
          </w14:textFill>
        </w:rPr>
        <w:t>S、</w:t>
      </w:r>
      <w:r>
        <w:rPr>
          <w:color w:val="000000" w:themeColor="text1"/>
          <w:highlight w:val="none"/>
          <w14:textFill>
            <w14:solidFill>
              <w14:schemeClr w14:val="tx1"/>
            </w14:solidFill>
          </w14:textFill>
        </w:rPr>
        <w:t>CH</w:t>
      </w:r>
      <w:r>
        <w:rPr>
          <w:color w:val="000000" w:themeColor="text1"/>
          <w:highlight w:val="none"/>
          <w:vertAlign w:val="subscript"/>
          <w14:textFill>
            <w14:solidFill>
              <w14:schemeClr w14:val="tx1"/>
            </w14:solidFill>
          </w14:textFill>
        </w:rPr>
        <w:t>4</w:t>
      </w:r>
      <w:r>
        <w:rPr>
          <w:color w:val="000000" w:themeColor="text1"/>
          <w:highlight w:val="none"/>
          <w14:textFill>
            <w14:solidFill>
              <w14:schemeClr w14:val="tx1"/>
            </w14:solidFill>
          </w14:textFill>
        </w:rPr>
        <w:t>浓度，监测点位设在井场场界、放喷口周围以及最近居民点处。</w:t>
      </w:r>
    </w:p>
    <w:p>
      <w:pPr>
        <w:ind w:firstLine="480"/>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钻井期间分别监测昼间、夜间各1次；</w:t>
      </w:r>
      <w:r>
        <w:rPr>
          <w:snapToGrid w:val="0"/>
          <w:color w:val="000000" w:themeColor="text1"/>
          <w:szCs w:val="21"/>
          <w:highlight w:val="none"/>
          <w14:textFill>
            <w14:solidFill>
              <w14:schemeClr w14:val="tx1"/>
            </w14:solidFill>
          </w14:textFill>
        </w:rPr>
        <w:t>试采期每季度监测1次，根据监测结果，若场站内声源装置稳定运行且厂界环境噪声远低于标准限值的小型场站可不开展厂界环境噪声监测</w:t>
      </w:r>
      <w:r>
        <w:rPr>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本次评价建议建设单位开展土壤环境跟踪监测，主要设置下游监控点。</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地下水监测设置在周边有代表性的水井，</w:t>
      </w:r>
      <w:r>
        <w:rPr>
          <w:rFonts w:hint="eastAsia"/>
          <w:color w:val="000000" w:themeColor="text1"/>
          <w:highlight w:val="none"/>
          <w14:textFill>
            <w14:solidFill>
              <w14:schemeClr w14:val="tx1"/>
            </w14:solidFill>
          </w14:textFill>
        </w:rPr>
        <w:t>根据</w:t>
      </w:r>
      <w:r>
        <w:rPr>
          <w:rFonts w:hint="eastAsia" w:cs="Times New Roman"/>
          <w:color w:val="000000" w:themeColor="text1"/>
          <w:szCs w:val="32"/>
          <w:highlight w:val="none"/>
          <w14:textFill>
            <w14:solidFill>
              <w14:schemeClr w14:val="tx1"/>
            </w14:solidFill>
          </w14:textFill>
        </w:rPr>
        <w:t>《地下水环境监测技术规范》（HJ 164-2020）要求，</w:t>
      </w:r>
      <w:r>
        <w:rPr>
          <w:rFonts w:hint="eastAsia"/>
          <w:color w:val="000000" w:themeColor="text1"/>
          <w:highlight w:val="none"/>
          <w14:textFill>
            <w14:solidFill>
              <w14:schemeClr w14:val="tx1"/>
            </w14:solidFill>
          </w14:textFill>
        </w:rPr>
        <w:t>应选用经常使用的民井，井的出水量宜大于0.3L/s，对于装有水泵的井，不能选用以油为泵润滑剂的水井。在</w:t>
      </w:r>
      <w:r>
        <w:rPr>
          <w:color w:val="000000" w:themeColor="text1"/>
          <w:highlight w:val="none"/>
          <w14:textFill>
            <w14:solidFill>
              <w14:schemeClr w14:val="tx1"/>
            </w14:solidFill>
          </w14:textFill>
        </w:rPr>
        <w:t>按照</w:t>
      </w:r>
      <w:r>
        <w:rPr>
          <w:rFonts w:hint="eastAsia"/>
          <w:color w:val="000000" w:themeColor="text1"/>
          <w:highlight w:val="none"/>
          <w14:textFill>
            <w14:solidFill>
              <w14:schemeClr w14:val="tx1"/>
            </w14:solidFill>
          </w14:textFill>
        </w:rPr>
        <w:t>监测</w:t>
      </w:r>
      <w:r>
        <w:rPr>
          <w:color w:val="000000" w:themeColor="text1"/>
          <w:highlight w:val="none"/>
          <w14:textFill>
            <w14:solidFill>
              <w14:schemeClr w14:val="tx1"/>
            </w14:solidFill>
          </w14:textFill>
        </w:rPr>
        <w:t>计划对环境进行跟踪监测后，建设单位应按相关规定对监测结果及时建立档案。如发现异常或发生事故，加密监测频次，并根据污染物特征增加监测项目，并分析污染原因，及时采取应急措施。监测计划见</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REF _Ref142859803 \h  \* MERGEFORMAT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t>10.3</w:t>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t>。</w:t>
      </w:r>
    </w:p>
    <w:p>
      <w:pPr>
        <w:pStyle w:val="203"/>
        <w:spacing w:before="120"/>
        <w:rPr>
          <w:color w:val="000000" w:themeColor="text1"/>
          <w:highlight w:val="none"/>
          <w14:textFill>
            <w14:solidFill>
              <w14:schemeClr w14:val="tx1"/>
            </w14:solidFill>
          </w14:textFill>
        </w:rPr>
      </w:pPr>
      <w:bookmarkStart w:id="549" w:name="_Ref142859803"/>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10.3</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bookmarkEnd w:id="549"/>
      <w:r>
        <w:rPr>
          <w:color w:val="000000" w:themeColor="text1"/>
          <w:highlight w:val="none"/>
          <w14:textFill>
            <w14:solidFill>
              <w14:schemeClr w14:val="tx1"/>
            </w14:solidFill>
          </w14:textFill>
        </w:rPr>
        <w:t xml:space="preserve"> </w:t>
      </w:r>
      <w:r>
        <w:rPr>
          <w:rFonts w:hint="eastAsia"/>
          <w:color w:val="000000" w:themeColor="text1"/>
          <w:highlight w:val="none"/>
          <w14:textFill>
            <w14:solidFill>
              <w14:schemeClr w14:val="tx1"/>
            </w14:solidFill>
          </w14:textFill>
        </w:rPr>
        <w:t>本项目环境监测计划</w:t>
      </w:r>
    </w:p>
    <w:tbl>
      <w:tblPr>
        <w:tblStyle w:val="54"/>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83"/>
        <w:gridCol w:w="1958"/>
        <w:gridCol w:w="1473"/>
        <w:gridCol w:w="1606"/>
        <w:gridCol w:w="1100"/>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983"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环境要素</w:t>
            </w:r>
          </w:p>
        </w:tc>
        <w:tc>
          <w:tcPr>
            <w:tcW w:w="1958"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监测点位</w:t>
            </w:r>
          </w:p>
        </w:tc>
        <w:tc>
          <w:tcPr>
            <w:tcW w:w="1473"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监测项目</w:t>
            </w:r>
          </w:p>
        </w:tc>
        <w:tc>
          <w:tcPr>
            <w:tcW w:w="1606"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监测频次</w:t>
            </w:r>
          </w:p>
        </w:tc>
        <w:tc>
          <w:tcPr>
            <w:tcW w:w="1100"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监测时段</w:t>
            </w:r>
          </w:p>
        </w:tc>
        <w:tc>
          <w:tcPr>
            <w:tcW w:w="1100" w:type="dxa"/>
            <w:vAlign w:val="center"/>
          </w:tcPr>
          <w:p>
            <w:pPr>
              <w:pStyle w:val="297"/>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土壤</w:t>
            </w:r>
          </w:p>
        </w:tc>
        <w:tc>
          <w:tcPr>
            <w:tcW w:w="1958"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对于二类单元，本项目在放喷池下游处设置1处表层土壤监测点</w:t>
            </w:r>
          </w:p>
        </w:tc>
        <w:tc>
          <w:tcPr>
            <w:tcW w:w="1473"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pH值、铜、六价铬、铅、镉、汞、砷、镍、石油烃（C</w:t>
            </w:r>
            <w:r>
              <w:rPr>
                <w:color w:val="000000" w:themeColor="text1"/>
                <w:szCs w:val="21"/>
                <w:highlight w:val="none"/>
                <w:vertAlign w:val="subscript"/>
                <w14:textFill>
                  <w14:solidFill>
                    <w14:schemeClr w14:val="tx1"/>
                  </w14:solidFill>
                </w14:textFill>
              </w:rPr>
              <w:t>10</w:t>
            </w:r>
            <w:r>
              <w:rPr>
                <w:color w:val="000000" w:themeColor="text1"/>
                <w:szCs w:val="21"/>
                <w:highlight w:val="none"/>
                <w14:textFill>
                  <w14:solidFill>
                    <w14:schemeClr w14:val="tx1"/>
                  </w14:solidFill>
                </w14:textFill>
              </w:rPr>
              <w:t>-C</w:t>
            </w:r>
            <w:r>
              <w:rPr>
                <w:color w:val="000000" w:themeColor="text1"/>
                <w:szCs w:val="21"/>
                <w:highlight w:val="none"/>
                <w:vertAlign w:val="subscript"/>
                <w14:textFill>
                  <w14:solidFill>
                    <w14:schemeClr w14:val="tx1"/>
                  </w14:solidFill>
                </w14:textFill>
              </w:rPr>
              <w:t>40</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钡、</w:t>
            </w:r>
            <w:r>
              <w:rPr>
                <w:color w:val="000000" w:themeColor="text1"/>
                <w:szCs w:val="21"/>
                <w:highlight w:val="none"/>
                <w14:textFill>
                  <w14:solidFill>
                    <w14:schemeClr w14:val="tx1"/>
                  </w14:solidFill>
                </w14:textFill>
              </w:rPr>
              <w:t>全盐量等</w:t>
            </w:r>
          </w:p>
        </w:tc>
        <w:tc>
          <w:tcPr>
            <w:tcW w:w="1606"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1次/年</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定期</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HJ1209-2021</w:t>
            </w:r>
            <w:r>
              <w:rPr>
                <w:rFonts w:hint="eastAsia"/>
                <w:color w:val="000000" w:themeColor="text1"/>
                <w:szCs w:val="21"/>
                <w:highlight w:val="none"/>
                <w14:textFill>
                  <w14:solidFill>
                    <w14:schemeClr w14:val="tx1"/>
                  </w14:solidFill>
                </w14:textFill>
              </w:rPr>
              <w:t>、HJ</w:t>
            </w:r>
            <w:r>
              <w:rPr>
                <w:color w:val="000000" w:themeColor="text1"/>
                <w:szCs w:val="21"/>
                <w:highlight w:val="none"/>
                <w14:textFill>
                  <w14:solidFill>
                    <w14:schemeClr w14:val="tx1"/>
                  </w14:solidFill>
                </w14:textFill>
              </w:rPr>
              <w:t>964-2018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vMerge w:val="restart"/>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大气</w:t>
            </w:r>
          </w:p>
        </w:tc>
        <w:tc>
          <w:tcPr>
            <w:tcW w:w="1958"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井场场界、放喷口周围、最近居民点处</w:t>
            </w:r>
          </w:p>
        </w:tc>
        <w:tc>
          <w:tcPr>
            <w:tcW w:w="1473" w:type="dxa"/>
            <w:vAlign w:val="center"/>
          </w:tcPr>
          <w:p>
            <w:pPr>
              <w:pStyle w:val="297"/>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H</w:t>
            </w:r>
            <w:r>
              <w:rPr>
                <w:rFonts w:hint="eastAsia"/>
                <w:color w:val="000000" w:themeColor="text1"/>
                <w:szCs w:val="21"/>
                <w:highlight w:val="none"/>
                <w:vertAlign w:val="subscript"/>
                <w14:textFill>
                  <w14:solidFill>
                    <w14:schemeClr w14:val="tx1"/>
                  </w14:solidFill>
                </w14:textFill>
              </w:rPr>
              <w:t>2</w:t>
            </w:r>
            <w:r>
              <w:rPr>
                <w:rFonts w:hint="eastAsia"/>
                <w:color w:val="000000" w:themeColor="text1"/>
                <w:szCs w:val="21"/>
                <w:highlight w:val="none"/>
                <w14:textFill>
                  <w14:solidFill>
                    <w14:schemeClr w14:val="tx1"/>
                  </w14:solidFill>
                </w14:textFill>
              </w:rPr>
              <w:t>S、</w:t>
            </w:r>
            <w:r>
              <w:rPr>
                <w:color w:val="000000" w:themeColor="text1"/>
                <w:szCs w:val="21"/>
                <w:highlight w:val="none"/>
                <w14:textFill>
                  <w14:solidFill>
                    <w14:schemeClr w14:val="tx1"/>
                  </w14:solidFill>
                </w14:textFill>
              </w:rPr>
              <w:t>CH</w:t>
            </w:r>
            <w:r>
              <w:rPr>
                <w:color w:val="000000" w:themeColor="text1"/>
                <w:szCs w:val="21"/>
                <w:highlight w:val="none"/>
                <w:vertAlign w:val="subscript"/>
                <w14:textFill>
                  <w14:solidFill>
                    <w14:schemeClr w14:val="tx1"/>
                  </w14:solidFill>
                </w14:textFill>
              </w:rPr>
              <w:t>4</w:t>
            </w:r>
          </w:p>
        </w:tc>
        <w:tc>
          <w:tcPr>
            <w:tcW w:w="1606"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测试和事故放喷时根据事故控制情况布置监测</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事故过程</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vMerge w:val="continue"/>
            <w:shd w:val="clear" w:color="auto" w:fill="FFFFFF"/>
            <w:vAlign w:val="center"/>
          </w:tcPr>
          <w:p>
            <w:pPr>
              <w:pStyle w:val="297"/>
              <w:rPr>
                <w:color w:val="000000" w:themeColor="text1"/>
                <w:szCs w:val="21"/>
                <w:highlight w:val="none"/>
                <w14:textFill>
                  <w14:solidFill>
                    <w14:schemeClr w14:val="tx1"/>
                  </w14:solidFill>
                </w14:textFill>
              </w:rPr>
            </w:pPr>
          </w:p>
        </w:tc>
        <w:tc>
          <w:tcPr>
            <w:tcW w:w="1958"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井场场界、最近居民点处</w:t>
            </w:r>
          </w:p>
        </w:tc>
        <w:tc>
          <w:tcPr>
            <w:tcW w:w="1473"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TSP</w:t>
            </w:r>
          </w:p>
        </w:tc>
        <w:tc>
          <w:tcPr>
            <w:tcW w:w="1606"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施工阶段1-2次</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施工阶段</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噪声</w:t>
            </w:r>
          </w:p>
        </w:tc>
        <w:tc>
          <w:tcPr>
            <w:tcW w:w="1958"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场界处</w:t>
            </w:r>
          </w:p>
        </w:tc>
        <w:tc>
          <w:tcPr>
            <w:tcW w:w="1473"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场界噪声</w:t>
            </w:r>
          </w:p>
        </w:tc>
        <w:tc>
          <w:tcPr>
            <w:tcW w:w="1606"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钻井期间分别监测昼间、夜间各1次；</w:t>
            </w:r>
            <w:r>
              <w:rPr>
                <w:snapToGrid w:val="0"/>
                <w:color w:val="000000" w:themeColor="text1"/>
                <w:szCs w:val="21"/>
                <w:highlight w:val="none"/>
                <w14:textFill>
                  <w14:solidFill>
                    <w14:schemeClr w14:val="tx1"/>
                  </w14:solidFill>
                </w14:textFill>
              </w:rPr>
              <w:t>试采期每季度监测1次，根据监测结果，若场站内声源装置稳定运行且厂界环境噪声远低于标准限值的小型场站可不开展厂界环境噪声监测</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投诉时对投诉敏感点监测</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HJ1248—2022等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地表水</w:t>
            </w:r>
          </w:p>
        </w:tc>
        <w:tc>
          <w:tcPr>
            <w:tcW w:w="1958"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废水泄露地表水体时被污染水体</w:t>
            </w:r>
          </w:p>
        </w:tc>
        <w:tc>
          <w:tcPr>
            <w:tcW w:w="1473"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pH、COD、BOD</w:t>
            </w:r>
            <w:r>
              <w:rPr>
                <w:color w:val="000000" w:themeColor="text1"/>
                <w:szCs w:val="21"/>
                <w:highlight w:val="none"/>
                <w:vertAlign w:val="subscript"/>
                <w14:textFill>
                  <w14:solidFill>
                    <w14:schemeClr w14:val="tx1"/>
                  </w14:solidFill>
                </w14:textFill>
              </w:rPr>
              <w:t>5</w:t>
            </w:r>
            <w:r>
              <w:rPr>
                <w:color w:val="000000" w:themeColor="text1"/>
                <w:szCs w:val="21"/>
                <w:highlight w:val="none"/>
                <w14:textFill>
                  <w14:solidFill>
                    <w14:schemeClr w14:val="tx1"/>
                  </w14:solidFill>
                </w14:textFill>
              </w:rPr>
              <w:t>、氨氮、硫化物、石油类、氯化物</w:t>
            </w:r>
            <w:r>
              <w:rPr>
                <w:bCs/>
                <w:color w:val="000000" w:themeColor="text1"/>
                <w:szCs w:val="21"/>
                <w:highlight w:val="none"/>
                <w14:textFill>
                  <w14:solidFill>
                    <w14:schemeClr w14:val="tx1"/>
                  </w14:solidFill>
                </w14:textFill>
              </w:rPr>
              <w:t>等</w:t>
            </w:r>
          </w:p>
        </w:tc>
        <w:tc>
          <w:tcPr>
            <w:tcW w:w="1606"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实时监控</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事故过程</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雨水</w:t>
            </w:r>
          </w:p>
        </w:tc>
        <w:tc>
          <w:tcPr>
            <w:tcW w:w="1958"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雨水排放口</w:t>
            </w:r>
          </w:p>
        </w:tc>
        <w:tc>
          <w:tcPr>
            <w:tcW w:w="1473"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COD、石油类</w:t>
            </w:r>
          </w:p>
        </w:tc>
        <w:tc>
          <w:tcPr>
            <w:tcW w:w="2706" w:type="dxa"/>
            <w:gridSpan w:val="2"/>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有流动水排放时按季度监测，如监测一年无异常情况，可放宽至每年开展一次监测</w:t>
            </w:r>
          </w:p>
        </w:tc>
        <w:tc>
          <w:tcPr>
            <w:tcW w:w="1100" w:type="dxa"/>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HJ1248-2022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vMerge w:val="restart"/>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地下水</w:t>
            </w:r>
          </w:p>
        </w:tc>
        <w:tc>
          <w:tcPr>
            <w:tcW w:w="1958"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1#大湾</w:t>
            </w:r>
            <w:r>
              <w:rPr>
                <w:rFonts w:hint="eastAsia"/>
                <w:color w:val="000000" w:themeColor="text1"/>
                <w:szCs w:val="21"/>
                <w:highlight w:val="none"/>
                <w:lang w:eastAsia="zh-CN"/>
                <w14:textFill>
                  <w14:solidFill>
                    <w14:schemeClr w14:val="tx1"/>
                  </w14:solidFill>
                </w14:textFill>
              </w:rPr>
              <w:t>408试采站</w:t>
            </w:r>
            <w:r>
              <w:rPr>
                <w:rFonts w:hint="eastAsia"/>
                <w:color w:val="000000" w:themeColor="text1"/>
                <w:szCs w:val="21"/>
                <w:highlight w:val="none"/>
                <w14:textFill>
                  <w14:solidFill>
                    <w14:schemeClr w14:val="tx1"/>
                  </w14:solidFill>
                </w14:textFill>
              </w:rPr>
              <w:t>内下游</w:t>
            </w:r>
          </w:p>
        </w:tc>
        <w:tc>
          <w:tcPr>
            <w:tcW w:w="1473" w:type="dxa"/>
            <w:vMerge w:val="restart"/>
            <w:vAlign w:val="center"/>
          </w:tcPr>
          <w:p>
            <w:pPr>
              <w:pStyle w:val="297"/>
              <w:rPr>
                <w:snapToGrid w:val="0"/>
                <w:color w:val="000000" w:themeColor="text1"/>
                <w:szCs w:val="21"/>
                <w:highlight w:val="none"/>
                <w14:textFill>
                  <w14:solidFill>
                    <w14:schemeClr w14:val="tx1"/>
                  </w14:solidFill>
                </w14:textFill>
              </w:rPr>
            </w:pPr>
            <w:r>
              <w:rPr>
                <w:snapToGrid w:val="0"/>
                <w:color w:val="000000" w:themeColor="text1"/>
                <w:szCs w:val="21"/>
                <w:highlight w:val="none"/>
                <w14:textFill>
                  <w14:solidFill>
                    <w14:schemeClr w14:val="tx1"/>
                  </w14:solidFill>
                </w14:textFill>
              </w:rPr>
              <w:t>pH值、总硬度、六价铬、铁、锰、耗氧量、TDS、COD、石油类、氯化物</w:t>
            </w:r>
            <w:r>
              <w:rPr>
                <w:rFonts w:hint="eastAsia"/>
                <w:snapToGrid w:val="0"/>
                <w:color w:val="000000" w:themeColor="text1"/>
                <w:szCs w:val="21"/>
                <w:highlight w:val="none"/>
                <w14:textFill>
                  <w14:solidFill>
                    <w14:schemeClr w14:val="tx1"/>
                  </w14:solidFill>
                </w14:textFill>
              </w:rPr>
              <w:t>、钡</w:t>
            </w:r>
          </w:p>
        </w:tc>
        <w:tc>
          <w:tcPr>
            <w:tcW w:w="2706" w:type="dxa"/>
            <w:gridSpan w:val="2"/>
            <w:vMerge w:val="restart"/>
            <w:vAlign w:val="center"/>
          </w:tcPr>
          <w:p>
            <w:pPr>
              <w:pStyle w:val="297"/>
              <w:rPr>
                <w:color w:val="000000" w:themeColor="text1"/>
                <w:szCs w:val="21"/>
                <w:highlight w:val="none"/>
                <w14:textFill>
                  <w14:solidFill>
                    <w14:schemeClr w14:val="tx1"/>
                  </w14:solidFill>
                </w14:textFill>
              </w:rPr>
            </w:pPr>
            <w:r>
              <w:rPr>
                <w:snapToGrid w:val="0"/>
                <w:color w:val="000000" w:themeColor="text1"/>
                <w:szCs w:val="21"/>
                <w:highlight w:val="none"/>
                <w14:textFill>
                  <w14:solidFill>
                    <w14:schemeClr w14:val="tx1"/>
                  </w14:solidFill>
                </w14:textFill>
              </w:rPr>
              <w:t>开工前</w:t>
            </w:r>
            <w:r>
              <w:rPr>
                <w:rFonts w:hint="eastAsia"/>
                <w:snapToGrid w:val="0"/>
                <w:color w:val="000000" w:themeColor="text1"/>
                <w:szCs w:val="21"/>
                <w:highlight w:val="none"/>
                <w14:textFill>
                  <w14:solidFill>
                    <w14:schemeClr w14:val="tx1"/>
                  </w14:solidFill>
                </w14:textFill>
              </w:rPr>
              <w:t>环评阶段</w:t>
            </w:r>
            <w:r>
              <w:rPr>
                <w:snapToGrid w:val="0"/>
                <w:color w:val="000000" w:themeColor="text1"/>
                <w:szCs w:val="21"/>
                <w:highlight w:val="none"/>
                <w14:textFill>
                  <w14:solidFill>
                    <w14:schemeClr w14:val="tx1"/>
                  </w14:solidFill>
                </w14:textFill>
              </w:rPr>
              <w:t>1次，完钻后</w:t>
            </w:r>
            <w:r>
              <w:rPr>
                <w:rFonts w:hint="eastAsia"/>
                <w:snapToGrid w:val="0"/>
                <w:color w:val="000000" w:themeColor="text1"/>
                <w:szCs w:val="21"/>
                <w:highlight w:val="none"/>
                <w14:textFill>
                  <w14:solidFill>
                    <w14:schemeClr w14:val="tx1"/>
                  </w14:solidFill>
                </w14:textFill>
              </w:rPr>
              <w:t>竣工环保验收时</w:t>
            </w:r>
            <w:r>
              <w:rPr>
                <w:snapToGrid w:val="0"/>
                <w:color w:val="000000" w:themeColor="text1"/>
                <w:szCs w:val="21"/>
                <w:highlight w:val="none"/>
                <w14:textFill>
                  <w14:solidFill>
                    <w14:schemeClr w14:val="tx1"/>
                  </w14:solidFill>
                </w14:textFill>
              </w:rPr>
              <w:t>1次，发生事故时加密监测；试采期每年对</w:t>
            </w:r>
            <w:r>
              <w:rPr>
                <w:rFonts w:hint="eastAsia"/>
                <w:snapToGrid w:val="0"/>
                <w:color w:val="000000" w:themeColor="text1"/>
                <w:szCs w:val="21"/>
                <w:highlight w:val="none"/>
                <w14:textFill>
                  <w14:solidFill>
                    <w14:schemeClr w14:val="tx1"/>
                  </w14:solidFill>
                </w14:textFill>
              </w:rPr>
              <w:t>1</w:t>
            </w:r>
            <w:r>
              <w:rPr>
                <w:snapToGrid w:val="0"/>
                <w:color w:val="000000" w:themeColor="text1"/>
                <w:szCs w:val="21"/>
                <w:highlight w:val="none"/>
                <w14:textFill>
                  <w14:solidFill>
                    <w14:schemeClr w14:val="tx1"/>
                  </w14:solidFill>
                </w14:textFill>
              </w:rPr>
              <w:t>#点位例行监测</w:t>
            </w:r>
            <w:r>
              <w:rPr>
                <w:rFonts w:hint="eastAsia"/>
                <w:snapToGrid w:val="0"/>
                <w:color w:val="000000" w:themeColor="text1"/>
                <w:szCs w:val="21"/>
                <w:highlight w:val="none"/>
                <w14:textFill>
                  <w14:solidFill>
                    <w14:schemeClr w14:val="tx1"/>
                  </w14:solidFill>
                </w14:textFill>
              </w:rPr>
              <w:t>两</w:t>
            </w:r>
            <w:r>
              <w:rPr>
                <w:snapToGrid w:val="0"/>
                <w:color w:val="000000" w:themeColor="text1"/>
                <w:szCs w:val="21"/>
                <w:highlight w:val="none"/>
                <w14:textFill>
                  <w14:solidFill>
                    <w14:schemeClr w14:val="tx1"/>
                  </w14:solidFill>
                </w14:textFill>
              </w:rPr>
              <w:t>次，事故时加密监测</w:t>
            </w:r>
          </w:p>
        </w:tc>
        <w:tc>
          <w:tcPr>
            <w:tcW w:w="1100" w:type="dxa"/>
            <w:vMerge w:val="restart"/>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HJ1209-2021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vMerge w:val="continue"/>
            <w:shd w:val="clear" w:color="auto" w:fill="FFFFFF"/>
            <w:vAlign w:val="center"/>
          </w:tcPr>
          <w:p>
            <w:pPr>
              <w:pStyle w:val="297"/>
              <w:rPr>
                <w:color w:val="000000" w:themeColor="text1"/>
                <w:szCs w:val="21"/>
                <w:highlight w:val="none"/>
                <w14:textFill>
                  <w14:solidFill>
                    <w14:schemeClr w14:val="tx1"/>
                  </w14:solidFill>
                </w14:textFill>
              </w:rPr>
            </w:pPr>
          </w:p>
        </w:tc>
        <w:tc>
          <w:tcPr>
            <w:tcW w:w="1958" w:type="dxa"/>
            <w:shd w:val="clear" w:color="auto" w:fill="FFFFFF"/>
            <w:vAlign w:val="center"/>
          </w:tcPr>
          <w:p>
            <w:pPr>
              <w:pStyle w:val="297"/>
              <w:rPr>
                <w:snapToGrid w:val="0"/>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2#大湾408井台</w:t>
            </w:r>
            <w:r>
              <w:rPr>
                <w:rFonts w:hint="eastAsia"/>
                <w:color w:val="000000" w:themeColor="text1"/>
                <w:szCs w:val="21"/>
                <w:highlight w:val="none"/>
                <w14:textFill>
                  <w14:solidFill>
                    <w14:schemeClr w14:val="tx1"/>
                  </w14:solidFill>
                </w14:textFill>
              </w:rPr>
              <w:t>西</w:t>
            </w:r>
            <w:r>
              <w:rPr>
                <w:color w:val="000000" w:themeColor="text1"/>
                <w:szCs w:val="21"/>
                <w:highlight w:val="none"/>
                <w14:textFill>
                  <w14:solidFill>
                    <w14:schemeClr w14:val="tx1"/>
                  </w14:solidFill>
                </w14:textFill>
              </w:rPr>
              <w:t>北侧318m处</w:t>
            </w:r>
            <w:r>
              <w:rPr>
                <w:rFonts w:hint="eastAsia"/>
                <w:color w:val="000000" w:themeColor="text1"/>
                <w:szCs w:val="21"/>
                <w:highlight w:val="none"/>
                <w14:textFill>
                  <w14:solidFill>
                    <w14:schemeClr w14:val="tx1"/>
                  </w14:solidFill>
                </w14:textFill>
              </w:rPr>
              <w:t>泉点</w:t>
            </w:r>
          </w:p>
        </w:tc>
        <w:tc>
          <w:tcPr>
            <w:tcW w:w="1473" w:type="dxa"/>
            <w:vMerge w:val="continue"/>
            <w:vAlign w:val="center"/>
          </w:tcPr>
          <w:p>
            <w:pPr>
              <w:pStyle w:val="297"/>
              <w:rPr>
                <w:snapToGrid w:val="0"/>
                <w:color w:val="000000" w:themeColor="text1"/>
                <w:szCs w:val="21"/>
                <w:highlight w:val="none"/>
                <w14:textFill>
                  <w14:solidFill>
                    <w14:schemeClr w14:val="tx1"/>
                  </w14:solidFill>
                </w14:textFill>
              </w:rPr>
            </w:pPr>
          </w:p>
        </w:tc>
        <w:tc>
          <w:tcPr>
            <w:tcW w:w="2706" w:type="dxa"/>
            <w:gridSpan w:val="2"/>
            <w:vMerge w:val="continue"/>
            <w:vAlign w:val="center"/>
          </w:tcPr>
          <w:p>
            <w:pPr>
              <w:pStyle w:val="297"/>
              <w:rPr>
                <w:color w:val="000000" w:themeColor="text1"/>
                <w:szCs w:val="21"/>
                <w:highlight w:val="none"/>
                <w14:textFill>
                  <w14:solidFill>
                    <w14:schemeClr w14:val="tx1"/>
                  </w14:solidFill>
                </w14:textFill>
              </w:rPr>
            </w:pPr>
          </w:p>
        </w:tc>
        <w:tc>
          <w:tcPr>
            <w:tcW w:w="1100" w:type="dxa"/>
            <w:vMerge w:val="continue"/>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vMerge w:val="continue"/>
            <w:shd w:val="clear" w:color="auto" w:fill="FFFFFF"/>
            <w:vAlign w:val="center"/>
          </w:tcPr>
          <w:p>
            <w:pPr>
              <w:pStyle w:val="297"/>
              <w:rPr>
                <w:color w:val="000000" w:themeColor="text1"/>
                <w:szCs w:val="21"/>
                <w:highlight w:val="none"/>
                <w14:textFill>
                  <w14:solidFill>
                    <w14:schemeClr w14:val="tx1"/>
                  </w14:solidFill>
                </w14:textFill>
              </w:rPr>
            </w:pPr>
          </w:p>
        </w:tc>
        <w:tc>
          <w:tcPr>
            <w:tcW w:w="1958" w:type="dxa"/>
            <w:shd w:val="clear" w:color="auto" w:fill="FFFFFF"/>
            <w:vAlign w:val="center"/>
          </w:tcPr>
          <w:p>
            <w:pPr>
              <w:pStyle w:val="297"/>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3#大湾408井台</w:t>
            </w:r>
            <w:r>
              <w:rPr>
                <w:rFonts w:hint="eastAsia"/>
                <w:color w:val="000000" w:themeColor="text1"/>
                <w:szCs w:val="21"/>
                <w:highlight w:val="none"/>
                <w14:textFill>
                  <w14:solidFill>
                    <w14:schemeClr w14:val="tx1"/>
                  </w14:solidFill>
                </w14:textFill>
              </w:rPr>
              <w:t>南</w:t>
            </w:r>
            <w:r>
              <w:rPr>
                <w:color w:val="000000" w:themeColor="text1"/>
                <w:szCs w:val="21"/>
                <w:highlight w:val="none"/>
                <w14:textFill>
                  <w14:solidFill>
                    <w14:schemeClr w14:val="tx1"/>
                  </w14:solidFill>
                </w14:textFill>
              </w:rPr>
              <w:t>侧193m处泉点</w:t>
            </w:r>
          </w:p>
        </w:tc>
        <w:tc>
          <w:tcPr>
            <w:tcW w:w="1473" w:type="dxa"/>
            <w:vMerge w:val="continue"/>
            <w:vAlign w:val="center"/>
          </w:tcPr>
          <w:p>
            <w:pPr>
              <w:pStyle w:val="297"/>
              <w:rPr>
                <w:snapToGrid w:val="0"/>
                <w:color w:val="000000" w:themeColor="text1"/>
                <w:szCs w:val="21"/>
                <w:highlight w:val="none"/>
                <w14:textFill>
                  <w14:solidFill>
                    <w14:schemeClr w14:val="tx1"/>
                  </w14:solidFill>
                </w14:textFill>
              </w:rPr>
            </w:pPr>
          </w:p>
        </w:tc>
        <w:tc>
          <w:tcPr>
            <w:tcW w:w="2706" w:type="dxa"/>
            <w:gridSpan w:val="2"/>
            <w:vMerge w:val="continue"/>
            <w:vAlign w:val="center"/>
          </w:tcPr>
          <w:p>
            <w:pPr>
              <w:pStyle w:val="297"/>
              <w:rPr>
                <w:color w:val="000000" w:themeColor="text1"/>
                <w:szCs w:val="21"/>
                <w:highlight w:val="none"/>
                <w14:textFill>
                  <w14:solidFill>
                    <w14:schemeClr w14:val="tx1"/>
                  </w14:solidFill>
                </w14:textFill>
              </w:rPr>
            </w:pPr>
          </w:p>
        </w:tc>
        <w:tc>
          <w:tcPr>
            <w:tcW w:w="1100" w:type="dxa"/>
            <w:vMerge w:val="continue"/>
            <w:vAlign w:val="center"/>
          </w:tcPr>
          <w:p>
            <w:pPr>
              <w:pStyle w:val="297"/>
              <w:rPr>
                <w:color w:val="000000" w:themeColor="text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983" w:type="dxa"/>
            <w:vMerge w:val="continue"/>
            <w:shd w:val="clear" w:color="auto" w:fill="FFFFFF"/>
            <w:vAlign w:val="center"/>
          </w:tcPr>
          <w:p>
            <w:pPr>
              <w:pStyle w:val="297"/>
              <w:rPr>
                <w:color w:val="000000" w:themeColor="text1"/>
                <w:szCs w:val="21"/>
                <w:highlight w:val="none"/>
                <w14:textFill>
                  <w14:solidFill>
                    <w14:schemeClr w14:val="tx1"/>
                  </w14:solidFill>
                </w14:textFill>
              </w:rPr>
            </w:pPr>
          </w:p>
        </w:tc>
        <w:tc>
          <w:tcPr>
            <w:tcW w:w="7237" w:type="dxa"/>
            <w:gridSpan w:val="5"/>
            <w:shd w:val="clear" w:color="auto" w:fill="FFFFFF"/>
            <w:vAlign w:val="center"/>
          </w:tcPr>
          <w:p>
            <w:pPr>
              <w:pStyle w:val="297"/>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建议建设单位在后期开展井场地质勘探时，可保留1个井场地下水流向下游的钻孔用作后期地下水环境质量跟踪监测井，按照</w:t>
            </w:r>
            <w:r>
              <w:rPr>
                <w:rFonts w:hint="eastAsia"/>
                <w:color w:val="000000" w:themeColor="text1"/>
                <w:szCs w:val="32"/>
                <w:highlight w:val="none"/>
                <w14:textFill>
                  <w14:solidFill>
                    <w14:schemeClr w14:val="tx1"/>
                  </w14:solidFill>
                </w14:textFill>
              </w:rPr>
              <w:t>《地下水环境监测技术规范》（HJ 164-2020）中“5.1.1环境监测井建设要求”建设。</w:t>
            </w:r>
          </w:p>
        </w:tc>
      </w:tr>
    </w:tbl>
    <w:p>
      <w:pPr>
        <w:pStyle w:val="4"/>
        <w:spacing w:before="120"/>
        <w:ind w:firstLine="480"/>
        <w:rPr>
          <w:b/>
          <w:color w:val="000000" w:themeColor="text1"/>
          <w:highlight w:val="none"/>
          <w:lang w:eastAsia="zh-CN"/>
          <w14:textFill>
            <w14:solidFill>
              <w14:schemeClr w14:val="tx1"/>
            </w14:solidFill>
          </w14:textFill>
        </w:rPr>
      </w:pPr>
      <w:r>
        <w:rPr>
          <w:rFonts w:hint="eastAsia"/>
          <w:color w:val="000000" w:themeColor="text1"/>
          <w:highlight w:val="none"/>
          <w:lang w:eastAsia="zh-CN"/>
          <w14:textFill>
            <w14:solidFill>
              <w14:schemeClr w14:val="tx1"/>
            </w14:solidFill>
          </w14:textFill>
        </w:rPr>
        <w:t>生态</w:t>
      </w:r>
      <w:r>
        <w:rPr>
          <w:color w:val="000000" w:themeColor="text1"/>
          <w:highlight w:val="none"/>
          <w:lang w:eastAsia="zh-CN"/>
          <w14:textFill>
            <w14:solidFill>
              <w14:schemeClr w14:val="tx1"/>
            </w14:solidFill>
          </w14:textFill>
        </w:rPr>
        <w:t>监测</w:t>
      </w:r>
      <w:r>
        <w:rPr>
          <w:rFonts w:hint="eastAsia"/>
          <w:color w:val="000000" w:themeColor="text1"/>
          <w:highlight w:val="none"/>
          <w:lang w:eastAsia="zh-CN"/>
          <w14:textFill>
            <w14:solidFill>
              <w14:schemeClr w14:val="tx1"/>
            </w14:solidFill>
          </w14:textFill>
        </w:rPr>
        <w:t>计划</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生态环境管理和监控是政府环境保护机构依据国家和地方</w:t>
      </w:r>
      <w:r>
        <w:rPr>
          <w:rFonts w:hint="eastAsia"/>
          <w:bCs/>
          <w:color w:val="000000" w:themeColor="text1"/>
          <w:highlight w:val="none"/>
          <w:lang w:eastAsia="zh-CN"/>
          <w14:textFill>
            <w14:solidFill>
              <w14:schemeClr w14:val="tx1"/>
            </w14:solidFill>
          </w14:textFill>
        </w:rPr>
        <w:t>制定</w:t>
      </w:r>
      <w:r>
        <w:rPr>
          <w:bCs/>
          <w:color w:val="000000" w:themeColor="text1"/>
          <w:highlight w:val="none"/>
          <w14:textFill>
            <w14:solidFill>
              <w14:schemeClr w14:val="tx1"/>
            </w14:solidFill>
          </w14:textFill>
        </w:rPr>
        <w:t>的有关自然资源和生态保护的法律、法规、条例、技术规范、标准等所进行的行政工作。因此，接受环境管理和监管是建设单位日常工作的一个重要组成部分。本评价根据项目建设的性质、规模、生态影响的程度和范围、项目所在地的自然、经济、社会等因素提出如下生态监控目标和要求。</w:t>
      </w:r>
    </w:p>
    <w:p>
      <w:pPr>
        <w:ind w:firstLine="480"/>
        <w:rPr>
          <w:rFonts w:cs="Times New Roman"/>
          <w:bCs/>
          <w:color w:val="000000" w:themeColor="text1"/>
          <w:highlight w:val="none"/>
          <w14:textFill>
            <w14:solidFill>
              <w14:schemeClr w14:val="tx1"/>
            </w14:solidFill>
          </w14:textFill>
        </w:rPr>
      </w:pPr>
      <w:r>
        <w:rPr>
          <w:rFonts w:cs="Times New Roman"/>
          <w:bCs/>
          <w:color w:val="000000" w:themeColor="text1"/>
          <w:highlight w:val="none"/>
          <w14:textFill>
            <w14:solidFill>
              <w14:schemeClr w14:val="tx1"/>
            </w14:solidFill>
          </w14:textFill>
        </w:rPr>
        <w:t>监测目标：</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①防止区内自然体系生产能力进一步下降；</w:t>
      </w:r>
    </w:p>
    <w:p>
      <w:pPr>
        <w:pStyle w:val="132"/>
        <w:ind w:firstLine="480"/>
        <w:rPr>
          <w:bCs/>
          <w:color w:val="000000" w:themeColor="text1"/>
          <w:highlight w:val="none"/>
          <w14:textFill>
            <w14:solidFill>
              <w14:schemeClr w14:val="tx1"/>
            </w14:solidFill>
          </w14:textFill>
        </w:rPr>
      </w:pPr>
      <w:r>
        <w:rPr>
          <w:bCs/>
          <w:color w:val="000000" w:themeColor="text1"/>
          <w:highlight w:val="none"/>
          <w:lang w:eastAsia="ja-JP"/>
          <w14:textFill>
            <w14:solidFill>
              <w14:schemeClr w14:val="tx1"/>
            </w14:solidFill>
          </w14:textFill>
        </w:rPr>
        <w:t>②</w:t>
      </w:r>
      <w:r>
        <w:rPr>
          <w:bCs/>
          <w:color w:val="000000" w:themeColor="text1"/>
          <w:highlight w:val="none"/>
          <w14:textFill>
            <w14:solidFill>
              <w14:schemeClr w14:val="tx1"/>
            </w14:solidFill>
          </w14:textFill>
        </w:rPr>
        <w:t>防止区内水土流失日趋严重；</w:t>
      </w:r>
    </w:p>
    <w:p>
      <w:pPr>
        <w:pStyle w:val="132"/>
        <w:ind w:firstLine="480"/>
        <w:rPr>
          <w:bCs/>
          <w:color w:val="000000" w:themeColor="text1"/>
          <w:highlight w:val="none"/>
          <w14:textFill>
            <w14:solidFill>
              <w14:schemeClr w14:val="tx1"/>
            </w14:solidFill>
          </w14:textFill>
        </w:rPr>
      </w:pPr>
      <w:r>
        <w:rPr>
          <w:bCs/>
          <w:color w:val="000000" w:themeColor="text1"/>
          <w:highlight w:val="none"/>
          <w:lang w:eastAsia="ja-JP"/>
          <w14:textFill>
            <w14:solidFill>
              <w14:schemeClr w14:val="tx1"/>
            </w14:solidFill>
          </w14:textFill>
        </w:rPr>
        <w:t>③</w:t>
      </w:r>
      <w:r>
        <w:rPr>
          <w:bCs/>
          <w:color w:val="000000" w:themeColor="text1"/>
          <w:highlight w:val="none"/>
          <w14:textFill>
            <w14:solidFill>
              <w14:schemeClr w14:val="tx1"/>
            </w14:solidFill>
          </w14:textFill>
        </w:rPr>
        <w:t>防止区内人类活动给自然体系增加更大的压力。</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监测要求：</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（一）监测物种类别</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1、陆生植物</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监测陆生植被物种主要为评价区的麻栎、青冈、栓皮栎为主的乔木林植被，马桑、黄荆、火棘、荚蒾为主的灌草丛植被。</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2、陆生动物</w:t>
      </w:r>
    </w:p>
    <w:p>
      <w:pPr>
        <w:pStyle w:val="132"/>
        <w:adjustRightInd/>
        <w:snapToGrid/>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两栖类主要为：常见的蛙类和蟾蜍类。</w:t>
      </w:r>
    </w:p>
    <w:p>
      <w:pPr>
        <w:pStyle w:val="132"/>
        <w:adjustRightInd/>
        <w:snapToGrid/>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爬行类主要为：蜥蜴类、蛇类和壁虎类。</w:t>
      </w:r>
    </w:p>
    <w:p>
      <w:pPr>
        <w:pStyle w:val="132"/>
        <w:adjustRightInd/>
        <w:snapToGrid/>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鸟类主要为：雉科、鸦科、雀科、鹭科、雉科及燕科的鸟类。</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兽类主要为：食肉目鼬</w:t>
      </w:r>
      <w:r>
        <w:rPr>
          <w:bCs/>
          <w:color w:val="000000" w:themeColor="text1"/>
          <w:spacing w:val="2"/>
          <w:szCs w:val="24"/>
          <w:highlight w:val="none"/>
          <w14:textFill>
            <w14:solidFill>
              <w14:schemeClr w14:val="tx1"/>
            </w14:solidFill>
          </w14:textFill>
        </w:rPr>
        <w:t>科，啮齿目鼠科，</w:t>
      </w:r>
      <w:r>
        <w:rPr>
          <w:bCs/>
          <w:color w:val="000000" w:themeColor="text1"/>
          <w:spacing w:val="1"/>
          <w:szCs w:val="24"/>
          <w:highlight w:val="none"/>
          <w14:textFill>
            <w14:solidFill>
              <w14:schemeClr w14:val="tx1"/>
            </w14:solidFill>
          </w14:textFill>
        </w:rPr>
        <w:t>兔形目兔科</w:t>
      </w:r>
      <w:r>
        <w:rPr>
          <w:bCs/>
          <w:color w:val="000000" w:themeColor="text1"/>
          <w:highlight w:val="none"/>
          <w14:textFill>
            <w14:solidFill>
              <w14:schemeClr w14:val="tx1"/>
            </w14:solidFill>
          </w14:textFill>
        </w:rPr>
        <w:t>的中小型兽类。</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（二）监测范围</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包括陆生植被监测、植被恢复效果监测、陆生动物监测。</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1、 陆生植被监测</w:t>
      </w:r>
    </w:p>
    <w:p>
      <w:pPr>
        <w:pStyle w:val="132"/>
        <w:adjustRightInd/>
        <w:snapToGrid/>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监测内容及方法：根据陆生生物组成设置固定样地</w:t>
      </w:r>
      <w:r>
        <w:rPr>
          <w:rFonts w:hint="eastAsia"/>
          <w:bCs/>
          <w:color w:val="000000" w:themeColor="text1"/>
          <w:highlight w:val="none"/>
          <w14:textFill>
            <w14:solidFill>
              <w14:schemeClr w14:val="tx1"/>
            </w14:solidFill>
          </w14:textFill>
        </w:rPr>
        <w:t>7</w:t>
      </w:r>
      <w:r>
        <w:rPr>
          <w:bCs/>
          <w:color w:val="000000" w:themeColor="text1"/>
          <w:highlight w:val="none"/>
          <w14:textFill>
            <w14:solidFill>
              <w14:schemeClr w14:val="tx1"/>
            </w14:solidFill>
          </w14:textFill>
        </w:rPr>
        <w:t xml:space="preserve">个，根据各样线群落面积确定设置的样地数量，着重调查植物的水平分布变化趋势。此外，监测过程中应密切关注外来入侵种的种类、数量、入侵速度。 </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监测时间及频次：常规监测。</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2、植被恢复效果监测</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监测内容：项目退役后，植被恢复初期，在各施工迹地设置1-2个20m×20m或5m×5m的小样方，对小样方内植物生长情况进行调查，包括植物成活率、萌发情况、幼树长势、植被覆盖率、植物种类变化等。</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监测时间及频次：常规监测。</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 xml:space="preserve">3、陆生动物监测 </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监测内容及方法：根据陆生生物组成设置固定样线3-4条，统计兽类、鸟类、两栖类、爬行类的物种出现率。还可进行民间访问和市场调查来了解野生动物的情况。</w:t>
      </w:r>
    </w:p>
    <w:p>
      <w:pPr>
        <w:pStyle w:val="132"/>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监测频次：常规监测。</w:t>
      </w:r>
    </w:p>
    <w:p>
      <w:pPr>
        <w:pStyle w:val="4"/>
        <w:spacing w:before="0" w:beforeLines="0"/>
        <w:ind w:firstLine="480"/>
        <w:rPr>
          <w:b/>
          <w:color w:val="000000" w:themeColor="text1"/>
          <w:highlight w:val="none"/>
          <w:lang w:eastAsia="zh-CN"/>
          <w14:textFill>
            <w14:solidFill>
              <w14:schemeClr w14:val="tx1"/>
            </w14:solidFill>
          </w14:textFill>
        </w:rPr>
      </w:pPr>
      <w:bookmarkStart w:id="550" w:name="_Toc120173248"/>
      <w:r>
        <w:rPr>
          <w:color w:val="000000" w:themeColor="text1"/>
          <w:highlight w:val="none"/>
          <w:lang w:eastAsia="zh-CN"/>
          <w14:textFill>
            <w14:solidFill>
              <w14:schemeClr w14:val="tx1"/>
            </w14:solidFill>
          </w14:textFill>
        </w:rPr>
        <w:t>应急监测</w:t>
      </w:r>
      <w:bookmarkEnd w:id="550"/>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本项目主要存在</w:t>
      </w:r>
      <w:r>
        <w:rPr>
          <w:rFonts w:hint="eastAsia"/>
          <w:color w:val="000000" w:themeColor="text1"/>
          <w:highlight w:val="none"/>
          <w14:textFill>
            <w14:solidFill>
              <w14:schemeClr w14:val="tx1"/>
            </w14:solidFill>
          </w14:textFill>
        </w:rPr>
        <w:t>试采</w:t>
      </w:r>
      <w:r>
        <w:rPr>
          <w:color w:val="000000" w:themeColor="text1"/>
          <w:highlight w:val="none"/>
          <w14:textFill>
            <w14:solidFill>
              <w14:schemeClr w14:val="tx1"/>
            </w14:solidFill>
          </w14:textFill>
        </w:rPr>
        <w:t>站场天然气泄漏（天然气泄漏或火灾、爆炸或重大环境污染）、污水泄漏、油类物质泄漏等事故。因此，在发生事故时应当进行应急监测。</w:t>
      </w:r>
    </w:p>
    <w:p>
      <w:pPr>
        <w:ind w:firstLine="480"/>
        <w:rPr>
          <w:rFonts w:cs="Times New Roman"/>
          <w:color w:val="000000" w:themeColor="text1"/>
          <w:szCs w:val="32"/>
          <w:highlight w:val="none"/>
          <w14:textFill>
            <w14:solidFill>
              <w14:schemeClr w14:val="tx1"/>
            </w14:solidFill>
          </w14:textFill>
        </w:rPr>
      </w:pPr>
      <w:r>
        <w:rPr>
          <w:rFonts w:hint="eastAsia"/>
          <w:color w:val="000000" w:themeColor="text1"/>
          <w:highlight w:val="none"/>
          <w14:textFill>
            <w14:solidFill>
              <w14:schemeClr w14:val="tx1"/>
            </w14:solidFill>
          </w14:textFill>
        </w:rPr>
        <w:t>参考</w:t>
      </w:r>
      <w:r>
        <w:rPr>
          <w:rFonts w:hint="eastAsia" w:cs="Times New Roman"/>
          <w:color w:val="000000" w:themeColor="text1"/>
          <w:szCs w:val="32"/>
          <w:highlight w:val="none"/>
          <w14:textFill>
            <w14:solidFill>
              <w14:schemeClr w14:val="tx1"/>
            </w14:solidFill>
          </w14:textFill>
        </w:rPr>
        <w:t>《突发环境事件应急监测技术规范》（HJ 589-2021），在发生风险事故后，根据污染态势初步判别结果，编制应急监测方案。应急监测方案应包括但不限于突发环境事件概况、监测布点及距事发地距离、监测断面（点位）经纬度及示意图、监测频次、监测项目、监测方法、评价标准或要求、质量保证和质量控制、数据报送要求、人员分工及联系方式、安全防护等方面内容。</w:t>
      </w:r>
    </w:p>
    <w:p>
      <w:pPr>
        <w:ind w:firstLine="48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采样断面（点）的设置一般以突发环境事件发生地及可能受影响的环境区域为主，同时应注重人群和生活环境、事件发生地周围重要生态环境保护目标及环境敏感点，重点关注对饮用水水源地、人群活动区域的空气、农田土壤、自然保护区、风景名胜区及其他需要特殊保护的区域的影响，合理设置监测断面（点），判断污染团（带）位置、反映污染变化趋势、了解应急处置效果。应根据突发环境事件应急处置情况动态及时更新调整布设点位。对被突发环境事件所污染的地表水、大气、土壤和地下水应设置对照断面（点）、控制断面（点），对地表水和地下水还应设置削减断面（点），布点要确保能够获取足够的有代表性的信息，同时应考虑采样的安全性和可行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应急监测包括污染纠纷的监测和污染事故的应急监测等。工程施工单位未落实环境保护措施发生污染事故或公众举报与投诉，以及风险事故发生时，环境监测部门应立刻进行现场监测，并通知当地环保部门赴事故现场进行调查，做到及时提供事故监测分析报告，以便及时做出整改并采取补救措施，使事故造成的不良环境影响降至最低。</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对事故监测可根据事故性质、事故影响大小等具体情况监测气、土壤、水等，并以监测报告的形式上报上级部门。</w:t>
      </w:r>
    </w:p>
    <w:p>
      <w:pPr>
        <w:pStyle w:val="3"/>
        <w:spacing w:before="0" w:beforeLines="0"/>
        <w:rPr>
          <w:color w:val="000000" w:themeColor="text1"/>
          <w:highlight w:val="none"/>
          <w:lang w:eastAsia="zh-CN"/>
          <w14:textFill>
            <w14:solidFill>
              <w14:schemeClr w14:val="tx1"/>
            </w14:solidFill>
          </w14:textFill>
        </w:rPr>
      </w:pPr>
      <w:bookmarkStart w:id="551" w:name="8.3排污口规范化管理"/>
      <w:bookmarkEnd w:id="551"/>
      <w:bookmarkStart w:id="552" w:name="_bookmark41"/>
      <w:bookmarkEnd w:id="552"/>
      <w:bookmarkStart w:id="553" w:name="8.2.2监测实施单位"/>
      <w:bookmarkEnd w:id="553"/>
      <w:bookmarkStart w:id="554" w:name="_Toc4934"/>
      <w:r>
        <w:rPr>
          <w:color w:val="000000" w:themeColor="text1"/>
          <w:highlight w:val="none"/>
          <w:lang w:eastAsia="zh-CN"/>
          <w14:textFill>
            <w14:solidFill>
              <w14:schemeClr w14:val="tx1"/>
            </w14:solidFill>
          </w14:textFill>
        </w:rPr>
        <w:t>排污许可申请</w:t>
      </w:r>
      <w:bookmarkEnd w:id="554"/>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本项目为</w:t>
      </w:r>
      <w:r>
        <w:rPr>
          <w:rFonts w:hint="eastAsia"/>
          <w:color w:val="000000" w:themeColor="text1"/>
          <w:highlight w:val="none"/>
          <w14:textFill>
            <w14:solidFill>
              <w14:schemeClr w14:val="tx1"/>
            </w14:solidFill>
          </w14:textFill>
        </w:rPr>
        <w:t>天然气勘探及试采项目</w:t>
      </w:r>
      <w:r>
        <w:rPr>
          <w:color w:val="000000" w:themeColor="text1"/>
          <w:highlight w:val="none"/>
          <w14:textFill>
            <w14:solidFill>
              <w14:schemeClr w14:val="tx1"/>
            </w14:solidFill>
          </w14:textFill>
        </w:rPr>
        <w:t>，根据《固定污染源排污许可分类管理名录》（2019年版）可知，本项目为登记管理的行业，因此不需申请排污许可证，只需登记备案。</w:t>
      </w:r>
    </w:p>
    <w:p>
      <w:pPr>
        <w:pStyle w:val="3"/>
        <w:spacing w:before="0" w:beforeLines="0"/>
        <w:rPr>
          <w:color w:val="000000" w:themeColor="text1"/>
          <w:highlight w:val="none"/>
          <w:lang w:eastAsia="zh-CN"/>
          <w14:textFill>
            <w14:solidFill>
              <w14:schemeClr w14:val="tx1"/>
            </w14:solidFill>
          </w14:textFill>
        </w:rPr>
      </w:pPr>
      <w:bookmarkStart w:id="555" w:name="_bookmark43"/>
      <w:bookmarkEnd w:id="555"/>
      <w:bookmarkStart w:id="556" w:name="8.4环境监理"/>
      <w:bookmarkEnd w:id="556"/>
      <w:bookmarkStart w:id="557" w:name="8.5环保设施竣工验收"/>
      <w:bookmarkEnd w:id="557"/>
      <w:bookmarkStart w:id="558" w:name="_Toc4038"/>
      <w:r>
        <w:rPr>
          <w:color w:val="000000" w:themeColor="text1"/>
          <w:highlight w:val="none"/>
          <w:lang w:eastAsia="zh-CN"/>
          <w14:textFill>
            <w14:solidFill>
              <w14:schemeClr w14:val="tx1"/>
            </w14:solidFill>
          </w14:textFill>
        </w:rPr>
        <w:t>竣工</w:t>
      </w:r>
      <w:r>
        <w:rPr>
          <w:rFonts w:hint="eastAsia"/>
          <w:color w:val="000000" w:themeColor="text1"/>
          <w:highlight w:val="none"/>
          <w:lang w:eastAsia="zh-CN"/>
          <w14:textFill>
            <w14:solidFill>
              <w14:schemeClr w14:val="tx1"/>
            </w14:solidFill>
          </w14:textFill>
        </w:rPr>
        <w:t>环境保护</w:t>
      </w:r>
      <w:r>
        <w:rPr>
          <w:color w:val="000000" w:themeColor="text1"/>
          <w:highlight w:val="none"/>
          <w:lang w:eastAsia="zh-CN"/>
          <w14:textFill>
            <w14:solidFill>
              <w14:schemeClr w14:val="tx1"/>
            </w14:solidFill>
          </w14:textFill>
        </w:rPr>
        <w:t>验收</w:t>
      </w:r>
      <w:bookmarkEnd w:id="558"/>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为加强建设项目竣工环境保护验收管理，监督落实环境保护设施与建设项目主体工程同时设计、同时投产、同时使用，防治环境污染，根据《建设项目竣工环境保护验收暂行办法》（国环规环评〔2017〕4号）等相关文件要求，建设单位应积极自主开展环境保护验收。</w:t>
      </w:r>
    </w:p>
    <w:p>
      <w:pPr>
        <w:pStyle w:val="203"/>
        <w:spacing w:before="1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表</w:t>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STYLEREF 2 \s</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10.5</w:t>
      </w:r>
      <w:r>
        <w:rPr>
          <w:color w:val="000000" w:themeColor="text1"/>
          <w:highlight w:val="none"/>
          <w14:textFill>
            <w14:solidFill>
              <w14:schemeClr w14:val="tx1"/>
            </w14:solidFill>
          </w14:textFill>
        </w:rPr>
        <w:fldChar w:fldCharType="end"/>
      </w:r>
      <w:r>
        <w:rPr>
          <w:color w:val="000000" w:themeColor="text1"/>
          <w:highlight w:val="none"/>
          <w14:textFill>
            <w14:solidFill>
              <w14:schemeClr w14:val="tx1"/>
            </w14:solidFill>
          </w14:textFill>
        </w:rPr>
        <w:noBreakHyphen/>
      </w:r>
      <w:r>
        <w:rPr>
          <w:color w:val="000000" w:themeColor="text1"/>
          <w:highlight w:val="none"/>
          <w14:textFill>
            <w14:solidFill>
              <w14:schemeClr w14:val="tx1"/>
            </w14:solidFill>
          </w14:textFill>
        </w:rPr>
        <w:fldChar w:fldCharType="begin"/>
      </w:r>
      <w:r>
        <w:rPr>
          <w:color w:val="000000" w:themeColor="text1"/>
          <w:highlight w:val="none"/>
          <w14:textFill>
            <w14:solidFill>
              <w14:schemeClr w14:val="tx1"/>
            </w14:solidFill>
          </w14:textFill>
        </w:rPr>
        <w:instrText xml:space="preserve"> </w:instrText>
      </w:r>
      <w:r>
        <w:rPr>
          <w:rFonts w:hint="eastAsia"/>
          <w:color w:val="000000" w:themeColor="text1"/>
          <w:highlight w:val="none"/>
          <w14:textFill>
            <w14:solidFill>
              <w14:schemeClr w14:val="tx1"/>
            </w14:solidFill>
          </w14:textFill>
        </w:rPr>
        <w:instrText xml:space="preserve">SEQ 表 \* ARABIC \s 2</w:instrText>
      </w:r>
      <w:r>
        <w:rPr>
          <w:color w:val="000000" w:themeColor="text1"/>
          <w:highlight w:val="none"/>
          <w14:textFill>
            <w14:solidFill>
              <w14:schemeClr w14:val="tx1"/>
            </w14:solidFill>
          </w14:textFill>
        </w:rPr>
        <w:instrText xml:space="preserve"> </w:instrText>
      </w:r>
      <w:r>
        <w:rPr>
          <w:color w:val="000000" w:themeColor="text1"/>
          <w:highlight w:val="none"/>
          <w14:textFill>
            <w14:solidFill>
              <w14:schemeClr w14:val="tx1"/>
            </w14:solidFill>
          </w14:textFill>
        </w:rPr>
        <w:fldChar w:fldCharType="separate"/>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本项目竣工环境保护验收措施及要求一览表</w:t>
      </w:r>
    </w:p>
    <w:tbl>
      <w:tblPr>
        <w:tblStyle w:val="5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35"/>
        <w:gridCol w:w="849"/>
        <w:gridCol w:w="1867"/>
        <w:gridCol w:w="4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b/>
                <w:bCs/>
                <w:color w:val="000000" w:themeColor="text1"/>
                <w:sz w:val="21"/>
                <w:szCs w:val="21"/>
                <w:highlight w:val="none"/>
                <w:lang w:eastAsia="en-US"/>
                <w14:textFill>
                  <w14:solidFill>
                    <w14:schemeClr w14:val="tx1"/>
                  </w14:solidFill>
                </w14:textFill>
              </w:rPr>
              <w:t>分项</w:t>
            </w:r>
          </w:p>
        </w:tc>
        <w:tc>
          <w:tcPr>
            <w:tcW w:w="1612" w:type="pct"/>
            <w:gridSpan w:val="2"/>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b/>
                <w:bCs/>
                <w:color w:val="000000" w:themeColor="text1"/>
                <w:sz w:val="21"/>
                <w:szCs w:val="21"/>
                <w:highlight w:val="none"/>
                <w:lang w:eastAsia="en-US"/>
                <w14:textFill>
                  <w14:solidFill>
                    <w14:schemeClr w14:val="tx1"/>
                  </w14:solidFill>
                </w14:textFill>
              </w:rPr>
              <w:t>验收项目及位置</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b/>
                <w:bCs/>
                <w:color w:val="000000" w:themeColor="text1"/>
                <w:sz w:val="21"/>
                <w:szCs w:val="21"/>
                <w:highlight w:val="none"/>
                <w:lang w:eastAsia="en-US"/>
                <w14:textFill>
                  <w14:solidFill>
                    <w14:schemeClr w14:val="tx1"/>
                  </w14:solidFill>
                </w14:textFill>
              </w:rPr>
              <w:t>验收指标及要求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restar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污染物放置措施及环境风险管控措施</w:t>
            </w:r>
          </w:p>
        </w:tc>
        <w:tc>
          <w:tcPr>
            <w:tcW w:w="504" w:type="pct"/>
            <w:vMerge w:val="restar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钻前工程</w:t>
            </w: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生活污水收集</w:t>
            </w:r>
            <w:r>
              <w:rPr>
                <w:rFonts w:hint="eastAsia" w:cs="Times New Roman"/>
                <w:color w:val="000000" w:themeColor="text1"/>
                <w:sz w:val="21"/>
                <w:szCs w:val="21"/>
                <w:highlight w:val="none"/>
                <w14:textFill>
                  <w14:solidFill>
                    <w14:schemeClr w14:val="tx1"/>
                  </w14:solidFill>
                </w14:textFill>
              </w:rPr>
              <w:t>处理</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依托周边农户厕所进行处置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噪声治理</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选用低噪声设备、加强维护保养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排污沟</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井场采用雨污分流设计，</w:t>
            </w:r>
            <w:r>
              <w:rPr>
                <w:rFonts w:hint="eastAsia" w:cs="Times New Roman"/>
                <w:color w:val="000000" w:themeColor="text1"/>
                <w:sz w:val="21"/>
                <w:szCs w:val="21"/>
                <w:highlight w:val="none"/>
                <w14:textFill>
                  <w14:solidFill>
                    <w14:schemeClr w14:val="tx1"/>
                  </w14:solidFill>
                </w14:textFill>
              </w:rPr>
              <w:t>新建</w:t>
            </w:r>
            <w:r>
              <w:rPr>
                <w:rFonts w:cs="Times New Roman"/>
                <w:color w:val="000000" w:themeColor="text1"/>
                <w:sz w:val="21"/>
                <w:szCs w:val="21"/>
                <w:highlight w:val="none"/>
                <w14:textFill>
                  <w14:solidFill>
                    <w14:schemeClr w14:val="tx1"/>
                  </w14:solidFill>
                </w14:textFill>
              </w:rPr>
              <w:t>排水沟。沿设备基础新建0.35m宽环状排污沟</w:t>
            </w:r>
            <w:r>
              <w:rPr>
                <w:rFonts w:hint="eastAsia" w:cs="Times New Roman"/>
                <w:color w:val="000000" w:themeColor="text1"/>
                <w:sz w:val="21"/>
                <w:szCs w:val="21"/>
                <w:highlight w:val="none"/>
                <w14:textFill>
                  <w14:solidFill>
                    <w14:schemeClr w14:val="tx1"/>
                  </w14:solidFill>
                </w14:textFill>
              </w:rPr>
              <w:t>，</w:t>
            </w:r>
            <w:r>
              <w:rPr>
                <w:rFonts w:cs="Times New Roman"/>
                <w:color w:val="000000" w:themeColor="text1"/>
                <w:sz w:val="21"/>
                <w:szCs w:val="21"/>
                <w:highlight w:val="none"/>
                <w14:textFill>
                  <w14:solidFill>
                    <w14:schemeClr w14:val="tx1"/>
                  </w14:solidFill>
                </w14:textFill>
              </w:rPr>
              <w:t>放坡坡度i=0.5%。污水沟放坡开始位置可根据现场做适当调整，但必须满足正常放坡和无倒流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土石方工程</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剥离的表土与弃土集中堆放至</w:t>
            </w:r>
            <w:r>
              <w:rPr>
                <w:rFonts w:hint="eastAsia" w:cs="Times New Roman"/>
                <w:color w:val="000000" w:themeColor="text1"/>
                <w:sz w:val="21"/>
                <w:szCs w:val="21"/>
                <w:highlight w:val="none"/>
                <w:lang w:val="en-US" w:eastAsia="zh-CN"/>
                <w14:textFill>
                  <w14:solidFill>
                    <w14:schemeClr w14:val="tx1"/>
                  </w14:solidFill>
                </w14:textFill>
              </w:rPr>
              <w:t>表土/弃土</w:t>
            </w:r>
            <w:r>
              <w:rPr>
                <w:rFonts w:cs="Times New Roman"/>
                <w:color w:val="000000" w:themeColor="text1"/>
                <w:sz w:val="21"/>
                <w:szCs w:val="21"/>
                <w:highlight w:val="none"/>
                <w14:textFill>
                  <w14:solidFill>
                    <w14:schemeClr w14:val="tx1"/>
                  </w14:solidFill>
                </w14:textFill>
              </w:rPr>
              <w:t>堆放区（表土与弃土分开堆存养护），表土用于后期生态恢复，综合利用；管道</w:t>
            </w:r>
            <w:r>
              <w:rPr>
                <w:rFonts w:hint="eastAsia" w:cs="Times New Roman"/>
                <w:color w:val="000000" w:themeColor="text1"/>
                <w:sz w:val="21"/>
                <w:szCs w:val="21"/>
                <w:highlight w:val="none"/>
                <w14:textFill>
                  <w14:solidFill>
                    <w14:schemeClr w14:val="tx1"/>
                  </w14:solidFill>
                </w14:textFill>
              </w:rPr>
              <w:t>地面敷设，土石方量小</w:t>
            </w:r>
            <w:r>
              <w:rPr>
                <w:rFonts w:cs="Times New Roman"/>
                <w:color w:val="000000" w:themeColor="text1"/>
                <w:sz w:val="21"/>
                <w:szCs w:val="21"/>
                <w:highlight w:val="none"/>
                <w14:textFill>
                  <w14:solidFill>
                    <w14:schemeClr w14:val="tx1"/>
                  </w14:solidFill>
                </w14:textFill>
              </w:rPr>
              <w:t>，做到挖填方平衡</w:t>
            </w:r>
            <w:r>
              <w:rPr>
                <w:rFonts w:hint="eastAsia" w:cs="Times New Roman"/>
                <w:color w:val="000000" w:themeColor="text1"/>
                <w:sz w:val="21"/>
                <w:szCs w:val="21"/>
                <w:highlight w:val="none"/>
                <w14:textFill>
                  <w14:solidFill>
                    <w14:schemeClr w14:val="tx1"/>
                  </w14:solidFill>
                </w14:textFill>
              </w:rPr>
              <w:t>，设置的</w:t>
            </w:r>
            <w:r>
              <w:rPr>
                <w:rFonts w:cs="Times New Roman"/>
                <w:color w:val="000000" w:themeColor="text1"/>
                <w:sz w:val="21"/>
                <w:szCs w:val="21"/>
                <w:highlight w:val="none"/>
                <w14:textFill>
                  <w14:solidFill>
                    <w14:schemeClr w14:val="tx1"/>
                  </w14:solidFill>
                </w14:textFill>
              </w:rPr>
              <w:t>表土</w:t>
            </w:r>
            <w:r>
              <w:rPr>
                <w:rFonts w:hint="eastAsia" w:cs="Times New Roman"/>
                <w:color w:val="000000" w:themeColor="text1"/>
                <w:sz w:val="21"/>
                <w:szCs w:val="21"/>
                <w:highlight w:val="none"/>
                <w:lang w:val="en-US" w:eastAsia="zh-CN"/>
                <w14:textFill>
                  <w14:solidFill>
                    <w14:schemeClr w14:val="tx1"/>
                  </w14:solidFill>
                </w14:textFill>
              </w:rPr>
              <w:t>/弃土</w:t>
            </w:r>
            <w:r>
              <w:rPr>
                <w:rFonts w:cs="Times New Roman"/>
                <w:color w:val="000000" w:themeColor="text1"/>
                <w:sz w:val="21"/>
                <w:szCs w:val="21"/>
                <w:highlight w:val="none"/>
                <w14:textFill>
                  <w14:solidFill>
                    <w14:schemeClr w14:val="tx1"/>
                  </w14:solidFill>
                </w14:textFill>
              </w:rPr>
              <w:t>堆放区</w:t>
            </w:r>
            <w:r>
              <w:rPr>
                <w:rFonts w:hint="eastAsia" w:cs="Times New Roman"/>
                <w:color w:val="000000" w:themeColor="text1"/>
                <w:sz w:val="21"/>
                <w:szCs w:val="21"/>
                <w:highlight w:val="none"/>
                <w14:textFill>
                  <w14:solidFill>
                    <w14:schemeClr w14:val="tx1"/>
                  </w14:solidFill>
                </w14:textFill>
              </w:rPr>
              <w:t>占地面积约</w:t>
            </w:r>
            <w:r>
              <w:rPr>
                <w:rFonts w:hint="eastAsia" w:cs="Times New Roman"/>
                <w:color w:val="000000" w:themeColor="text1"/>
                <w:sz w:val="21"/>
                <w:szCs w:val="21"/>
                <w:highlight w:val="none"/>
                <w:lang w:val="en-US" w:eastAsia="zh-CN"/>
                <w14:textFill>
                  <w14:solidFill>
                    <w14:schemeClr w14:val="tx1"/>
                  </w14:solidFill>
                </w14:textFill>
              </w:rPr>
              <w:t>6300</w:t>
            </w:r>
            <w:r>
              <w:rPr>
                <w:rFonts w:hint="eastAsia" w:cs="Times New Roman"/>
                <w:color w:val="000000" w:themeColor="text1"/>
                <w:sz w:val="21"/>
                <w:szCs w:val="21"/>
                <w:highlight w:val="none"/>
                <w14:textFill>
                  <w14:solidFill>
                    <w14:schemeClr w14:val="tx1"/>
                  </w14:solidFill>
                </w14:textFill>
              </w:rPr>
              <w:t>m</w:t>
            </w:r>
            <w:r>
              <w:rPr>
                <w:rFonts w:cs="Times New Roman"/>
                <w:color w:val="000000" w:themeColor="text1"/>
                <w:sz w:val="21"/>
                <w:szCs w:val="21"/>
                <w:highlight w:val="none"/>
                <w:vertAlign w:val="superscript"/>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建筑垃圾</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由施工队伍统一收集清运至政府指定处置场所处置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生活垃圾收集</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生活垃圾设置垃圾桶集中收集，交由当地环卫部门处置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restar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钻井工程、储层改造工程</w:t>
            </w: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钻井废水</w:t>
            </w:r>
            <w:r>
              <w:rPr>
                <w:rFonts w:hint="eastAsia" w:cs="Times New Roman"/>
                <w:color w:val="000000" w:themeColor="text1"/>
                <w:sz w:val="21"/>
                <w:szCs w:val="21"/>
                <w:highlight w:val="none"/>
                <w14:textFill>
                  <w14:solidFill>
                    <w14:schemeClr w14:val="tx1"/>
                  </w14:solidFill>
                </w14:textFill>
              </w:rPr>
              <w:t>治理</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钻井废水</w:t>
            </w:r>
            <w:r>
              <w:rPr>
                <w:rFonts w:hint="eastAsia" w:cs="Times New Roman"/>
                <w:color w:val="000000" w:themeColor="text1"/>
                <w:sz w:val="21"/>
                <w:szCs w:val="21"/>
                <w:highlight w:val="none"/>
                <w14:textFill>
                  <w14:solidFill>
                    <w14:schemeClr w14:val="tx1"/>
                  </w14:solidFill>
                </w14:textFill>
              </w:rPr>
              <w:t>首先</w:t>
            </w:r>
            <w:r>
              <w:rPr>
                <w:rFonts w:cs="Times New Roman"/>
                <w:color w:val="000000" w:themeColor="text1"/>
                <w:sz w:val="21"/>
                <w:szCs w:val="21"/>
                <w:highlight w:val="none"/>
                <w14:textFill>
                  <w14:solidFill>
                    <w14:schemeClr w14:val="tx1"/>
                  </w14:solidFill>
                </w14:textFill>
              </w:rPr>
              <w:t>回用于钻井补充泥浆的配置，剩余不能回用部分</w:t>
            </w:r>
            <w:r>
              <w:rPr>
                <w:rFonts w:hint="eastAsia" w:cs="Times New Roman"/>
                <w:color w:val="000000" w:themeColor="text1"/>
                <w:sz w:val="21"/>
                <w:szCs w:val="21"/>
                <w:highlight w:val="none"/>
                <w14:textFill>
                  <w14:solidFill>
                    <w14:schemeClr w14:val="tx1"/>
                  </w14:solidFill>
                </w14:textFill>
              </w:rPr>
              <w:t>一起</w:t>
            </w:r>
            <w:r>
              <w:rPr>
                <w:rFonts w:cs="Times New Roman"/>
                <w:color w:val="000000" w:themeColor="text1"/>
                <w:sz w:val="21"/>
                <w:szCs w:val="21"/>
                <w:highlight w:val="none"/>
                <w14:textFill>
                  <w14:solidFill>
                    <w14:schemeClr w14:val="tx1"/>
                  </w14:solidFill>
                </w14:textFill>
              </w:rPr>
              <w:t>暂存在清洁生产操作平台的废水罐内，定期装车拉运至</w:t>
            </w:r>
            <w:r>
              <w:rPr>
                <w:rFonts w:hint="eastAsia" w:cs="Times New Roman"/>
                <w:color w:val="000000" w:themeColor="text1"/>
                <w:sz w:val="21"/>
                <w:szCs w:val="21"/>
                <w:highlight w:val="none"/>
                <w14:textFill>
                  <w14:solidFill>
                    <w14:schemeClr w14:val="tx1"/>
                  </w14:solidFill>
                </w14:textFill>
              </w:rPr>
              <w:t>赵家坝污水处理站</w:t>
            </w:r>
            <w:r>
              <w:rPr>
                <w:rFonts w:cs="Times New Roman"/>
                <w:color w:val="000000" w:themeColor="text1"/>
                <w:sz w:val="21"/>
                <w:szCs w:val="21"/>
                <w:highlight w:val="none"/>
                <w14:textFill>
                  <w14:solidFill>
                    <w14:schemeClr w14:val="tx1"/>
                  </w14:solidFill>
                </w14:textFill>
              </w:rPr>
              <w:t>达标后管输至</w:t>
            </w:r>
            <w:r>
              <w:rPr>
                <w:rFonts w:hint="eastAsia" w:cs="Times New Roman"/>
                <w:color w:val="000000" w:themeColor="text1"/>
                <w:sz w:val="21"/>
                <w:szCs w:val="21"/>
                <w:highlight w:val="none"/>
                <w14:textFill>
                  <w14:solidFill>
                    <w14:schemeClr w14:val="tx1"/>
                  </w14:solidFill>
                </w14:textFill>
              </w:rPr>
              <w:t>普光3井回注站</w:t>
            </w:r>
            <w:r>
              <w:rPr>
                <w:rFonts w:cs="Times New Roman"/>
                <w:color w:val="000000" w:themeColor="text1"/>
                <w:sz w:val="21"/>
                <w:szCs w:val="21"/>
                <w:highlight w:val="none"/>
                <w14:textFill>
                  <w14:solidFill>
                    <w14:schemeClr w14:val="tx1"/>
                  </w14:solidFill>
                </w14:textFill>
              </w:rPr>
              <w:t>回注</w:t>
            </w:r>
            <w:r>
              <w:rPr>
                <w:rFonts w:hint="eastAsia" w:cs="Times New Roman"/>
                <w:color w:val="000000" w:themeColor="text1"/>
                <w:sz w:val="21"/>
                <w:szCs w:val="21"/>
                <w:highlight w:val="none"/>
                <w14:textFill>
                  <w14:solidFill>
                    <w14:schemeClr w14:val="tx1"/>
                  </w14:solidFill>
                </w14:textFill>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洗井废水治理</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洗井废水</w:t>
            </w:r>
            <w:r>
              <w:rPr>
                <w:rFonts w:cs="Times New Roman"/>
                <w:color w:val="000000" w:themeColor="text1"/>
                <w:sz w:val="21"/>
                <w:szCs w:val="21"/>
                <w:highlight w:val="none"/>
                <w14:textFill>
                  <w14:solidFill>
                    <w14:schemeClr w14:val="tx1"/>
                  </w14:solidFill>
                </w14:textFill>
              </w:rPr>
              <w:t>暂存在</w:t>
            </w:r>
            <w:r>
              <w:rPr>
                <w:rFonts w:hint="eastAsia" w:cs="Times New Roman"/>
                <w:color w:val="000000" w:themeColor="text1"/>
                <w:sz w:val="21"/>
                <w:szCs w:val="21"/>
                <w:highlight w:val="none"/>
                <w14:textFill>
                  <w14:solidFill>
                    <w14:schemeClr w14:val="tx1"/>
                  </w14:solidFill>
                </w14:textFill>
              </w:rPr>
              <w:t>放喷池或压裂液储罐中，优先回用于周边其他井场压裂液</w:t>
            </w:r>
            <w:r>
              <w:rPr>
                <w:rFonts w:hint="eastAsia"/>
                <w:color w:val="000000" w:themeColor="text1"/>
                <w:sz w:val="21"/>
                <w:szCs w:val="21"/>
                <w:highlight w:val="none"/>
                <w14:textFill>
                  <w14:solidFill>
                    <w14:schemeClr w14:val="tx1"/>
                  </w14:solidFill>
                </w14:textFill>
              </w:rPr>
              <w:t>配置</w:t>
            </w:r>
            <w:r>
              <w:rPr>
                <w:color w:val="000000" w:themeColor="text1"/>
                <w:sz w:val="21"/>
                <w:szCs w:val="21"/>
                <w:highlight w:val="none"/>
                <w14:textFill>
                  <w14:solidFill>
                    <w14:schemeClr w14:val="tx1"/>
                  </w14:solidFill>
                </w14:textFill>
              </w:rPr>
              <w:t>，不能回用</w:t>
            </w:r>
            <w:r>
              <w:rPr>
                <w:rFonts w:hint="eastAsia"/>
                <w:color w:val="000000" w:themeColor="text1"/>
                <w:sz w:val="21"/>
                <w:szCs w:val="21"/>
                <w:highlight w:val="none"/>
                <w14:textFill>
                  <w14:solidFill>
                    <w14:schemeClr w14:val="tx1"/>
                  </w14:solidFill>
                </w14:textFill>
              </w:rPr>
              <w:t>时用于</w:t>
            </w:r>
            <w:r>
              <w:rPr>
                <w:rFonts w:cs="Times New Roman"/>
                <w:color w:val="000000" w:themeColor="text1"/>
                <w:sz w:val="21"/>
                <w:szCs w:val="21"/>
                <w:highlight w:val="none"/>
                <w14:textFill>
                  <w14:solidFill>
                    <w14:schemeClr w14:val="tx1"/>
                  </w14:solidFill>
                </w14:textFill>
              </w:rPr>
              <w:t>装车拉运至</w:t>
            </w:r>
            <w:r>
              <w:rPr>
                <w:rFonts w:hint="eastAsia" w:cs="Times New Roman"/>
                <w:color w:val="000000" w:themeColor="text1"/>
                <w:sz w:val="21"/>
                <w:szCs w:val="21"/>
                <w:highlight w:val="none"/>
                <w14:textFill>
                  <w14:solidFill>
                    <w14:schemeClr w14:val="tx1"/>
                  </w14:solidFill>
                </w14:textFill>
              </w:rPr>
              <w:t>赵家坝污水处理站</w:t>
            </w:r>
            <w:r>
              <w:rPr>
                <w:rFonts w:cs="Times New Roman"/>
                <w:color w:val="000000" w:themeColor="text1"/>
                <w:sz w:val="21"/>
                <w:szCs w:val="21"/>
                <w:highlight w:val="none"/>
                <w14:textFill>
                  <w14:solidFill>
                    <w14:schemeClr w14:val="tx1"/>
                  </w14:solidFill>
                </w14:textFill>
              </w:rPr>
              <w:t>达标后管输至</w:t>
            </w:r>
            <w:r>
              <w:rPr>
                <w:rFonts w:hint="eastAsia" w:cs="Times New Roman"/>
                <w:color w:val="000000" w:themeColor="text1"/>
                <w:sz w:val="21"/>
                <w:szCs w:val="21"/>
                <w:highlight w:val="none"/>
                <w14:textFill>
                  <w14:solidFill>
                    <w14:schemeClr w14:val="tx1"/>
                  </w14:solidFill>
                </w14:textFill>
              </w:rPr>
              <w:t>普光3井回注站回注，不外排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压裂返排液</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压裂返排液临时暂存于压裂液储罐内，优先回用于气田周边其他井场配置压裂液使用，若周边井场暂无法使用或压裂返排液水质无法满足回用要求时，则通过密闭罐车定期拉运至赵家坝污水处理站处理达标后管输至</w:t>
            </w:r>
            <w:r>
              <w:rPr>
                <w:rFonts w:hint="eastAsia" w:cs="Times New Roman"/>
                <w:color w:val="000000" w:themeColor="text1"/>
                <w:sz w:val="21"/>
                <w:szCs w:val="21"/>
                <w:highlight w:val="none"/>
                <w14:textFill>
                  <w14:solidFill>
                    <w14:schemeClr w14:val="tx1"/>
                  </w14:solidFill>
                </w14:textFill>
              </w:rPr>
              <w:t>普光3井回注站回注，不外排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生活污水</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经生态厕所收集后定期由密闭罐车拉运至周边生活污水处理厂处理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初期雨水</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初期雨水同钻井废水一并经不落地装置处理后大部分回用于配制钻井液，剩余不能回用部分暂存于清洁生产操作平台的废水罐内，定期装车拉运至赵家坝污水处理站处理达标后经普光3井回注站回注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钻井</w:t>
            </w:r>
            <w:r>
              <w:rPr>
                <w:rFonts w:cs="Times New Roman"/>
                <w:color w:val="000000" w:themeColor="text1"/>
                <w:sz w:val="21"/>
                <w:szCs w:val="21"/>
                <w:highlight w:val="none"/>
                <w14:textFill>
                  <w14:solidFill>
                    <w14:schemeClr w14:val="tx1"/>
                  </w14:solidFill>
                </w14:textFill>
              </w:rPr>
              <w:t>施工粉尘</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硬化进出口并采取冲洗、洒水等措施控制扬尘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备用柴油发电机</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柴油机经自带尾气处理系统后经过自带排气筒排放</w:t>
            </w:r>
            <w:r>
              <w:rPr>
                <w:rFonts w:hint="eastAsia" w:cs="Times New Roman"/>
                <w:color w:val="000000" w:themeColor="text1"/>
                <w:sz w:val="21"/>
                <w:szCs w:val="2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测试放喷废气</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放喷期间应临时撤离放喷口周边500m的居民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事故放喷废气</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通过专用的放喷管线将天然气引至放喷池进行点火放喷，放喷前建设单位应对距离井口500m范围内的居民临时撤离，并建立警戒点进行24小时警戒，严禁居民靠近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废水基</w:t>
            </w:r>
            <w:r>
              <w:rPr>
                <w:rFonts w:hint="eastAsia" w:cs="Times New Roman"/>
                <w:color w:val="000000" w:themeColor="text1"/>
                <w:sz w:val="21"/>
                <w:szCs w:val="21"/>
                <w:highlight w:val="none"/>
                <w14:textFill>
                  <w14:solidFill>
                    <w14:schemeClr w14:val="tx1"/>
                  </w14:solidFill>
                </w14:textFill>
              </w:rPr>
              <w:t>钻井</w:t>
            </w:r>
            <w:r>
              <w:rPr>
                <w:rFonts w:cs="Times New Roman"/>
                <w:color w:val="000000" w:themeColor="text1"/>
                <w:sz w:val="21"/>
                <w:szCs w:val="21"/>
                <w:highlight w:val="none"/>
                <w14:textFill>
                  <w14:solidFill>
                    <w14:schemeClr w14:val="tx1"/>
                  </w14:solidFill>
                </w14:textFill>
              </w:rPr>
              <w:t>泥浆及岩屑处置</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本项目采用清洁化操作平台，并采取泥浆不落地措施。项目常规钻产生的废弃泥浆与废岩屑暂存于</w:t>
            </w:r>
            <w:r>
              <w:rPr>
                <w:rFonts w:hint="eastAsia" w:cs="Times New Roman"/>
                <w:color w:val="000000" w:themeColor="text1"/>
                <w:sz w:val="21"/>
                <w:szCs w:val="21"/>
                <w:highlight w:val="none"/>
                <w14:textFill>
                  <w14:solidFill>
                    <w14:schemeClr w14:val="tx1"/>
                  </w14:solidFill>
                </w14:textFill>
              </w:rPr>
              <w:t>钻井固废暂存区</w:t>
            </w:r>
            <w:r>
              <w:rPr>
                <w:rFonts w:cs="Times New Roman"/>
                <w:color w:val="000000" w:themeColor="text1"/>
                <w:sz w:val="21"/>
                <w:szCs w:val="21"/>
                <w:highlight w:val="none"/>
                <w14:textFill>
                  <w14:solidFill>
                    <w14:schemeClr w14:val="tx1"/>
                  </w14:solidFill>
                </w14:textFill>
              </w:rPr>
              <w:t>（共用1处，占地约60m</w:t>
            </w:r>
            <w:r>
              <w:rPr>
                <w:rFonts w:cs="Times New Roman"/>
                <w:color w:val="000000" w:themeColor="text1"/>
                <w:sz w:val="21"/>
                <w:szCs w:val="21"/>
                <w:highlight w:val="none"/>
                <w:vertAlign w:val="superscript"/>
                <w14:textFill>
                  <w14:solidFill>
                    <w14:schemeClr w14:val="tx1"/>
                  </w14:solidFill>
                </w14:textFill>
              </w:rPr>
              <w:t>2</w:t>
            </w:r>
            <w:r>
              <w:rPr>
                <w:rFonts w:cs="Times New Roman"/>
                <w:color w:val="000000" w:themeColor="text1"/>
                <w:sz w:val="21"/>
                <w:szCs w:val="21"/>
                <w:highlight w:val="none"/>
                <w14:textFill>
                  <w14:solidFill>
                    <w14:schemeClr w14:val="tx1"/>
                  </w14:solidFill>
                </w14:textFill>
              </w:rPr>
              <w:t>），及时就近交给依法取得生态环境部门关于利用和处置相关工业固体废物项目环评批复、具有处理处置相应固体废物能力并配套建设有废气、废水、固废等污染物治理设施的单位进行资源化利用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废</w:t>
            </w:r>
            <w:r>
              <w:rPr>
                <w:rFonts w:cs="Times New Roman"/>
                <w:color w:val="000000" w:themeColor="text1"/>
                <w:sz w:val="21"/>
                <w:szCs w:val="21"/>
                <w:highlight w:val="none"/>
                <w14:textFill>
                  <w14:solidFill>
                    <w14:schemeClr w14:val="tx1"/>
                  </w14:solidFill>
                </w14:textFill>
              </w:rPr>
              <w:t>油基钻井废泥浆、岩屑</w:t>
            </w:r>
            <w:r>
              <w:rPr>
                <w:rFonts w:hint="eastAsia" w:cs="Times New Roman"/>
                <w:color w:val="000000" w:themeColor="text1"/>
                <w:sz w:val="21"/>
                <w:szCs w:val="21"/>
                <w:highlight w:val="none"/>
                <w14:textFill>
                  <w14:solidFill>
                    <w14:schemeClr w14:val="tx1"/>
                  </w14:solidFill>
                </w14:textFill>
              </w:rPr>
              <w:t>处置</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油基钻井废泥浆、岩屑暂存于新建的60m</w:t>
            </w:r>
            <w:r>
              <w:rPr>
                <w:rFonts w:cs="Times New Roman"/>
                <w:color w:val="000000" w:themeColor="text1"/>
                <w:sz w:val="21"/>
                <w:szCs w:val="21"/>
                <w:highlight w:val="none"/>
                <w:vertAlign w:val="superscript"/>
                <w14:textFill>
                  <w14:solidFill>
                    <w14:schemeClr w14:val="tx1"/>
                  </w14:solidFill>
                </w14:textFill>
              </w:rPr>
              <w:t>2</w:t>
            </w:r>
            <w:r>
              <w:rPr>
                <w:rFonts w:cs="Times New Roman"/>
                <w:color w:val="000000" w:themeColor="text1"/>
                <w:sz w:val="21"/>
                <w:szCs w:val="21"/>
                <w:highlight w:val="none"/>
                <w14:textFill>
                  <w14:solidFill>
                    <w14:schemeClr w14:val="tx1"/>
                  </w14:solidFill>
                </w14:textFill>
              </w:rPr>
              <w:t>危险废物暂存场所（</w:t>
            </w:r>
            <w:r>
              <w:rPr>
                <w:rFonts w:hint="eastAsia" w:cs="Times New Roman"/>
                <w:color w:val="000000" w:themeColor="text1"/>
                <w:sz w:val="21"/>
                <w:szCs w:val="21"/>
                <w:highlight w:val="none"/>
                <w14:textFill>
                  <w14:solidFill>
                    <w14:schemeClr w14:val="tx1"/>
                  </w14:solidFill>
                </w14:textFill>
              </w:rPr>
              <w:t>若使用油基岩屑钻井时设置，</w:t>
            </w:r>
            <w:r>
              <w:rPr>
                <w:rFonts w:cs="Times New Roman"/>
                <w:color w:val="000000" w:themeColor="text1"/>
                <w:sz w:val="21"/>
                <w:szCs w:val="21"/>
                <w:highlight w:val="none"/>
                <w14:textFill>
                  <w14:solidFill>
                    <w14:schemeClr w14:val="tx1"/>
                  </w14:solidFill>
                </w14:textFill>
              </w:rPr>
              <w:t>共用1处，采取必要的防风、防晒、防雨、防漏、防渗、防腐以及其他环境污染防治措施，不得露天堆放危险废物），泥浆和油基钻井岩屑及时交由有资质的单位处置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生活垃圾</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井场区域设1个垃圾箱，完工后外运交由环卫集中收集处置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废包装材料</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集中收集后部分回用，剩余的送当地废品回收站处理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废油</w:t>
            </w:r>
            <w:r>
              <w:rPr>
                <w:rFonts w:hint="eastAsia"/>
                <w:color w:val="000000" w:themeColor="text1"/>
                <w:sz w:val="21"/>
                <w:szCs w:val="21"/>
                <w:highlight w:val="none"/>
                <w14:textFill>
                  <w14:solidFill>
                    <w14:schemeClr w14:val="tx1"/>
                  </w14:solidFill>
                </w14:textFill>
              </w:rPr>
              <w:t>、废含油抹布和手套等含油固废</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钻井机械保养维修产生的废油</w:t>
            </w:r>
            <w:r>
              <w:rPr>
                <w:rFonts w:hint="eastAsia" w:cs="Times New Roman"/>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废含油抹布和手套</w:t>
            </w:r>
            <w:r>
              <w:rPr>
                <w:rFonts w:cs="Times New Roman"/>
                <w:color w:val="000000" w:themeColor="text1"/>
                <w:sz w:val="21"/>
                <w:szCs w:val="21"/>
                <w:highlight w:val="none"/>
                <w14:textFill>
                  <w14:solidFill>
                    <w14:schemeClr w14:val="tx1"/>
                  </w14:solidFill>
                </w14:textFill>
              </w:rPr>
              <w:t>由回收桶</w:t>
            </w:r>
            <w:r>
              <w:rPr>
                <w:rFonts w:hint="eastAsia" w:cs="Times New Roman"/>
                <w:color w:val="000000" w:themeColor="text1"/>
                <w:sz w:val="21"/>
                <w:szCs w:val="21"/>
                <w:highlight w:val="none"/>
                <w14:textFill>
                  <w14:solidFill>
                    <w14:schemeClr w14:val="tx1"/>
                  </w14:solidFill>
                </w14:textFill>
              </w:rPr>
              <w:t>分类</w:t>
            </w:r>
            <w:r>
              <w:rPr>
                <w:rFonts w:cs="Times New Roman"/>
                <w:color w:val="000000" w:themeColor="text1"/>
                <w:sz w:val="21"/>
                <w:szCs w:val="21"/>
                <w:highlight w:val="none"/>
                <w14:textFill>
                  <w14:solidFill>
                    <w14:schemeClr w14:val="tx1"/>
                  </w14:solidFill>
                </w14:textFill>
              </w:rPr>
              <w:t>收集，暂存于泥浆不落地装置区临时堆放区内，并采取防扬散、防流失、防渗漏或者其他防止污染环境的措施，</w:t>
            </w:r>
            <w:r>
              <w:rPr>
                <w:rFonts w:hint="eastAsia" w:cs="Times New Roman"/>
                <w:color w:val="000000" w:themeColor="text1"/>
                <w:sz w:val="21"/>
                <w:szCs w:val="21"/>
                <w:highlight w:val="none"/>
                <w14:textFill>
                  <w14:solidFill>
                    <w14:schemeClr w14:val="tx1"/>
                  </w14:solidFill>
                </w14:textFill>
              </w:rPr>
              <w:t>暂存废油的废油桶</w:t>
            </w:r>
            <w:r>
              <w:rPr>
                <w:rFonts w:cs="Times New Roman"/>
                <w:color w:val="000000" w:themeColor="text1"/>
                <w:sz w:val="21"/>
                <w:szCs w:val="21"/>
                <w:highlight w:val="none"/>
                <w14:textFill>
                  <w14:solidFill>
                    <w14:schemeClr w14:val="tx1"/>
                  </w14:solidFill>
                </w14:textFill>
              </w:rPr>
              <w:t>设置围堰或托盘，</w:t>
            </w:r>
            <w:r>
              <w:rPr>
                <w:rFonts w:hint="eastAsia" w:cs="Times New Roman"/>
                <w:color w:val="000000" w:themeColor="text1"/>
                <w:sz w:val="21"/>
                <w:szCs w:val="21"/>
                <w:highlight w:val="none"/>
                <w14:textFill>
                  <w14:solidFill>
                    <w14:schemeClr w14:val="tx1"/>
                  </w14:solidFill>
                </w14:textFill>
              </w:rPr>
              <w:t>废油由钻井队综合利用或</w:t>
            </w:r>
            <w:r>
              <w:rPr>
                <w:rFonts w:cs="Times New Roman"/>
                <w:color w:val="000000" w:themeColor="text1"/>
                <w:sz w:val="21"/>
                <w:szCs w:val="21"/>
                <w:highlight w:val="none"/>
                <w14:textFill>
                  <w14:solidFill>
                    <w14:schemeClr w14:val="tx1"/>
                  </w14:solidFill>
                </w14:textFill>
              </w:rPr>
              <w:t>完钻后交由有资质的单位处置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完井搬迁建筑垃圾</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施工队伍统一收集清运至政府指定地方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噪声治理</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本项目周边已有完善的供电系统，采用网电，噪声较小；选用低噪声的施工机械和工艺，加强各类施工设备的维护和保养；对振动较大的固定机械设备加装基座减振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生态保护</w:t>
            </w:r>
            <w:r>
              <w:rPr>
                <w:rFonts w:hint="eastAsia" w:cs="Times New Roman"/>
                <w:color w:val="000000" w:themeColor="text1"/>
                <w:sz w:val="21"/>
                <w:szCs w:val="21"/>
                <w:highlight w:val="none"/>
                <w14:textFill>
                  <w14:solidFill>
                    <w14:schemeClr w14:val="tx1"/>
                  </w14:solidFill>
                </w14:textFill>
              </w:rPr>
              <w:t>措施</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放喷池建挡墙较小热辐射影响；对热辐射破坏的植被进行补偿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生态恢复</w:t>
            </w:r>
            <w:r>
              <w:rPr>
                <w:rFonts w:hint="eastAsia" w:cs="Times New Roman"/>
                <w:color w:val="000000" w:themeColor="text1"/>
                <w:sz w:val="21"/>
                <w:szCs w:val="21"/>
                <w:highlight w:val="none"/>
                <w14:textFill>
                  <w14:solidFill>
                    <w14:schemeClr w14:val="tx1"/>
                  </w14:solidFill>
                </w14:textFill>
              </w:rPr>
              <w:t>措施</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根据《</w:t>
            </w:r>
            <w:r>
              <w:rPr>
                <w:rFonts w:hint="eastAsia" w:cs="Times New Roman"/>
                <w:color w:val="000000" w:themeColor="text1"/>
                <w:sz w:val="21"/>
                <w:szCs w:val="21"/>
                <w:highlight w:val="none"/>
                <w14:textFill>
                  <w14:solidFill>
                    <w14:schemeClr w14:val="tx1"/>
                  </w14:solidFill>
                </w14:textFill>
              </w:rPr>
              <w:t>中华人民共和国</w:t>
            </w:r>
            <w:r>
              <w:rPr>
                <w:rFonts w:cs="Times New Roman"/>
                <w:color w:val="000000" w:themeColor="text1"/>
                <w:sz w:val="21"/>
                <w:szCs w:val="21"/>
                <w:highlight w:val="none"/>
                <w14:textFill>
                  <w14:solidFill>
                    <w14:schemeClr w14:val="tx1"/>
                  </w14:solidFill>
                </w14:textFill>
              </w:rPr>
              <w:t>土地管理法》规定相关地方规定对工程占地进行补偿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5" w:hRule="atLeast"/>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环境风险防范措施</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泥浆储备罐罐区周边设置0.3m高围堰，容积10m</w:t>
            </w:r>
            <w:r>
              <w:rPr>
                <w:rFonts w:cs="Times New Roman"/>
                <w:color w:val="000000" w:themeColor="text1"/>
                <w:sz w:val="21"/>
                <w:szCs w:val="21"/>
                <w:highlight w:val="none"/>
                <w:vertAlign w:val="superscript"/>
                <w14:textFill>
                  <w14:solidFill>
                    <w14:schemeClr w14:val="tx1"/>
                  </w14:solidFill>
                </w14:textFill>
              </w:rPr>
              <w:t>3</w:t>
            </w:r>
            <w:r>
              <w:rPr>
                <w:rFonts w:cs="Times New Roman"/>
                <w:color w:val="000000" w:themeColor="text1"/>
                <w:sz w:val="21"/>
                <w:szCs w:val="21"/>
                <w:highlight w:val="none"/>
                <w14:textFill>
                  <w14:solidFill>
                    <w14:schemeClr w14:val="tx1"/>
                  </w14:solidFill>
                </w14:textFill>
              </w:rPr>
              <w:t>；柴油罐区周边设置0.3m高围堰，容积20m</w:t>
            </w:r>
            <w:r>
              <w:rPr>
                <w:rFonts w:cs="Times New Roman"/>
                <w:color w:val="000000" w:themeColor="text1"/>
                <w:sz w:val="21"/>
                <w:szCs w:val="21"/>
                <w:highlight w:val="none"/>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restar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油气集输工程</w:t>
            </w: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废水</w:t>
            </w:r>
            <w:r>
              <w:rPr>
                <w:rFonts w:hint="eastAsia" w:cs="Times New Roman"/>
                <w:color w:val="000000" w:themeColor="text1"/>
                <w:sz w:val="21"/>
                <w:szCs w:val="21"/>
                <w:highlight w:val="none"/>
                <w14:textFill>
                  <w14:solidFill>
                    <w14:schemeClr w14:val="tx1"/>
                  </w14:solidFill>
                </w14:textFill>
              </w:rPr>
              <w:t>治理</w:t>
            </w:r>
          </w:p>
        </w:tc>
        <w:tc>
          <w:tcPr>
            <w:tcW w:w="2950" w:type="pct"/>
            <w:vAlign w:val="center"/>
          </w:tcPr>
          <w:p>
            <w:pPr>
              <w:widowControl/>
              <w:spacing w:line="240" w:lineRule="auto"/>
              <w:ind w:firstLine="0" w:firstLineChars="0"/>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施工期管道试压废水经沉淀后用于降尘使用，不外排。</w:t>
            </w:r>
            <w:r>
              <w:rPr>
                <w:rFonts w:cs="Times New Roman"/>
                <w:color w:val="000000" w:themeColor="text1"/>
                <w:sz w:val="21"/>
                <w:szCs w:val="21"/>
                <w:highlight w:val="none"/>
                <w14:textFill>
                  <w14:solidFill>
                    <w14:schemeClr w14:val="tx1"/>
                  </w14:solidFill>
                </w14:textFill>
              </w:rPr>
              <w:t>试采期</w:t>
            </w:r>
            <w:r>
              <w:rPr>
                <w:rFonts w:hint="eastAsia" w:cs="Times New Roman"/>
                <w:color w:val="000000" w:themeColor="text1"/>
                <w:sz w:val="21"/>
                <w:szCs w:val="21"/>
                <w:highlight w:val="none"/>
                <w14:textFill>
                  <w14:solidFill>
                    <w14:schemeClr w14:val="tx1"/>
                  </w14:solidFill>
                </w14:textFill>
              </w:rPr>
              <w:t>大湾408-3井场</w:t>
            </w:r>
            <w:r>
              <w:rPr>
                <w:rFonts w:cs="Times New Roman"/>
                <w:color w:val="000000" w:themeColor="text1"/>
                <w:sz w:val="21"/>
                <w:szCs w:val="21"/>
                <w:highlight w:val="none"/>
                <w14:textFill>
                  <w14:solidFill>
                    <w14:schemeClr w14:val="tx1"/>
                  </w14:solidFill>
                </w14:textFill>
              </w:rPr>
              <w:t>采</w:t>
            </w:r>
            <w:r>
              <w:rPr>
                <w:rFonts w:hint="eastAsia" w:cs="Times New Roman"/>
                <w:color w:val="000000" w:themeColor="text1"/>
                <w:sz w:val="21"/>
                <w:szCs w:val="21"/>
                <w:highlight w:val="none"/>
                <w14:textFill>
                  <w14:solidFill>
                    <w14:schemeClr w14:val="tx1"/>
                  </w14:solidFill>
                </w14:textFill>
              </w:rPr>
              <w:t>出水</w:t>
            </w:r>
            <w:r>
              <w:rPr>
                <w:rFonts w:hint="eastAsia" w:cs="Times New Roman"/>
                <w:color w:val="000000" w:themeColor="text1"/>
                <w:sz w:val="21"/>
                <w:szCs w:val="21"/>
                <w:highlight w:val="none"/>
                <w:lang w:eastAsia="zh-CN"/>
                <w14:textFill>
                  <w14:solidFill>
                    <w14:schemeClr w14:val="tx1"/>
                  </w14:solidFill>
                </w14:textFill>
              </w:rPr>
              <w:t>通过拟建管线外输至大湾408试采站已建临时分酸分离器分离后进入酸液缓冲罐收集暂存</w:t>
            </w:r>
            <w:r>
              <w:rPr>
                <w:rFonts w:cs="Times New Roman"/>
                <w:color w:val="000000" w:themeColor="text1"/>
                <w:sz w:val="21"/>
                <w:szCs w:val="21"/>
                <w:highlight w:val="none"/>
                <w14:textFill>
                  <w14:solidFill>
                    <w14:schemeClr w14:val="tx1"/>
                  </w14:solidFill>
                </w14:textFill>
              </w:rPr>
              <w:t>，然后通过密闭罐车拉运至</w:t>
            </w:r>
            <w:r>
              <w:rPr>
                <w:rFonts w:hint="eastAsia" w:cs="Times New Roman"/>
                <w:color w:val="000000" w:themeColor="text1"/>
                <w:sz w:val="21"/>
                <w:szCs w:val="21"/>
                <w:highlight w:val="none"/>
                <w14:textFill>
                  <w14:solidFill>
                    <w14:schemeClr w14:val="tx1"/>
                  </w14:solidFill>
                </w14:textFill>
              </w:rPr>
              <w:t>赵家坝污水处理站</w:t>
            </w:r>
            <w:r>
              <w:rPr>
                <w:rFonts w:cs="Times New Roman"/>
                <w:color w:val="000000" w:themeColor="text1"/>
                <w:sz w:val="21"/>
                <w:szCs w:val="21"/>
                <w:highlight w:val="none"/>
                <w14:textFill>
                  <w14:solidFill>
                    <w14:schemeClr w14:val="tx1"/>
                  </w14:solidFill>
                </w14:textFill>
              </w:rPr>
              <w:t>达到《</w:t>
            </w:r>
            <w:r>
              <w:rPr>
                <w:rFonts w:hint="eastAsia" w:cs="Times New Roman"/>
                <w:color w:val="000000" w:themeColor="text1"/>
                <w:sz w:val="21"/>
                <w:szCs w:val="21"/>
                <w:highlight w:val="none"/>
                <w14:textFill>
                  <w14:solidFill>
                    <w14:schemeClr w14:val="tx1"/>
                  </w14:solidFill>
                </w14:textFill>
              </w:rPr>
              <w:t>采出水</w:t>
            </w:r>
            <w:r>
              <w:rPr>
                <w:rFonts w:cs="Times New Roman"/>
                <w:color w:val="000000" w:themeColor="text1"/>
                <w:sz w:val="21"/>
                <w:szCs w:val="21"/>
                <w:highlight w:val="none"/>
                <w14:textFill>
                  <w14:solidFill>
                    <w14:schemeClr w14:val="tx1"/>
                  </w14:solidFill>
                </w14:textFill>
              </w:rPr>
              <w:t>回注方法》（SY/T 65</w:t>
            </w:r>
            <w:r>
              <w:rPr>
                <w:rFonts w:hint="eastAsia" w:cs="Times New Roman"/>
                <w:color w:val="000000" w:themeColor="text1"/>
                <w:sz w:val="21"/>
                <w:szCs w:val="21"/>
                <w:highlight w:val="none"/>
                <w14:textFill>
                  <w14:solidFill>
                    <w14:schemeClr w14:val="tx1"/>
                  </w14:solidFill>
                </w14:textFill>
              </w:rPr>
              <w:t>建筑</w:t>
            </w:r>
            <w:r>
              <w:rPr>
                <w:rFonts w:cs="Times New Roman"/>
                <w:color w:val="000000" w:themeColor="text1"/>
                <w:sz w:val="21"/>
                <w:szCs w:val="21"/>
                <w:highlight w:val="none"/>
                <w14:textFill>
                  <w14:solidFill>
                    <w14:schemeClr w14:val="tx1"/>
                  </w14:solidFill>
                </w14:textFill>
              </w:rPr>
              <w:t>96-2016）中注入水基本要求后管输至</w:t>
            </w:r>
            <w:r>
              <w:rPr>
                <w:rFonts w:hint="eastAsia" w:cs="Times New Roman"/>
                <w:color w:val="000000" w:themeColor="text1"/>
                <w:sz w:val="21"/>
                <w:szCs w:val="21"/>
                <w:highlight w:val="none"/>
                <w14:textFill>
                  <w14:solidFill>
                    <w14:schemeClr w14:val="tx1"/>
                  </w14:solidFill>
                </w14:textFill>
              </w:rPr>
              <w:t>普光3井回注站</w:t>
            </w:r>
            <w:r>
              <w:rPr>
                <w:rFonts w:cs="Times New Roman"/>
                <w:color w:val="000000" w:themeColor="text1"/>
                <w:sz w:val="21"/>
                <w:szCs w:val="21"/>
                <w:highlight w:val="none"/>
                <w14:textFill>
                  <w14:solidFill>
                    <w14:schemeClr w14:val="tx1"/>
                  </w14:solidFill>
                </w14:textFill>
              </w:rPr>
              <w:t>回注处理，不外排。拟建工程不新增定员，不涉及</w:t>
            </w:r>
            <w:r>
              <w:rPr>
                <w:rFonts w:hint="eastAsia" w:cs="Times New Roman"/>
                <w:color w:val="000000" w:themeColor="text1"/>
                <w:sz w:val="21"/>
                <w:szCs w:val="21"/>
                <w:highlight w:val="none"/>
                <w14:textFill>
                  <w14:solidFill>
                    <w14:schemeClr w14:val="tx1"/>
                  </w14:solidFill>
                </w14:textFill>
              </w:rPr>
              <w:t>新增</w:t>
            </w:r>
            <w:r>
              <w:rPr>
                <w:rFonts w:cs="Times New Roman"/>
                <w:color w:val="000000" w:themeColor="text1"/>
                <w:sz w:val="21"/>
                <w:szCs w:val="21"/>
                <w:highlight w:val="none"/>
                <w14:textFill>
                  <w14:solidFill>
                    <w14:schemeClr w14:val="tx1"/>
                  </w14:solidFill>
                </w14:textFill>
              </w:rPr>
              <w:t>值班人员生活废水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废气治理</w:t>
            </w:r>
          </w:p>
        </w:tc>
        <w:tc>
          <w:tcPr>
            <w:tcW w:w="2950"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洒水降尘，选用环保合格机械车辆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噪声治理</w:t>
            </w:r>
          </w:p>
        </w:tc>
        <w:tc>
          <w:tcPr>
            <w:tcW w:w="2950"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选用低噪声设备、加强维护保养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固废治理</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站场建设和集输管线施工产生少量建筑垃圾，如包装袋，废弃建筑材料等，由施工队伍统一收集清运至政府指定地方。</w:t>
            </w:r>
            <w:r>
              <w:rPr>
                <w:rFonts w:hint="eastAsia" w:cs="Times New Roman"/>
                <w:color w:val="000000" w:themeColor="text1"/>
                <w:sz w:val="21"/>
                <w:szCs w:val="21"/>
                <w:highlight w:val="none"/>
                <w:lang w:val="en-US" w:eastAsia="zh-CN"/>
                <w14:textFill>
                  <w14:solidFill>
                    <w14:schemeClr w14:val="tx1"/>
                  </w14:solidFill>
                </w14:textFill>
              </w:rPr>
              <w:t>站场施工产生的</w:t>
            </w:r>
            <w:r>
              <w:rPr>
                <w:rFonts w:hint="eastAsia" w:cs="Times New Roman"/>
                <w:color w:val="000000" w:themeColor="text1"/>
                <w:sz w:val="21"/>
                <w:szCs w:val="21"/>
                <w:highlight w:val="none"/>
                <w14:textFill>
                  <w14:solidFill>
                    <w14:schemeClr w14:val="tx1"/>
                  </w14:solidFill>
                </w14:textFill>
              </w:rPr>
              <w:t>生活垃圾利用附近农户现有的设施进行收集处置，项目站场建设和集输管线施工还会产生少量管道焊接、防腐作业中产生的废材料由施工单位带走处置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Merge w:val="restar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环境风险防范措施</w:t>
            </w: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事故放空：事故状态下站场内天然气通过</w:t>
            </w:r>
            <w:r>
              <w:rPr>
                <w:rFonts w:hint="eastAsia" w:cs="Times New Roman"/>
                <w:color w:val="000000" w:themeColor="text1"/>
                <w:sz w:val="21"/>
                <w:szCs w:val="21"/>
                <w:highlight w:val="none"/>
                <w14:textFill>
                  <w14:solidFill>
                    <w14:schemeClr w14:val="tx1"/>
                  </w14:solidFill>
                </w14:textFill>
              </w:rPr>
              <w:t>试采站</w:t>
            </w:r>
            <w:r>
              <w:rPr>
                <w:rFonts w:cs="Times New Roman"/>
                <w:color w:val="000000" w:themeColor="text1"/>
                <w:sz w:val="21"/>
                <w:szCs w:val="21"/>
                <w:highlight w:val="none"/>
                <w14:textFill>
                  <w14:solidFill>
                    <w14:schemeClr w14:val="tx1"/>
                  </w14:solidFill>
                </w14:textFill>
              </w:rPr>
              <w:t>的放空火炬燃烧排放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2950" w:type="pct"/>
            <w:vAlign w:val="center"/>
          </w:tcPr>
          <w:p>
            <w:pPr>
              <w:widowControl/>
              <w:spacing w:line="240" w:lineRule="auto"/>
              <w:ind w:firstLine="0" w:firstLineChars="0"/>
              <w:jc w:val="left"/>
              <w:textAlignment w:val="baseline"/>
              <w:rPr>
                <w:rFonts w:cs="Times New Roman"/>
                <w:color w:val="000000" w:themeColor="text1"/>
                <w:sz w:val="21"/>
                <w:szCs w:val="21"/>
                <w:highlight w:val="none"/>
                <w14:textFill>
                  <w14:solidFill>
                    <w14:schemeClr w14:val="tx1"/>
                  </w14:solidFill>
                </w14:textFill>
              </w:rPr>
            </w:pPr>
            <w:r>
              <w:rPr>
                <w:rFonts w:cs="Times New Roman"/>
                <w:color w:val="000000" w:themeColor="text1"/>
                <w:sz w:val="21"/>
                <w:szCs w:val="21"/>
                <w:highlight w:val="none"/>
                <w14:textFill>
                  <w14:solidFill>
                    <w14:schemeClr w14:val="tx1"/>
                  </w14:solidFill>
                </w14:textFill>
              </w:rPr>
              <w:t>项目建成后运行过程中风险应急预案依托项目所属的中国石油化工股份有限公司中原油田普光分公司编制的应急预案</w:t>
            </w:r>
            <w:r>
              <w:rPr>
                <w:rFonts w:hint="eastAsia" w:cs="Times New Roman"/>
                <w:color w:val="000000" w:themeColor="text1"/>
                <w:sz w:val="21"/>
                <w:szCs w:val="21"/>
                <w:highlight w:val="none"/>
                <w14:textFill>
                  <w14:solidFill>
                    <w14:schemeClr w14:val="tx1"/>
                  </w14:solidFill>
                </w14:textFill>
              </w:rPr>
              <w:t>；需按相关要求对预案进行修订，将本项目纳入更新后的应急预案体系管理；同时本项目应单独编制应急预案并定期演练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地下水及土壤防治措施</w:t>
            </w:r>
          </w:p>
        </w:tc>
        <w:tc>
          <w:tcPr>
            <w:tcW w:w="2950"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清污分流，排水沟，弃土场覆盖围挡，分区分级防渗，污染监测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437"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504" w:type="pct"/>
            <w:vMerge w:val="continue"/>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p>
        </w:tc>
        <w:tc>
          <w:tcPr>
            <w:tcW w:w="1107"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水土流失及生态保护措施</w:t>
            </w:r>
          </w:p>
        </w:tc>
        <w:tc>
          <w:tcPr>
            <w:tcW w:w="2950" w:type="pct"/>
            <w:vAlign w:val="center"/>
          </w:tcPr>
          <w:p>
            <w:pPr>
              <w:widowControl/>
              <w:spacing w:line="240" w:lineRule="auto"/>
              <w:ind w:firstLine="0" w:firstLineChars="0"/>
              <w:jc w:val="center"/>
              <w:textAlignment w:val="baseline"/>
              <w:rPr>
                <w:rFonts w:cs="Times New Roman"/>
                <w:color w:val="000000" w:themeColor="text1"/>
                <w:sz w:val="21"/>
                <w:szCs w:val="21"/>
                <w:highlight w:val="none"/>
                <w14:textFill>
                  <w14:solidFill>
                    <w14:schemeClr w14:val="tx1"/>
                  </w14:solidFill>
                </w14:textFill>
              </w:rPr>
            </w:pPr>
            <w:r>
              <w:rPr>
                <w:rFonts w:hint="eastAsia" w:cs="Times New Roman"/>
                <w:color w:val="000000" w:themeColor="text1"/>
                <w:sz w:val="21"/>
                <w:szCs w:val="21"/>
                <w:highlight w:val="none"/>
                <w14:textFill>
                  <w14:solidFill>
                    <w14:schemeClr w14:val="tx1"/>
                  </w14:solidFill>
                </w14:textFill>
              </w:rPr>
              <w:t>青苗（林木）赔偿，临时占地施工迹地地表恢复等，进行绿化建设。</w:t>
            </w:r>
          </w:p>
        </w:tc>
      </w:tr>
    </w:tbl>
    <w:p>
      <w:pPr>
        <w:pStyle w:val="2"/>
        <w:spacing w:before="480" w:beforeLines="200" w:after="0" w:line="480" w:lineRule="auto"/>
        <w:ind w:firstLine="560"/>
        <w:rPr>
          <w:b/>
          <w:color w:val="000000" w:themeColor="text1"/>
          <w:szCs w:val="28"/>
          <w:highlight w:val="none"/>
          <w:lang w:eastAsia="zh-CN"/>
          <w14:textFill>
            <w14:solidFill>
              <w14:schemeClr w14:val="tx1"/>
            </w14:solidFill>
          </w14:textFill>
        </w:rPr>
        <w:sectPr>
          <w:pgSz w:w="11910" w:h="16840"/>
          <w:pgMar w:top="1440" w:right="1800" w:bottom="1440" w:left="1800" w:header="964" w:footer="964" w:gutter="0"/>
          <w:cols w:space="720" w:num="1"/>
          <w:docGrid w:linePitch="326" w:charSpace="0"/>
        </w:sectPr>
      </w:pPr>
      <w:bookmarkStart w:id="559" w:name="_bookmark47"/>
      <w:bookmarkEnd w:id="559"/>
      <w:bookmarkStart w:id="560" w:name="第十章_结论与建议"/>
      <w:bookmarkEnd w:id="560"/>
    </w:p>
    <w:p>
      <w:pPr>
        <w:pStyle w:val="2"/>
        <w:rPr>
          <w:b/>
          <w:color w:val="000000" w:themeColor="text1"/>
          <w:highlight w:val="none"/>
          <w:lang w:eastAsia="zh-CN"/>
          <w14:textFill>
            <w14:solidFill>
              <w14:schemeClr w14:val="tx1"/>
            </w14:solidFill>
          </w14:textFill>
        </w:rPr>
      </w:pPr>
      <w:bookmarkStart w:id="561" w:name="_Toc23884"/>
      <w:r>
        <w:rPr>
          <w:color w:val="000000" w:themeColor="text1"/>
          <w:highlight w:val="none"/>
          <w:lang w:eastAsia="zh-CN"/>
          <w14:textFill>
            <w14:solidFill>
              <w14:schemeClr w14:val="tx1"/>
            </w14:solidFill>
          </w14:textFill>
        </w:rPr>
        <w:t>结论与建议</w:t>
      </w:r>
      <w:bookmarkEnd w:id="561"/>
    </w:p>
    <w:p>
      <w:pPr>
        <w:pStyle w:val="3"/>
        <w:spacing w:before="0" w:beforeLines="0"/>
        <w:rPr>
          <w:color w:val="000000" w:themeColor="text1"/>
          <w:highlight w:val="none"/>
          <w:lang w:eastAsia="zh-CN"/>
          <w14:textFill>
            <w14:solidFill>
              <w14:schemeClr w14:val="tx1"/>
            </w14:solidFill>
          </w14:textFill>
        </w:rPr>
      </w:pPr>
      <w:bookmarkStart w:id="562" w:name="_bookmark48"/>
      <w:bookmarkEnd w:id="562"/>
      <w:bookmarkStart w:id="563" w:name="10.1项目概况"/>
      <w:bookmarkEnd w:id="563"/>
      <w:bookmarkStart w:id="564" w:name="_Toc12359"/>
      <w:r>
        <w:rPr>
          <w:color w:val="000000" w:themeColor="text1"/>
          <w:highlight w:val="none"/>
          <w:lang w:eastAsia="zh-CN"/>
          <w14:textFill>
            <w14:solidFill>
              <w14:schemeClr w14:val="tx1"/>
            </w14:solidFill>
          </w14:textFill>
        </w:rPr>
        <w:t>项目概况</w:t>
      </w:r>
      <w:bookmarkEnd w:id="564"/>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本项目位于达州市</w:t>
      </w:r>
      <w:r>
        <w:rPr>
          <w:rFonts w:hint="eastAsia"/>
          <w:color w:val="000000" w:themeColor="text1"/>
          <w:highlight w:val="none"/>
          <w14:textFill>
            <w14:solidFill>
              <w14:schemeClr w14:val="tx1"/>
            </w14:solidFill>
          </w14:textFill>
        </w:rPr>
        <w:t>宣汉县</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，以</w:t>
      </w:r>
      <w:r>
        <w:rPr>
          <w:rFonts w:hint="eastAsia"/>
          <w:color w:val="000000" w:themeColor="text1"/>
          <w:highlight w:val="none"/>
          <w:lang w:eastAsia="zh-CN"/>
          <w14:textFill>
            <w14:solidFill>
              <w14:schemeClr w14:val="tx1"/>
            </w14:solidFill>
          </w14:textFill>
        </w:rPr>
        <w:t>***</w:t>
      </w:r>
      <w:r>
        <w:rPr>
          <w:color w:val="000000" w:themeColor="text1"/>
          <w:highlight w:val="none"/>
          <w14:textFill>
            <w14:solidFill>
              <w14:schemeClr w14:val="tx1"/>
            </w14:solidFill>
          </w14:textFill>
        </w:rPr>
        <w:t>为主要目的层，</w:t>
      </w:r>
      <w:r>
        <w:rPr>
          <w:rFonts w:cs="Times New Roman"/>
          <w:color w:val="000000" w:themeColor="text1"/>
          <w:szCs w:val="24"/>
          <w:highlight w:val="none"/>
          <w14:textFill>
            <w14:solidFill>
              <w14:schemeClr w14:val="tx1"/>
            </w14:solidFill>
          </w14:textFill>
        </w:rPr>
        <w:t>建设内容包括施工期钻前工程、钻井工程及</w:t>
      </w:r>
      <w:r>
        <w:rPr>
          <w:rFonts w:hint="eastAsia" w:cs="Times New Roman"/>
          <w:color w:val="000000" w:themeColor="text1"/>
          <w:szCs w:val="24"/>
          <w:highlight w:val="none"/>
          <w14:textFill>
            <w14:solidFill>
              <w14:schemeClr w14:val="tx1"/>
            </w14:solidFill>
          </w14:textFill>
        </w:rPr>
        <w:t>储层改造</w:t>
      </w:r>
      <w:r>
        <w:rPr>
          <w:rFonts w:cs="Times New Roman"/>
          <w:color w:val="000000" w:themeColor="text1"/>
          <w:szCs w:val="24"/>
          <w:highlight w:val="none"/>
          <w14:textFill>
            <w14:solidFill>
              <w14:schemeClr w14:val="tx1"/>
            </w14:solidFill>
          </w14:textFill>
        </w:rPr>
        <w:t>工程和试采期试采工程</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预计</w:t>
      </w:r>
      <w:r>
        <w:rPr>
          <w:rFonts w:hint="eastAsia"/>
          <w:color w:val="000000" w:themeColor="text1"/>
          <w:highlight w:val="none"/>
          <w14:textFill>
            <w14:solidFill>
              <w14:schemeClr w14:val="tx1"/>
            </w14:solidFill>
          </w14:textFill>
        </w:rPr>
        <w:t>开采含硫天然气15×</w:t>
      </w:r>
      <w:r>
        <w:rPr>
          <w:color w:val="000000" w:themeColor="text1"/>
          <w:highlight w:val="none"/>
          <w14:textFill>
            <w14:solidFill>
              <w14:schemeClr w14:val="tx1"/>
            </w14:solidFill>
          </w14:textFill>
        </w:rPr>
        <w:t>10</w:t>
      </w:r>
      <w:r>
        <w:rPr>
          <w:color w:val="000000" w:themeColor="text1"/>
          <w:highlight w:val="none"/>
          <w:vertAlign w:val="superscript"/>
          <w14:textFill>
            <w14:solidFill>
              <w14:schemeClr w14:val="tx1"/>
            </w14:solidFill>
          </w14:textFill>
        </w:rPr>
        <w:t>4</w:t>
      </w:r>
      <w:r>
        <w:rPr>
          <w:color w:val="000000" w:themeColor="text1"/>
          <w:highlight w:val="none"/>
          <w14:textFill>
            <w14:solidFill>
              <w14:schemeClr w14:val="tx1"/>
            </w14:solidFill>
          </w14:textFill>
        </w:rPr>
        <w:t>m</w:t>
      </w:r>
      <w:r>
        <w:rPr>
          <w:color w:val="000000" w:themeColor="text1"/>
          <w:highlight w:val="none"/>
          <w:vertAlign w:val="superscript"/>
          <w14:textFill>
            <w14:solidFill>
              <w14:schemeClr w14:val="tx1"/>
            </w14:solidFill>
          </w14:textFill>
        </w:rPr>
        <w:t>3</w:t>
      </w:r>
      <w:r>
        <w:rPr>
          <w:color w:val="000000" w:themeColor="text1"/>
          <w:highlight w:val="none"/>
          <w14:textFill>
            <w14:solidFill>
              <w14:schemeClr w14:val="tx1"/>
            </w14:solidFill>
          </w14:textFill>
        </w:rPr>
        <w:t>/d</w:t>
      </w:r>
      <w:r>
        <w:rPr>
          <w:rFonts w:hint="eastAsia"/>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试采期为</w:t>
      </w:r>
      <w:r>
        <w:rPr>
          <w:rFonts w:cs="Times New Roman"/>
          <w:color w:val="000000" w:themeColor="text1"/>
          <w:highlight w:val="none"/>
          <w14:textFill>
            <w14:solidFill>
              <w14:schemeClr w14:val="tx1"/>
            </w14:solidFill>
          </w14:textFill>
        </w:rPr>
        <w:t>2</w:t>
      </w:r>
      <w:r>
        <w:rPr>
          <w:rFonts w:hint="eastAsia" w:cs="Times New Roman"/>
          <w:color w:val="000000" w:themeColor="text1"/>
          <w:highlight w:val="none"/>
          <w14:textFill>
            <w14:solidFill>
              <w14:schemeClr w14:val="tx1"/>
            </w14:solidFill>
          </w14:textFill>
        </w:rPr>
        <w:t>年。</w:t>
      </w:r>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本项目总投资</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万元</w:t>
      </w:r>
      <w:r>
        <w:rPr>
          <w:color w:val="000000" w:themeColor="text1"/>
          <w:highlight w:val="none"/>
          <w14:textFill>
            <w14:solidFill>
              <w14:schemeClr w14:val="tx1"/>
            </w14:solidFill>
          </w14:textFill>
        </w:rPr>
        <w:t>，环保投资</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万元</w:t>
      </w:r>
      <w:r>
        <w:rPr>
          <w:color w:val="000000" w:themeColor="text1"/>
          <w:highlight w:val="none"/>
          <w14:textFill>
            <w14:solidFill>
              <w14:schemeClr w14:val="tx1"/>
            </w14:solidFill>
          </w14:textFill>
        </w:rPr>
        <w:t>，环保投资占总投资的</w:t>
      </w:r>
      <w:r>
        <w:rPr>
          <w:rFonts w:hint="eastAsia"/>
          <w:color w:val="000000" w:themeColor="text1"/>
          <w:highlight w:val="none"/>
          <w14:textFill>
            <w14:solidFill>
              <w14:schemeClr w14:val="tx1"/>
            </w14:solidFill>
          </w14:textFill>
        </w:rPr>
        <w:t>5.76%</w:t>
      </w:r>
      <w:r>
        <w:rPr>
          <w:color w:val="000000" w:themeColor="text1"/>
          <w:highlight w:val="none"/>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565" w:name="10.2环境质量现状"/>
      <w:bookmarkEnd w:id="565"/>
      <w:bookmarkStart w:id="566" w:name="_bookmark49"/>
      <w:bookmarkEnd w:id="566"/>
      <w:bookmarkStart w:id="567" w:name="_Toc22591"/>
      <w:r>
        <w:rPr>
          <w:color w:val="000000" w:themeColor="text1"/>
          <w:highlight w:val="none"/>
          <w:lang w:eastAsia="zh-CN"/>
          <w14:textFill>
            <w14:solidFill>
              <w14:schemeClr w14:val="tx1"/>
            </w14:solidFill>
          </w14:textFill>
        </w:rPr>
        <w:t>环境质量现状</w:t>
      </w:r>
      <w:bookmarkEnd w:id="567"/>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color w:val="000000" w:themeColor="text1"/>
          <w:highlight w:val="none"/>
          <w:lang w:eastAsia="zh-CN"/>
          <w14:textFill>
            <w14:solidFill>
              <w14:schemeClr w14:val="tx1"/>
            </w14:solidFill>
          </w14:textFill>
        </w:rPr>
        <w:t>本项目所在区域属环境空气2类区、地表水Ⅲ类水域功能区和声环境2类功能区。根据本项目环境本底监测结果显示，本项目区域声环境质量满足《声环境质量标准》（GB3096-2008）2类标准；根据《</w:t>
      </w:r>
      <w:r>
        <w:rPr>
          <w:rFonts w:hint="eastAsia" w:ascii="Times New Roman" w:hAnsi="Times New Roman"/>
          <w:color w:val="000000" w:themeColor="text1"/>
          <w:highlight w:val="none"/>
          <w:lang w:eastAsia="zh-CN"/>
          <w14:textFill>
            <w14:solidFill>
              <w14:schemeClr w14:val="tx1"/>
            </w14:solidFill>
          </w14:textFill>
        </w:rPr>
        <w:t>达州市2023年环境空气质量状况</w:t>
      </w:r>
      <w:r>
        <w:rPr>
          <w:rFonts w:ascii="Times New Roman" w:hAnsi="Times New Roman"/>
          <w:color w:val="000000" w:themeColor="text1"/>
          <w:highlight w:val="none"/>
          <w:lang w:eastAsia="zh-CN"/>
          <w14:textFill>
            <w14:solidFill>
              <w14:schemeClr w14:val="tx1"/>
            </w14:solidFill>
          </w14:textFill>
        </w:rPr>
        <w:t>》，本项目所在的达州市属于达标区，本项目位于</w:t>
      </w:r>
      <w:r>
        <w:rPr>
          <w:rFonts w:hint="eastAsia"/>
          <w:bCs/>
          <w:color w:val="000000" w:themeColor="text1"/>
          <w:highlight w:val="none"/>
          <w:lang w:eastAsia="zh-CN"/>
          <w14:textFill>
            <w14:solidFill>
              <w14:schemeClr w14:val="tx1"/>
            </w14:solidFill>
          </w14:textFill>
        </w:rPr>
        <w:t>后河</w:t>
      </w:r>
      <w:r>
        <w:rPr>
          <w:rFonts w:ascii="Times New Roman" w:hAnsi="Times New Roman"/>
          <w:color w:val="000000" w:themeColor="text1"/>
          <w:highlight w:val="none"/>
          <w:lang w:eastAsia="zh-CN"/>
          <w14:textFill>
            <w14:solidFill>
              <w14:schemeClr w14:val="tx1"/>
            </w14:solidFill>
          </w14:textFill>
        </w:rPr>
        <w:t>流域，其水质良好；地下水监测所有指标均未超过《地下水质量标准》（GB/T14848-2017）中的Ⅲ类标准限值要求</w:t>
      </w:r>
      <w:r>
        <w:rPr>
          <w:rFonts w:hint="eastAsia" w:ascii="Times New Roman" w:hAnsi="Times New Roman"/>
          <w:color w:val="000000" w:themeColor="text1"/>
          <w:highlight w:val="none"/>
          <w:lang w:eastAsia="zh-CN"/>
          <w14:textFill>
            <w14:solidFill>
              <w14:schemeClr w14:val="tx1"/>
            </w14:solidFill>
          </w14:textFill>
        </w:rPr>
        <w:t>（石油类满足参照执行的</w:t>
      </w:r>
      <w:r>
        <w:rPr>
          <w:rFonts w:ascii="Times New Roman" w:hAnsi="Times New Roman"/>
          <w:color w:val="000000" w:themeColor="text1"/>
          <w:highlight w:val="none"/>
          <w:lang w:eastAsia="zh-CN"/>
          <w14:textFill>
            <w14:solidFill>
              <w14:schemeClr w14:val="tx1"/>
            </w14:solidFill>
          </w14:textFill>
        </w:rPr>
        <w:t>《地表水环境质量标准》GB3838-2002Ⅲ类标准限值要求</w:t>
      </w:r>
      <w:r>
        <w:rPr>
          <w:rFonts w:hint="eastAsia" w:ascii="Times New Roman" w:hAnsi="Times New Roman"/>
          <w:color w:val="000000" w:themeColor="text1"/>
          <w:highlight w:val="none"/>
          <w:lang w:eastAsia="zh-CN"/>
          <w14:textFill>
            <w14:solidFill>
              <w14:schemeClr w14:val="tx1"/>
            </w14:solidFill>
          </w14:textFill>
        </w:rPr>
        <w:t>）</w:t>
      </w:r>
      <w:r>
        <w:rPr>
          <w:rFonts w:ascii="Times New Roman" w:hAnsi="Times New Roman"/>
          <w:color w:val="000000" w:themeColor="text1"/>
          <w:highlight w:val="none"/>
          <w:lang w:eastAsia="zh-CN"/>
          <w14:textFill>
            <w14:solidFill>
              <w14:schemeClr w14:val="tx1"/>
            </w14:solidFill>
          </w14:textFill>
        </w:rPr>
        <w:t>；项目区域土壤以</w:t>
      </w:r>
      <w:r>
        <w:rPr>
          <w:rFonts w:hint="eastAsia" w:ascii="Times New Roman" w:hAnsi="Times New Roman"/>
          <w:color w:val="000000" w:themeColor="text1"/>
          <w:highlight w:val="none"/>
          <w:lang w:eastAsia="zh-CN"/>
          <w14:textFill>
            <w14:solidFill>
              <w14:schemeClr w14:val="tx1"/>
            </w14:solidFill>
          </w14:textFill>
        </w:rPr>
        <w:t>耕</w:t>
      </w:r>
      <w:r>
        <w:rPr>
          <w:rFonts w:ascii="Times New Roman" w:hAnsi="Times New Roman"/>
          <w:color w:val="000000" w:themeColor="text1"/>
          <w:highlight w:val="none"/>
          <w:lang w:eastAsia="zh-CN"/>
          <w14:textFill>
            <w14:solidFill>
              <w14:schemeClr w14:val="tx1"/>
            </w14:solidFill>
          </w14:textFill>
        </w:rPr>
        <w:t>地为主，土壤环境所有指标均满足《土壤环境质量 建设用地土壤污染风险管控标准（试行）（GB36600—2018）》和《土壤环境质量 农用地土壤污染风险管控标准（试行）（GB15618—2018）》中对应筛选值要求。项目所在地环境质量现状良好</w:t>
      </w:r>
      <w:r>
        <w:rPr>
          <w:rFonts w:ascii="Times New Roman" w:hAnsi="Times New Roman"/>
          <w:bCs/>
          <w:color w:val="000000" w:themeColor="text1"/>
          <w:kern w:val="2"/>
          <w:highlight w:val="none"/>
          <w:lang w:eastAsia="zh-CN"/>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568" w:name="_bookmark50"/>
      <w:bookmarkEnd w:id="568"/>
      <w:bookmarkStart w:id="569" w:name="10.3项目产业政策符合性分析与选址合理性分析"/>
      <w:bookmarkEnd w:id="569"/>
      <w:bookmarkStart w:id="570" w:name="_Toc7568"/>
      <w:r>
        <w:rPr>
          <w:color w:val="000000" w:themeColor="text1"/>
          <w:highlight w:val="none"/>
          <w:lang w:eastAsia="zh-CN"/>
          <w14:textFill>
            <w14:solidFill>
              <w14:schemeClr w14:val="tx1"/>
            </w14:solidFill>
          </w14:textFill>
        </w:rPr>
        <w:t>项目产业政策符合性分析与选址合理性分析</w:t>
      </w:r>
      <w:bookmarkEnd w:id="570"/>
    </w:p>
    <w:p>
      <w:pPr>
        <w:ind w:firstLine="480"/>
        <w:rPr>
          <w:color w:val="000000" w:themeColor="text1"/>
          <w:highlight w:val="none"/>
          <w14:textFill>
            <w14:solidFill>
              <w14:schemeClr w14:val="tx1"/>
            </w14:solidFill>
          </w14:textFill>
        </w:rPr>
      </w:pPr>
      <w:bookmarkStart w:id="571" w:name="10.3.1项目产业政策符合性分析"/>
      <w:bookmarkEnd w:id="571"/>
      <w:r>
        <w:rPr>
          <w:color w:val="000000" w:themeColor="text1"/>
          <w:highlight w:val="none"/>
          <w14:textFill>
            <w14:solidFill>
              <w14:schemeClr w14:val="tx1"/>
            </w14:solidFill>
          </w14:textFill>
        </w:rPr>
        <w:t>（1）项目产业政策符合性分析</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根据《产业结构调整指导目录（2024年本）》（</w:t>
      </w:r>
      <w:r>
        <w:rPr>
          <w:rFonts w:hint="eastAsia"/>
          <w:color w:val="000000" w:themeColor="text1"/>
          <w:highlight w:val="none"/>
          <w14:textFill>
            <w14:solidFill>
              <w14:schemeClr w14:val="tx1"/>
            </w14:solidFill>
          </w14:textFill>
        </w:rPr>
        <w:t>中华人民共和国国家发展和改革委员会令第7号</w:t>
      </w:r>
      <w:r>
        <w:rPr>
          <w:color w:val="000000" w:themeColor="text1"/>
          <w:highlight w:val="none"/>
          <w14:textFill>
            <w14:solidFill>
              <w14:schemeClr w14:val="tx1"/>
            </w14:solidFill>
          </w14:textFill>
        </w:rPr>
        <w:t>），该项目属于其中第一</w:t>
      </w:r>
      <w:r>
        <w:rPr>
          <w:rFonts w:ascii="宋体" w:hAnsi="宋体"/>
          <w:color w:val="000000" w:themeColor="text1"/>
          <w:highlight w:val="none"/>
          <w14:textFill>
            <w14:solidFill>
              <w14:schemeClr w14:val="tx1"/>
            </w14:solidFill>
          </w14:textFill>
        </w:rPr>
        <w:t>类“鼓励类”第七条“石油天然气”第一款“石油天然气开采”</w:t>
      </w:r>
      <w:r>
        <w:rPr>
          <w:color w:val="000000" w:themeColor="text1"/>
          <w:highlight w:val="none"/>
          <w14:textFill>
            <w14:solidFill>
              <w14:schemeClr w14:val="tx1"/>
            </w14:solidFill>
          </w14:textFill>
        </w:rPr>
        <w:t>，满足《石油天然气开采业污染防治技术政策》（〔2012〕18号）要求；项目实施经中国石油化工股份有限公司中原油田分公司</w:t>
      </w:r>
      <w:r>
        <w:rPr>
          <w:rFonts w:cs="Times New Roman"/>
          <w:color w:val="000000" w:themeColor="text1"/>
          <w:highlight w:val="none"/>
          <w14:textFill>
            <w14:solidFill>
              <w14:schemeClr w14:val="tx1"/>
            </w14:solidFill>
          </w14:textFill>
        </w:rPr>
        <w:t>以</w:t>
      </w:r>
      <w:r>
        <w:rPr>
          <w:rFonts w:hint="eastAsia" w:ascii="宋体" w:hAnsi="宋体" w:cs="宋体"/>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中原油分投资〔2024〕176号</w:t>
      </w:r>
      <w:r>
        <w:rPr>
          <w:rFonts w:hint="eastAsia" w:ascii="宋体" w:hAnsi="宋体" w:cs="宋体"/>
          <w:color w:val="000000" w:themeColor="text1"/>
          <w:highlight w:val="none"/>
          <w14:textFill>
            <w14:solidFill>
              <w14:schemeClr w14:val="tx1"/>
            </w14:solidFill>
          </w14:textFill>
        </w:rPr>
        <w:t>”</w:t>
      </w:r>
      <w:r>
        <w:rPr>
          <w:rFonts w:ascii="宋体" w:hAnsi="宋体"/>
          <w:color w:val="000000" w:themeColor="text1"/>
          <w:highlight w:val="none"/>
          <w14:textFill>
            <w14:solidFill>
              <w14:schemeClr w14:val="tx1"/>
            </w14:solidFill>
          </w14:textFill>
        </w:rPr>
        <w:t>文</w:t>
      </w:r>
      <w:r>
        <w:rPr>
          <w:color w:val="000000" w:themeColor="text1"/>
          <w:highlight w:val="none"/>
          <w14:textFill>
            <w14:solidFill>
              <w14:schemeClr w14:val="tx1"/>
            </w14:solidFill>
          </w14:textFill>
        </w:rPr>
        <w:t>出具了可研批复，因此，本项目符合国家产业政策。</w:t>
      </w:r>
    </w:p>
    <w:p>
      <w:pPr>
        <w:ind w:firstLine="480"/>
        <w:rPr>
          <w:color w:val="000000" w:themeColor="text1"/>
          <w:highlight w:val="none"/>
          <w14:textFill>
            <w14:solidFill>
              <w14:schemeClr w14:val="tx1"/>
            </w14:solidFill>
          </w14:textFill>
        </w:rPr>
      </w:pPr>
      <w:bookmarkStart w:id="572" w:name="_bookmark51"/>
      <w:bookmarkEnd w:id="572"/>
      <w:bookmarkStart w:id="573" w:name="10.3.2项目选址合理性分析"/>
      <w:bookmarkEnd w:id="573"/>
      <w:r>
        <w:rPr>
          <w:color w:val="000000" w:themeColor="text1"/>
          <w:highlight w:val="none"/>
          <w14:textFill>
            <w14:solidFill>
              <w14:schemeClr w14:val="tx1"/>
            </w14:solidFill>
          </w14:textFill>
        </w:rPr>
        <w:t>（2）项目选址合理性分析</w:t>
      </w:r>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本项目建设符合石油天然气开发规划。不在城镇规划区域内，不属于城镇用地，项目所在地为农村地区，主要发展农业。本项目建设不违背</w:t>
      </w:r>
      <w:r>
        <w:rPr>
          <w:rFonts w:hint="eastAsia" w:cs="Times New Roman"/>
          <w:bCs/>
          <w:color w:val="000000" w:themeColor="text1"/>
          <w:highlight w:val="none"/>
          <w14:textFill>
            <w14:solidFill>
              <w14:schemeClr w14:val="tx1"/>
            </w14:solidFill>
          </w14:textFill>
        </w:rPr>
        <w:t>毛坝镇</w:t>
      </w:r>
      <w:r>
        <w:rPr>
          <w:color w:val="000000" w:themeColor="text1"/>
          <w:highlight w:val="none"/>
          <w14:textFill>
            <w14:solidFill>
              <w14:schemeClr w14:val="tx1"/>
            </w14:solidFill>
          </w14:textFill>
        </w:rPr>
        <w:t>规划要求。本项目不涉及生态红线，符合</w:t>
      </w:r>
      <w:r>
        <w:rPr>
          <w:rFonts w:hint="eastAsia" w:ascii="宋体" w:hAnsi="宋体"/>
          <w:color w:val="000000" w:themeColor="text1"/>
          <w:highlight w:val="none"/>
          <w14:textFill>
            <w14:solidFill>
              <w14:schemeClr w14:val="tx1"/>
            </w14:solidFill>
          </w14:textFill>
        </w:rPr>
        <w:t>生态环境分区管控要求</w:t>
      </w:r>
      <w:r>
        <w:rPr>
          <w:color w:val="000000" w:themeColor="text1"/>
          <w:highlight w:val="none"/>
          <w14:textFill>
            <w14:solidFill>
              <w14:schemeClr w14:val="tx1"/>
            </w14:solidFill>
          </w14:textFill>
        </w:rPr>
        <w:t>，井口周边</w:t>
      </w: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00m内</w:t>
      </w:r>
      <w:r>
        <w:rPr>
          <w:rFonts w:hint="eastAsia"/>
          <w:color w:val="000000" w:themeColor="text1"/>
          <w:highlight w:val="none"/>
          <w14:textFill>
            <w14:solidFill>
              <w14:schemeClr w14:val="tx1"/>
            </w14:solidFill>
          </w14:textFill>
        </w:rPr>
        <w:t>和输气管线周边5m范围内</w:t>
      </w:r>
      <w:r>
        <w:rPr>
          <w:color w:val="000000" w:themeColor="text1"/>
          <w:highlight w:val="none"/>
          <w14:textFill>
            <w14:solidFill>
              <w14:schemeClr w14:val="tx1"/>
            </w14:solidFill>
          </w14:textFill>
        </w:rPr>
        <w:t>无居民</w:t>
      </w:r>
      <w:r>
        <w:rPr>
          <w:rFonts w:hint="eastAsia"/>
          <w:color w:val="000000" w:themeColor="text1"/>
          <w:highlight w:val="none"/>
          <w14:textFill>
            <w14:solidFill>
              <w14:schemeClr w14:val="tx1"/>
            </w14:solidFill>
          </w14:textFill>
        </w:rPr>
        <w:t>分布（其中井口300m范围内无居民），井口</w:t>
      </w:r>
      <w:r>
        <w:rPr>
          <w:color w:val="000000" w:themeColor="text1"/>
          <w:highlight w:val="none"/>
          <w14:textFill>
            <w14:solidFill>
              <w14:schemeClr w14:val="tx1"/>
            </w14:solidFill>
          </w14:textFill>
        </w:rPr>
        <w:t>500m范围内无医院、学校等敏感目标，总体选址环境不敏感。本项目的平面布置执行《钻前工程及井场技术要求》（SY/T 5466-2013），总体上符合环保要求</w:t>
      </w:r>
      <w:r>
        <w:rPr>
          <w:bCs/>
          <w:color w:val="000000" w:themeColor="text1"/>
          <w:highlight w:val="none"/>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574" w:name="_bookmark52"/>
      <w:bookmarkEnd w:id="574"/>
      <w:bookmarkStart w:id="575" w:name="10.4环境影响评价结论"/>
      <w:bookmarkEnd w:id="575"/>
      <w:bookmarkStart w:id="576" w:name="_Toc30239"/>
      <w:r>
        <w:rPr>
          <w:color w:val="000000" w:themeColor="text1"/>
          <w:highlight w:val="none"/>
          <w:lang w:eastAsia="zh-CN"/>
          <w14:textFill>
            <w14:solidFill>
              <w14:schemeClr w14:val="tx1"/>
            </w14:solidFill>
          </w14:textFill>
        </w:rPr>
        <w:t>环境影响评价结论</w:t>
      </w:r>
      <w:bookmarkEnd w:id="576"/>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（1）大气环境</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钻井和天然气试采期，优先使用网电，废气污染物排放量少，钻井期无组织挥发性有机物排放量小，测试放喷采用放喷管线接至放喷池并经燃烧后放喷，试采期水套加热炉与火炬长明灯使用的</w:t>
      </w:r>
      <w:r>
        <w:rPr>
          <w:bCs/>
          <w:color w:val="000000" w:themeColor="text1"/>
          <w:highlight w:val="none"/>
          <w14:textFill>
            <w14:solidFill>
              <w14:schemeClr w14:val="tx1"/>
            </w14:solidFill>
          </w14:textFill>
        </w:rPr>
        <w:t>燃料气为区块返输的净化燃料气，为净化后硫化氢含量极低的天然气（≤6mg/m</w:t>
      </w:r>
      <w:r>
        <w:rPr>
          <w:bCs/>
          <w:color w:val="000000" w:themeColor="text1"/>
          <w:highlight w:val="none"/>
          <w:vertAlign w:val="superscript"/>
          <w14:textFill>
            <w14:solidFill>
              <w14:schemeClr w14:val="tx1"/>
            </w14:solidFill>
          </w14:textFill>
        </w:rPr>
        <w:t>3</w:t>
      </w:r>
      <w:r>
        <w:rPr>
          <w:bCs/>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，废气能达标排放，设备检修废气通过放空火炬燃烧排放，且排放时间短，对所在地大气环境的影响是可接受的。</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（2）地表水</w:t>
      </w:r>
    </w:p>
    <w:p>
      <w:pPr>
        <w:ind w:firstLine="480"/>
        <w:rPr>
          <w:color w:val="000000" w:themeColor="text1"/>
          <w:highlight w:val="none"/>
          <w14:textFill>
            <w14:solidFill>
              <w14:schemeClr w14:val="tx1"/>
            </w14:solidFill>
          </w14:textFill>
        </w:rPr>
      </w:pPr>
      <w:r>
        <w:rPr>
          <w:rFonts w:hint="eastAsia" w:cs="Times New Roman"/>
          <w:bCs/>
          <w:color w:val="000000" w:themeColor="text1"/>
          <w:szCs w:val="24"/>
          <w:highlight w:val="none"/>
          <w14:textFill>
            <w14:solidFill>
              <w14:schemeClr w14:val="tx1"/>
            </w14:solidFill>
          </w14:textFill>
        </w:rPr>
        <w:t>钻前工程</w:t>
      </w:r>
      <w:r>
        <w:rPr>
          <w:rFonts w:cs="Times New Roman"/>
          <w:color w:val="000000" w:themeColor="text1"/>
          <w:szCs w:val="24"/>
          <w:highlight w:val="none"/>
          <w14:textFill>
            <w14:solidFill>
              <w14:schemeClr w14:val="tx1"/>
            </w14:solidFill>
          </w14:textFill>
        </w:rPr>
        <w:t>施工废水经沉淀处理后循环使用，不外排</w:t>
      </w:r>
      <w:r>
        <w:rPr>
          <w:rFonts w:hint="eastAsia" w:cs="Times New Roman"/>
          <w:color w:val="000000" w:themeColor="text1"/>
          <w:szCs w:val="24"/>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钻前工程人员生活污水依托周边农户已建设施处理</w:t>
      </w:r>
      <w:r>
        <w:rPr>
          <w:rFonts w:hint="eastAsia" w:cs="Times New Roman"/>
          <w:color w:val="000000" w:themeColor="text1"/>
          <w:szCs w:val="24"/>
          <w:highlight w:val="none"/>
          <w14:textFill>
            <w14:solidFill>
              <w14:schemeClr w14:val="tx1"/>
            </w14:solidFill>
          </w14:textFill>
        </w:rPr>
        <w:t>，不外排。钻井工程钻井废水与场地初期雨水一并经不落地装置处理后大部分回用于配制钻井液，剩余不能回用部分暂存于清洁生产操作平台的废水罐内，定期装车拉运至赵家坝污水处理站处理达标后经普光3井回注站回注</w:t>
      </w:r>
      <w:r>
        <w:rPr>
          <w:rFonts w:hint="eastAsia" w:cs="Times New Roman"/>
          <w:color w:val="000000" w:themeColor="text1"/>
          <w:highlight w:val="none"/>
          <w14:textFill>
            <w14:solidFill>
              <w14:schemeClr w14:val="tx1"/>
            </w14:solidFill>
          </w14:textFill>
        </w:rPr>
        <w:t>；</w:t>
      </w:r>
      <w:r>
        <w:rPr>
          <w:rFonts w:cs="Times New Roman"/>
          <w:color w:val="000000" w:themeColor="text1"/>
          <w:szCs w:val="24"/>
          <w:highlight w:val="none"/>
          <w14:textFill>
            <w14:solidFill>
              <w14:schemeClr w14:val="tx1"/>
            </w14:solidFill>
          </w14:textFill>
        </w:rPr>
        <w:t>钻井期间</w:t>
      </w:r>
      <w:r>
        <w:rPr>
          <w:rFonts w:hint="eastAsia" w:cs="Times New Roman"/>
          <w:color w:val="000000" w:themeColor="text1"/>
          <w:szCs w:val="24"/>
          <w:highlight w:val="none"/>
          <w14:textFill>
            <w14:solidFill>
              <w14:schemeClr w14:val="tx1"/>
            </w14:solidFill>
          </w14:textFill>
        </w:rPr>
        <w:t>施工人员</w:t>
      </w:r>
      <w:r>
        <w:rPr>
          <w:rFonts w:cs="Times New Roman"/>
          <w:bCs/>
          <w:color w:val="000000" w:themeColor="text1"/>
          <w:szCs w:val="24"/>
          <w:highlight w:val="none"/>
          <w14:textFill>
            <w14:solidFill>
              <w14:schemeClr w14:val="tx1"/>
            </w14:solidFill>
          </w14:textFill>
        </w:rPr>
        <w:t>生活污水</w:t>
      </w:r>
      <w:r>
        <w:rPr>
          <w:rFonts w:cs="Times New Roman"/>
          <w:color w:val="000000" w:themeColor="text1"/>
          <w:szCs w:val="24"/>
          <w:highlight w:val="none"/>
          <w14:textFill>
            <w14:solidFill>
              <w14:schemeClr w14:val="tx1"/>
            </w14:solidFill>
          </w14:textFill>
        </w:rPr>
        <w:t>经生态厕所收集后定期由密闭罐车拉运至周边生活污水处理厂处理</w:t>
      </w:r>
      <w:r>
        <w:rPr>
          <w:rFonts w:hint="eastAsia" w:cs="Times New Roman"/>
          <w:color w:val="000000" w:themeColor="text1"/>
          <w:szCs w:val="24"/>
          <w:highlight w:val="none"/>
          <w14:textFill>
            <w14:solidFill>
              <w14:schemeClr w14:val="tx1"/>
            </w14:solidFill>
          </w14:textFill>
        </w:rPr>
        <w:t>。储层改造阶段产生的</w:t>
      </w:r>
      <w:r>
        <w:rPr>
          <w:rFonts w:cs="Times New Roman"/>
          <w:color w:val="000000" w:themeColor="text1"/>
          <w:highlight w:val="none"/>
          <w14:textFill>
            <w14:solidFill>
              <w14:schemeClr w14:val="tx1"/>
            </w14:solidFill>
          </w14:textFill>
        </w:rPr>
        <w:t>压裂返排液及洗井废水临时暂存于放喷池或者</w:t>
      </w:r>
      <w:r>
        <w:rPr>
          <w:rFonts w:hint="eastAsia" w:cs="Times New Roman"/>
          <w:color w:val="000000" w:themeColor="text1"/>
          <w:highlight w:val="none"/>
          <w14:textFill>
            <w14:solidFill>
              <w14:schemeClr w14:val="tx1"/>
            </w14:solidFill>
          </w14:textFill>
        </w:rPr>
        <w:t>压裂液储</w:t>
      </w:r>
      <w:r>
        <w:rPr>
          <w:rFonts w:cs="Times New Roman"/>
          <w:color w:val="000000" w:themeColor="text1"/>
          <w:highlight w:val="none"/>
          <w14:textFill>
            <w14:solidFill>
              <w14:schemeClr w14:val="tx1"/>
            </w14:solidFill>
          </w14:textFill>
        </w:rPr>
        <w:t>罐</w:t>
      </w:r>
      <w:r>
        <w:rPr>
          <w:rFonts w:hint="eastAsia" w:cs="Times New Roman"/>
          <w:color w:val="000000" w:themeColor="text1"/>
          <w:highlight w:val="none"/>
          <w14:textFill>
            <w14:solidFill>
              <w14:schemeClr w14:val="tx1"/>
            </w14:solidFill>
          </w14:textFill>
        </w:rPr>
        <w:t>中</w:t>
      </w:r>
      <w:r>
        <w:rPr>
          <w:rFonts w:cs="Times New Roman"/>
          <w:color w:val="000000" w:themeColor="text1"/>
          <w:highlight w:val="none"/>
          <w14:textFill>
            <w14:solidFill>
              <w14:schemeClr w14:val="tx1"/>
            </w14:solidFill>
          </w14:textFill>
        </w:rPr>
        <w:t>，</w:t>
      </w:r>
      <w:r>
        <w:rPr>
          <w:rFonts w:hint="eastAsia" w:cs="Times New Roman"/>
          <w:color w:val="000000" w:themeColor="text1"/>
          <w:highlight w:val="none"/>
          <w14:textFill>
            <w14:solidFill>
              <w14:schemeClr w14:val="tx1"/>
            </w14:solidFill>
          </w14:textFill>
        </w:rPr>
        <w:t>优先回用于周边其他井场压裂液配置</w:t>
      </w:r>
      <w:r>
        <w:rPr>
          <w:rFonts w:cs="Times New Roman"/>
          <w:color w:val="000000" w:themeColor="text1"/>
          <w:highlight w:val="none"/>
          <w14:textFill>
            <w14:solidFill>
              <w14:schemeClr w14:val="tx1"/>
            </w14:solidFill>
          </w14:textFill>
        </w:rPr>
        <w:t>，不能回用</w:t>
      </w:r>
      <w:r>
        <w:rPr>
          <w:rFonts w:hint="eastAsia" w:cs="Times New Roman"/>
          <w:color w:val="000000" w:themeColor="text1"/>
          <w:highlight w:val="none"/>
          <w14:textFill>
            <w14:solidFill>
              <w14:schemeClr w14:val="tx1"/>
            </w14:solidFill>
          </w14:textFill>
        </w:rPr>
        <w:t>时</w:t>
      </w:r>
      <w:r>
        <w:rPr>
          <w:rFonts w:cs="Times New Roman"/>
          <w:color w:val="000000" w:themeColor="text1"/>
          <w:highlight w:val="none"/>
          <w14:textFill>
            <w14:solidFill>
              <w14:schemeClr w14:val="tx1"/>
            </w14:solidFill>
          </w14:textFill>
        </w:rPr>
        <w:t>用罐车拉运至</w:t>
      </w:r>
      <w:r>
        <w:rPr>
          <w:rFonts w:hint="eastAsia" w:cs="Times New Roman"/>
          <w:color w:val="000000" w:themeColor="text1"/>
          <w:highlight w:val="none"/>
          <w14:textFill>
            <w14:solidFill>
              <w14:schemeClr w14:val="tx1"/>
            </w14:solidFill>
          </w14:textFill>
        </w:rPr>
        <w:t>赵家坝污水处理站</w:t>
      </w:r>
      <w:r>
        <w:rPr>
          <w:rFonts w:cs="Times New Roman"/>
          <w:color w:val="000000" w:themeColor="text1"/>
          <w:highlight w:val="none"/>
          <w14:textFill>
            <w14:solidFill>
              <w14:schemeClr w14:val="tx1"/>
            </w14:solidFill>
          </w14:textFill>
        </w:rPr>
        <w:t>处理达标后经</w:t>
      </w:r>
      <w:r>
        <w:rPr>
          <w:rFonts w:hint="eastAsia" w:cs="Times New Roman"/>
          <w:color w:val="000000" w:themeColor="text1"/>
          <w:highlight w:val="none"/>
          <w14:textFill>
            <w14:solidFill>
              <w14:schemeClr w14:val="tx1"/>
            </w14:solidFill>
          </w14:textFill>
        </w:rPr>
        <w:t>普光3井回注站</w:t>
      </w:r>
      <w:r>
        <w:rPr>
          <w:rFonts w:cs="Times New Roman"/>
          <w:color w:val="000000" w:themeColor="text1"/>
          <w:highlight w:val="none"/>
          <w14:textFill>
            <w14:solidFill>
              <w14:schemeClr w14:val="tx1"/>
            </w14:solidFill>
          </w14:textFill>
        </w:rPr>
        <w:t>回注</w:t>
      </w:r>
      <w:r>
        <w:rPr>
          <w:rFonts w:hint="eastAsia" w:cs="Times New Roman"/>
          <w:color w:val="000000" w:themeColor="text1"/>
          <w:highlight w:val="none"/>
          <w14:textFill>
            <w14:solidFill>
              <w14:schemeClr w14:val="tx1"/>
            </w14:solidFill>
          </w14:textFill>
        </w:rPr>
        <w:t>，储层改造期间施工人员</w:t>
      </w:r>
      <w:r>
        <w:rPr>
          <w:rFonts w:cs="Times New Roman"/>
          <w:bCs/>
          <w:color w:val="000000" w:themeColor="text1"/>
          <w:szCs w:val="24"/>
          <w:highlight w:val="none"/>
          <w14:textFill>
            <w14:solidFill>
              <w14:schemeClr w14:val="tx1"/>
            </w14:solidFill>
          </w14:textFill>
        </w:rPr>
        <w:t>生活污水</w:t>
      </w:r>
      <w:r>
        <w:rPr>
          <w:rFonts w:cs="Times New Roman"/>
          <w:color w:val="000000" w:themeColor="text1"/>
          <w:szCs w:val="24"/>
          <w:highlight w:val="none"/>
          <w14:textFill>
            <w14:solidFill>
              <w14:schemeClr w14:val="tx1"/>
            </w14:solidFill>
          </w14:textFill>
        </w:rPr>
        <w:t>经生态厕所收集后定期由密闭罐车拉运至周边生活污水处理厂处理</w:t>
      </w:r>
      <w:r>
        <w:rPr>
          <w:rFonts w:hint="eastAsia" w:cs="Times New Roman"/>
          <w:color w:val="000000" w:themeColor="text1"/>
          <w:szCs w:val="24"/>
          <w:highlight w:val="none"/>
          <w14:textFill>
            <w14:solidFill>
              <w14:schemeClr w14:val="tx1"/>
            </w14:solidFill>
          </w14:textFill>
        </w:rPr>
        <w:t>，均不外排。油气集输工程建设期间</w:t>
      </w:r>
      <w:r>
        <w:rPr>
          <w:rFonts w:hint="eastAsia" w:cs="Times New Roman"/>
          <w:color w:val="000000" w:themeColor="text1"/>
          <w:highlight w:val="none"/>
          <w14:textFill>
            <w14:solidFill>
              <w14:schemeClr w14:val="tx1"/>
            </w14:solidFill>
          </w14:textFill>
        </w:rPr>
        <w:t>施工人员</w:t>
      </w:r>
      <w:r>
        <w:rPr>
          <w:rFonts w:cs="Times New Roman"/>
          <w:bCs/>
          <w:color w:val="000000" w:themeColor="text1"/>
          <w:szCs w:val="24"/>
          <w:highlight w:val="none"/>
          <w14:textFill>
            <w14:solidFill>
              <w14:schemeClr w14:val="tx1"/>
            </w14:solidFill>
          </w14:textFill>
        </w:rPr>
        <w:t>生活污水</w:t>
      </w:r>
      <w:r>
        <w:rPr>
          <w:rFonts w:cs="Times New Roman"/>
          <w:color w:val="000000" w:themeColor="text1"/>
          <w:szCs w:val="24"/>
          <w:highlight w:val="none"/>
          <w14:textFill>
            <w14:solidFill>
              <w14:schemeClr w14:val="tx1"/>
            </w14:solidFill>
          </w14:textFill>
        </w:rPr>
        <w:t>经生态厕所收集后定期由密闭罐车拉运至周边生活污水处理厂处理</w:t>
      </w:r>
      <w:r>
        <w:rPr>
          <w:rFonts w:hint="eastAsia" w:cs="Times New Roman"/>
          <w:color w:val="000000" w:themeColor="text1"/>
          <w:szCs w:val="24"/>
          <w:highlight w:val="none"/>
          <w14:textFill>
            <w14:solidFill>
              <w14:schemeClr w14:val="tx1"/>
            </w14:solidFill>
          </w14:textFill>
        </w:rPr>
        <w:t>。</w:t>
      </w:r>
      <w:r>
        <w:rPr>
          <w:color w:val="000000" w:themeColor="text1"/>
          <w:highlight w:val="none"/>
          <w14:textFill>
            <w14:solidFill>
              <w14:schemeClr w14:val="tx1"/>
            </w14:solidFill>
          </w14:textFill>
        </w:rPr>
        <w:t>天然气试采期间，产生的废水</w:t>
      </w:r>
      <w:r>
        <w:rPr>
          <w:rFonts w:hint="eastAsia"/>
          <w:color w:val="000000" w:themeColor="text1"/>
          <w:highlight w:val="none"/>
          <w14:textFill>
            <w14:solidFill>
              <w14:schemeClr w14:val="tx1"/>
            </w14:solidFill>
          </w14:textFill>
        </w:rPr>
        <w:t>后</w:t>
      </w:r>
      <w:r>
        <w:rPr>
          <w:color w:val="000000" w:themeColor="text1"/>
          <w:highlight w:val="none"/>
          <w14:textFill>
            <w14:solidFill>
              <w14:schemeClr w14:val="tx1"/>
            </w14:solidFill>
          </w14:textFill>
        </w:rPr>
        <w:t>拉运至</w:t>
      </w:r>
      <w:r>
        <w:rPr>
          <w:rFonts w:hint="eastAsia"/>
          <w:color w:val="000000" w:themeColor="text1"/>
          <w:highlight w:val="none"/>
          <w14:textFill>
            <w14:solidFill>
              <w14:schemeClr w14:val="tx1"/>
            </w14:solidFill>
          </w14:textFill>
        </w:rPr>
        <w:t>赵家坝污水处理站</w:t>
      </w:r>
      <w:r>
        <w:rPr>
          <w:color w:val="000000" w:themeColor="text1"/>
          <w:highlight w:val="none"/>
          <w14:textFill>
            <w14:solidFill>
              <w14:schemeClr w14:val="tx1"/>
            </w14:solidFill>
          </w14:textFill>
        </w:rPr>
        <w:t>达标后</w:t>
      </w:r>
      <w:r>
        <w:rPr>
          <w:rFonts w:hint="eastAsia" w:cs="Times New Roman"/>
          <w:color w:val="000000" w:themeColor="text1"/>
          <w:highlight w:val="none"/>
          <w14:textFill>
            <w14:solidFill>
              <w14:schemeClr w14:val="tx1"/>
            </w14:solidFill>
          </w14:textFill>
        </w:rPr>
        <w:t>（达</w:t>
      </w:r>
      <w:r>
        <w:rPr>
          <w:bCs/>
          <w:color w:val="000000" w:themeColor="text1"/>
          <w:szCs w:val="24"/>
          <w:highlight w:val="none"/>
          <w14:textFill>
            <w14:solidFill>
              <w14:schemeClr w14:val="tx1"/>
            </w14:solidFill>
          </w14:textFill>
        </w:rPr>
        <w:t>《</w:t>
      </w:r>
      <w:r>
        <w:rPr>
          <w:rFonts w:hint="eastAsia"/>
          <w:bCs/>
          <w:color w:val="000000" w:themeColor="text1"/>
          <w:szCs w:val="24"/>
          <w:highlight w:val="none"/>
          <w14:textFill>
            <w14:solidFill>
              <w14:schemeClr w14:val="tx1"/>
            </w14:solidFill>
          </w14:textFill>
        </w:rPr>
        <w:t>采出水</w:t>
      </w:r>
      <w:r>
        <w:rPr>
          <w:bCs/>
          <w:color w:val="000000" w:themeColor="text1"/>
          <w:szCs w:val="24"/>
          <w:highlight w:val="none"/>
          <w14:textFill>
            <w14:solidFill>
              <w14:schemeClr w14:val="tx1"/>
            </w14:solidFill>
          </w14:textFill>
        </w:rPr>
        <w:t>回注方法》SY/T 6596-2016中注入水基本要求</w:t>
      </w:r>
      <w:r>
        <w:rPr>
          <w:rFonts w:hint="eastAsia"/>
          <w:bCs/>
          <w:color w:val="000000" w:themeColor="text1"/>
          <w:szCs w:val="24"/>
          <w:highlight w:val="none"/>
          <w14:textFill>
            <w14:solidFill>
              <w14:schemeClr w14:val="tx1"/>
            </w14:solidFill>
          </w14:textFill>
        </w:rPr>
        <w:t>）</w:t>
      </w:r>
      <w:r>
        <w:rPr>
          <w:color w:val="000000" w:themeColor="text1"/>
          <w:highlight w:val="none"/>
          <w14:textFill>
            <w14:solidFill>
              <w14:schemeClr w14:val="tx1"/>
            </w14:solidFill>
          </w14:textFill>
        </w:rPr>
        <w:t>管输至</w:t>
      </w:r>
      <w:r>
        <w:rPr>
          <w:rFonts w:hint="eastAsia"/>
          <w:color w:val="000000" w:themeColor="text1"/>
          <w:highlight w:val="none"/>
          <w14:textFill>
            <w14:solidFill>
              <w14:schemeClr w14:val="tx1"/>
            </w14:solidFill>
          </w14:textFill>
        </w:rPr>
        <w:t>普光3井回注站</w:t>
      </w:r>
      <w:r>
        <w:rPr>
          <w:color w:val="000000" w:themeColor="text1"/>
          <w:highlight w:val="none"/>
          <w14:textFill>
            <w14:solidFill>
              <w14:schemeClr w14:val="tx1"/>
            </w14:solidFill>
          </w14:textFill>
        </w:rPr>
        <w:t>回注，不外排。对区域地表水环境影响甚微。</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（3）声环境</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钻井期间噪声对周围环境的影响为短暂影响，采用噪声源合理布局，为产噪大的设备安装消声器和</w:t>
      </w:r>
      <w:r>
        <w:rPr>
          <w:rFonts w:hint="eastAsia"/>
          <w:color w:val="000000" w:themeColor="text1"/>
          <w:highlight w:val="none"/>
          <w14:textFill>
            <w14:solidFill>
              <w14:schemeClr w14:val="tx1"/>
            </w14:solidFill>
          </w14:textFill>
        </w:rPr>
        <w:t>减振</w:t>
      </w:r>
      <w:r>
        <w:rPr>
          <w:color w:val="000000" w:themeColor="text1"/>
          <w:highlight w:val="none"/>
          <w14:textFill>
            <w14:solidFill>
              <w14:schemeClr w14:val="tx1"/>
            </w14:solidFill>
          </w14:textFill>
        </w:rPr>
        <w:t>基础，随着工程的完工，噪声影响消失。通过对井场周围居民的影响预测可知，在采取合理措施后</w:t>
      </w:r>
      <w:r>
        <w:rPr>
          <w:rFonts w:hint="eastAsia"/>
          <w:color w:val="000000" w:themeColor="text1"/>
          <w:highlight w:val="none"/>
          <w14:textFill>
            <w14:solidFill>
              <w14:schemeClr w14:val="tx1"/>
            </w14:solidFill>
          </w14:textFill>
        </w:rPr>
        <w:t>，井口周边居民（位于超标范围外）均能</w:t>
      </w:r>
      <w:r>
        <w:rPr>
          <w:color w:val="000000" w:themeColor="text1"/>
          <w:highlight w:val="none"/>
          <w14:textFill>
            <w14:solidFill>
              <w14:schemeClr w14:val="tx1"/>
            </w14:solidFill>
          </w14:textFill>
        </w:rPr>
        <w:t>满足《声环境质量标准》（GB3096-2008）中2类标准要求</w:t>
      </w:r>
      <w:r>
        <w:rPr>
          <w:rFonts w:hint="eastAsia"/>
          <w:color w:val="000000" w:themeColor="text1"/>
          <w:highlight w:val="none"/>
          <w14:textFill>
            <w14:solidFill>
              <w14:schemeClr w14:val="tx1"/>
            </w14:solidFill>
          </w14:textFill>
        </w:rPr>
        <w:t>。</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天然气试采期间，厂界噪声能实现达标排放，周边声环境敏感点噪声能达到《声环境质量标准》（GB3096-2008）中2类标准要求，不会噪声扰民。</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（4）固体废物</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项目产生弃土用于生态恢复</w:t>
      </w:r>
      <w:r>
        <w:rPr>
          <w:rFonts w:hint="eastAsia"/>
          <w:color w:val="000000" w:themeColor="text1"/>
          <w:highlight w:val="none"/>
          <w14:textFill>
            <w14:solidFill>
              <w14:schemeClr w14:val="tx1"/>
            </w14:solidFill>
          </w14:textFill>
        </w:rPr>
        <w:t>，多余的弃土于弃土堆放区堆放</w:t>
      </w:r>
      <w:r>
        <w:rPr>
          <w:color w:val="000000" w:themeColor="text1"/>
          <w:highlight w:val="none"/>
          <w14:textFill>
            <w14:solidFill>
              <w14:schemeClr w14:val="tx1"/>
            </w14:solidFill>
          </w14:textFill>
        </w:rPr>
        <w:t>；生活垃圾交由环卫部门处理，水基钻井固废收集后定期用密闭罐车及时就近交给依法取得生态环境部门关于利用和处置相关工业固体废物项目环评批复、具有处理处置相应固体废物能力并配套建设有废气、废水、固废等污染物治理设施的单位进行资源化利用，</w:t>
      </w:r>
      <w:r>
        <w:rPr>
          <w:rFonts w:hint="eastAsia"/>
          <w:color w:val="000000" w:themeColor="text1"/>
          <w:highlight w:val="none"/>
          <w14:textFill>
            <w14:solidFill>
              <w14:schemeClr w14:val="tx1"/>
            </w14:solidFill>
          </w14:textFill>
        </w:rPr>
        <w:t>废油及含油抹布手套</w:t>
      </w:r>
      <w:r>
        <w:rPr>
          <w:color w:val="000000" w:themeColor="text1"/>
          <w:highlight w:val="none"/>
          <w14:textFill>
            <w14:solidFill>
              <w14:schemeClr w14:val="tx1"/>
            </w14:solidFill>
          </w14:textFill>
        </w:rPr>
        <w:t>设置废油桶</w:t>
      </w:r>
      <w:r>
        <w:rPr>
          <w:rFonts w:hint="eastAsia"/>
          <w:color w:val="000000" w:themeColor="text1"/>
          <w:highlight w:val="none"/>
          <w14:textFill>
            <w14:solidFill>
              <w14:schemeClr w14:val="tx1"/>
            </w14:solidFill>
          </w14:textFill>
        </w:rPr>
        <w:t>分类</w:t>
      </w:r>
      <w:r>
        <w:rPr>
          <w:color w:val="000000" w:themeColor="text1"/>
          <w:highlight w:val="none"/>
          <w14:textFill>
            <w14:solidFill>
              <w14:schemeClr w14:val="tx1"/>
            </w14:solidFill>
          </w14:textFill>
        </w:rPr>
        <w:t>集中收集暂存于泥浆不落地装置区临时堆放区内，钻井队综合利用或交由有资质的单位处理。</w:t>
      </w:r>
      <w:r>
        <w:rPr>
          <w:color w:val="000000" w:themeColor="text1"/>
          <w:szCs w:val="24"/>
          <w:highlight w:val="none"/>
          <w14:textFill>
            <w14:solidFill>
              <w14:schemeClr w14:val="tx1"/>
            </w14:solidFill>
          </w14:textFill>
        </w:rPr>
        <w:t>油基钻井废泥浆、岩屑暂存于新建的60m</w:t>
      </w:r>
      <w:r>
        <w:rPr>
          <w:color w:val="000000" w:themeColor="text1"/>
          <w:szCs w:val="24"/>
          <w:highlight w:val="none"/>
          <w:vertAlign w:val="superscript"/>
          <w14:textFill>
            <w14:solidFill>
              <w14:schemeClr w14:val="tx1"/>
            </w14:solidFill>
          </w14:textFill>
        </w:rPr>
        <w:t>2</w:t>
      </w:r>
      <w:r>
        <w:rPr>
          <w:color w:val="000000" w:themeColor="text1"/>
          <w:szCs w:val="24"/>
          <w:highlight w:val="none"/>
          <w14:textFill>
            <w14:solidFill>
              <w14:schemeClr w14:val="tx1"/>
            </w14:solidFill>
          </w14:textFill>
        </w:rPr>
        <w:t>危险废物暂存场所（采取必要的防风、防晒、防雨、防漏、防渗、防腐以及其他环境污染防治措施，不得露天堆放危险废物），泥浆和油基钻井岩屑及时后交由有资质的单位处置，不会对区域环境造成影响</w:t>
      </w:r>
      <w:r>
        <w:rPr>
          <w:rFonts w:hint="eastAsia"/>
          <w:color w:val="000000" w:themeColor="text1"/>
          <w:szCs w:val="24"/>
          <w:highlight w:val="none"/>
          <w14:textFill>
            <w14:solidFill>
              <w14:schemeClr w14:val="tx1"/>
            </w14:solidFill>
          </w14:textFill>
        </w:rPr>
        <w:t>。</w:t>
      </w:r>
      <w:r>
        <w:rPr>
          <w:color w:val="000000" w:themeColor="text1"/>
          <w:highlight w:val="none"/>
          <w14:textFill>
            <w14:solidFill>
              <w14:schemeClr w14:val="tx1"/>
            </w14:solidFill>
          </w14:textFill>
        </w:rPr>
        <w:t>各类固体废物经分类收集，严格做好固体废物的暂存管理，并采取有效的处置措施，使固体废物均得以妥善处置，对环境不会造成污染影响。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（5）地下水</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本项目不涉及浅层钻井，对井场采取分区防渗和加强污染监控后，钻井期间发生污染地下水的可能性较小。若钻井过程中出现废水</w:t>
      </w:r>
      <w:r>
        <w:rPr>
          <w:rFonts w:hint="eastAsia"/>
          <w:color w:val="000000" w:themeColor="text1"/>
          <w:highlight w:val="none"/>
          <w14:textFill>
            <w14:solidFill>
              <w14:schemeClr w14:val="tx1"/>
            </w14:solidFill>
          </w14:textFill>
        </w:rPr>
        <w:t>泄漏、</w:t>
      </w:r>
      <w:r>
        <w:rPr>
          <w:color w:val="000000" w:themeColor="text1"/>
          <w:highlight w:val="none"/>
          <w14:textFill>
            <w14:solidFill>
              <w14:schemeClr w14:val="tx1"/>
            </w14:solidFill>
          </w14:textFill>
        </w:rPr>
        <w:t>外溢等事件，将造成井场或井筒周围小范围内的地下</w:t>
      </w:r>
      <w:r>
        <w:rPr>
          <w:bCs/>
          <w:color w:val="000000" w:themeColor="text1"/>
          <w:highlight w:val="none"/>
          <w14:textFill>
            <w14:solidFill>
              <w14:schemeClr w14:val="tx1"/>
            </w14:solidFill>
          </w14:textFill>
        </w:rPr>
        <w:t>耗氧量</w:t>
      </w:r>
      <w:r>
        <w:rPr>
          <w:color w:val="000000" w:themeColor="text1"/>
          <w:highlight w:val="none"/>
          <w14:textFill>
            <w14:solidFill>
              <w14:schemeClr w14:val="tx1"/>
            </w14:solidFill>
          </w14:textFill>
        </w:rPr>
        <w:t>、石油类</w:t>
      </w:r>
      <w:r>
        <w:rPr>
          <w:rFonts w:hint="eastAsia"/>
          <w:color w:val="000000" w:themeColor="text1"/>
          <w:highlight w:val="none"/>
          <w14:textFill>
            <w14:solidFill>
              <w14:schemeClr w14:val="tx1"/>
            </w14:solidFill>
          </w14:textFill>
        </w:rPr>
        <w:t>和氯离子</w:t>
      </w:r>
      <w:r>
        <w:rPr>
          <w:color w:val="000000" w:themeColor="text1"/>
          <w:highlight w:val="none"/>
          <w14:textFill>
            <w14:solidFill>
              <w14:schemeClr w14:val="tx1"/>
            </w14:solidFill>
          </w14:textFill>
        </w:rPr>
        <w:t>超标，该范围以外的地区，地下水质量维持现状，对周边散居农户水井的影响较小。天然气试采期间废水集中收集，</w:t>
      </w:r>
      <w:r>
        <w:rPr>
          <w:rFonts w:hint="eastAsia"/>
          <w:color w:val="000000" w:themeColor="text1"/>
          <w:highlight w:val="none"/>
          <w14:textFill>
            <w14:solidFill>
              <w14:schemeClr w14:val="tx1"/>
            </w14:solidFill>
          </w14:textFill>
        </w:rPr>
        <w:t>管线设置了完善的监控截断系统，</w:t>
      </w:r>
      <w:r>
        <w:rPr>
          <w:color w:val="000000" w:themeColor="text1"/>
          <w:highlight w:val="none"/>
          <w14:textFill>
            <w14:solidFill>
              <w14:schemeClr w14:val="tx1"/>
            </w14:solidFill>
          </w14:textFill>
        </w:rPr>
        <w:t>不会对地下水造成影响。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（6）土壤环境</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w:t>
      </w:r>
      <w:r>
        <w:rPr>
          <w:rFonts w:hint="eastAsia"/>
          <w:color w:val="000000" w:themeColor="text1"/>
          <w:highlight w:val="none"/>
          <w14:textFill>
            <w14:solidFill>
              <w14:schemeClr w14:val="tx1"/>
            </w14:solidFill>
          </w14:textFill>
        </w:rPr>
        <w:t>新增占地面积小</w:t>
      </w:r>
      <w:r>
        <w:rPr>
          <w:color w:val="000000" w:themeColor="text1"/>
          <w:highlight w:val="none"/>
          <w14:textFill>
            <w14:solidFill>
              <w14:schemeClr w14:val="tx1"/>
            </w14:solidFill>
          </w14:textFill>
        </w:rPr>
        <w:t>，采取了清污分流、分区分级防渗等措施，污染物进入土壤环境的可能性很小。根据类比调查，同地区天然气钻采项目均未出现过土壤环境污染现场和</w:t>
      </w:r>
      <w:r>
        <w:rPr>
          <w:rFonts w:hint="eastAsia"/>
          <w:color w:val="000000" w:themeColor="text1"/>
          <w:highlight w:val="none"/>
          <w14:textFill>
            <w14:solidFill>
              <w14:schemeClr w14:val="tx1"/>
            </w14:solidFill>
          </w14:textFill>
        </w:rPr>
        <w:t>环保</w:t>
      </w:r>
      <w:r>
        <w:rPr>
          <w:color w:val="000000" w:themeColor="text1"/>
          <w:highlight w:val="none"/>
          <w14:textFill>
            <w14:solidFill>
              <w14:schemeClr w14:val="tx1"/>
            </w14:solidFill>
          </w14:textFill>
        </w:rPr>
        <w:t>投诉，项目不会对土壤环境造成影响。</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（7）生态环境</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本项目临时占地在施工结束后进行恢复种植，后期</w:t>
      </w:r>
      <w:r>
        <w:rPr>
          <w:rFonts w:hint="eastAsia"/>
          <w:color w:val="000000" w:themeColor="text1"/>
          <w:highlight w:val="none"/>
          <w14:textFill>
            <w14:solidFill>
              <w14:schemeClr w14:val="tx1"/>
            </w14:solidFill>
          </w14:textFill>
        </w:rPr>
        <w:t>将</w:t>
      </w:r>
      <w:r>
        <w:rPr>
          <w:color w:val="000000" w:themeColor="text1"/>
          <w:highlight w:val="none"/>
          <w14:textFill>
            <w14:solidFill>
              <w14:schemeClr w14:val="tx1"/>
            </w14:solidFill>
          </w14:textFill>
        </w:rPr>
        <w:t>进行植被修复，恢复当地生态，有效削弱了对生态环境的影响。</w:t>
      </w:r>
    </w:p>
    <w:p>
      <w:pPr>
        <w:pStyle w:val="3"/>
        <w:spacing w:before="0" w:beforeLines="0"/>
        <w:rPr>
          <w:color w:val="000000" w:themeColor="text1"/>
          <w:highlight w:val="none"/>
          <w:lang w:eastAsia="zh-CN"/>
          <w14:textFill>
            <w14:solidFill>
              <w14:schemeClr w14:val="tx1"/>
            </w14:solidFill>
          </w14:textFill>
        </w:rPr>
      </w:pPr>
      <w:bookmarkStart w:id="577" w:name="_bookmark53"/>
      <w:bookmarkEnd w:id="577"/>
      <w:bookmarkStart w:id="578" w:name="10.5环境风险分析"/>
      <w:bookmarkEnd w:id="578"/>
      <w:bookmarkStart w:id="579" w:name="_Toc4702"/>
      <w:r>
        <w:rPr>
          <w:color w:val="000000" w:themeColor="text1"/>
          <w:highlight w:val="none"/>
          <w:lang w:eastAsia="zh-CN"/>
          <w14:textFill>
            <w14:solidFill>
              <w14:schemeClr w14:val="tx1"/>
            </w14:solidFill>
          </w14:textFill>
        </w:rPr>
        <w:t>环境风险分析</w:t>
      </w:r>
      <w:bookmarkEnd w:id="579"/>
    </w:p>
    <w:p>
      <w:pPr>
        <w:ind w:firstLine="480"/>
        <w:rPr>
          <w:bCs/>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本工程钻井和天然气试采期间存在一定的环境风险，可能对</w:t>
      </w:r>
      <w:r>
        <w:rPr>
          <w:rFonts w:hint="eastAsia"/>
          <w:color w:val="000000" w:themeColor="text1"/>
          <w:highlight w:val="none"/>
          <w14:textFill>
            <w14:solidFill>
              <w14:schemeClr w14:val="tx1"/>
            </w14:solidFill>
          </w14:textFill>
        </w:rPr>
        <w:t>大气环境、</w:t>
      </w:r>
      <w:r>
        <w:rPr>
          <w:color w:val="000000" w:themeColor="text1"/>
          <w:highlight w:val="none"/>
          <w14:textFill>
            <w14:solidFill>
              <w14:schemeClr w14:val="tx1"/>
            </w14:solidFill>
          </w14:textFill>
        </w:rPr>
        <w:t>地表水、地下水、生态环境、周围居民人身安全等造成影响。项目通过采取有效的风险防范措施，其发生事故的概率极低；通过建立突发事故应急预案后，事故对环境的影响能降至最低限度。环境风险属可接受水平，项目建设可行</w:t>
      </w:r>
      <w:r>
        <w:rPr>
          <w:bCs/>
          <w:color w:val="000000" w:themeColor="text1"/>
          <w:highlight w:val="none"/>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580" w:name="_bookmark54"/>
      <w:bookmarkEnd w:id="580"/>
      <w:bookmarkStart w:id="581" w:name="10.6总量控制"/>
      <w:bookmarkEnd w:id="581"/>
      <w:bookmarkStart w:id="582" w:name="_Toc11660"/>
      <w:r>
        <w:rPr>
          <w:color w:val="000000" w:themeColor="text1"/>
          <w:highlight w:val="none"/>
          <w:lang w:eastAsia="zh-CN"/>
          <w14:textFill>
            <w14:solidFill>
              <w14:schemeClr w14:val="tx1"/>
            </w14:solidFill>
          </w14:textFill>
        </w:rPr>
        <w:t>清洁生产和总量控制</w:t>
      </w:r>
      <w:bookmarkEnd w:id="582"/>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在原辅材料及资源能源的利用、生产工艺和设备、清洁生产措施、清洁生产技术指标、环境管理等方面基本达到清洁生产国内先进水平。建议主要提高清洁生产水平途径为废弃钻井泥浆的再利用、回收，减少废弃量，建议废弃钻井泥浆经处理后用于周边</w:t>
      </w:r>
      <w:r>
        <w:rPr>
          <w:rFonts w:hint="eastAsia"/>
          <w:color w:val="000000" w:themeColor="text1"/>
          <w:highlight w:val="none"/>
          <w14:textFill>
            <w14:solidFill>
              <w14:schemeClr w14:val="tx1"/>
            </w14:solidFill>
          </w14:textFill>
        </w:rPr>
        <w:t>其他</w:t>
      </w:r>
      <w:r>
        <w:rPr>
          <w:color w:val="000000" w:themeColor="text1"/>
          <w:highlight w:val="none"/>
          <w14:textFill>
            <w14:solidFill>
              <w14:schemeClr w14:val="tx1"/>
            </w14:solidFill>
          </w14:textFill>
        </w:rPr>
        <w:t>钻井工程。</w:t>
      </w:r>
    </w:p>
    <w:p>
      <w:pPr>
        <w:pStyle w:val="21"/>
        <w:spacing w:before="0"/>
        <w:ind w:left="0" w:firstLine="480"/>
        <w:jc w:val="both"/>
        <w:rPr>
          <w:rFonts w:ascii="Times New Roman" w:hAnsi="Times New Roman"/>
          <w:bCs/>
          <w:color w:val="000000" w:themeColor="text1"/>
          <w:kern w:val="2"/>
          <w:highlight w:val="none"/>
          <w:lang w:eastAsia="zh-CN"/>
          <w14:textFill>
            <w14:solidFill>
              <w14:schemeClr w14:val="tx1"/>
            </w14:solidFill>
          </w14:textFill>
        </w:rPr>
      </w:pPr>
      <w:r>
        <w:rPr>
          <w:rFonts w:ascii="Times New Roman" w:hAnsi="Times New Roman"/>
          <w:bCs/>
          <w:color w:val="000000" w:themeColor="text1"/>
          <w:kern w:val="2"/>
          <w:highlight w:val="none"/>
          <w:lang w:eastAsia="zh-CN"/>
          <w14:textFill>
            <w14:solidFill>
              <w14:schemeClr w14:val="tx1"/>
            </w14:solidFill>
          </w14:textFill>
        </w:rPr>
        <w:t>由于本项目实行排污许可登记管理，施工期时间短且采用网电，试采期水套加热炉与放空火炬长明灯均能做到达标排放，废水依托污水处理站或回注站回注，</w:t>
      </w:r>
      <w:r>
        <w:rPr>
          <w:rFonts w:hint="eastAsia" w:ascii="Times New Roman" w:hAnsi="Times New Roman"/>
          <w:bCs/>
          <w:color w:val="000000" w:themeColor="text1"/>
          <w:kern w:val="2"/>
          <w:highlight w:val="none"/>
          <w:lang w:eastAsia="zh-CN"/>
          <w14:textFill>
            <w14:solidFill>
              <w14:schemeClr w14:val="tx1"/>
            </w14:solidFill>
          </w14:textFill>
        </w:rPr>
        <w:t>不外排；</w:t>
      </w:r>
      <w:r>
        <w:rPr>
          <w:rFonts w:ascii="Times New Roman" w:hAnsi="Times New Roman"/>
          <w:bCs/>
          <w:color w:val="000000" w:themeColor="text1"/>
          <w:kern w:val="2"/>
          <w:highlight w:val="none"/>
          <w:lang w:eastAsia="zh-CN"/>
          <w14:textFill>
            <w14:solidFill>
              <w14:schemeClr w14:val="tx1"/>
            </w14:solidFill>
          </w14:textFill>
        </w:rPr>
        <w:t>试采期间无其他常年稳定连续的污染物排放源，在满足</w:t>
      </w:r>
      <w:r>
        <w:rPr>
          <w:rFonts w:ascii="Times New Roman" w:hAnsi="Times New Roman"/>
          <w:color w:val="000000" w:themeColor="text1"/>
          <w:szCs w:val="22"/>
          <w:highlight w:val="none"/>
          <w:lang w:eastAsia="zh-CN"/>
          <w14:textFill>
            <w14:solidFill>
              <w14:schemeClr w14:val="tx1"/>
            </w14:solidFill>
          </w14:textFill>
        </w:rPr>
        <w:t>达标排放和环境功能区划达标的前提下，建议不核定总量指标</w:t>
      </w:r>
      <w:r>
        <w:rPr>
          <w:rFonts w:ascii="Times New Roman" w:hAnsi="Times New Roman"/>
          <w:bCs/>
          <w:color w:val="000000" w:themeColor="text1"/>
          <w:kern w:val="2"/>
          <w:highlight w:val="none"/>
          <w:lang w:eastAsia="zh-CN"/>
          <w14:textFill>
            <w14:solidFill>
              <w14:schemeClr w14:val="tx1"/>
            </w14:solidFill>
          </w14:textFill>
        </w:rPr>
        <w:t>。</w:t>
      </w:r>
    </w:p>
    <w:p>
      <w:pPr>
        <w:pStyle w:val="3"/>
        <w:spacing w:before="0" w:beforeLines="0"/>
        <w:rPr>
          <w:color w:val="000000" w:themeColor="text1"/>
          <w:highlight w:val="none"/>
          <w:lang w:eastAsia="zh-CN"/>
          <w14:textFill>
            <w14:solidFill>
              <w14:schemeClr w14:val="tx1"/>
            </w14:solidFill>
          </w14:textFill>
        </w:rPr>
      </w:pPr>
      <w:bookmarkStart w:id="583" w:name="_bookmark55"/>
      <w:bookmarkEnd w:id="583"/>
      <w:bookmarkStart w:id="584" w:name="10.7公众参与调查结论"/>
      <w:bookmarkEnd w:id="584"/>
      <w:bookmarkStart w:id="585" w:name="_Toc10035"/>
      <w:r>
        <w:rPr>
          <w:color w:val="000000" w:themeColor="text1"/>
          <w:highlight w:val="none"/>
          <w:lang w:eastAsia="zh-CN"/>
          <w14:textFill>
            <w14:solidFill>
              <w14:schemeClr w14:val="tx1"/>
            </w14:solidFill>
          </w14:textFill>
        </w:rPr>
        <w:t>环境经济损益分析</w:t>
      </w:r>
      <w:bookmarkEnd w:id="585"/>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项目的建设具有较好的社会-经济-环境综合效益，只要该项目在各个实施阶段过程中积极做好污染治理、环境保护和安检措施等工作，基本上可以满足当地环境容量要求和环保管理需求，达到可持续发展目标。项目的建成，必将产生显著的经济效益、社会效益和环境效益。</w:t>
      </w:r>
    </w:p>
    <w:p>
      <w:pPr>
        <w:pStyle w:val="3"/>
        <w:spacing w:before="0" w:beforeLines="0"/>
        <w:rPr>
          <w:color w:val="000000" w:themeColor="text1"/>
          <w:highlight w:val="none"/>
          <w:lang w:eastAsia="zh-CN"/>
          <w14:textFill>
            <w14:solidFill>
              <w14:schemeClr w14:val="tx1"/>
            </w14:solidFill>
          </w14:textFill>
        </w:rPr>
      </w:pPr>
      <w:bookmarkStart w:id="586" w:name="_Toc18391"/>
      <w:r>
        <w:rPr>
          <w:color w:val="000000" w:themeColor="text1"/>
          <w:highlight w:val="none"/>
          <w:lang w:eastAsia="zh-CN"/>
          <w14:textFill>
            <w14:solidFill>
              <w14:schemeClr w14:val="tx1"/>
            </w14:solidFill>
          </w14:textFill>
        </w:rPr>
        <w:t>公众参与调查结论</w:t>
      </w:r>
      <w:bookmarkEnd w:id="586"/>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根据建设单位提供公众参与说明，</w:t>
      </w:r>
      <w:r>
        <w:rPr>
          <w:rFonts w:cs="Times New Roman"/>
          <w:color w:val="000000" w:themeColor="text1"/>
          <w:spacing w:val="-3"/>
          <w:highlight w:val="none"/>
          <w14:textFill>
            <w14:solidFill>
              <w14:schemeClr w14:val="tx1"/>
            </w14:solidFill>
          </w14:textFill>
        </w:rPr>
        <w:t>本次环境影响评价期间，由建设单位中国石油化工股份有限公司中原油田普光分公司按《环境</w:t>
      </w:r>
      <w:r>
        <w:rPr>
          <w:rFonts w:cs="Times New Roman"/>
          <w:color w:val="000000" w:themeColor="text1"/>
          <w:spacing w:val="-6"/>
          <w:highlight w:val="none"/>
          <w14:textFill>
            <w14:solidFill>
              <w14:schemeClr w14:val="tx1"/>
            </w14:solidFill>
          </w14:textFill>
        </w:rPr>
        <w:t>影响评价公众参与办法》组织建设项目环境影响评价公众参与，第一次公示于</w:t>
      </w:r>
      <w:r>
        <w:rPr>
          <w:rFonts w:hint="eastAsia" w:cs="Times New Roman"/>
          <w:color w:val="000000" w:themeColor="text1"/>
          <w:spacing w:val="-6"/>
          <w:highlight w:val="none"/>
          <w14:textFill>
            <w14:solidFill>
              <w14:schemeClr w14:val="tx1"/>
            </w14:solidFill>
          </w14:textFill>
        </w:rPr>
        <w:t>2024年10月31日</w:t>
      </w:r>
      <w:r>
        <w:rPr>
          <w:rFonts w:cs="Times New Roman"/>
          <w:color w:val="000000" w:themeColor="text1"/>
          <w:spacing w:val="-6"/>
          <w:highlight w:val="none"/>
          <w14:textFill>
            <w14:solidFill>
              <w14:schemeClr w14:val="tx1"/>
            </w14:solidFill>
          </w14:textFill>
        </w:rPr>
        <w:t>在凤凰山下网站进行。第二次公示采用3</w:t>
      </w:r>
      <w:r>
        <w:rPr>
          <w:rFonts w:cs="Times New Roman"/>
          <w:color w:val="000000" w:themeColor="text1"/>
          <w:spacing w:val="-9"/>
          <w:highlight w:val="none"/>
          <w14:textFill>
            <w14:solidFill>
              <w14:schemeClr w14:val="tx1"/>
            </w14:solidFill>
          </w14:textFill>
        </w:rPr>
        <w:t>种方式同步公开：</w:t>
      </w:r>
      <w:r>
        <w:rPr>
          <w:rFonts w:hint="eastAsia"/>
          <w:color w:val="000000" w:themeColor="text1"/>
          <w:spacing w:val="-9"/>
          <w:highlight w:val="none"/>
          <w14:textFill>
            <w14:solidFill>
              <w14:schemeClr w14:val="tx1"/>
            </w14:solidFill>
          </w14:textFill>
        </w:rPr>
        <w:t>①</w:t>
      </w:r>
      <w:r>
        <w:rPr>
          <w:rFonts w:hint="eastAsia" w:cs="Times New Roman"/>
          <w:color w:val="000000" w:themeColor="text1"/>
          <w:spacing w:val="-16"/>
          <w:highlight w:val="none"/>
          <w14:textFill>
            <w14:solidFill>
              <w14:schemeClr w14:val="tx1"/>
            </w14:solidFill>
          </w14:textFill>
        </w:rPr>
        <w:t>2024年12月23日</w:t>
      </w:r>
      <w:r>
        <w:rPr>
          <w:rFonts w:cs="Times New Roman"/>
          <w:color w:val="000000" w:themeColor="text1"/>
          <w:spacing w:val="-13"/>
          <w:highlight w:val="none"/>
          <w14:textFill>
            <w14:solidFill>
              <w14:schemeClr w14:val="tx1"/>
            </w14:solidFill>
          </w14:textFill>
        </w:rPr>
        <w:t>在</w:t>
      </w:r>
      <w:r>
        <w:rPr>
          <w:rFonts w:cs="Times New Roman"/>
          <w:color w:val="000000" w:themeColor="text1"/>
          <w:spacing w:val="-6"/>
          <w:highlight w:val="none"/>
          <w14:textFill>
            <w14:solidFill>
              <w14:schemeClr w14:val="tx1"/>
            </w14:solidFill>
          </w14:textFill>
        </w:rPr>
        <w:t>凤凰山下网站</w:t>
      </w:r>
      <w:r>
        <w:rPr>
          <w:rFonts w:cs="Times New Roman"/>
          <w:color w:val="000000" w:themeColor="text1"/>
          <w:spacing w:val="-13"/>
          <w:highlight w:val="none"/>
          <w14:textFill>
            <w14:solidFill>
              <w14:schemeClr w14:val="tx1"/>
            </w14:solidFill>
          </w14:textFill>
        </w:rPr>
        <w:t>上公示；</w:t>
      </w:r>
      <w:r>
        <w:rPr>
          <w:rFonts w:hint="eastAsia"/>
          <w:color w:val="000000" w:themeColor="text1"/>
          <w:spacing w:val="-6"/>
          <w:highlight w:val="none"/>
          <w14:textFill>
            <w14:solidFill>
              <w14:schemeClr w14:val="tx1"/>
            </w14:solidFill>
          </w14:textFill>
        </w:rPr>
        <w:t>②</w:t>
      </w:r>
      <w:r>
        <w:rPr>
          <w:rFonts w:hint="eastAsia" w:cs="Times New Roman"/>
          <w:color w:val="000000" w:themeColor="text1"/>
          <w:spacing w:val="-6"/>
          <w:highlight w:val="none"/>
          <w14:textFill>
            <w14:solidFill>
              <w14:schemeClr w14:val="tx1"/>
            </w14:solidFill>
          </w14:textFill>
        </w:rPr>
        <w:t>2024年12月24日</w:t>
      </w:r>
      <w:r>
        <w:rPr>
          <w:rFonts w:cs="Times New Roman"/>
          <w:color w:val="000000" w:themeColor="text1"/>
          <w:spacing w:val="-12"/>
          <w:highlight w:val="none"/>
          <w14:textFill>
            <w14:solidFill>
              <w14:schemeClr w14:val="tx1"/>
            </w14:solidFill>
          </w14:textFill>
        </w:rPr>
        <w:t>、</w:t>
      </w:r>
      <w:r>
        <w:rPr>
          <w:rFonts w:hint="eastAsia" w:cs="Times New Roman"/>
          <w:color w:val="000000" w:themeColor="text1"/>
          <w:spacing w:val="-7"/>
          <w:highlight w:val="none"/>
          <w14:textFill>
            <w14:solidFill>
              <w14:schemeClr w14:val="tx1"/>
            </w14:solidFill>
          </w14:textFill>
        </w:rPr>
        <w:t>2024年12月27日</w:t>
      </w:r>
      <w:r>
        <w:rPr>
          <w:rFonts w:cs="Times New Roman"/>
          <w:color w:val="000000" w:themeColor="text1"/>
          <w:spacing w:val="-12"/>
          <w:highlight w:val="none"/>
          <w14:textFill>
            <w14:solidFill>
              <w14:schemeClr w14:val="tx1"/>
            </w14:solidFill>
          </w14:textFill>
        </w:rPr>
        <w:t>在</w:t>
      </w:r>
      <w:r>
        <w:rPr>
          <w:rFonts w:hint="eastAsia" w:cs="Times New Roman"/>
          <w:color w:val="000000" w:themeColor="text1"/>
          <w:spacing w:val="-12"/>
          <w:highlight w:val="none"/>
          <w14:textFill>
            <w14:solidFill>
              <w14:schemeClr w14:val="tx1"/>
            </w14:solidFill>
          </w14:textFill>
        </w:rPr>
        <w:t>达州晚报</w:t>
      </w:r>
      <w:r>
        <w:rPr>
          <w:rFonts w:cs="Times New Roman"/>
          <w:color w:val="000000" w:themeColor="text1"/>
          <w:spacing w:val="-12"/>
          <w:highlight w:val="none"/>
          <w14:textFill>
            <w14:solidFill>
              <w14:schemeClr w14:val="tx1"/>
            </w14:solidFill>
          </w14:textFill>
        </w:rPr>
        <w:t>上进行公众参与公示；</w:t>
      </w:r>
      <w:r>
        <w:rPr>
          <w:rFonts w:hint="eastAsia"/>
          <w:color w:val="000000" w:themeColor="text1"/>
          <w:spacing w:val="-12"/>
          <w:highlight w:val="none"/>
          <w14:textFill>
            <w14:solidFill>
              <w14:schemeClr w14:val="tx1"/>
            </w14:solidFill>
          </w14:textFill>
        </w:rPr>
        <w:t>③</w:t>
      </w:r>
      <w:r>
        <w:rPr>
          <w:rFonts w:hint="eastAsia" w:cs="Times New Roman"/>
          <w:color w:val="000000" w:themeColor="text1"/>
          <w:spacing w:val="-7"/>
          <w:highlight w:val="none"/>
          <w14:textFill>
            <w14:solidFill>
              <w14:schemeClr w14:val="tx1"/>
            </w14:solidFill>
          </w14:textFill>
        </w:rPr>
        <w:t>2024年12月23日</w:t>
      </w:r>
      <w:r>
        <w:rPr>
          <w:rFonts w:cs="Times New Roman"/>
          <w:color w:val="000000" w:themeColor="text1"/>
          <w:highlight w:val="none"/>
          <w14:textFill>
            <w14:solidFill>
              <w14:schemeClr w14:val="tx1"/>
            </w14:solidFill>
          </w14:textFill>
        </w:rPr>
        <w:t>在</w:t>
      </w:r>
      <w:r>
        <w:rPr>
          <w:rFonts w:hint="eastAsia" w:cs="Times New Roman"/>
          <w:bCs/>
          <w:color w:val="000000" w:themeColor="text1"/>
          <w:highlight w:val="none"/>
          <w14:textFill>
            <w14:solidFill>
              <w14:schemeClr w14:val="tx1"/>
            </w14:solidFill>
          </w14:textFill>
        </w:rPr>
        <w:t>毛坝镇</w:t>
      </w:r>
      <w:r>
        <w:rPr>
          <w:rFonts w:cs="Times New Roman"/>
          <w:color w:val="000000" w:themeColor="text1"/>
          <w:spacing w:val="-12"/>
          <w:highlight w:val="none"/>
          <w14:textFill>
            <w14:solidFill>
              <w14:schemeClr w14:val="tx1"/>
            </w14:solidFill>
          </w14:textFill>
        </w:rPr>
        <w:t>张贴本项目公众参与公示，以征求项目周边公众对本项目</w:t>
      </w:r>
      <w:r>
        <w:rPr>
          <w:rFonts w:cs="Times New Roman"/>
          <w:color w:val="000000" w:themeColor="text1"/>
          <w:spacing w:val="-7"/>
          <w:highlight w:val="none"/>
          <w14:textFill>
            <w14:solidFill>
              <w14:schemeClr w14:val="tx1"/>
            </w14:solidFill>
          </w14:textFill>
        </w:rPr>
        <w:t>的看法</w:t>
      </w:r>
      <w:r>
        <w:rPr>
          <w:rFonts w:hint="eastAsia" w:cs="Times New Roman"/>
          <w:color w:val="000000" w:themeColor="text1"/>
          <w:spacing w:val="-7"/>
          <w:highlight w:val="none"/>
          <w14:textFill>
            <w14:solidFill>
              <w14:schemeClr w14:val="tx1"/>
            </w14:solidFill>
          </w14:textFill>
        </w:rPr>
        <w:t>。</w:t>
      </w:r>
      <w:r>
        <w:rPr>
          <w:rFonts w:cs="Times New Roman"/>
          <w:color w:val="000000" w:themeColor="text1"/>
          <w:spacing w:val="-7"/>
          <w:highlight w:val="none"/>
          <w14:textFill>
            <w14:solidFill>
              <w14:schemeClr w14:val="tx1"/>
            </w14:solidFill>
          </w14:textFill>
        </w:rPr>
        <w:t>第</w:t>
      </w:r>
      <w:r>
        <w:rPr>
          <w:rFonts w:hint="eastAsia" w:cs="Times New Roman"/>
          <w:color w:val="000000" w:themeColor="text1"/>
          <w:spacing w:val="-7"/>
          <w:highlight w:val="none"/>
          <w14:textFill>
            <w14:solidFill>
              <w14:schemeClr w14:val="tx1"/>
            </w14:solidFill>
          </w14:textFill>
        </w:rPr>
        <w:t>三</w:t>
      </w:r>
      <w:r>
        <w:rPr>
          <w:rFonts w:cs="Times New Roman"/>
          <w:color w:val="000000" w:themeColor="text1"/>
          <w:spacing w:val="-7"/>
          <w:highlight w:val="none"/>
          <w14:textFill>
            <w14:solidFill>
              <w14:schemeClr w14:val="tx1"/>
            </w14:solidFill>
          </w14:textFill>
        </w:rPr>
        <w:t>次公示于202</w:t>
      </w:r>
      <w:r>
        <w:rPr>
          <w:rFonts w:hint="eastAsia" w:cs="Times New Roman"/>
          <w:color w:val="000000" w:themeColor="text1"/>
          <w:spacing w:val="-7"/>
          <w:highlight w:val="none"/>
          <w14:textFill>
            <w14:solidFill>
              <w14:schemeClr w14:val="tx1"/>
            </w14:solidFill>
          </w14:textFill>
        </w:rPr>
        <w:t>5</w:t>
      </w:r>
      <w:r>
        <w:rPr>
          <w:rFonts w:cs="Times New Roman"/>
          <w:color w:val="000000" w:themeColor="text1"/>
          <w:spacing w:val="-7"/>
          <w:highlight w:val="none"/>
          <w14:textFill>
            <w14:solidFill>
              <w14:schemeClr w14:val="tx1"/>
            </w14:solidFill>
          </w14:textFill>
        </w:rPr>
        <w:t>年</w:t>
      </w:r>
      <w:r>
        <w:rPr>
          <w:rFonts w:hint="eastAsia" w:cs="Times New Roman"/>
          <w:color w:val="000000" w:themeColor="text1"/>
          <w:spacing w:val="-7"/>
          <w:highlight w:val="none"/>
          <w14:textFill>
            <w14:solidFill>
              <w14:schemeClr w14:val="tx1"/>
            </w14:solidFill>
          </w14:textFill>
        </w:rPr>
        <w:t>1</w:t>
      </w:r>
      <w:r>
        <w:rPr>
          <w:rFonts w:cs="Times New Roman"/>
          <w:color w:val="000000" w:themeColor="text1"/>
          <w:spacing w:val="-7"/>
          <w:highlight w:val="none"/>
          <w14:textFill>
            <w14:solidFill>
              <w14:schemeClr w14:val="tx1"/>
            </w14:solidFill>
          </w14:textFill>
        </w:rPr>
        <w:t>月</w:t>
      </w:r>
      <w:r>
        <w:rPr>
          <w:rFonts w:hint="eastAsia" w:cs="Times New Roman"/>
          <w:color w:val="000000" w:themeColor="text1"/>
          <w:spacing w:val="-7"/>
          <w:highlight w:val="none"/>
          <w14:textFill>
            <w14:solidFill>
              <w14:schemeClr w14:val="tx1"/>
            </w14:solidFill>
          </w14:textFill>
        </w:rPr>
        <w:t>3</w:t>
      </w:r>
      <w:r>
        <w:rPr>
          <w:rFonts w:cs="Times New Roman"/>
          <w:color w:val="000000" w:themeColor="text1"/>
          <w:spacing w:val="-7"/>
          <w:highlight w:val="none"/>
          <w14:textFill>
            <w14:solidFill>
              <w14:schemeClr w14:val="tx1"/>
            </w14:solidFill>
          </w14:textFill>
        </w:rPr>
        <w:t>日在凤凰山下网站上</w:t>
      </w:r>
      <w:r>
        <w:rPr>
          <w:rFonts w:hint="eastAsia" w:cs="Times New Roman"/>
          <w:color w:val="000000" w:themeColor="text1"/>
          <w:spacing w:val="-7"/>
          <w:highlight w:val="none"/>
          <w14:textFill>
            <w14:solidFill>
              <w14:schemeClr w14:val="tx1"/>
            </w14:solidFill>
          </w14:textFill>
        </w:rPr>
        <w:t>进行报批前</w:t>
      </w:r>
      <w:r>
        <w:rPr>
          <w:rFonts w:cs="Times New Roman"/>
          <w:color w:val="000000" w:themeColor="text1"/>
          <w:spacing w:val="-7"/>
          <w:highlight w:val="none"/>
          <w14:textFill>
            <w14:solidFill>
              <w14:schemeClr w14:val="tx1"/>
            </w14:solidFill>
          </w14:textFill>
        </w:rPr>
        <w:t>公示。公示期间提供了环境影响报告书征求意见稿全文的网络链接及查阅纸质</w:t>
      </w:r>
      <w:r>
        <w:rPr>
          <w:rFonts w:cs="Times New Roman"/>
          <w:color w:val="000000" w:themeColor="text1"/>
          <w:spacing w:val="-11"/>
          <w:highlight w:val="none"/>
          <w14:textFill>
            <w14:solidFill>
              <w14:schemeClr w14:val="tx1"/>
            </w14:solidFill>
          </w14:textFill>
        </w:rPr>
        <w:t>报告书的方式和途径，公众意见表的网络链接，以及提交意见的方式和途径。公</w:t>
      </w:r>
      <w:r>
        <w:rPr>
          <w:rFonts w:cs="Times New Roman"/>
          <w:color w:val="000000" w:themeColor="text1"/>
          <w:highlight w:val="none"/>
          <w14:textFill>
            <w14:solidFill>
              <w14:schemeClr w14:val="tx1"/>
            </w14:solidFill>
          </w14:textFill>
        </w:rPr>
        <w:t>示期间未收到</w:t>
      </w:r>
      <w:r>
        <w:rPr>
          <w:rFonts w:hint="eastAsia" w:cs="Times New Roman"/>
          <w:color w:val="000000" w:themeColor="text1"/>
          <w:highlight w:val="none"/>
          <w14:textFill>
            <w14:solidFill>
              <w14:schemeClr w14:val="tx1"/>
            </w14:solidFill>
          </w14:textFill>
        </w:rPr>
        <w:t>公众</w:t>
      </w:r>
      <w:r>
        <w:rPr>
          <w:rFonts w:cs="Times New Roman"/>
          <w:color w:val="000000" w:themeColor="text1"/>
          <w:highlight w:val="none"/>
          <w14:textFill>
            <w14:solidFill>
              <w14:schemeClr w14:val="tx1"/>
            </w14:solidFill>
          </w14:textFill>
        </w:rPr>
        <w:t>递交的公众意见表，未收到反对意见</w:t>
      </w:r>
      <w:r>
        <w:rPr>
          <w:rFonts w:hint="eastAsia" w:cs="Times New Roman"/>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符合《环境影响评价公众参与办法》（生态环境部令第4号）的相关要求。</w:t>
      </w:r>
    </w:p>
    <w:p>
      <w:pPr>
        <w:pStyle w:val="3"/>
        <w:tabs>
          <w:tab w:val="left" w:pos="2903"/>
        </w:tabs>
        <w:spacing w:before="0" w:beforeLines="0"/>
        <w:rPr>
          <w:color w:val="000000" w:themeColor="text1"/>
          <w:highlight w:val="none"/>
          <w:lang w:eastAsia="zh-CN"/>
          <w14:textFill>
            <w14:solidFill>
              <w14:schemeClr w14:val="tx1"/>
            </w14:solidFill>
          </w14:textFill>
        </w:rPr>
      </w:pPr>
      <w:bookmarkStart w:id="587" w:name="_bookmark57"/>
      <w:bookmarkEnd w:id="587"/>
      <w:bookmarkStart w:id="588" w:name="_bookmark59"/>
      <w:bookmarkEnd w:id="588"/>
      <w:bookmarkStart w:id="589" w:name="10.8环境经济损益分析"/>
      <w:bookmarkEnd w:id="589"/>
      <w:bookmarkStart w:id="590" w:name="10.9环境管理与监测计划"/>
      <w:bookmarkEnd w:id="590"/>
      <w:bookmarkStart w:id="591" w:name="_bookmark56"/>
      <w:bookmarkEnd w:id="591"/>
      <w:bookmarkStart w:id="592" w:name="10.11评价总结论"/>
      <w:bookmarkEnd w:id="592"/>
      <w:bookmarkStart w:id="593" w:name="_Toc12175"/>
      <w:r>
        <w:rPr>
          <w:color w:val="000000" w:themeColor="text1"/>
          <w:highlight w:val="none"/>
          <w:lang w:eastAsia="zh-CN"/>
          <w14:textFill>
            <w14:solidFill>
              <w14:schemeClr w14:val="tx1"/>
            </w14:solidFill>
          </w14:textFill>
        </w:rPr>
        <w:t>评价总结论</w:t>
      </w:r>
      <w:bookmarkEnd w:id="593"/>
      <w:r>
        <w:rPr>
          <w:rFonts w:hint="eastAsia"/>
          <w:color w:val="000000" w:themeColor="text1"/>
          <w:highlight w:val="none"/>
          <w:lang w:eastAsia="zh-CN"/>
          <w14:textFill>
            <w14:solidFill>
              <w14:schemeClr w14:val="tx1"/>
            </w14:solidFill>
          </w14:textFill>
        </w:rPr>
        <w:tab/>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该项目的建设符合国家、行业颁布的相关产业政策、法规、规范，项目的建设对增加清洁能源天然气供应量，探明地区天然气储存情况，促进区域社会、经济发展，调整改善区域的环境质量有积极意义，项目建设是必要的。</w:t>
      </w:r>
    </w:p>
    <w:p>
      <w:pPr>
        <w:ind w:firstLine="480"/>
        <w:rPr>
          <w:rFonts w:cs="Times New Roman"/>
          <w:bCs/>
          <w:color w:val="000000" w:themeColor="text1"/>
          <w:szCs w:val="24"/>
          <w:highlight w:val="none"/>
          <w14:textFill>
            <w14:solidFill>
              <w14:schemeClr w14:val="tx1"/>
            </w14:solidFill>
          </w14:textFill>
        </w:rPr>
      </w:pPr>
      <w:r>
        <w:rPr>
          <w:rFonts w:cs="Times New Roman"/>
          <w:bCs/>
          <w:color w:val="000000" w:themeColor="text1"/>
          <w:szCs w:val="24"/>
          <w:highlight w:val="none"/>
          <w14:textFill>
            <w14:solidFill>
              <w14:schemeClr w14:val="tx1"/>
            </w14:solidFill>
          </w14:textFill>
        </w:rPr>
        <w:t>评价区域环境空气质量、声环境质量、地下水质量现状总体较好；项目建设期间产生的污染物均做到达标排放或妥善处置，对生态环境、地表水、地下水、大气环境影响小</w:t>
      </w:r>
      <w:r>
        <w:rPr>
          <w:rFonts w:hint="eastAsia" w:cs="Times New Roman"/>
          <w:bCs/>
          <w:color w:val="000000" w:themeColor="text1"/>
          <w:szCs w:val="24"/>
          <w:highlight w:val="none"/>
          <w14:textFill>
            <w14:solidFill>
              <w14:schemeClr w14:val="tx1"/>
            </w14:solidFill>
          </w14:textFill>
        </w:rPr>
        <w:t>，对</w:t>
      </w:r>
      <w:r>
        <w:rPr>
          <w:rFonts w:cs="Times New Roman"/>
          <w:bCs/>
          <w:color w:val="000000" w:themeColor="text1"/>
          <w:szCs w:val="24"/>
          <w:highlight w:val="none"/>
          <w14:textFill>
            <w14:solidFill>
              <w14:schemeClr w14:val="tx1"/>
            </w14:solidFill>
          </w14:textFill>
        </w:rPr>
        <w:t>声环境影响产生短期影响，不改变区域的环境功能；该项目符合清洁生产要求，采用的环保措施可行，社会、经济效益十分显著；建设项目环境可行，选址合理。本项目井喷失控事故天然气</w:t>
      </w:r>
      <w:r>
        <w:rPr>
          <w:rFonts w:hint="eastAsia" w:cs="Times New Roman"/>
          <w:bCs/>
          <w:color w:val="000000" w:themeColor="text1"/>
          <w:szCs w:val="24"/>
          <w:highlight w:val="none"/>
          <w14:textFill>
            <w14:solidFill>
              <w14:schemeClr w14:val="tx1"/>
            </w14:solidFill>
          </w14:textFill>
        </w:rPr>
        <w:t>泄漏</w:t>
      </w:r>
      <w:r>
        <w:rPr>
          <w:rFonts w:cs="Times New Roman"/>
          <w:bCs/>
          <w:color w:val="000000" w:themeColor="text1"/>
          <w:szCs w:val="24"/>
          <w:highlight w:val="none"/>
          <w14:textFill>
            <w14:solidFill>
              <w14:schemeClr w14:val="tx1"/>
            </w14:solidFill>
          </w14:textFill>
        </w:rPr>
        <w:t>事故对环境的影响较小，且事故发生机率低，通过严格按行业规范和环评要求完善事故防范措施和制定较详尽有效的事故应急方案，环境风险值会大大的降低，环境风险可接受。</w:t>
      </w:r>
    </w:p>
    <w:p>
      <w:pPr>
        <w:ind w:firstLine="480"/>
        <w:rPr>
          <w:bCs/>
          <w:color w:val="000000" w:themeColor="text1"/>
          <w:highlight w:val="none"/>
          <w14:textFill>
            <w14:solidFill>
              <w14:schemeClr w14:val="tx1"/>
            </w14:solidFill>
          </w14:textFill>
        </w:rPr>
      </w:pPr>
      <w:r>
        <w:rPr>
          <w:bCs/>
          <w:color w:val="000000" w:themeColor="text1"/>
          <w:highlight w:val="none"/>
          <w14:textFill>
            <w14:solidFill>
              <w14:schemeClr w14:val="tx1"/>
            </w14:solidFill>
          </w14:textFill>
        </w:rPr>
        <w:t>综上所述，在严格落实本项目钻井设计和本评价提出的各项环保措施和环境风险防范以及应急措施后，从环境保护角度分析，本项目的建设是可行的。</w:t>
      </w:r>
    </w:p>
    <w:p>
      <w:pPr>
        <w:pStyle w:val="3"/>
        <w:spacing w:before="0" w:beforeLines="0"/>
        <w:rPr>
          <w:color w:val="000000" w:themeColor="text1"/>
          <w:highlight w:val="none"/>
          <w:lang w:eastAsia="zh-CN"/>
          <w14:textFill>
            <w14:solidFill>
              <w14:schemeClr w14:val="tx1"/>
            </w14:solidFill>
          </w14:textFill>
        </w:rPr>
      </w:pPr>
      <w:bookmarkStart w:id="594" w:name="_bookmark60"/>
      <w:bookmarkEnd w:id="594"/>
      <w:bookmarkStart w:id="595" w:name="10.12建议"/>
      <w:bookmarkEnd w:id="595"/>
      <w:bookmarkStart w:id="596" w:name="_Toc1070"/>
      <w:r>
        <w:rPr>
          <w:color w:val="000000" w:themeColor="text1"/>
          <w:highlight w:val="none"/>
          <w:lang w:eastAsia="zh-CN"/>
          <w14:textFill>
            <w14:solidFill>
              <w14:schemeClr w14:val="tx1"/>
            </w14:solidFill>
          </w14:textFill>
        </w:rPr>
        <w:t>建议</w:t>
      </w:r>
      <w:bookmarkEnd w:id="596"/>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（1）建设单位在工程实施期间，应加强对各项环保措施的建设、运转</w:t>
      </w:r>
      <w:r>
        <w:rPr>
          <w:rFonts w:hint="eastAsia"/>
          <w:color w:val="000000" w:themeColor="text1"/>
          <w:highlight w:val="none"/>
          <w14:textFill>
            <w14:solidFill>
              <w14:schemeClr w14:val="tx1"/>
            </w14:solidFill>
          </w14:textFill>
        </w:rPr>
        <w:t>的</w:t>
      </w:r>
      <w:r>
        <w:rPr>
          <w:color w:val="000000" w:themeColor="text1"/>
          <w:highlight w:val="none"/>
          <w14:textFill>
            <w14:solidFill>
              <w14:schemeClr w14:val="tx1"/>
            </w14:solidFill>
          </w14:textFill>
        </w:rPr>
        <w:t>监理</w:t>
      </w:r>
      <w:r>
        <w:rPr>
          <w:rFonts w:hint="eastAsia"/>
          <w:color w:val="000000" w:themeColor="text1"/>
          <w:highlight w:val="none"/>
          <w14:textFill>
            <w14:solidFill>
              <w14:schemeClr w14:val="tx1"/>
            </w14:solidFill>
          </w14:textFill>
        </w:rPr>
        <w:t>工作</w:t>
      </w:r>
      <w:r>
        <w:rPr>
          <w:color w:val="000000" w:themeColor="text1"/>
          <w:highlight w:val="none"/>
          <w14:textFill>
            <w14:solidFill>
              <w14:schemeClr w14:val="tx1"/>
            </w14:solidFill>
          </w14:textFill>
        </w:rPr>
        <w:t>，以确保环保措施的有效性。</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（2）妥善解决好占用土地、作物、植被等所造成的恢复赔偿问题。</w:t>
      </w:r>
    </w:p>
    <w:p>
      <w:pPr>
        <w:ind w:firstLine="48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（3）根据项目试采情况，满足验收条件后对项目进行验收，及时完善环保手续。</w:t>
      </w:r>
    </w:p>
    <w:p>
      <w:pPr>
        <w:ind w:firstLine="480"/>
        <w:rPr>
          <w:rFonts w:eastAsiaTheme="minorEastAsia"/>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（4）项目完成后，对周围环境进行跟踪监测。</w:t>
      </w:r>
    </w:p>
    <w:sectPr>
      <w:pgSz w:w="11910" w:h="16840"/>
      <w:pgMar w:top="1440" w:right="1800" w:bottom="1440" w:left="1800" w:header="964" w:footer="964" w:gutter="0"/>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等线">
    <w:altName w:val="Arial Unicode MS"/>
    <w:panose1 w:val="02010600030101010101"/>
    <w:charset w:val="86"/>
    <w:family w:val="auto"/>
    <w:pitch w:val="default"/>
    <w:sig w:usb0="00000000" w:usb1="00000000" w:usb2="00000016" w:usb3="00000000" w:csb0="0004000F" w:csb1="00000000"/>
  </w:font>
  <w:font w:name="仿宋体">
    <w:altName w:val="仿宋"/>
    <w:panose1 w:val="00000000000000000000"/>
    <w:charset w:val="86"/>
    <w:family w:val="roman"/>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2FF" w:usb1="400004FF" w:usb2="00000000" w:usb3="00000000" w:csb0="2000019F" w:csb1="00000000"/>
  </w:font>
  <w:font w:name="Arial Unicode MS">
    <w:panose1 w:val="020B0604020202020204"/>
    <w:charset w:val="86"/>
    <w:family w:val="swiss"/>
    <w:pitch w:val="default"/>
    <w:sig w:usb0="FFFFFFFF" w:usb1="E9FFFFFF" w:usb2="0000003F" w:usb3="00000000" w:csb0="603F01FF" w:csb1="FFFF0000"/>
  </w:font>
  <w:font w:name="楷体_GB2312">
    <w:panose1 w:val="02010609030101010101"/>
    <w:charset w:val="86"/>
    <w:family w:val="modern"/>
    <w:pitch w:val="default"/>
    <w:sig w:usb0="00000001" w:usb1="080E0000" w:usb2="00000000" w:usb3="00000000" w:csb0="00040000" w:csb1="00000000"/>
  </w:font>
  <w:font w:name="ˎ̥">
    <w:altName w:val="Arial Unicode MS"/>
    <w:panose1 w:val="00000000000000000000"/>
    <w:charset w:val="01"/>
    <w:family w:val="roman"/>
    <w:pitch w:val="default"/>
    <w:sig w:usb0="00000000" w:usb1="00000000" w:usb2="00000000" w:usb3="00000000" w:csb0="00040001" w:csb1="00000000"/>
  </w:font>
  <w:font w:name="华文仿宋">
    <w:panose1 w:val="02010600040101010101"/>
    <w:charset w:val="86"/>
    <w:family w:val="auto"/>
    <w:pitch w:val="default"/>
    <w:sig w:usb0="00000287" w:usb1="080F0000" w:usb2="00000000" w:usb3="00000000" w:csb0="0004009F" w:csb1="DFD70000"/>
  </w:font>
  <w:font w:name="等线 Light">
    <w:altName w:val="宋体"/>
    <w:panose1 w:val="02010600030101010101"/>
    <w:charset w:val="86"/>
    <w:family w:val="auto"/>
    <w:pitch w:val="default"/>
    <w:sig w:usb0="00000000" w:usb1="00000000" w:usb2="00000016" w:usb3="00000000" w:csb0="0004000F" w:csb1="00000000"/>
  </w:font>
  <w:font w:name="Times">
    <w:altName w:val="Times New Roman"/>
    <w:panose1 w:val="02020603050405020304"/>
    <w:charset w:val="00"/>
    <w:family w:val="roman"/>
    <w:pitch w:val="default"/>
    <w:sig w:usb0="00000000" w:usb1="00000000" w:usb2="00000009" w:usb3="00000000" w:csb0="000001FF" w:csb1="00000000"/>
  </w:font>
  <w:font w:name="Tahoma">
    <w:panose1 w:val="020B0604030504040204"/>
    <w:charset w:val="00"/>
    <w:family w:val="swiss"/>
    <w:pitch w:val="default"/>
    <w:sig w:usb0="E1002EFF" w:usb1="C000605B" w:usb2="00000029" w:usb3="00000000" w:csb0="200101FF" w:csb1="20280000"/>
  </w:font>
  <w:font w:name="Arial Narrow">
    <w:panose1 w:val="020B0606020202030204"/>
    <w:charset w:val="00"/>
    <w:family w:val="swiss"/>
    <w:pitch w:val="default"/>
    <w:sig w:usb0="00000287" w:usb1="00000800" w:usb2="00000000" w:usb3="00000000" w:csb0="2000009F" w:csb1="DFD70000"/>
  </w:font>
  <w:font w:name="华文中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10006FF" w:usb1="4000205B" w:usb2="00000010" w:usb3="00000000" w:csb0="2000019F" w:csb1="00000000"/>
  </w:font>
  <w:font w:name="Microsoft YaHei UI">
    <w:altName w:val="宋体"/>
    <w:panose1 w:val="020B0503020204020204"/>
    <w:charset w:val="86"/>
    <w:family w:val="swiss"/>
    <w:pitch w:val="default"/>
    <w:sig w:usb0="00000000" w:usb1="00000000" w:usb2="00000016" w:usb3="00000000" w:csb0="0004001F" w:csb1="00000000"/>
  </w:font>
  <w:font w:name="楷体">
    <w:panose1 w:val="02010609060101010101"/>
    <w:charset w:val="86"/>
    <w:family w:val="modern"/>
    <w:pitch w:val="default"/>
    <w:sig w:usb0="800002BF" w:usb1="38CF7CFA" w:usb2="00000016" w:usb3="00000000" w:csb0="00040001" w:csb1="00000000"/>
  </w:font>
  <w:font w:name="隶书">
    <w:panose1 w:val="02010509060101010101"/>
    <w:charset w:val="86"/>
    <w:family w:val="modern"/>
    <w:pitch w:val="default"/>
    <w:sig w:usb0="00000001" w:usb1="080E0000" w:usb2="00000000" w:usb3="00000000" w:csb0="00040000" w:csb1="00000000"/>
  </w:font>
  <w:font w:name="TTB7o01">
    <w:altName w:val="Segoe Print"/>
    <w:panose1 w:val="00000000000000000000"/>
    <w:charset w:val="00"/>
    <w:family w:val="auto"/>
    <w:pitch w:val="default"/>
    <w:sig w:usb0="00000000" w:usb1="00000000" w:usb2="00000000" w:usb3="00000000" w:csb0="00000000" w:csb1="00000000"/>
  </w:font>
  <w:font w:name="TTB7o00">
    <w:altName w:val="Segoe Print"/>
    <w:panose1 w:val="00000000000000000000"/>
    <w:charset w:val="00"/>
    <w:family w:val="auto"/>
    <w:pitch w:val="default"/>
    <w:sig w:usb0="00000000" w:usb1="00000000" w:usb2="00000000" w:usb3="00000000" w:csb0="00000000" w:csb1="00000000"/>
  </w:font>
  <w:font w:name="TTB7o02">
    <w:altName w:val="Segoe Print"/>
    <w:panose1 w:val="00000000000000000000"/>
    <w:charset w:val="00"/>
    <w:family w:val="auto"/>
    <w:pitch w:val="default"/>
    <w:sig w:usb0="00000000" w:usb1="00000000" w:usb2="00000000" w:usb3="00000000" w:csb0="00000000" w:csb1="00000000"/>
  </w:font>
  <w:font w:name="TTB7o03">
    <w:altName w:val="Segoe Print"/>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2FF" w:usb1="420024FF" w:usb2="00000000" w:usb3="00000000" w:csb0="2000019F" w:csb1="00000000"/>
  </w:font>
  <w:font w:name="Segoe Print">
    <w:panose1 w:val="02000600000000000000"/>
    <w:charset w:val="00"/>
    <w:family w:val="auto"/>
    <w:pitch w:val="default"/>
    <w:sig w:usb0="0000028F" w:usb1="00000000" w:usb2="00000000" w:usb3="00000000" w:csb0="2000009F" w:csb1="47010000"/>
  </w:font>
  <w:font w:name="等线">
    <w:altName w:val="Arial Unicode M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jc w:val="right"/>
      <w:rPr>
        <w:rFonts w:ascii="Times New Roman" w:hAnsi="Times New Roman"/>
        <w:sz w:val="21"/>
        <w:szCs w:val="21"/>
      </w:rPr>
    </w:pPr>
    <w:r>
      <w:rPr>
        <w:rFonts w:hint="eastAsia"/>
        <w:sz w:val="21"/>
        <w:szCs w:val="21"/>
        <w:lang w:eastAsia="zh-CN"/>
      </w:rPr>
      <w:t>·</w:t>
    </w:r>
    <w:sdt>
      <w:sdtPr>
        <w:rPr>
          <w:sz w:val="21"/>
          <w:szCs w:val="21"/>
        </w:rPr>
        <w:id w:val="1549178307"/>
      </w:sdtPr>
      <w:sdtEndPr>
        <w:rPr>
          <w:rFonts w:ascii="Times New Roman" w:hAnsi="Times New Roman"/>
          <w:sz w:val="21"/>
          <w:szCs w:val="21"/>
        </w:rPr>
      </w:sdtEndPr>
      <w:sdtContent>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eastAsia="zh-CN"/>
          </w:rPr>
          <w:t>413</w:t>
        </w:r>
        <w:r>
          <w:rPr>
            <w:rFonts w:ascii="Times New Roman" w:hAnsi="Times New Roman"/>
            <w:sz w:val="21"/>
            <w:szCs w:val="21"/>
          </w:rPr>
          <w:fldChar w:fldCharType="end"/>
        </w:r>
      </w:sdtContent>
    </w:sdt>
    <w:r>
      <w:rPr>
        <w:rFonts w:hint="eastAsia" w:ascii="Times New Roman" w:hAnsi="Times New Roman"/>
        <w:sz w:val="21"/>
        <w:szCs w:val="21"/>
        <w:lang w:eastAsia="zh-CN"/>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rPr>
        <w:rFonts w:ascii="Times New Roman" w:hAnsi="Times New Roman"/>
        <w:sz w:val="21"/>
        <w:szCs w:val="21"/>
      </w:rPr>
    </w:pPr>
    <w:r>
      <w:rPr>
        <w:rFonts w:hint="eastAsia"/>
        <w:sz w:val="21"/>
        <w:szCs w:val="21"/>
        <w:lang w:eastAsia="zh-CN"/>
      </w:rPr>
      <w:t>·</w:t>
    </w:r>
    <w:sdt>
      <w:sdtPr>
        <w:rPr>
          <w:sz w:val="21"/>
          <w:szCs w:val="21"/>
        </w:rPr>
        <w:id w:val="1652940242"/>
      </w:sdtPr>
      <w:sdtEndPr>
        <w:rPr>
          <w:rFonts w:ascii="Times New Roman" w:hAnsi="Times New Roman"/>
          <w:sz w:val="21"/>
          <w:szCs w:val="21"/>
        </w:rPr>
      </w:sdtEndPr>
      <w:sdtContent>
        <w:r>
          <w:rPr>
            <w:rFonts w:ascii="Times New Roman" w:hAnsi="Times New Roman"/>
            <w:sz w:val="21"/>
            <w:szCs w:val="21"/>
          </w:rPr>
          <w:fldChar w:fldCharType="begin"/>
        </w:r>
        <w:r>
          <w:rPr>
            <w:rFonts w:ascii="Times New Roman" w:hAnsi="Times New Roman"/>
            <w:sz w:val="21"/>
            <w:szCs w:val="21"/>
          </w:rPr>
          <w:instrText xml:space="preserve">PAGE   \* MERGEFORMAT</w:instrText>
        </w:r>
        <w:r>
          <w:rPr>
            <w:rFonts w:ascii="Times New Roman" w:hAnsi="Times New Roman"/>
            <w:sz w:val="21"/>
            <w:szCs w:val="21"/>
          </w:rPr>
          <w:fldChar w:fldCharType="separate"/>
        </w:r>
        <w:r>
          <w:rPr>
            <w:rFonts w:ascii="Times New Roman" w:hAnsi="Times New Roman"/>
            <w:sz w:val="21"/>
            <w:szCs w:val="21"/>
            <w:lang w:val="zh-CN" w:eastAsia="zh-CN"/>
          </w:rPr>
          <w:t>414</w:t>
        </w:r>
        <w:r>
          <w:rPr>
            <w:rFonts w:ascii="Times New Roman" w:hAnsi="Times New Roman"/>
            <w:sz w:val="21"/>
            <w:szCs w:val="21"/>
          </w:rPr>
          <w:fldChar w:fldCharType="end"/>
        </w:r>
      </w:sdtContent>
    </w:sdt>
    <w:r>
      <w:rPr>
        <w:rFonts w:hint="eastAsia" w:ascii="Times New Roman" w:hAnsi="Times New Roman"/>
        <w:sz w:val="21"/>
        <w:szCs w:val="21"/>
        <w:lang w:eastAsia="zh-CN"/>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pBdr>
        <w:bottom w:val="single" w:color="auto" w:sz="4" w:space="1"/>
      </w:pBdr>
      <w:spacing w:line="240" w:lineRule="auto"/>
      <w:ind w:firstLine="420"/>
      <w:rPr>
        <w:rFonts w:ascii="Times New Roman" w:hAnsi="Times New Roman"/>
        <w:sz w:val="21"/>
        <w:szCs w:val="21"/>
        <w:lang w:eastAsia="zh-CN"/>
      </w:rPr>
    </w:pPr>
    <w:r>
      <w:rPr>
        <w:rFonts w:hint="eastAsia" w:ascii="Times New Roman" w:hAnsi="Times New Roman"/>
        <w:sz w:val="21"/>
        <w:szCs w:val="21"/>
        <w:lang w:eastAsia="zh-CN"/>
      </w:rPr>
      <w:t>大湾408-3井钻井及试采工程</w:t>
    </w:r>
    <w:r>
      <w:rPr>
        <w:rFonts w:ascii="Times New Roman" w:hAnsi="Times New Roman"/>
        <w:sz w:val="21"/>
        <w:szCs w:val="21"/>
        <w:lang w:eastAsia="zh-CN"/>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5"/>
      <w:spacing w:line="240" w:lineRule="auto"/>
      <w:ind w:firstLine="0" w:firstLineChars="0"/>
      <w:rPr>
        <w:rFonts w:ascii="Times New Roman" w:hAnsi="Times New Roman"/>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25179C"/>
    <w:multiLevelType w:val="singleLevel"/>
    <w:tmpl w:val="9525179C"/>
    <w:lvl w:ilvl="0" w:tentative="0">
      <w:start w:val="1"/>
      <w:numFmt w:val="decimal"/>
      <w:suff w:val="nothing"/>
      <w:lvlText w:val="（%1）"/>
      <w:lvlJc w:val="left"/>
    </w:lvl>
  </w:abstractNum>
  <w:abstractNum w:abstractNumId="1">
    <w:nsid w:val="9AAABDE9"/>
    <w:multiLevelType w:val="singleLevel"/>
    <w:tmpl w:val="9AAABDE9"/>
    <w:lvl w:ilvl="0" w:tentative="0">
      <w:start w:val="5"/>
      <w:numFmt w:val="decimal"/>
      <w:suff w:val="nothing"/>
      <w:lvlText w:val="%1、"/>
      <w:lvlJc w:val="left"/>
    </w:lvl>
  </w:abstractNum>
  <w:abstractNum w:abstractNumId="2">
    <w:nsid w:val="BCB77F9D"/>
    <w:multiLevelType w:val="singleLevel"/>
    <w:tmpl w:val="BCB77F9D"/>
    <w:lvl w:ilvl="0" w:tentative="0">
      <w:start w:val="1"/>
      <w:numFmt w:val="decimal"/>
      <w:suff w:val="nothing"/>
      <w:lvlText w:val="%1、"/>
      <w:lvlJc w:val="left"/>
    </w:lvl>
  </w:abstractNum>
  <w:abstractNum w:abstractNumId="3">
    <w:nsid w:val="DF81E802"/>
    <w:multiLevelType w:val="singleLevel"/>
    <w:tmpl w:val="DF81E802"/>
    <w:lvl w:ilvl="0" w:tentative="0">
      <w:start w:val="1"/>
      <w:numFmt w:val="decimal"/>
      <w:suff w:val="nothing"/>
      <w:lvlText w:val="%1）"/>
      <w:lvlJc w:val="left"/>
    </w:lvl>
  </w:abstractNum>
  <w:abstractNum w:abstractNumId="4">
    <w:nsid w:val="00F6800D"/>
    <w:multiLevelType w:val="singleLevel"/>
    <w:tmpl w:val="00F6800D"/>
    <w:lvl w:ilvl="0" w:tentative="0">
      <w:start w:val="2"/>
      <w:numFmt w:val="decimal"/>
      <w:suff w:val="nothing"/>
      <w:lvlText w:val="%1）"/>
      <w:lvlJc w:val="left"/>
    </w:lvl>
  </w:abstractNum>
  <w:abstractNum w:abstractNumId="5">
    <w:nsid w:val="06093D3A"/>
    <w:multiLevelType w:val="multilevel"/>
    <w:tmpl w:val="06093D3A"/>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6">
    <w:nsid w:val="152F5B0A"/>
    <w:multiLevelType w:val="multilevel"/>
    <w:tmpl w:val="152F5B0A"/>
    <w:lvl w:ilvl="0" w:tentative="0">
      <w:start w:val="1"/>
      <w:numFmt w:val="decimal"/>
      <w:pStyle w:val="607"/>
      <w:suff w:val="nothing"/>
      <w:lvlText w:val="（%1）"/>
      <w:lvlJc w:val="left"/>
      <w:pPr>
        <w:ind w:left="845" w:hanging="420"/>
      </w:pPr>
      <w:rPr>
        <w:rFonts w:hint="default" w:ascii="Times New Roman" w:hAnsi="Times New Roman"/>
        <w:lang w:val="en-US"/>
      </w:rPr>
    </w:lvl>
    <w:lvl w:ilvl="1" w:tentative="0">
      <w:start w:val="1"/>
      <w:numFmt w:val="lowerLetter"/>
      <w:lvlText w:val="%2)"/>
      <w:lvlJc w:val="left"/>
      <w:pPr>
        <w:ind w:left="413" w:hanging="420"/>
      </w:pPr>
    </w:lvl>
    <w:lvl w:ilvl="2" w:tentative="0">
      <w:start w:val="1"/>
      <w:numFmt w:val="lowerRoman"/>
      <w:lvlText w:val="%3."/>
      <w:lvlJc w:val="right"/>
      <w:pPr>
        <w:ind w:left="833" w:hanging="420"/>
      </w:pPr>
    </w:lvl>
    <w:lvl w:ilvl="3" w:tentative="0">
      <w:start w:val="1"/>
      <w:numFmt w:val="decimal"/>
      <w:lvlText w:val="%4."/>
      <w:lvlJc w:val="left"/>
      <w:pPr>
        <w:ind w:left="1253" w:hanging="420"/>
      </w:pPr>
    </w:lvl>
    <w:lvl w:ilvl="4" w:tentative="0">
      <w:start w:val="1"/>
      <w:numFmt w:val="lowerLetter"/>
      <w:lvlText w:val="%5)"/>
      <w:lvlJc w:val="left"/>
      <w:pPr>
        <w:ind w:left="1673" w:hanging="420"/>
      </w:pPr>
    </w:lvl>
    <w:lvl w:ilvl="5" w:tentative="0">
      <w:start w:val="1"/>
      <w:numFmt w:val="lowerRoman"/>
      <w:lvlText w:val="%6."/>
      <w:lvlJc w:val="right"/>
      <w:pPr>
        <w:ind w:left="2093" w:hanging="420"/>
      </w:pPr>
    </w:lvl>
    <w:lvl w:ilvl="6" w:tentative="0">
      <w:start w:val="1"/>
      <w:numFmt w:val="decimal"/>
      <w:lvlText w:val="%7."/>
      <w:lvlJc w:val="left"/>
      <w:pPr>
        <w:ind w:left="2513" w:hanging="420"/>
      </w:pPr>
    </w:lvl>
    <w:lvl w:ilvl="7" w:tentative="0">
      <w:start w:val="1"/>
      <w:numFmt w:val="lowerLetter"/>
      <w:lvlText w:val="%8)"/>
      <w:lvlJc w:val="left"/>
      <w:pPr>
        <w:ind w:left="2933" w:hanging="420"/>
      </w:pPr>
    </w:lvl>
    <w:lvl w:ilvl="8" w:tentative="0">
      <w:start w:val="1"/>
      <w:numFmt w:val="lowerRoman"/>
      <w:lvlText w:val="%9."/>
      <w:lvlJc w:val="right"/>
      <w:pPr>
        <w:ind w:left="3353" w:hanging="420"/>
      </w:pPr>
    </w:lvl>
  </w:abstractNum>
  <w:abstractNum w:abstractNumId="7">
    <w:nsid w:val="1A643155"/>
    <w:multiLevelType w:val="multilevel"/>
    <w:tmpl w:val="1A643155"/>
    <w:lvl w:ilvl="0" w:tentative="0">
      <w:start w:val="1"/>
      <w:numFmt w:val="decimal"/>
      <w:suff w:val="nothing"/>
      <w:lvlText w:val="（%1）"/>
      <w:lvlJc w:val="left"/>
      <w:pPr>
        <w:ind w:left="0" w:firstLine="480"/>
      </w:pPr>
      <w:rPr>
        <w:rFonts w:hint="default" w:ascii="Times New Roman" w:hAnsi="Times New Roman" w:eastAsia="宋体"/>
        <w:sz w:val="24"/>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8">
    <w:nsid w:val="2D1B22AA"/>
    <w:multiLevelType w:val="multilevel"/>
    <w:tmpl w:val="2D1B22AA"/>
    <w:lvl w:ilvl="0" w:tentative="0">
      <w:start w:val="1"/>
      <w:numFmt w:val="decimal"/>
      <w:suff w:val="nothing"/>
      <w:lvlText w:val="（%1）"/>
      <w:lvlJc w:val="left"/>
      <w:pPr>
        <w:ind w:left="-113" w:firstLine="595"/>
      </w:pPr>
      <w:rPr>
        <w:rFonts w:hint="default" w:ascii="Times New Roman" w:hAnsi="Times New Roman"/>
        <w:lang w:val="en-US"/>
      </w:rPr>
    </w:lvl>
    <w:lvl w:ilvl="1" w:tentative="0">
      <w:start w:val="1"/>
      <w:numFmt w:val="lowerLetter"/>
      <w:lvlText w:val="%2)"/>
      <w:lvlJc w:val="left"/>
      <w:pPr>
        <w:ind w:left="1266" w:hanging="420"/>
      </w:pPr>
      <w:rPr>
        <w:rFonts w:hint="eastAsia"/>
      </w:rPr>
    </w:lvl>
    <w:lvl w:ilvl="2" w:tentative="0">
      <w:start w:val="1"/>
      <w:numFmt w:val="lowerRoman"/>
      <w:lvlText w:val="%3."/>
      <w:lvlJc w:val="right"/>
      <w:pPr>
        <w:ind w:left="1686" w:hanging="420"/>
      </w:pPr>
      <w:rPr>
        <w:rFonts w:hint="eastAsia"/>
      </w:rPr>
    </w:lvl>
    <w:lvl w:ilvl="3" w:tentative="0">
      <w:start w:val="1"/>
      <w:numFmt w:val="decimal"/>
      <w:lvlText w:val="%4."/>
      <w:lvlJc w:val="left"/>
      <w:pPr>
        <w:ind w:left="2106" w:hanging="420"/>
      </w:pPr>
      <w:rPr>
        <w:rFonts w:hint="eastAsia"/>
      </w:rPr>
    </w:lvl>
    <w:lvl w:ilvl="4" w:tentative="0">
      <w:start w:val="1"/>
      <w:numFmt w:val="lowerLetter"/>
      <w:lvlText w:val="%5)"/>
      <w:lvlJc w:val="left"/>
      <w:pPr>
        <w:ind w:left="2526" w:hanging="420"/>
      </w:pPr>
      <w:rPr>
        <w:rFonts w:hint="eastAsia"/>
      </w:rPr>
    </w:lvl>
    <w:lvl w:ilvl="5" w:tentative="0">
      <w:start w:val="1"/>
      <w:numFmt w:val="lowerRoman"/>
      <w:lvlText w:val="%6."/>
      <w:lvlJc w:val="right"/>
      <w:pPr>
        <w:ind w:left="2946" w:hanging="420"/>
      </w:pPr>
      <w:rPr>
        <w:rFonts w:hint="eastAsia"/>
      </w:rPr>
    </w:lvl>
    <w:lvl w:ilvl="6" w:tentative="0">
      <w:start w:val="1"/>
      <w:numFmt w:val="decimal"/>
      <w:lvlText w:val="%7."/>
      <w:lvlJc w:val="left"/>
      <w:pPr>
        <w:ind w:left="3366" w:hanging="420"/>
      </w:pPr>
      <w:rPr>
        <w:rFonts w:hint="eastAsia"/>
      </w:rPr>
    </w:lvl>
    <w:lvl w:ilvl="7" w:tentative="0">
      <w:start w:val="1"/>
      <w:numFmt w:val="lowerLetter"/>
      <w:lvlText w:val="%8)"/>
      <w:lvlJc w:val="left"/>
      <w:pPr>
        <w:ind w:left="3786" w:hanging="420"/>
      </w:pPr>
      <w:rPr>
        <w:rFonts w:hint="eastAsia"/>
      </w:rPr>
    </w:lvl>
    <w:lvl w:ilvl="8" w:tentative="0">
      <w:start w:val="1"/>
      <w:numFmt w:val="lowerRoman"/>
      <w:lvlText w:val="%9."/>
      <w:lvlJc w:val="right"/>
      <w:pPr>
        <w:ind w:left="4206" w:hanging="420"/>
      </w:pPr>
      <w:rPr>
        <w:rFonts w:hint="eastAsia"/>
      </w:rPr>
    </w:lvl>
  </w:abstractNum>
  <w:abstractNum w:abstractNumId="9">
    <w:nsid w:val="30E570E3"/>
    <w:multiLevelType w:val="multilevel"/>
    <w:tmpl w:val="30E570E3"/>
    <w:lvl w:ilvl="0" w:tentative="0">
      <w:start w:val="1"/>
      <w:numFmt w:val="bullet"/>
      <w:pStyle w:val="38"/>
      <w:lvlText w:val=""/>
      <w:lvlJc w:val="left"/>
      <w:pPr>
        <w:ind w:left="207" w:hanging="181"/>
      </w:pPr>
      <w:rPr>
        <w:rFonts w:hint="default" w:ascii="Symbol" w:hAnsi="Symbol" w:eastAsia="Symbol"/>
        <w:w w:val="102"/>
        <w:sz w:val="24"/>
        <w:szCs w:val="24"/>
      </w:rPr>
    </w:lvl>
    <w:lvl w:ilvl="1" w:tentative="0">
      <w:start w:val="1"/>
      <w:numFmt w:val="bullet"/>
      <w:lvlText w:val="•"/>
      <w:lvlJc w:val="left"/>
      <w:pPr>
        <w:ind w:left="239" w:hanging="181"/>
      </w:pPr>
      <w:rPr>
        <w:rFonts w:hint="default"/>
      </w:rPr>
    </w:lvl>
    <w:lvl w:ilvl="2" w:tentative="0">
      <w:start w:val="1"/>
      <w:numFmt w:val="bullet"/>
      <w:lvlText w:val="•"/>
      <w:lvlJc w:val="left"/>
      <w:pPr>
        <w:ind w:left="279" w:hanging="181"/>
      </w:pPr>
      <w:rPr>
        <w:rFonts w:hint="default"/>
      </w:rPr>
    </w:lvl>
    <w:lvl w:ilvl="3" w:tentative="0">
      <w:start w:val="1"/>
      <w:numFmt w:val="bullet"/>
      <w:lvlText w:val="•"/>
      <w:lvlJc w:val="left"/>
      <w:pPr>
        <w:ind w:left="319" w:hanging="181"/>
      </w:pPr>
      <w:rPr>
        <w:rFonts w:hint="default"/>
      </w:rPr>
    </w:lvl>
    <w:lvl w:ilvl="4" w:tentative="0">
      <w:start w:val="1"/>
      <w:numFmt w:val="bullet"/>
      <w:lvlText w:val="•"/>
      <w:lvlJc w:val="left"/>
      <w:pPr>
        <w:ind w:left="359" w:hanging="181"/>
      </w:pPr>
      <w:rPr>
        <w:rFonts w:hint="default"/>
      </w:rPr>
    </w:lvl>
    <w:lvl w:ilvl="5" w:tentative="0">
      <w:start w:val="1"/>
      <w:numFmt w:val="bullet"/>
      <w:lvlText w:val="•"/>
      <w:lvlJc w:val="left"/>
      <w:pPr>
        <w:ind w:left="398" w:hanging="181"/>
      </w:pPr>
      <w:rPr>
        <w:rFonts w:hint="default"/>
      </w:rPr>
    </w:lvl>
    <w:lvl w:ilvl="6" w:tentative="0">
      <w:start w:val="1"/>
      <w:numFmt w:val="bullet"/>
      <w:lvlText w:val="•"/>
      <w:lvlJc w:val="left"/>
      <w:pPr>
        <w:ind w:left="438" w:hanging="181"/>
      </w:pPr>
      <w:rPr>
        <w:rFonts w:hint="default"/>
      </w:rPr>
    </w:lvl>
    <w:lvl w:ilvl="7" w:tentative="0">
      <w:start w:val="1"/>
      <w:numFmt w:val="bullet"/>
      <w:lvlText w:val="•"/>
      <w:lvlJc w:val="left"/>
      <w:pPr>
        <w:ind w:left="478" w:hanging="181"/>
      </w:pPr>
      <w:rPr>
        <w:rFonts w:hint="default"/>
      </w:rPr>
    </w:lvl>
    <w:lvl w:ilvl="8" w:tentative="0">
      <w:start w:val="1"/>
      <w:numFmt w:val="bullet"/>
      <w:lvlText w:val="•"/>
      <w:lvlJc w:val="left"/>
      <w:pPr>
        <w:ind w:left="518" w:hanging="181"/>
      </w:pPr>
      <w:rPr>
        <w:rFonts w:hint="default"/>
      </w:rPr>
    </w:lvl>
  </w:abstractNum>
  <w:abstractNum w:abstractNumId="10">
    <w:nsid w:val="389E563F"/>
    <w:multiLevelType w:val="multilevel"/>
    <w:tmpl w:val="389E563F"/>
    <w:lvl w:ilvl="0" w:tentative="0">
      <w:start w:val="1"/>
      <w:numFmt w:val="decimal"/>
      <w:suff w:val="nothing"/>
      <w:lvlText w:val="%1"/>
      <w:lvlJc w:val="center"/>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1">
    <w:nsid w:val="43EB5AE6"/>
    <w:multiLevelType w:val="multilevel"/>
    <w:tmpl w:val="43EB5AE6"/>
    <w:lvl w:ilvl="0" w:tentative="0">
      <w:start w:val="1"/>
      <w:numFmt w:val="decimal"/>
      <w:pStyle w:val="2"/>
      <w:suff w:val="nothing"/>
      <w:lvlText w:val="%1、"/>
      <w:lvlJc w:val="left"/>
      <w:pPr>
        <w:ind w:left="5671" w:firstLine="0"/>
      </w:pPr>
      <w:rPr>
        <w:rFonts w:hint="eastAsia"/>
        <w:b w:val="0"/>
        <w:bCs w:val="0"/>
      </w:rPr>
    </w:lvl>
    <w:lvl w:ilvl="1" w:tentative="0">
      <w:start w:val="1"/>
      <w:numFmt w:val="decimal"/>
      <w:pStyle w:val="3"/>
      <w:suff w:val="space"/>
      <w:lvlText w:val="%1.%2"/>
      <w:lvlJc w:val="left"/>
      <w:pPr>
        <w:ind w:left="0" w:firstLine="0"/>
      </w:pPr>
      <w:rPr>
        <w:rFonts w:hint="eastAsia"/>
      </w:rPr>
    </w:lvl>
    <w:lvl w:ilvl="2" w:tentative="0">
      <w:start w:val="1"/>
      <w:numFmt w:val="decimal"/>
      <w:pStyle w:val="4"/>
      <w:suff w:val="space"/>
      <w:lvlText w:val="%1.%2.%3"/>
      <w:lvlJc w:val="left"/>
      <w:pPr>
        <w:ind w:left="0" w:firstLine="0"/>
      </w:pPr>
      <w:rPr>
        <w:rFonts w:hint="eastAsia"/>
        <w:b w:val="0"/>
        <w:bCs w:val="0"/>
      </w:rPr>
    </w:lvl>
    <w:lvl w:ilvl="3" w:tentative="0">
      <w:start w:val="1"/>
      <w:numFmt w:val="decimal"/>
      <w:pStyle w:val="5"/>
      <w:suff w:val="space"/>
      <w:lvlText w:val="%1.%2.%3.%4"/>
      <w:lvlJc w:val="left"/>
      <w:pPr>
        <w:ind w:left="2410" w:firstLine="0"/>
      </w:p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2">
    <w:nsid w:val="52FD77F4"/>
    <w:multiLevelType w:val="multilevel"/>
    <w:tmpl w:val="52FD77F4"/>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3">
    <w:nsid w:val="7B6CAF15"/>
    <w:multiLevelType w:val="singleLevel"/>
    <w:tmpl w:val="7B6CAF15"/>
    <w:lvl w:ilvl="0" w:tentative="0">
      <w:start w:val="1"/>
      <w:numFmt w:val="decimal"/>
      <w:suff w:val="nothing"/>
      <w:lvlText w:val="（%1）"/>
      <w:lvlJc w:val="left"/>
    </w:lvl>
  </w:abstractNum>
  <w:num w:numId="1">
    <w:abstractNumId w:val="11"/>
  </w:num>
  <w:num w:numId="2">
    <w:abstractNumId w:val="9"/>
  </w:num>
  <w:num w:numId="3">
    <w:abstractNumId w:val="6"/>
  </w:num>
  <w:num w:numId="4">
    <w:abstractNumId w:val="0"/>
  </w:num>
  <w:num w:numId="5">
    <w:abstractNumId w:val="8"/>
  </w:num>
  <w:num w:numId="6">
    <w:abstractNumId w:val="6"/>
    <w:lvlOverride w:ilvl="0">
      <w:startOverride w:val="1"/>
    </w:lvlOverride>
  </w:num>
  <w:num w:numId="7">
    <w:abstractNumId w:val="4"/>
  </w:num>
  <w:num w:numId="8">
    <w:abstractNumId w:val="5"/>
  </w:num>
  <w:num w:numId="9">
    <w:abstractNumId w:val="7"/>
  </w:num>
  <w:num w:numId="10">
    <w:abstractNumId w:val="2"/>
  </w:num>
  <w:num w:numId="11">
    <w:abstractNumId w:val="3"/>
  </w:num>
  <w:num w:numId="12">
    <w:abstractNumId w:val="13"/>
  </w:num>
  <w:num w:numId="13">
    <w:abstractNumId w:val="1"/>
  </w:num>
  <w:num w:numId="14">
    <w:abstractNumId w:val="12"/>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hideSpellingErrors/>
  <w:documentProtection w:enforcement="0"/>
  <w:defaultTabStop w:val="720"/>
  <w:evenAndOddHeaders w:val="1"/>
  <w:displayHorizontalDrawingGridEvery w:val="1"/>
  <w:displayVerticalDrawingGridEvery w:val="1"/>
  <w:noPunctuationKerning w:val="1"/>
  <w:characterSpacingControl w:val="doNotCompress"/>
  <w:footnotePr>
    <w:footnote w:id="0"/>
    <w:footnote w:id="1"/>
  </w:footnotePr>
  <w:endnotePr>
    <w:endnote w:id="0"/>
    <w:endnote w:id="1"/>
  </w:endnotePr>
  <w:compat>
    <w:balanceSingleByteDoubleByteWidth/>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QyMjhkYTYyOTE5MzZkNTk3MjI4ZjVjYWI2MzM3NjkifQ=="/>
  </w:docVars>
  <w:rsids>
    <w:rsidRoot w:val="00172A27"/>
    <w:rsid w:val="000005C9"/>
    <w:rsid w:val="00000C0A"/>
    <w:rsid w:val="00001291"/>
    <w:rsid w:val="0000129F"/>
    <w:rsid w:val="00001708"/>
    <w:rsid w:val="00001BC1"/>
    <w:rsid w:val="00002044"/>
    <w:rsid w:val="00002ABF"/>
    <w:rsid w:val="00002B52"/>
    <w:rsid w:val="000035F3"/>
    <w:rsid w:val="00003AF3"/>
    <w:rsid w:val="00003C78"/>
    <w:rsid w:val="0000422E"/>
    <w:rsid w:val="00004562"/>
    <w:rsid w:val="00004A57"/>
    <w:rsid w:val="000053FF"/>
    <w:rsid w:val="00005855"/>
    <w:rsid w:val="00005E95"/>
    <w:rsid w:val="00005FE4"/>
    <w:rsid w:val="00006D9D"/>
    <w:rsid w:val="0000719A"/>
    <w:rsid w:val="00007964"/>
    <w:rsid w:val="0001015F"/>
    <w:rsid w:val="000107E1"/>
    <w:rsid w:val="0001204A"/>
    <w:rsid w:val="0001231E"/>
    <w:rsid w:val="000126F8"/>
    <w:rsid w:val="00012758"/>
    <w:rsid w:val="00012863"/>
    <w:rsid w:val="0001292F"/>
    <w:rsid w:val="0001338D"/>
    <w:rsid w:val="000140A5"/>
    <w:rsid w:val="00014E26"/>
    <w:rsid w:val="00015547"/>
    <w:rsid w:val="00015E0A"/>
    <w:rsid w:val="0001683F"/>
    <w:rsid w:val="00017835"/>
    <w:rsid w:val="000200B0"/>
    <w:rsid w:val="000210E0"/>
    <w:rsid w:val="0002110E"/>
    <w:rsid w:val="000211D4"/>
    <w:rsid w:val="00021604"/>
    <w:rsid w:val="00021785"/>
    <w:rsid w:val="00021A23"/>
    <w:rsid w:val="00022611"/>
    <w:rsid w:val="000226FB"/>
    <w:rsid w:val="00022ED3"/>
    <w:rsid w:val="00023105"/>
    <w:rsid w:val="00023579"/>
    <w:rsid w:val="0002567D"/>
    <w:rsid w:val="0002590C"/>
    <w:rsid w:val="000259B5"/>
    <w:rsid w:val="00025B92"/>
    <w:rsid w:val="00026BE6"/>
    <w:rsid w:val="00026C6E"/>
    <w:rsid w:val="000275B9"/>
    <w:rsid w:val="000276EE"/>
    <w:rsid w:val="00027E52"/>
    <w:rsid w:val="0003158D"/>
    <w:rsid w:val="000319AF"/>
    <w:rsid w:val="00032558"/>
    <w:rsid w:val="000325C8"/>
    <w:rsid w:val="00032757"/>
    <w:rsid w:val="000336CC"/>
    <w:rsid w:val="00034161"/>
    <w:rsid w:val="000341F2"/>
    <w:rsid w:val="000342B9"/>
    <w:rsid w:val="00035523"/>
    <w:rsid w:val="0003568A"/>
    <w:rsid w:val="000358C4"/>
    <w:rsid w:val="00035B47"/>
    <w:rsid w:val="0003687F"/>
    <w:rsid w:val="00037150"/>
    <w:rsid w:val="0003790B"/>
    <w:rsid w:val="00037AA2"/>
    <w:rsid w:val="00037B88"/>
    <w:rsid w:val="0004037D"/>
    <w:rsid w:val="00040516"/>
    <w:rsid w:val="0004064A"/>
    <w:rsid w:val="000408D0"/>
    <w:rsid w:val="00040CB2"/>
    <w:rsid w:val="00041519"/>
    <w:rsid w:val="00041A1B"/>
    <w:rsid w:val="00041EBC"/>
    <w:rsid w:val="000426CC"/>
    <w:rsid w:val="00042DFF"/>
    <w:rsid w:val="00042F47"/>
    <w:rsid w:val="00042F5B"/>
    <w:rsid w:val="000436DC"/>
    <w:rsid w:val="00043A4A"/>
    <w:rsid w:val="0004419B"/>
    <w:rsid w:val="00044D8D"/>
    <w:rsid w:val="000452D8"/>
    <w:rsid w:val="00045C09"/>
    <w:rsid w:val="00046943"/>
    <w:rsid w:val="00046D6F"/>
    <w:rsid w:val="00047733"/>
    <w:rsid w:val="0004783B"/>
    <w:rsid w:val="00047E3B"/>
    <w:rsid w:val="000505E5"/>
    <w:rsid w:val="00050BE7"/>
    <w:rsid w:val="00051322"/>
    <w:rsid w:val="000519D4"/>
    <w:rsid w:val="00051CAE"/>
    <w:rsid w:val="00052A1C"/>
    <w:rsid w:val="000532D4"/>
    <w:rsid w:val="0005352E"/>
    <w:rsid w:val="0005395D"/>
    <w:rsid w:val="00053B30"/>
    <w:rsid w:val="00053B62"/>
    <w:rsid w:val="00053E3D"/>
    <w:rsid w:val="00053F97"/>
    <w:rsid w:val="00054513"/>
    <w:rsid w:val="00054CE1"/>
    <w:rsid w:val="00054CF1"/>
    <w:rsid w:val="00054F0B"/>
    <w:rsid w:val="00054FB7"/>
    <w:rsid w:val="00054FBE"/>
    <w:rsid w:val="000563A3"/>
    <w:rsid w:val="000567F2"/>
    <w:rsid w:val="00056841"/>
    <w:rsid w:val="000570A3"/>
    <w:rsid w:val="00057C1A"/>
    <w:rsid w:val="00057D34"/>
    <w:rsid w:val="00060556"/>
    <w:rsid w:val="00060A09"/>
    <w:rsid w:val="000619E9"/>
    <w:rsid w:val="00061D76"/>
    <w:rsid w:val="00062382"/>
    <w:rsid w:val="00062471"/>
    <w:rsid w:val="00062536"/>
    <w:rsid w:val="0006254A"/>
    <w:rsid w:val="00062899"/>
    <w:rsid w:val="00062C5E"/>
    <w:rsid w:val="00064062"/>
    <w:rsid w:val="00064312"/>
    <w:rsid w:val="0006439B"/>
    <w:rsid w:val="00064C78"/>
    <w:rsid w:val="00064F0C"/>
    <w:rsid w:val="000658B1"/>
    <w:rsid w:val="00065998"/>
    <w:rsid w:val="00065A7C"/>
    <w:rsid w:val="000664DD"/>
    <w:rsid w:val="00067195"/>
    <w:rsid w:val="00067A4D"/>
    <w:rsid w:val="00070190"/>
    <w:rsid w:val="00070A11"/>
    <w:rsid w:val="00070AD1"/>
    <w:rsid w:val="00071630"/>
    <w:rsid w:val="00071CF9"/>
    <w:rsid w:val="000723CB"/>
    <w:rsid w:val="00072752"/>
    <w:rsid w:val="00072B32"/>
    <w:rsid w:val="00072FEA"/>
    <w:rsid w:val="000732EC"/>
    <w:rsid w:val="0007350F"/>
    <w:rsid w:val="0007461C"/>
    <w:rsid w:val="00074BFA"/>
    <w:rsid w:val="00074CC3"/>
    <w:rsid w:val="00074E85"/>
    <w:rsid w:val="0007546B"/>
    <w:rsid w:val="0007619E"/>
    <w:rsid w:val="00076223"/>
    <w:rsid w:val="0007661F"/>
    <w:rsid w:val="00076930"/>
    <w:rsid w:val="00077A04"/>
    <w:rsid w:val="00077AF2"/>
    <w:rsid w:val="00077D71"/>
    <w:rsid w:val="00080119"/>
    <w:rsid w:val="00080305"/>
    <w:rsid w:val="00080A6C"/>
    <w:rsid w:val="000812B6"/>
    <w:rsid w:val="00081457"/>
    <w:rsid w:val="00081BC3"/>
    <w:rsid w:val="000827D5"/>
    <w:rsid w:val="00082EA8"/>
    <w:rsid w:val="000831AF"/>
    <w:rsid w:val="00083515"/>
    <w:rsid w:val="00084595"/>
    <w:rsid w:val="000846B2"/>
    <w:rsid w:val="000852FA"/>
    <w:rsid w:val="00085BC2"/>
    <w:rsid w:val="0008721B"/>
    <w:rsid w:val="00087418"/>
    <w:rsid w:val="0008767A"/>
    <w:rsid w:val="00087DD7"/>
    <w:rsid w:val="00087EB9"/>
    <w:rsid w:val="00090671"/>
    <w:rsid w:val="00091EE6"/>
    <w:rsid w:val="00091EEA"/>
    <w:rsid w:val="00092363"/>
    <w:rsid w:val="00092438"/>
    <w:rsid w:val="000925D8"/>
    <w:rsid w:val="00092862"/>
    <w:rsid w:val="00093B08"/>
    <w:rsid w:val="00093C1A"/>
    <w:rsid w:val="0009444A"/>
    <w:rsid w:val="00094D19"/>
    <w:rsid w:val="00096D4A"/>
    <w:rsid w:val="000972F8"/>
    <w:rsid w:val="00097EEB"/>
    <w:rsid w:val="000A078B"/>
    <w:rsid w:val="000A0EBA"/>
    <w:rsid w:val="000A1900"/>
    <w:rsid w:val="000A1A4C"/>
    <w:rsid w:val="000A2804"/>
    <w:rsid w:val="000A2BF3"/>
    <w:rsid w:val="000A2FDE"/>
    <w:rsid w:val="000A3DEC"/>
    <w:rsid w:val="000A4873"/>
    <w:rsid w:val="000A54E6"/>
    <w:rsid w:val="000A5BDB"/>
    <w:rsid w:val="000A5CF8"/>
    <w:rsid w:val="000A6BB1"/>
    <w:rsid w:val="000A6CC7"/>
    <w:rsid w:val="000A7630"/>
    <w:rsid w:val="000B09F7"/>
    <w:rsid w:val="000B0CDE"/>
    <w:rsid w:val="000B1CBB"/>
    <w:rsid w:val="000B1E75"/>
    <w:rsid w:val="000B2927"/>
    <w:rsid w:val="000B2ED1"/>
    <w:rsid w:val="000B3E74"/>
    <w:rsid w:val="000B4282"/>
    <w:rsid w:val="000B4666"/>
    <w:rsid w:val="000B5517"/>
    <w:rsid w:val="000B5DBB"/>
    <w:rsid w:val="000B6679"/>
    <w:rsid w:val="000B6983"/>
    <w:rsid w:val="000B69F7"/>
    <w:rsid w:val="000B736C"/>
    <w:rsid w:val="000B7444"/>
    <w:rsid w:val="000B7D48"/>
    <w:rsid w:val="000C0113"/>
    <w:rsid w:val="000C1A72"/>
    <w:rsid w:val="000C1F81"/>
    <w:rsid w:val="000C273A"/>
    <w:rsid w:val="000C2EE6"/>
    <w:rsid w:val="000C313A"/>
    <w:rsid w:val="000C3146"/>
    <w:rsid w:val="000C3512"/>
    <w:rsid w:val="000C3744"/>
    <w:rsid w:val="000C3942"/>
    <w:rsid w:val="000C4084"/>
    <w:rsid w:val="000C41FF"/>
    <w:rsid w:val="000C4CA7"/>
    <w:rsid w:val="000C55CC"/>
    <w:rsid w:val="000C5AF0"/>
    <w:rsid w:val="000C61B5"/>
    <w:rsid w:val="000C6296"/>
    <w:rsid w:val="000C6CB4"/>
    <w:rsid w:val="000C6D8A"/>
    <w:rsid w:val="000C7123"/>
    <w:rsid w:val="000C72E4"/>
    <w:rsid w:val="000C75C4"/>
    <w:rsid w:val="000C781E"/>
    <w:rsid w:val="000C78D5"/>
    <w:rsid w:val="000D019D"/>
    <w:rsid w:val="000D0860"/>
    <w:rsid w:val="000D0F83"/>
    <w:rsid w:val="000D1065"/>
    <w:rsid w:val="000D120E"/>
    <w:rsid w:val="000D15F9"/>
    <w:rsid w:val="000D1626"/>
    <w:rsid w:val="000D181B"/>
    <w:rsid w:val="000D1CD4"/>
    <w:rsid w:val="000D3BAB"/>
    <w:rsid w:val="000D401F"/>
    <w:rsid w:val="000D4663"/>
    <w:rsid w:val="000D4C87"/>
    <w:rsid w:val="000D53EC"/>
    <w:rsid w:val="000D5816"/>
    <w:rsid w:val="000D5A80"/>
    <w:rsid w:val="000D664A"/>
    <w:rsid w:val="000D737E"/>
    <w:rsid w:val="000D75E2"/>
    <w:rsid w:val="000D76B8"/>
    <w:rsid w:val="000D7B9B"/>
    <w:rsid w:val="000E020B"/>
    <w:rsid w:val="000E044A"/>
    <w:rsid w:val="000E0D00"/>
    <w:rsid w:val="000E137E"/>
    <w:rsid w:val="000E24DA"/>
    <w:rsid w:val="000E3D8E"/>
    <w:rsid w:val="000E3DDF"/>
    <w:rsid w:val="000E3E85"/>
    <w:rsid w:val="000E4284"/>
    <w:rsid w:val="000E4933"/>
    <w:rsid w:val="000E4D35"/>
    <w:rsid w:val="000E50BD"/>
    <w:rsid w:val="000E5198"/>
    <w:rsid w:val="000E5A0D"/>
    <w:rsid w:val="000E64B0"/>
    <w:rsid w:val="000E6751"/>
    <w:rsid w:val="000E6B19"/>
    <w:rsid w:val="000E7B9A"/>
    <w:rsid w:val="000E7C99"/>
    <w:rsid w:val="000F0A8A"/>
    <w:rsid w:val="000F0CEF"/>
    <w:rsid w:val="000F0E12"/>
    <w:rsid w:val="000F0E25"/>
    <w:rsid w:val="000F151D"/>
    <w:rsid w:val="000F164F"/>
    <w:rsid w:val="000F2AA0"/>
    <w:rsid w:val="000F36EF"/>
    <w:rsid w:val="000F3997"/>
    <w:rsid w:val="000F3B1E"/>
    <w:rsid w:val="000F3E53"/>
    <w:rsid w:val="000F44CB"/>
    <w:rsid w:val="000F4D98"/>
    <w:rsid w:val="000F580B"/>
    <w:rsid w:val="000F59EB"/>
    <w:rsid w:val="000F5BDA"/>
    <w:rsid w:val="000F637A"/>
    <w:rsid w:val="000F6507"/>
    <w:rsid w:val="000F6876"/>
    <w:rsid w:val="000F6C0F"/>
    <w:rsid w:val="001001E6"/>
    <w:rsid w:val="00100248"/>
    <w:rsid w:val="00101D44"/>
    <w:rsid w:val="0010287F"/>
    <w:rsid w:val="00102921"/>
    <w:rsid w:val="00102B59"/>
    <w:rsid w:val="00103122"/>
    <w:rsid w:val="001036F3"/>
    <w:rsid w:val="00103F19"/>
    <w:rsid w:val="0010481C"/>
    <w:rsid w:val="00104CA4"/>
    <w:rsid w:val="001051D7"/>
    <w:rsid w:val="00105AE9"/>
    <w:rsid w:val="00105EE1"/>
    <w:rsid w:val="00106614"/>
    <w:rsid w:val="00107A36"/>
    <w:rsid w:val="00107DF0"/>
    <w:rsid w:val="00110395"/>
    <w:rsid w:val="0011140C"/>
    <w:rsid w:val="00111531"/>
    <w:rsid w:val="00111AB4"/>
    <w:rsid w:val="00111D11"/>
    <w:rsid w:val="001133C3"/>
    <w:rsid w:val="00113A28"/>
    <w:rsid w:val="00113C7C"/>
    <w:rsid w:val="0011526F"/>
    <w:rsid w:val="00115758"/>
    <w:rsid w:val="001159B3"/>
    <w:rsid w:val="001159F8"/>
    <w:rsid w:val="00115B12"/>
    <w:rsid w:val="00115C02"/>
    <w:rsid w:val="0011655C"/>
    <w:rsid w:val="00116889"/>
    <w:rsid w:val="001176F1"/>
    <w:rsid w:val="00117D0B"/>
    <w:rsid w:val="00120BC8"/>
    <w:rsid w:val="00120C33"/>
    <w:rsid w:val="00120E3E"/>
    <w:rsid w:val="001213B6"/>
    <w:rsid w:val="00121468"/>
    <w:rsid w:val="001215B7"/>
    <w:rsid w:val="00121646"/>
    <w:rsid w:val="00122B31"/>
    <w:rsid w:val="00122B5C"/>
    <w:rsid w:val="00123427"/>
    <w:rsid w:val="001236FF"/>
    <w:rsid w:val="00123FCD"/>
    <w:rsid w:val="00123FE1"/>
    <w:rsid w:val="001241CB"/>
    <w:rsid w:val="0012426B"/>
    <w:rsid w:val="00124512"/>
    <w:rsid w:val="00125053"/>
    <w:rsid w:val="001251B7"/>
    <w:rsid w:val="0012569E"/>
    <w:rsid w:val="0012594E"/>
    <w:rsid w:val="00125C4D"/>
    <w:rsid w:val="00125FF7"/>
    <w:rsid w:val="00126252"/>
    <w:rsid w:val="00126943"/>
    <w:rsid w:val="001269A5"/>
    <w:rsid w:val="00127C52"/>
    <w:rsid w:val="001303DA"/>
    <w:rsid w:val="00130658"/>
    <w:rsid w:val="00130CB8"/>
    <w:rsid w:val="00131614"/>
    <w:rsid w:val="00132548"/>
    <w:rsid w:val="001328D8"/>
    <w:rsid w:val="00132D73"/>
    <w:rsid w:val="001339EE"/>
    <w:rsid w:val="00133FF9"/>
    <w:rsid w:val="001343BC"/>
    <w:rsid w:val="00134672"/>
    <w:rsid w:val="001348A9"/>
    <w:rsid w:val="00134D9C"/>
    <w:rsid w:val="001359F2"/>
    <w:rsid w:val="00135DFE"/>
    <w:rsid w:val="00136063"/>
    <w:rsid w:val="001362B1"/>
    <w:rsid w:val="00136C78"/>
    <w:rsid w:val="001377F7"/>
    <w:rsid w:val="00140754"/>
    <w:rsid w:val="00140813"/>
    <w:rsid w:val="00140B13"/>
    <w:rsid w:val="00140BB5"/>
    <w:rsid w:val="00141142"/>
    <w:rsid w:val="00141815"/>
    <w:rsid w:val="00141C4F"/>
    <w:rsid w:val="00141CC2"/>
    <w:rsid w:val="00141E33"/>
    <w:rsid w:val="001428FE"/>
    <w:rsid w:val="00142B84"/>
    <w:rsid w:val="00143059"/>
    <w:rsid w:val="00143DC4"/>
    <w:rsid w:val="001444AF"/>
    <w:rsid w:val="0014460E"/>
    <w:rsid w:val="001447AE"/>
    <w:rsid w:val="001449B2"/>
    <w:rsid w:val="00145604"/>
    <w:rsid w:val="00145A1C"/>
    <w:rsid w:val="00145B12"/>
    <w:rsid w:val="00145BF6"/>
    <w:rsid w:val="001468AF"/>
    <w:rsid w:val="00146BF2"/>
    <w:rsid w:val="0014729F"/>
    <w:rsid w:val="001475DB"/>
    <w:rsid w:val="00147764"/>
    <w:rsid w:val="00147CB1"/>
    <w:rsid w:val="00147F06"/>
    <w:rsid w:val="001500A8"/>
    <w:rsid w:val="00150BF1"/>
    <w:rsid w:val="00150C8F"/>
    <w:rsid w:val="00151E1B"/>
    <w:rsid w:val="00152344"/>
    <w:rsid w:val="00152467"/>
    <w:rsid w:val="0015263C"/>
    <w:rsid w:val="00152CA8"/>
    <w:rsid w:val="00153A70"/>
    <w:rsid w:val="00153B3F"/>
    <w:rsid w:val="0015441C"/>
    <w:rsid w:val="00154FD3"/>
    <w:rsid w:val="0015504C"/>
    <w:rsid w:val="00155839"/>
    <w:rsid w:val="001558D2"/>
    <w:rsid w:val="00155ABE"/>
    <w:rsid w:val="00156192"/>
    <w:rsid w:val="0015634A"/>
    <w:rsid w:val="00157A51"/>
    <w:rsid w:val="00157C6A"/>
    <w:rsid w:val="00160267"/>
    <w:rsid w:val="0016053B"/>
    <w:rsid w:val="00161622"/>
    <w:rsid w:val="001619C8"/>
    <w:rsid w:val="00161BE2"/>
    <w:rsid w:val="00161DEE"/>
    <w:rsid w:val="00161EE9"/>
    <w:rsid w:val="001636B7"/>
    <w:rsid w:val="00163A62"/>
    <w:rsid w:val="001652CC"/>
    <w:rsid w:val="00165A97"/>
    <w:rsid w:val="00166194"/>
    <w:rsid w:val="00166646"/>
    <w:rsid w:val="00166ADB"/>
    <w:rsid w:val="00166BDB"/>
    <w:rsid w:val="0016712A"/>
    <w:rsid w:val="00170A0A"/>
    <w:rsid w:val="00170AB0"/>
    <w:rsid w:val="00170E67"/>
    <w:rsid w:val="00170F02"/>
    <w:rsid w:val="00170F8C"/>
    <w:rsid w:val="00171690"/>
    <w:rsid w:val="00171A6B"/>
    <w:rsid w:val="00172A27"/>
    <w:rsid w:val="00172F16"/>
    <w:rsid w:val="00173019"/>
    <w:rsid w:val="0017333D"/>
    <w:rsid w:val="00173435"/>
    <w:rsid w:val="001737E1"/>
    <w:rsid w:val="00173A16"/>
    <w:rsid w:val="00173E0E"/>
    <w:rsid w:val="00174D36"/>
    <w:rsid w:val="0017502F"/>
    <w:rsid w:val="001751B1"/>
    <w:rsid w:val="001752C8"/>
    <w:rsid w:val="001752DE"/>
    <w:rsid w:val="0017532F"/>
    <w:rsid w:val="001758C3"/>
    <w:rsid w:val="001768E3"/>
    <w:rsid w:val="0017739F"/>
    <w:rsid w:val="0018073C"/>
    <w:rsid w:val="00181498"/>
    <w:rsid w:val="001814C0"/>
    <w:rsid w:val="00181648"/>
    <w:rsid w:val="00181944"/>
    <w:rsid w:val="0018197C"/>
    <w:rsid w:val="00181B1A"/>
    <w:rsid w:val="00181FA6"/>
    <w:rsid w:val="00182C63"/>
    <w:rsid w:val="00182FE6"/>
    <w:rsid w:val="001836D4"/>
    <w:rsid w:val="00183D00"/>
    <w:rsid w:val="00184B18"/>
    <w:rsid w:val="00184C62"/>
    <w:rsid w:val="00185AB4"/>
    <w:rsid w:val="0018619C"/>
    <w:rsid w:val="00186251"/>
    <w:rsid w:val="00187053"/>
    <w:rsid w:val="001870BD"/>
    <w:rsid w:val="00187558"/>
    <w:rsid w:val="00190406"/>
    <w:rsid w:val="0019132C"/>
    <w:rsid w:val="001915D9"/>
    <w:rsid w:val="00192264"/>
    <w:rsid w:val="001923C5"/>
    <w:rsid w:val="001924B6"/>
    <w:rsid w:val="001925DC"/>
    <w:rsid w:val="001927D2"/>
    <w:rsid w:val="00192A0E"/>
    <w:rsid w:val="00192DFD"/>
    <w:rsid w:val="00193287"/>
    <w:rsid w:val="00193AC2"/>
    <w:rsid w:val="00193F54"/>
    <w:rsid w:val="001945A5"/>
    <w:rsid w:val="00194B21"/>
    <w:rsid w:val="00194B6D"/>
    <w:rsid w:val="001954C8"/>
    <w:rsid w:val="001955EC"/>
    <w:rsid w:val="0019648E"/>
    <w:rsid w:val="00196791"/>
    <w:rsid w:val="001978A3"/>
    <w:rsid w:val="00197984"/>
    <w:rsid w:val="00197EC9"/>
    <w:rsid w:val="001A000B"/>
    <w:rsid w:val="001A11DB"/>
    <w:rsid w:val="001A17DF"/>
    <w:rsid w:val="001A1EF4"/>
    <w:rsid w:val="001A207A"/>
    <w:rsid w:val="001A26FD"/>
    <w:rsid w:val="001A28BB"/>
    <w:rsid w:val="001A2A08"/>
    <w:rsid w:val="001A338F"/>
    <w:rsid w:val="001A3971"/>
    <w:rsid w:val="001A3E47"/>
    <w:rsid w:val="001A42D6"/>
    <w:rsid w:val="001A4904"/>
    <w:rsid w:val="001A4B8F"/>
    <w:rsid w:val="001A4D08"/>
    <w:rsid w:val="001A5053"/>
    <w:rsid w:val="001A53F7"/>
    <w:rsid w:val="001A5B48"/>
    <w:rsid w:val="001A5CE8"/>
    <w:rsid w:val="001A6854"/>
    <w:rsid w:val="001A6A0A"/>
    <w:rsid w:val="001A6E2A"/>
    <w:rsid w:val="001A702F"/>
    <w:rsid w:val="001A7C7D"/>
    <w:rsid w:val="001B02D6"/>
    <w:rsid w:val="001B0421"/>
    <w:rsid w:val="001B0600"/>
    <w:rsid w:val="001B1760"/>
    <w:rsid w:val="001B18ED"/>
    <w:rsid w:val="001B23D5"/>
    <w:rsid w:val="001B3749"/>
    <w:rsid w:val="001B3EDB"/>
    <w:rsid w:val="001B45BE"/>
    <w:rsid w:val="001B4764"/>
    <w:rsid w:val="001B5123"/>
    <w:rsid w:val="001B5B0B"/>
    <w:rsid w:val="001B5C0D"/>
    <w:rsid w:val="001B5D31"/>
    <w:rsid w:val="001B6117"/>
    <w:rsid w:val="001B6FBE"/>
    <w:rsid w:val="001B72FF"/>
    <w:rsid w:val="001B7497"/>
    <w:rsid w:val="001B7E4B"/>
    <w:rsid w:val="001B7E99"/>
    <w:rsid w:val="001B7F48"/>
    <w:rsid w:val="001C0EE1"/>
    <w:rsid w:val="001C19A4"/>
    <w:rsid w:val="001C1A01"/>
    <w:rsid w:val="001C1CB7"/>
    <w:rsid w:val="001C1EAF"/>
    <w:rsid w:val="001C2D2D"/>
    <w:rsid w:val="001C30DA"/>
    <w:rsid w:val="001C32EA"/>
    <w:rsid w:val="001C382A"/>
    <w:rsid w:val="001C4535"/>
    <w:rsid w:val="001C4E9D"/>
    <w:rsid w:val="001C5151"/>
    <w:rsid w:val="001C515E"/>
    <w:rsid w:val="001C58CE"/>
    <w:rsid w:val="001C6A2F"/>
    <w:rsid w:val="001C6BD7"/>
    <w:rsid w:val="001C7171"/>
    <w:rsid w:val="001C732D"/>
    <w:rsid w:val="001C7781"/>
    <w:rsid w:val="001C78BF"/>
    <w:rsid w:val="001C7C3D"/>
    <w:rsid w:val="001C7DD9"/>
    <w:rsid w:val="001C7E69"/>
    <w:rsid w:val="001C7E89"/>
    <w:rsid w:val="001D036E"/>
    <w:rsid w:val="001D0A6F"/>
    <w:rsid w:val="001D0D01"/>
    <w:rsid w:val="001D1CF3"/>
    <w:rsid w:val="001D2631"/>
    <w:rsid w:val="001D2747"/>
    <w:rsid w:val="001D2B3A"/>
    <w:rsid w:val="001D2C95"/>
    <w:rsid w:val="001D306A"/>
    <w:rsid w:val="001D3DC0"/>
    <w:rsid w:val="001D3EC9"/>
    <w:rsid w:val="001D3F6F"/>
    <w:rsid w:val="001D4437"/>
    <w:rsid w:val="001D48BD"/>
    <w:rsid w:val="001D4AE2"/>
    <w:rsid w:val="001D4DD9"/>
    <w:rsid w:val="001D4E1B"/>
    <w:rsid w:val="001D4E90"/>
    <w:rsid w:val="001D56C2"/>
    <w:rsid w:val="001D5E51"/>
    <w:rsid w:val="001D60E1"/>
    <w:rsid w:val="001D629B"/>
    <w:rsid w:val="001D6BD4"/>
    <w:rsid w:val="001D7037"/>
    <w:rsid w:val="001D78DB"/>
    <w:rsid w:val="001D7DD7"/>
    <w:rsid w:val="001E017E"/>
    <w:rsid w:val="001E049C"/>
    <w:rsid w:val="001E0886"/>
    <w:rsid w:val="001E0F6E"/>
    <w:rsid w:val="001E110C"/>
    <w:rsid w:val="001E2218"/>
    <w:rsid w:val="001E23EE"/>
    <w:rsid w:val="001E2759"/>
    <w:rsid w:val="001E2AC3"/>
    <w:rsid w:val="001E32D2"/>
    <w:rsid w:val="001E3362"/>
    <w:rsid w:val="001E350D"/>
    <w:rsid w:val="001E354A"/>
    <w:rsid w:val="001E4151"/>
    <w:rsid w:val="001E4B87"/>
    <w:rsid w:val="001E4D73"/>
    <w:rsid w:val="001E56F9"/>
    <w:rsid w:val="001E5B4B"/>
    <w:rsid w:val="001E5B8F"/>
    <w:rsid w:val="001E6A51"/>
    <w:rsid w:val="001E7B0D"/>
    <w:rsid w:val="001F08C6"/>
    <w:rsid w:val="001F182E"/>
    <w:rsid w:val="001F280F"/>
    <w:rsid w:val="001F2CDF"/>
    <w:rsid w:val="001F2D50"/>
    <w:rsid w:val="001F3EF5"/>
    <w:rsid w:val="001F416E"/>
    <w:rsid w:val="001F41E7"/>
    <w:rsid w:val="001F5ACB"/>
    <w:rsid w:val="001F6C3E"/>
    <w:rsid w:val="001F6E35"/>
    <w:rsid w:val="001F728D"/>
    <w:rsid w:val="00200560"/>
    <w:rsid w:val="00200906"/>
    <w:rsid w:val="00200F40"/>
    <w:rsid w:val="0020145A"/>
    <w:rsid w:val="00201F25"/>
    <w:rsid w:val="002021ED"/>
    <w:rsid w:val="0020281B"/>
    <w:rsid w:val="002036CE"/>
    <w:rsid w:val="00203ECD"/>
    <w:rsid w:val="0020433E"/>
    <w:rsid w:val="00204CB8"/>
    <w:rsid w:val="00204FA6"/>
    <w:rsid w:val="0020503B"/>
    <w:rsid w:val="002052AC"/>
    <w:rsid w:val="002058FC"/>
    <w:rsid w:val="0020644E"/>
    <w:rsid w:val="00207D03"/>
    <w:rsid w:val="0021034A"/>
    <w:rsid w:val="00210876"/>
    <w:rsid w:val="00210DEE"/>
    <w:rsid w:val="00211573"/>
    <w:rsid w:val="0021226B"/>
    <w:rsid w:val="0021237D"/>
    <w:rsid w:val="00213614"/>
    <w:rsid w:val="00214382"/>
    <w:rsid w:val="002147C5"/>
    <w:rsid w:val="00214E84"/>
    <w:rsid w:val="00215953"/>
    <w:rsid w:val="00215E8C"/>
    <w:rsid w:val="00215F80"/>
    <w:rsid w:val="002169F1"/>
    <w:rsid w:val="00216B4F"/>
    <w:rsid w:val="00216E0F"/>
    <w:rsid w:val="00217084"/>
    <w:rsid w:val="00217FAF"/>
    <w:rsid w:val="002207D4"/>
    <w:rsid w:val="00220C04"/>
    <w:rsid w:val="00220F4C"/>
    <w:rsid w:val="0022102A"/>
    <w:rsid w:val="00221591"/>
    <w:rsid w:val="002222E8"/>
    <w:rsid w:val="00222326"/>
    <w:rsid w:val="0022391E"/>
    <w:rsid w:val="00224BF1"/>
    <w:rsid w:val="00224EC7"/>
    <w:rsid w:val="002254A9"/>
    <w:rsid w:val="002256F6"/>
    <w:rsid w:val="002266E7"/>
    <w:rsid w:val="002274AF"/>
    <w:rsid w:val="002305D1"/>
    <w:rsid w:val="00230B64"/>
    <w:rsid w:val="00231173"/>
    <w:rsid w:val="00231A77"/>
    <w:rsid w:val="00231FE9"/>
    <w:rsid w:val="00233A79"/>
    <w:rsid w:val="00233E0D"/>
    <w:rsid w:val="002341C8"/>
    <w:rsid w:val="00234948"/>
    <w:rsid w:val="00234DC3"/>
    <w:rsid w:val="00235E5C"/>
    <w:rsid w:val="00236492"/>
    <w:rsid w:val="002364FF"/>
    <w:rsid w:val="00236840"/>
    <w:rsid w:val="00236DF3"/>
    <w:rsid w:val="002377A8"/>
    <w:rsid w:val="00241923"/>
    <w:rsid w:val="00241BE4"/>
    <w:rsid w:val="00242687"/>
    <w:rsid w:val="00242A50"/>
    <w:rsid w:val="00243285"/>
    <w:rsid w:val="002438F8"/>
    <w:rsid w:val="002443C8"/>
    <w:rsid w:val="002445D5"/>
    <w:rsid w:val="00244A53"/>
    <w:rsid w:val="00244CB7"/>
    <w:rsid w:val="00244E39"/>
    <w:rsid w:val="00244E4C"/>
    <w:rsid w:val="00246011"/>
    <w:rsid w:val="002466E0"/>
    <w:rsid w:val="00246E41"/>
    <w:rsid w:val="00247003"/>
    <w:rsid w:val="00247409"/>
    <w:rsid w:val="00247A1A"/>
    <w:rsid w:val="0025023B"/>
    <w:rsid w:val="00250390"/>
    <w:rsid w:val="002511D0"/>
    <w:rsid w:val="0025149A"/>
    <w:rsid w:val="00251AB3"/>
    <w:rsid w:val="002523FC"/>
    <w:rsid w:val="00252840"/>
    <w:rsid w:val="002528DE"/>
    <w:rsid w:val="00253A79"/>
    <w:rsid w:val="00255325"/>
    <w:rsid w:val="002557D7"/>
    <w:rsid w:val="00255F20"/>
    <w:rsid w:val="00256898"/>
    <w:rsid w:val="002568C0"/>
    <w:rsid w:val="00256B28"/>
    <w:rsid w:val="002579C0"/>
    <w:rsid w:val="002603F0"/>
    <w:rsid w:val="00260CB4"/>
    <w:rsid w:val="00260E30"/>
    <w:rsid w:val="0026113C"/>
    <w:rsid w:val="002616A2"/>
    <w:rsid w:val="002618F0"/>
    <w:rsid w:val="00261AB9"/>
    <w:rsid w:val="002621F2"/>
    <w:rsid w:val="00262CCC"/>
    <w:rsid w:val="00262E74"/>
    <w:rsid w:val="00264208"/>
    <w:rsid w:val="002643CC"/>
    <w:rsid w:val="00264C46"/>
    <w:rsid w:val="00265503"/>
    <w:rsid w:val="00266E52"/>
    <w:rsid w:val="00266E6D"/>
    <w:rsid w:val="002670AB"/>
    <w:rsid w:val="002670EF"/>
    <w:rsid w:val="0026765B"/>
    <w:rsid w:val="00267772"/>
    <w:rsid w:val="00267ABB"/>
    <w:rsid w:val="00267E31"/>
    <w:rsid w:val="00270268"/>
    <w:rsid w:val="00271097"/>
    <w:rsid w:val="00271CF1"/>
    <w:rsid w:val="00271DF7"/>
    <w:rsid w:val="002726D5"/>
    <w:rsid w:val="00272C92"/>
    <w:rsid w:val="00272C9F"/>
    <w:rsid w:val="00272E43"/>
    <w:rsid w:val="00273543"/>
    <w:rsid w:val="00273834"/>
    <w:rsid w:val="002738A7"/>
    <w:rsid w:val="00273994"/>
    <w:rsid w:val="00274026"/>
    <w:rsid w:val="002744E2"/>
    <w:rsid w:val="002750A8"/>
    <w:rsid w:val="002753F7"/>
    <w:rsid w:val="00275415"/>
    <w:rsid w:val="0027557B"/>
    <w:rsid w:val="002755A4"/>
    <w:rsid w:val="0027638E"/>
    <w:rsid w:val="0027662A"/>
    <w:rsid w:val="00276CB3"/>
    <w:rsid w:val="00277202"/>
    <w:rsid w:val="002774BF"/>
    <w:rsid w:val="00277A98"/>
    <w:rsid w:val="00277C48"/>
    <w:rsid w:val="00277F9F"/>
    <w:rsid w:val="00280239"/>
    <w:rsid w:val="002807CB"/>
    <w:rsid w:val="00280D55"/>
    <w:rsid w:val="00280DAC"/>
    <w:rsid w:val="00280E0C"/>
    <w:rsid w:val="00280FD6"/>
    <w:rsid w:val="002818DE"/>
    <w:rsid w:val="00281947"/>
    <w:rsid w:val="00282B53"/>
    <w:rsid w:val="00282C2A"/>
    <w:rsid w:val="00283410"/>
    <w:rsid w:val="00283832"/>
    <w:rsid w:val="002838A0"/>
    <w:rsid w:val="002845F6"/>
    <w:rsid w:val="00284D91"/>
    <w:rsid w:val="00285424"/>
    <w:rsid w:val="00285B77"/>
    <w:rsid w:val="002868BA"/>
    <w:rsid w:val="00286963"/>
    <w:rsid w:val="00286995"/>
    <w:rsid w:val="00286C64"/>
    <w:rsid w:val="0028707B"/>
    <w:rsid w:val="0028745C"/>
    <w:rsid w:val="00287B90"/>
    <w:rsid w:val="00287BAA"/>
    <w:rsid w:val="00287D23"/>
    <w:rsid w:val="0029087D"/>
    <w:rsid w:val="00290AF2"/>
    <w:rsid w:val="00290FFD"/>
    <w:rsid w:val="0029178F"/>
    <w:rsid w:val="00291F3E"/>
    <w:rsid w:val="0029285E"/>
    <w:rsid w:val="0029344E"/>
    <w:rsid w:val="00293B0E"/>
    <w:rsid w:val="00294522"/>
    <w:rsid w:val="0029492E"/>
    <w:rsid w:val="00295ABD"/>
    <w:rsid w:val="002979DD"/>
    <w:rsid w:val="00297B83"/>
    <w:rsid w:val="00297E2D"/>
    <w:rsid w:val="002A0BCF"/>
    <w:rsid w:val="002A0C41"/>
    <w:rsid w:val="002A1518"/>
    <w:rsid w:val="002A17B3"/>
    <w:rsid w:val="002A1B83"/>
    <w:rsid w:val="002A1C29"/>
    <w:rsid w:val="002A20A7"/>
    <w:rsid w:val="002A22B7"/>
    <w:rsid w:val="002A22C3"/>
    <w:rsid w:val="002A22EA"/>
    <w:rsid w:val="002A2D8C"/>
    <w:rsid w:val="002A3382"/>
    <w:rsid w:val="002A34EA"/>
    <w:rsid w:val="002A379E"/>
    <w:rsid w:val="002A436B"/>
    <w:rsid w:val="002A4AA3"/>
    <w:rsid w:val="002A7362"/>
    <w:rsid w:val="002A794F"/>
    <w:rsid w:val="002A7B58"/>
    <w:rsid w:val="002B051E"/>
    <w:rsid w:val="002B1476"/>
    <w:rsid w:val="002B14DB"/>
    <w:rsid w:val="002B18D4"/>
    <w:rsid w:val="002B1AB0"/>
    <w:rsid w:val="002B1BB4"/>
    <w:rsid w:val="002B1C98"/>
    <w:rsid w:val="002B21E8"/>
    <w:rsid w:val="002B2757"/>
    <w:rsid w:val="002B2E54"/>
    <w:rsid w:val="002B340E"/>
    <w:rsid w:val="002B385C"/>
    <w:rsid w:val="002B3A90"/>
    <w:rsid w:val="002B3BBC"/>
    <w:rsid w:val="002B3F19"/>
    <w:rsid w:val="002B3F26"/>
    <w:rsid w:val="002B468B"/>
    <w:rsid w:val="002B4D1D"/>
    <w:rsid w:val="002B5835"/>
    <w:rsid w:val="002B62C1"/>
    <w:rsid w:val="002B655A"/>
    <w:rsid w:val="002B7004"/>
    <w:rsid w:val="002B7020"/>
    <w:rsid w:val="002B7777"/>
    <w:rsid w:val="002C01EE"/>
    <w:rsid w:val="002C0542"/>
    <w:rsid w:val="002C0559"/>
    <w:rsid w:val="002C06E6"/>
    <w:rsid w:val="002C06F7"/>
    <w:rsid w:val="002C1289"/>
    <w:rsid w:val="002C1ED1"/>
    <w:rsid w:val="002C2A36"/>
    <w:rsid w:val="002C36B5"/>
    <w:rsid w:val="002C40AD"/>
    <w:rsid w:val="002C4161"/>
    <w:rsid w:val="002C478C"/>
    <w:rsid w:val="002C4ABB"/>
    <w:rsid w:val="002C4C28"/>
    <w:rsid w:val="002C5BCD"/>
    <w:rsid w:val="002C5D0C"/>
    <w:rsid w:val="002C633C"/>
    <w:rsid w:val="002C653F"/>
    <w:rsid w:val="002C77F6"/>
    <w:rsid w:val="002D0C5E"/>
    <w:rsid w:val="002D111E"/>
    <w:rsid w:val="002D264D"/>
    <w:rsid w:val="002D2EBE"/>
    <w:rsid w:val="002D30AC"/>
    <w:rsid w:val="002D3605"/>
    <w:rsid w:val="002D40CD"/>
    <w:rsid w:val="002D4113"/>
    <w:rsid w:val="002D4140"/>
    <w:rsid w:val="002D42F7"/>
    <w:rsid w:val="002D52E1"/>
    <w:rsid w:val="002D5451"/>
    <w:rsid w:val="002D58F0"/>
    <w:rsid w:val="002D72B5"/>
    <w:rsid w:val="002D7594"/>
    <w:rsid w:val="002D763F"/>
    <w:rsid w:val="002E0753"/>
    <w:rsid w:val="002E08DF"/>
    <w:rsid w:val="002E0C20"/>
    <w:rsid w:val="002E0D20"/>
    <w:rsid w:val="002E192E"/>
    <w:rsid w:val="002E1A1D"/>
    <w:rsid w:val="002E1D20"/>
    <w:rsid w:val="002E2486"/>
    <w:rsid w:val="002E2DF0"/>
    <w:rsid w:val="002E3F8E"/>
    <w:rsid w:val="002E3FF2"/>
    <w:rsid w:val="002E4511"/>
    <w:rsid w:val="002E4525"/>
    <w:rsid w:val="002E5133"/>
    <w:rsid w:val="002E516D"/>
    <w:rsid w:val="002E56B5"/>
    <w:rsid w:val="002E5817"/>
    <w:rsid w:val="002E646E"/>
    <w:rsid w:val="002E6AF6"/>
    <w:rsid w:val="002E6CC4"/>
    <w:rsid w:val="002F0533"/>
    <w:rsid w:val="002F0B29"/>
    <w:rsid w:val="002F0FBC"/>
    <w:rsid w:val="002F1116"/>
    <w:rsid w:val="002F12C9"/>
    <w:rsid w:val="002F17BE"/>
    <w:rsid w:val="002F26E5"/>
    <w:rsid w:val="002F285F"/>
    <w:rsid w:val="002F3E59"/>
    <w:rsid w:val="002F4AEA"/>
    <w:rsid w:val="002F51A0"/>
    <w:rsid w:val="002F51DF"/>
    <w:rsid w:val="002F5871"/>
    <w:rsid w:val="002F6945"/>
    <w:rsid w:val="002F6EEA"/>
    <w:rsid w:val="002F733C"/>
    <w:rsid w:val="002F7FA2"/>
    <w:rsid w:val="00300522"/>
    <w:rsid w:val="00300AB9"/>
    <w:rsid w:val="00300E09"/>
    <w:rsid w:val="00300E62"/>
    <w:rsid w:val="0030263A"/>
    <w:rsid w:val="003027E4"/>
    <w:rsid w:val="00302AAA"/>
    <w:rsid w:val="0030310A"/>
    <w:rsid w:val="00303396"/>
    <w:rsid w:val="00303433"/>
    <w:rsid w:val="00303BF8"/>
    <w:rsid w:val="00303C3E"/>
    <w:rsid w:val="00303E47"/>
    <w:rsid w:val="00304489"/>
    <w:rsid w:val="0030523E"/>
    <w:rsid w:val="00305CDB"/>
    <w:rsid w:val="00306659"/>
    <w:rsid w:val="00306847"/>
    <w:rsid w:val="003069E8"/>
    <w:rsid w:val="00306D45"/>
    <w:rsid w:val="0030712C"/>
    <w:rsid w:val="003073C2"/>
    <w:rsid w:val="0030793F"/>
    <w:rsid w:val="0031010F"/>
    <w:rsid w:val="00310975"/>
    <w:rsid w:val="00310E7E"/>
    <w:rsid w:val="003121FB"/>
    <w:rsid w:val="00312B2F"/>
    <w:rsid w:val="00312D07"/>
    <w:rsid w:val="00312ED1"/>
    <w:rsid w:val="00313350"/>
    <w:rsid w:val="00313593"/>
    <w:rsid w:val="00313701"/>
    <w:rsid w:val="00313A08"/>
    <w:rsid w:val="00313BCC"/>
    <w:rsid w:val="003157C0"/>
    <w:rsid w:val="00316C1E"/>
    <w:rsid w:val="00316CBA"/>
    <w:rsid w:val="00317F32"/>
    <w:rsid w:val="003201A2"/>
    <w:rsid w:val="00320609"/>
    <w:rsid w:val="00320D0B"/>
    <w:rsid w:val="0032155F"/>
    <w:rsid w:val="00323293"/>
    <w:rsid w:val="00324571"/>
    <w:rsid w:val="0032468C"/>
    <w:rsid w:val="00324758"/>
    <w:rsid w:val="003250F9"/>
    <w:rsid w:val="0032569C"/>
    <w:rsid w:val="003263A0"/>
    <w:rsid w:val="00326A30"/>
    <w:rsid w:val="00327080"/>
    <w:rsid w:val="00327414"/>
    <w:rsid w:val="00327903"/>
    <w:rsid w:val="00327CD1"/>
    <w:rsid w:val="00331456"/>
    <w:rsid w:val="003323C5"/>
    <w:rsid w:val="003328B3"/>
    <w:rsid w:val="00333381"/>
    <w:rsid w:val="003349F5"/>
    <w:rsid w:val="00334A4F"/>
    <w:rsid w:val="003354C0"/>
    <w:rsid w:val="003358CF"/>
    <w:rsid w:val="00335F6F"/>
    <w:rsid w:val="0033604C"/>
    <w:rsid w:val="00336873"/>
    <w:rsid w:val="003369D4"/>
    <w:rsid w:val="00336D84"/>
    <w:rsid w:val="00336E6A"/>
    <w:rsid w:val="0033753A"/>
    <w:rsid w:val="00337ADF"/>
    <w:rsid w:val="00337E65"/>
    <w:rsid w:val="00341D2B"/>
    <w:rsid w:val="00342274"/>
    <w:rsid w:val="0034235D"/>
    <w:rsid w:val="003427E7"/>
    <w:rsid w:val="00342AD0"/>
    <w:rsid w:val="00343BA6"/>
    <w:rsid w:val="00343BCC"/>
    <w:rsid w:val="00343EC0"/>
    <w:rsid w:val="003442F7"/>
    <w:rsid w:val="00344F4F"/>
    <w:rsid w:val="00345196"/>
    <w:rsid w:val="00345259"/>
    <w:rsid w:val="0034575F"/>
    <w:rsid w:val="00345A15"/>
    <w:rsid w:val="00345E93"/>
    <w:rsid w:val="00345FFF"/>
    <w:rsid w:val="003464C6"/>
    <w:rsid w:val="00347229"/>
    <w:rsid w:val="00347B65"/>
    <w:rsid w:val="00347F82"/>
    <w:rsid w:val="00350C2E"/>
    <w:rsid w:val="00350CF0"/>
    <w:rsid w:val="00350DD9"/>
    <w:rsid w:val="00351393"/>
    <w:rsid w:val="00352F46"/>
    <w:rsid w:val="0035419C"/>
    <w:rsid w:val="0035419D"/>
    <w:rsid w:val="0035446F"/>
    <w:rsid w:val="0035466A"/>
    <w:rsid w:val="00354E3C"/>
    <w:rsid w:val="00354FD3"/>
    <w:rsid w:val="003555B5"/>
    <w:rsid w:val="00355F20"/>
    <w:rsid w:val="00355FD6"/>
    <w:rsid w:val="00356032"/>
    <w:rsid w:val="00356508"/>
    <w:rsid w:val="003566E8"/>
    <w:rsid w:val="00357C7B"/>
    <w:rsid w:val="00357FF6"/>
    <w:rsid w:val="00360A49"/>
    <w:rsid w:val="0036199E"/>
    <w:rsid w:val="0036249F"/>
    <w:rsid w:val="003626F4"/>
    <w:rsid w:val="00362A1A"/>
    <w:rsid w:val="0036381B"/>
    <w:rsid w:val="00363A96"/>
    <w:rsid w:val="003644F9"/>
    <w:rsid w:val="00364F47"/>
    <w:rsid w:val="003651DD"/>
    <w:rsid w:val="00365F51"/>
    <w:rsid w:val="00366463"/>
    <w:rsid w:val="0036682F"/>
    <w:rsid w:val="00366A77"/>
    <w:rsid w:val="00367893"/>
    <w:rsid w:val="00370432"/>
    <w:rsid w:val="0037092C"/>
    <w:rsid w:val="00370D1F"/>
    <w:rsid w:val="003712D5"/>
    <w:rsid w:val="00371318"/>
    <w:rsid w:val="00371B9E"/>
    <w:rsid w:val="0037232B"/>
    <w:rsid w:val="00374603"/>
    <w:rsid w:val="003747E9"/>
    <w:rsid w:val="00374F7D"/>
    <w:rsid w:val="003752A4"/>
    <w:rsid w:val="00375533"/>
    <w:rsid w:val="0037597C"/>
    <w:rsid w:val="00376080"/>
    <w:rsid w:val="0037695C"/>
    <w:rsid w:val="003775A0"/>
    <w:rsid w:val="0037785D"/>
    <w:rsid w:val="00380786"/>
    <w:rsid w:val="00380896"/>
    <w:rsid w:val="00380BA9"/>
    <w:rsid w:val="00380D42"/>
    <w:rsid w:val="003813C5"/>
    <w:rsid w:val="00381A40"/>
    <w:rsid w:val="0038237C"/>
    <w:rsid w:val="00382577"/>
    <w:rsid w:val="0038379B"/>
    <w:rsid w:val="00384399"/>
    <w:rsid w:val="003848BE"/>
    <w:rsid w:val="00385555"/>
    <w:rsid w:val="003859BE"/>
    <w:rsid w:val="003863D4"/>
    <w:rsid w:val="00387420"/>
    <w:rsid w:val="00387689"/>
    <w:rsid w:val="00387B0B"/>
    <w:rsid w:val="00387DF7"/>
    <w:rsid w:val="003906B6"/>
    <w:rsid w:val="00390774"/>
    <w:rsid w:val="003909FC"/>
    <w:rsid w:val="00390CDE"/>
    <w:rsid w:val="00391274"/>
    <w:rsid w:val="003916F9"/>
    <w:rsid w:val="00392174"/>
    <w:rsid w:val="003929FC"/>
    <w:rsid w:val="00392B99"/>
    <w:rsid w:val="003931EE"/>
    <w:rsid w:val="00393372"/>
    <w:rsid w:val="00393FCD"/>
    <w:rsid w:val="0039401D"/>
    <w:rsid w:val="00394209"/>
    <w:rsid w:val="003944AE"/>
    <w:rsid w:val="00394A9A"/>
    <w:rsid w:val="00394EDB"/>
    <w:rsid w:val="003960FF"/>
    <w:rsid w:val="0039680A"/>
    <w:rsid w:val="00397A46"/>
    <w:rsid w:val="003A01A8"/>
    <w:rsid w:val="003A0AD8"/>
    <w:rsid w:val="003A134B"/>
    <w:rsid w:val="003A1C90"/>
    <w:rsid w:val="003A1EA3"/>
    <w:rsid w:val="003A1EA7"/>
    <w:rsid w:val="003A20A4"/>
    <w:rsid w:val="003A227D"/>
    <w:rsid w:val="003A24EA"/>
    <w:rsid w:val="003A305F"/>
    <w:rsid w:val="003A35E6"/>
    <w:rsid w:val="003A3D25"/>
    <w:rsid w:val="003A4FEF"/>
    <w:rsid w:val="003A5165"/>
    <w:rsid w:val="003A5271"/>
    <w:rsid w:val="003A59B9"/>
    <w:rsid w:val="003A5D13"/>
    <w:rsid w:val="003A5D35"/>
    <w:rsid w:val="003A5FD0"/>
    <w:rsid w:val="003A621E"/>
    <w:rsid w:val="003A698A"/>
    <w:rsid w:val="003A7540"/>
    <w:rsid w:val="003A75F4"/>
    <w:rsid w:val="003A7A77"/>
    <w:rsid w:val="003A7D22"/>
    <w:rsid w:val="003B039B"/>
    <w:rsid w:val="003B079A"/>
    <w:rsid w:val="003B07DA"/>
    <w:rsid w:val="003B0C76"/>
    <w:rsid w:val="003B0CCB"/>
    <w:rsid w:val="003B125E"/>
    <w:rsid w:val="003B1968"/>
    <w:rsid w:val="003B1FB3"/>
    <w:rsid w:val="003B2659"/>
    <w:rsid w:val="003B3EEE"/>
    <w:rsid w:val="003B412F"/>
    <w:rsid w:val="003B48C3"/>
    <w:rsid w:val="003B49A8"/>
    <w:rsid w:val="003B5668"/>
    <w:rsid w:val="003B59FD"/>
    <w:rsid w:val="003B63DE"/>
    <w:rsid w:val="003B6869"/>
    <w:rsid w:val="003B761C"/>
    <w:rsid w:val="003B7839"/>
    <w:rsid w:val="003C0038"/>
    <w:rsid w:val="003C06A9"/>
    <w:rsid w:val="003C0713"/>
    <w:rsid w:val="003C0850"/>
    <w:rsid w:val="003C0B14"/>
    <w:rsid w:val="003C25FE"/>
    <w:rsid w:val="003C2BBD"/>
    <w:rsid w:val="003C3238"/>
    <w:rsid w:val="003C3642"/>
    <w:rsid w:val="003C3813"/>
    <w:rsid w:val="003C386A"/>
    <w:rsid w:val="003C4023"/>
    <w:rsid w:val="003C4443"/>
    <w:rsid w:val="003C5675"/>
    <w:rsid w:val="003C5C22"/>
    <w:rsid w:val="003C65AE"/>
    <w:rsid w:val="003C6A7E"/>
    <w:rsid w:val="003C6CB7"/>
    <w:rsid w:val="003C702D"/>
    <w:rsid w:val="003C77D6"/>
    <w:rsid w:val="003C7A0C"/>
    <w:rsid w:val="003D0256"/>
    <w:rsid w:val="003D0C3E"/>
    <w:rsid w:val="003D1758"/>
    <w:rsid w:val="003D1DCD"/>
    <w:rsid w:val="003D23F4"/>
    <w:rsid w:val="003D2C8D"/>
    <w:rsid w:val="003D2EEB"/>
    <w:rsid w:val="003D3086"/>
    <w:rsid w:val="003D32FE"/>
    <w:rsid w:val="003D3904"/>
    <w:rsid w:val="003D41E0"/>
    <w:rsid w:val="003D450D"/>
    <w:rsid w:val="003D4A83"/>
    <w:rsid w:val="003D4A9F"/>
    <w:rsid w:val="003D4DAB"/>
    <w:rsid w:val="003D50E4"/>
    <w:rsid w:val="003D56BC"/>
    <w:rsid w:val="003D587C"/>
    <w:rsid w:val="003D6713"/>
    <w:rsid w:val="003D70E6"/>
    <w:rsid w:val="003D77EF"/>
    <w:rsid w:val="003D7B61"/>
    <w:rsid w:val="003E0C74"/>
    <w:rsid w:val="003E0DF7"/>
    <w:rsid w:val="003E2431"/>
    <w:rsid w:val="003E2D63"/>
    <w:rsid w:val="003E2F24"/>
    <w:rsid w:val="003E3333"/>
    <w:rsid w:val="003E3BC8"/>
    <w:rsid w:val="003E487D"/>
    <w:rsid w:val="003E4D90"/>
    <w:rsid w:val="003E59EC"/>
    <w:rsid w:val="003E5DED"/>
    <w:rsid w:val="003E5E6C"/>
    <w:rsid w:val="003E6CE0"/>
    <w:rsid w:val="003E7661"/>
    <w:rsid w:val="003E796D"/>
    <w:rsid w:val="003F06F5"/>
    <w:rsid w:val="003F0D60"/>
    <w:rsid w:val="003F18E6"/>
    <w:rsid w:val="003F2E8B"/>
    <w:rsid w:val="003F3820"/>
    <w:rsid w:val="003F3A07"/>
    <w:rsid w:val="003F40DC"/>
    <w:rsid w:val="003F449B"/>
    <w:rsid w:val="003F4515"/>
    <w:rsid w:val="003F457F"/>
    <w:rsid w:val="003F5110"/>
    <w:rsid w:val="003F5640"/>
    <w:rsid w:val="003F5780"/>
    <w:rsid w:val="003F58E8"/>
    <w:rsid w:val="003F597A"/>
    <w:rsid w:val="003F74FB"/>
    <w:rsid w:val="003F7692"/>
    <w:rsid w:val="003F7A0D"/>
    <w:rsid w:val="00400A6A"/>
    <w:rsid w:val="00402F3D"/>
    <w:rsid w:val="004035B9"/>
    <w:rsid w:val="00403CE0"/>
    <w:rsid w:val="00403F45"/>
    <w:rsid w:val="004041CA"/>
    <w:rsid w:val="00404248"/>
    <w:rsid w:val="004044B8"/>
    <w:rsid w:val="00404795"/>
    <w:rsid w:val="0040533A"/>
    <w:rsid w:val="00405F6C"/>
    <w:rsid w:val="00405FBC"/>
    <w:rsid w:val="00406110"/>
    <w:rsid w:val="00406570"/>
    <w:rsid w:val="004074CB"/>
    <w:rsid w:val="0040762D"/>
    <w:rsid w:val="00410014"/>
    <w:rsid w:val="0041004A"/>
    <w:rsid w:val="004110F7"/>
    <w:rsid w:val="00411E0C"/>
    <w:rsid w:val="004122FC"/>
    <w:rsid w:val="0041289C"/>
    <w:rsid w:val="004128BE"/>
    <w:rsid w:val="00412931"/>
    <w:rsid w:val="0041301E"/>
    <w:rsid w:val="00413457"/>
    <w:rsid w:val="00414603"/>
    <w:rsid w:val="00414DDD"/>
    <w:rsid w:val="004158E5"/>
    <w:rsid w:val="00415CA4"/>
    <w:rsid w:val="0041611B"/>
    <w:rsid w:val="00416354"/>
    <w:rsid w:val="004166DE"/>
    <w:rsid w:val="00416B6B"/>
    <w:rsid w:val="00416CDD"/>
    <w:rsid w:val="00420541"/>
    <w:rsid w:val="00420711"/>
    <w:rsid w:val="004208FC"/>
    <w:rsid w:val="0042164E"/>
    <w:rsid w:val="0042191C"/>
    <w:rsid w:val="004219D2"/>
    <w:rsid w:val="00421AB7"/>
    <w:rsid w:val="00421BA3"/>
    <w:rsid w:val="00421CD8"/>
    <w:rsid w:val="004222F3"/>
    <w:rsid w:val="00422EE2"/>
    <w:rsid w:val="00423340"/>
    <w:rsid w:val="00423536"/>
    <w:rsid w:val="004238CC"/>
    <w:rsid w:val="00423E53"/>
    <w:rsid w:val="0042456F"/>
    <w:rsid w:val="00424DC5"/>
    <w:rsid w:val="00425E5E"/>
    <w:rsid w:val="00426656"/>
    <w:rsid w:val="00426830"/>
    <w:rsid w:val="00427AFB"/>
    <w:rsid w:val="004307BE"/>
    <w:rsid w:val="0043083F"/>
    <w:rsid w:val="00431ED8"/>
    <w:rsid w:val="00432457"/>
    <w:rsid w:val="00432775"/>
    <w:rsid w:val="00433538"/>
    <w:rsid w:val="00433B25"/>
    <w:rsid w:val="00434055"/>
    <w:rsid w:val="004343F7"/>
    <w:rsid w:val="00434998"/>
    <w:rsid w:val="00434A48"/>
    <w:rsid w:val="00434ACD"/>
    <w:rsid w:val="00434D9D"/>
    <w:rsid w:val="00434E1F"/>
    <w:rsid w:val="00434E7C"/>
    <w:rsid w:val="0043655F"/>
    <w:rsid w:val="0043753E"/>
    <w:rsid w:val="00437F5F"/>
    <w:rsid w:val="00441047"/>
    <w:rsid w:val="004412AA"/>
    <w:rsid w:val="0044133D"/>
    <w:rsid w:val="00443FB9"/>
    <w:rsid w:val="00444405"/>
    <w:rsid w:val="00444493"/>
    <w:rsid w:val="004445DE"/>
    <w:rsid w:val="004449A9"/>
    <w:rsid w:val="00444B1E"/>
    <w:rsid w:val="00444DC7"/>
    <w:rsid w:val="00445107"/>
    <w:rsid w:val="0044514F"/>
    <w:rsid w:val="0044580B"/>
    <w:rsid w:val="0044592B"/>
    <w:rsid w:val="00445DAF"/>
    <w:rsid w:val="00445EC1"/>
    <w:rsid w:val="004464D2"/>
    <w:rsid w:val="0044673E"/>
    <w:rsid w:val="00446BF2"/>
    <w:rsid w:val="00447D3C"/>
    <w:rsid w:val="00450025"/>
    <w:rsid w:val="0045023A"/>
    <w:rsid w:val="0045027F"/>
    <w:rsid w:val="00450ECF"/>
    <w:rsid w:val="00451387"/>
    <w:rsid w:val="004522ED"/>
    <w:rsid w:val="00452EFA"/>
    <w:rsid w:val="00453DE7"/>
    <w:rsid w:val="00454ACD"/>
    <w:rsid w:val="004551FB"/>
    <w:rsid w:val="00455421"/>
    <w:rsid w:val="0045552F"/>
    <w:rsid w:val="004556C8"/>
    <w:rsid w:val="00455AE5"/>
    <w:rsid w:val="0045640C"/>
    <w:rsid w:val="004568E5"/>
    <w:rsid w:val="0045691E"/>
    <w:rsid w:val="00456CFD"/>
    <w:rsid w:val="00456DA3"/>
    <w:rsid w:val="004570D7"/>
    <w:rsid w:val="004575FF"/>
    <w:rsid w:val="0045775A"/>
    <w:rsid w:val="00457AF4"/>
    <w:rsid w:val="0046183A"/>
    <w:rsid w:val="00462385"/>
    <w:rsid w:val="004629A9"/>
    <w:rsid w:val="00463124"/>
    <w:rsid w:val="004633EE"/>
    <w:rsid w:val="00463B06"/>
    <w:rsid w:val="00463BF0"/>
    <w:rsid w:val="0046428A"/>
    <w:rsid w:val="0046463A"/>
    <w:rsid w:val="00464AFF"/>
    <w:rsid w:val="00465174"/>
    <w:rsid w:val="004653A3"/>
    <w:rsid w:val="00465DE1"/>
    <w:rsid w:val="00466138"/>
    <w:rsid w:val="004661B4"/>
    <w:rsid w:val="00466415"/>
    <w:rsid w:val="00466A30"/>
    <w:rsid w:val="00466A40"/>
    <w:rsid w:val="00467606"/>
    <w:rsid w:val="00467C86"/>
    <w:rsid w:val="00467DB4"/>
    <w:rsid w:val="00470D37"/>
    <w:rsid w:val="00470F7F"/>
    <w:rsid w:val="00470FC1"/>
    <w:rsid w:val="0047167E"/>
    <w:rsid w:val="004716E5"/>
    <w:rsid w:val="004719FE"/>
    <w:rsid w:val="00471B50"/>
    <w:rsid w:val="00471E87"/>
    <w:rsid w:val="00472C15"/>
    <w:rsid w:val="0047306D"/>
    <w:rsid w:val="004737AC"/>
    <w:rsid w:val="00473D80"/>
    <w:rsid w:val="004740F3"/>
    <w:rsid w:val="004741C6"/>
    <w:rsid w:val="004750E4"/>
    <w:rsid w:val="0047510E"/>
    <w:rsid w:val="00476778"/>
    <w:rsid w:val="00477C46"/>
    <w:rsid w:val="00480CC0"/>
    <w:rsid w:val="00480DF0"/>
    <w:rsid w:val="00480F23"/>
    <w:rsid w:val="00481405"/>
    <w:rsid w:val="00481578"/>
    <w:rsid w:val="00481A28"/>
    <w:rsid w:val="00482476"/>
    <w:rsid w:val="00482928"/>
    <w:rsid w:val="00482ACF"/>
    <w:rsid w:val="0048346D"/>
    <w:rsid w:val="004836C1"/>
    <w:rsid w:val="00483C50"/>
    <w:rsid w:val="00484096"/>
    <w:rsid w:val="004840B9"/>
    <w:rsid w:val="004843CE"/>
    <w:rsid w:val="0048465F"/>
    <w:rsid w:val="00484AEA"/>
    <w:rsid w:val="00484F5E"/>
    <w:rsid w:val="0048503F"/>
    <w:rsid w:val="004850E0"/>
    <w:rsid w:val="00485151"/>
    <w:rsid w:val="00485439"/>
    <w:rsid w:val="00485B35"/>
    <w:rsid w:val="004860E4"/>
    <w:rsid w:val="00486736"/>
    <w:rsid w:val="00486A97"/>
    <w:rsid w:val="004875AE"/>
    <w:rsid w:val="0049005E"/>
    <w:rsid w:val="00490063"/>
    <w:rsid w:val="004909EC"/>
    <w:rsid w:val="00490B84"/>
    <w:rsid w:val="00490D90"/>
    <w:rsid w:val="00491AAA"/>
    <w:rsid w:val="00491C54"/>
    <w:rsid w:val="004922A8"/>
    <w:rsid w:val="004924FC"/>
    <w:rsid w:val="004935C5"/>
    <w:rsid w:val="0049380B"/>
    <w:rsid w:val="00493EA4"/>
    <w:rsid w:val="004944B8"/>
    <w:rsid w:val="00494AE4"/>
    <w:rsid w:val="004950F9"/>
    <w:rsid w:val="00495A1D"/>
    <w:rsid w:val="00495CF7"/>
    <w:rsid w:val="00495F28"/>
    <w:rsid w:val="0049603A"/>
    <w:rsid w:val="00496F53"/>
    <w:rsid w:val="00497313"/>
    <w:rsid w:val="00497868"/>
    <w:rsid w:val="004978AD"/>
    <w:rsid w:val="00497E46"/>
    <w:rsid w:val="004A0102"/>
    <w:rsid w:val="004A013D"/>
    <w:rsid w:val="004A178E"/>
    <w:rsid w:val="004A1815"/>
    <w:rsid w:val="004A317C"/>
    <w:rsid w:val="004A31B2"/>
    <w:rsid w:val="004A332D"/>
    <w:rsid w:val="004A350B"/>
    <w:rsid w:val="004A392A"/>
    <w:rsid w:val="004A45EC"/>
    <w:rsid w:val="004A4AB3"/>
    <w:rsid w:val="004A5690"/>
    <w:rsid w:val="004A588C"/>
    <w:rsid w:val="004A5E70"/>
    <w:rsid w:val="004A5E8F"/>
    <w:rsid w:val="004A6114"/>
    <w:rsid w:val="004A62AC"/>
    <w:rsid w:val="004A64AD"/>
    <w:rsid w:val="004A6AB9"/>
    <w:rsid w:val="004A6D52"/>
    <w:rsid w:val="004A71B6"/>
    <w:rsid w:val="004B0808"/>
    <w:rsid w:val="004B09F7"/>
    <w:rsid w:val="004B0BF1"/>
    <w:rsid w:val="004B1377"/>
    <w:rsid w:val="004B1DEA"/>
    <w:rsid w:val="004B3162"/>
    <w:rsid w:val="004B3292"/>
    <w:rsid w:val="004B3325"/>
    <w:rsid w:val="004B3749"/>
    <w:rsid w:val="004B382D"/>
    <w:rsid w:val="004B3AC6"/>
    <w:rsid w:val="004B3D0D"/>
    <w:rsid w:val="004B4620"/>
    <w:rsid w:val="004B4D44"/>
    <w:rsid w:val="004B4FA7"/>
    <w:rsid w:val="004B5DBF"/>
    <w:rsid w:val="004B5FCC"/>
    <w:rsid w:val="004B63EB"/>
    <w:rsid w:val="004B6A4F"/>
    <w:rsid w:val="004C2DF1"/>
    <w:rsid w:val="004C317E"/>
    <w:rsid w:val="004C4B7C"/>
    <w:rsid w:val="004C56BA"/>
    <w:rsid w:val="004C56F1"/>
    <w:rsid w:val="004C58D1"/>
    <w:rsid w:val="004C5A3C"/>
    <w:rsid w:val="004C5B39"/>
    <w:rsid w:val="004C5C09"/>
    <w:rsid w:val="004C5D63"/>
    <w:rsid w:val="004C6179"/>
    <w:rsid w:val="004C645C"/>
    <w:rsid w:val="004C6F8E"/>
    <w:rsid w:val="004C7059"/>
    <w:rsid w:val="004C7300"/>
    <w:rsid w:val="004C730C"/>
    <w:rsid w:val="004C7408"/>
    <w:rsid w:val="004C750F"/>
    <w:rsid w:val="004C7CC8"/>
    <w:rsid w:val="004D07D0"/>
    <w:rsid w:val="004D0ED8"/>
    <w:rsid w:val="004D1EEE"/>
    <w:rsid w:val="004D243B"/>
    <w:rsid w:val="004D2A67"/>
    <w:rsid w:val="004D2FD1"/>
    <w:rsid w:val="004D3790"/>
    <w:rsid w:val="004D3835"/>
    <w:rsid w:val="004D389A"/>
    <w:rsid w:val="004D393F"/>
    <w:rsid w:val="004D3EC5"/>
    <w:rsid w:val="004D4E49"/>
    <w:rsid w:val="004D4ECF"/>
    <w:rsid w:val="004D4F75"/>
    <w:rsid w:val="004D5014"/>
    <w:rsid w:val="004D535B"/>
    <w:rsid w:val="004D5F1D"/>
    <w:rsid w:val="004D5F27"/>
    <w:rsid w:val="004D61E5"/>
    <w:rsid w:val="004D6606"/>
    <w:rsid w:val="004D668F"/>
    <w:rsid w:val="004D6A0D"/>
    <w:rsid w:val="004D6E22"/>
    <w:rsid w:val="004D7058"/>
    <w:rsid w:val="004D75CD"/>
    <w:rsid w:val="004D7AB0"/>
    <w:rsid w:val="004D7D7D"/>
    <w:rsid w:val="004E0066"/>
    <w:rsid w:val="004E024D"/>
    <w:rsid w:val="004E02EB"/>
    <w:rsid w:val="004E065F"/>
    <w:rsid w:val="004E0FA2"/>
    <w:rsid w:val="004E1CD5"/>
    <w:rsid w:val="004E28C8"/>
    <w:rsid w:val="004E2B17"/>
    <w:rsid w:val="004E2CE7"/>
    <w:rsid w:val="004E2F58"/>
    <w:rsid w:val="004E30E4"/>
    <w:rsid w:val="004E461D"/>
    <w:rsid w:val="004E588E"/>
    <w:rsid w:val="004E63E3"/>
    <w:rsid w:val="004E6933"/>
    <w:rsid w:val="004E6E31"/>
    <w:rsid w:val="004E7B7E"/>
    <w:rsid w:val="004F063C"/>
    <w:rsid w:val="004F0865"/>
    <w:rsid w:val="004F0878"/>
    <w:rsid w:val="004F2110"/>
    <w:rsid w:val="004F248E"/>
    <w:rsid w:val="004F2FC7"/>
    <w:rsid w:val="004F5F6B"/>
    <w:rsid w:val="004F5FC5"/>
    <w:rsid w:val="004F69A0"/>
    <w:rsid w:val="004F6FB7"/>
    <w:rsid w:val="004F7035"/>
    <w:rsid w:val="004F7165"/>
    <w:rsid w:val="004F771F"/>
    <w:rsid w:val="00500814"/>
    <w:rsid w:val="005025B2"/>
    <w:rsid w:val="0050312F"/>
    <w:rsid w:val="005036A4"/>
    <w:rsid w:val="005037BF"/>
    <w:rsid w:val="00503DE4"/>
    <w:rsid w:val="0050517B"/>
    <w:rsid w:val="00505374"/>
    <w:rsid w:val="005056B1"/>
    <w:rsid w:val="00505DF5"/>
    <w:rsid w:val="005063D9"/>
    <w:rsid w:val="0050686C"/>
    <w:rsid w:val="00506C99"/>
    <w:rsid w:val="00507027"/>
    <w:rsid w:val="005070EB"/>
    <w:rsid w:val="005076D2"/>
    <w:rsid w:val="00507764"/>
    <w:rsid w:val="00507AC2"/>
    <w:rsid w:val="0051047B"/>
    <w:rsid w:val="00511010"/>
    <w:rsid w:val="00511026"/>
    <w:rsid w:val="005112CE"/>
    <w:rsid w:val="005119C1"/>
    <w:rsid w:val="005119EE"/>
    <w:rsid w:val="00511C51"/>
    <w:rsid w:val="00511C61"/>
    <w:rsid w:val="00512C26"/>
    <w:rsid w:val="00512E34"/>
    <w:rsid w:val="0051312F"/>
    <w:rsid w:val="00513868"/>
    <w:rsid w:val="00513C62"/>
    <w:rsid w:val="00513E1B"/>
    <w:rsid w:val="00513FCE"/>
    <w:rsid w:val="005141B0"/>
    <w:rsid w:val="00515ACA"/>
    <w:rsid w:val="005163B4"/>
    <w:rsid w:val="005164DE"/>
    <w:rsid w:val="00516928"/>
    <w:rsid w:val="00516D85"/>
    <w:rsid w:val="00517505"/>
    <w:rsid w:val="00520439"/>
    <w:rsid w:val="0052065E"/>
    <w:rsid w:val="00521779"/>
    <w:rsid w:val="00522647"/>
    <w:rsid w:val="00522701"/>
    <w:rsid w:val="00522E21"/>
    <w:rsid w:val="00522F56"/>
    <w:rsid w:val="00522FDD"/>
    <w:rsid w:val="00523B37"/>
    <w:rsid w:val="00523B8E"/>
    <w:rsid w:val="00523D32"/>
    <w:rsid w:val="00524139"/>
    <w:rsid w:val="005253FD"/>
    <w:rsid w:val="00525BE3"/>
    <w:rsid w:val="005266EC"/>
    <w:rsid w:val="00526F49"/>
    <w:rsid w:val="005270CE"/>
    <w:rsid w:val="005278CD"/>
    <w:rsid w:val="005278F3"/>
    <w:rsid w:val="00527D60"/>
    <w:rsid w:val="005305B0"/>
    <w:rsid w:val="00530846"/>
    <w:rsid w:val="00530979"/>
    <w:rsid w:val="005313B0"/>
    <w:rsid w:val="00531A83"/>
    <w:rsid w:val="0053227B"/>
    <w:rsid w:val="00532685"/>
    <w:rsid w:val="00532E38"/>
    <w:rsid w:val="00534204"/>
    <w:rsid w:val="005346AF"/>
    <w:rsid w:val="00534E66"/>
    <w:rsid w:val="00535B91"/>
    <w:rsid w:val="00535DAD"/>
    <w:rsid w:val="00536C50"/>
    <w:rsid w:val="00536E40"/>
    <w:rsid w:val="00536FD9"/>
    <w:rsid w:val="0053718B"/>
    <w:rsid w:val="00540182"/>
    <w:rsid w:val="00540655"/>
    <w:rsid w:val="00540AF7"/>
    <w:rsid w:val="00540F3F"/>
    <w:rsid w:val="005424A3"/>
    <w:rsid w:val="0054279F"/>
    <w:rsid w:val="005428C8"/>
    <w:rsid w:val="00542D3A"/>
    <w:rsid w:val="00543144"/>
    <w:rsid w:val="00543655"/>
    <w:rsid w:val="00543E8D"/>
    <w:rsid w:val="00543FEF"/>
    <w:rsid w:val="00544546"/>
    <w:rsid w:val="00544740"/>
    <w:rsid w:val="0054496F"/>
    <w:rsid w:val="0054512B"/>
    <w:rsid w:val="00545325"/>
    <w:rsid w:val="00545AB5"/>
    <w:rsid w:val="0054678C"/>
    <w:rsid w:val="005474F3"/>
    <w:rsid w:val="00550685"/>
    <w:rsid w:val="00551238"/>
    <w:rsid w:val="005514AD"/>
    <w:rsid w:val="00551F26"/>
    <w:rsid w:val="00552368"/>
    <w:rsid w:val="005528C0"/>
    <w:rsid w:val="0055302D"/>
    <w:rsid w:val="005533ED"/>
    <w:rsid w:val="0055412C"/>
    <w:rsid w:val="00554597"/>
    <w:rsid w:val="005550F6"/>
    <w:rsid w:val="00555AFB"/>
    <w:rsid w:val="00556348"/>
    <w:rsid w:val="0055661E"/>
    <w:rsid w:val="00556951"/>
    <w:rsid w:val="00556F7D"/>
    <w:rsid w:val="005572C9"/>
    <w:rsid w:val="0055750C"/>
    <w:rsid w:val="00557658"/>
    <w:rsid w:val="00557A00"/>
    <w:rsid w:val="00560A7F"/>
    <w:rsid w:val="0056129D"/>
    <w:rsid w:val="00561DFB"/>
    <w:rsid w:val="00562AA3"/>
    <w:rsid w:val="00562B12"/>
    <w:rsid w:val="00562FFA"/>
    <w:rsid w:val="005632B1"/>
    <w:rsid w:val="00563722"/>
    <w:rsid w:val="0056381D"/>
    <w:rsid w:val="00563834"/>
    <w:rsid w:val="00564353"/>
    <w:rsid w:val="00564365"/>
    <w:rsid w:val="0056482F"/>
    <w:rsid w:val="00564C11"/>
    <w:rsid w:val="00564CD6"/>
    <w:rsid w:val="00564D67"/>
    <w:rsid w:val="00564DC0"/>
    <w:rsid w:val="00565371"/>
    <w:rsid w:val="00565906"/>
    <w:rsid w:val="0056606D"/>
    <w:rsid w:val="00566A95"/>
    <w:rsid w:val="00566C05"/>
    <w:rsid w:val="00566C48"/>
    <w:rsid w:val="005674B0"/>
    <w:rsid w:val="00567618"/>
    <w:rsid w:val="005679E7"/>
    <w:rsid w:val="005709D7"/>
    <w:rsid w:val="00570CD2"/>
    <w:rsid w:val="0057125C"/>
    <w:rsid w:val="005713CB"/>
    <w:rsid w:val="005726E2"/>
    <w:rsid w:val="00572996"/>
    <w:rsid w:val="005735C7"/>
    <w:rsid w:val="0057367D"/>
    <w:rsid w:val="00573AD3"/>
    <w:rsid w:val="00573FA1"/>
    <w:rsid w:val="005744F1"/>
    <w:rsid w:val="005745AD"/>
    <w:rsid w:val="00574845"/>
    <w:rsid w:val="00574E5E"/>
    <w:rsid w:val="005759CD"/>
    <w:rsid w:val="00575F56"/>
    <w:rsid w:val="00576DE4"/>
    <w:rsid w:val="005770F2"/>
    <w:rsid w:val="00577FAB"/>
    <w:rsid w:val="00580873"/>
    <w:rsid w:val="0058092B"/>
    <w:rsid w:val="005810B5"/>
    <w:rsid w:val="005817ED"/>
    <w:rsid w:val="00581D13"/>
    <w:rsid w:val="005825CB"/>
    <w:rsid w:val="00583413"/>
    <w:rsid w:val="005841BE"/>
    <w:rsid w:val="005848DC"/>
    <w:rsid w:val="005848E8"/>
    <w:rsid w:val="005850BD"/>
    <w:rsid w:val="005850CD"/>
    <w:rsid w:val="00585292"/>
    <w:rsid w:val="00585ADE"/>
    <w:rsid w:val="00585E58"/>
    <w:rsid w:val="00586442"/>
    <w:rsid w:val="00586BC5"/>
    <w:rsid w:val="005872BD"/>
    <w:rsid w:val="005873D7"/>
    <w:rsid w:val="00587547"/>
    <w:rsid w:val="005878D6"/>
    <w:rsid w:val="0059008B"/>
    <w:rsid w:val="00590A46"/>
    <w:rsid w:val="00590B79"/>
    <w:rsid w:val="00590EAA"/>
    <w:rsid w:val="005914D2"/>
    <w:rsid w:val="00592A33"/>
    <w:rsid w:val="00592C28"/>
    <w:rsid w:val="00592FC5"/>
    <w:rsid w:val="00593183"/>
    <w:rsid w:val="00593248"/>
    <w:rsid w:val="0059336C"/>
    <w:rsid w:val="0059341C"/>
    <w:rsid w:val="00593438"/>
    <w:rsid w:val="00593ED4"/>
    <w:rsid w:val="0059464E"/>
    <w:rsid w:val="00594B91"/>
    <w:rsid w:val="00594DA3"/>
    <w:rsid w:val="00595A3C"/>
    <w:rsid w:val="00596A63"/>
    <w:rsid w:val="00596C91"/>
    <w:rsid w:val="00596F47"/>
    <w:rsid w:val="0059731A"/>
    <w:rsid w:val="00597A25"/>
    <w:rsid w:val="00597B63"/>
    <w:rsid w:val="00597C88"/>
    <w:rsid w:val="005A0017"/>
    <w:rsid w:val="005A06BE"/>
    <w:rsid w:val="005A090F"/>
    <w:rsid w:val="005A1173"/>
    <w:rsid w:val="005A11AE"/>
    <w:rsid w:val="005A13A5"/>
    <w:rsid w:val="005A1425"/>
    <w:rsid w:val="005A1D4A"/>
    <w:rsid w:val="005A2577"/>
    <w:rsid w:val="005A2D56"/>
    <w:rsid w:val="005A3A45"/>
    <w:rsid w:val="005A3B78"/>
    <w:rsid w:val="005A3FF4"/>
    <w:rsid w:val="005A46FA"/>
    <w:rsid w:val="005A4D5A"/>
    <w:rsid w:val="005A569E"/>
    <w:rsid w:val="005A624C"/>
    <w:rsid w:val="005A6C46"/>
    <w:rsid w:val="005A730F"/>
    <w:rsid w:val="005A7985"/>
    <w:rsid w:val="005B1715"/>
    <w:rsid w:val="005B1DBE"/>
    <w:rsid w:val="005B1E27"/>
    <w:rsid w:val="005B23DE"/>
    <w:rsid w:val="005B302A"/>
    <w:rsid w:val="005B365D"/>
    <w:rsid w:val="005B3CA0"/>
    <w:rsid w:val="005B448F"/>
    <w:rsid w:val="005B5760"/>
    <w:rsid w:val="005B5783"/>
    <w:rsid w:val="005B604E"/>
    <w:rsid w:val="005B616B"/>
    <w:rsid w:val="005B6777"/>
    <w:rsid w:val="005B6F3E"/>
    <w:rsid w:val="005C009F"/>
    <w:rsid w:val="005C01E6"/>
    <w:rsid w:val="005C10ED"/>
    <w:rsid w:val="005C132F"/>
    <w:rsid w:val="005C17E9"/>
    <w:rsid w:val="005C20E8"/>
    <w:rsid w:val="005C2166"/>
    <w:rsid w:val="005C24A6"/>
    <w:rsid w:val="005C26F6"/>
    <w:rsid w:val="005C2F92"/>
    <w:rsid w:val="005C36CF"/>
    <w:rsid w:val="005C41DC"/>
    <w:rsid w:val="005C43FA"/>
    <w:rsid w:val="005C49ED"/>
    <w:rsid w:val="005C599D"/>
    <w:rsid w:val="005C5A67"/>
    <w:rsid w:val="005C5D91"/>
    <w:rsid w:val="005C61A6"/>
    <w:rsid w:val="005C6C03"/>
    <w:rsid w:val="005C7985"/>
    <w:rsid w:val="005D0B23"/>
    <w:rsid w:val="005D19B8"/>
    <w:rsid w:val="005D1FB9"/>
    <w:rsid w:val="005D2464"/>
    <w:rsid w:val="005D2791"/>
    <w:rsid w:val="005D29B6"/>
    <w:rsid w:val="005D328E"/>
    <w:rsid w:val="005D33F9"/>
    <w:rsid w:val="005D3A6F"/>
    <w:rsid w:val="005D4051"/>
    <w:rsid w:val="005D42F8"/>
    <w:rsid w:val="005D463C"/>
    <w:rsid w:val="005D49C5"/>
    <w:rsid w:val="005D4C5B"/>
    <w:rsid w:val="005D4F96"/>
    <w:rsid w:val="005D5139"/>
    <w:rsid w:val="005D55D3"/>
    <w:rsid w:val="005D586F"/>
    <w:rsid w:val="005D5A22"/>
    <w:rsid w:val="005D5D29"/>
    <w:rsid w:val="005D619E"/>
    <w:rsid w:val="005D61D2"/>
    <w:rsid w:val="005D64CD"/>
    <w:rsid w:val="005D64EB"/>
    <w:rsid w:val="005D7725"/>
    <w:rsid w:val="005D7B8D"/>
    <w:rsid w:val="005D7E81"/>
    <w:rsid w:val="005E004D"/>
    <w:rsid w:val="005E0588"/>
    <w:rsid w:val="005E06C1"/>
    <w:rsid w:val="005E0D2C"/>
    <w:rsid w:val="005E1D52"/>
    <w:rsid w:val="005E317C"/>
    <w:rsid w:val="005E3182"/>
    <w:rsid w:val="005E34E6"/>
    <w:rsid w:val="005E3C60"/>
    <w:rsid w:val="005E3E7B"/>
    <w:rsid w:val="005E436C"/>
    <w:rsid w:val="005E47DF"/>
    <w:rsid w:val="005E4C48"/>
    <w:rsid w:val="005E4CFC"/>
    <w:rsid w:val="005E5535"/>
    <w:rsid w:val="005E5674"/>
    <w:rsid w:val="005E5ADC"/>
    <w:rsid w:val="005E5CAD"/>
    <w:rsid w:val="005E5D43"/>
    <w:rsid w:val="005E5D91"/>
    <w:rsid w:val="005E600F"/>
    <w:rsid w:val="005E618A"/>
    <w:rsid w:val="005E6219"/>
    <w:rsid w:val="005E62B4"/>
    <w:rsid w:val="005E6B78"/>
    <w:rsid w:val="005E7C63"/>
    <w:rsid w:val="005F0388"/>
    <w:rsid w:val="005F1352"/>
    <w:rsid w:val="005F22D2"/>
    <w:rsid w:val="005F2567"/>
    <w:rsid w:val="005F28D0"/>
    <w:rsid w:val="005F2E29"/>
    <w:rsid w:val="005F316B"/>
    <w:rsid w:val="005F3388"/>
    <w:rsid w:val="005F3BCA"/>
    <w:rsid w:val="005F3C24"/>
    <w:rsid w:val="005F453E"/>
    <w:rsid w:val="005F4A9D"/>
    <w:rsid w:val="005F4C55"/>
    <w:rsid w:val="005F5142"/>
    <w:rsid w:val="005F5FBE"/>
    <w:rsid w:val="005F63CA"/>
    <w:rsid w:val="005F63FD"/>
    <w:rsid w:val="005F649F"/>
    <w:rsid w:val="005F7F44"/>
    <w:rsid w:val="00600BA7"/>
    <w:rsid w:val="00601637"/>
    <w:rsid w:val="006018A6"/>
    <w:rsid w:val="00602695"/>
    <w:rsid w:val="00602709"/>
    <w:rsid w:val="00602761"/>
    <w:rsid w:val="006028A0"/>
    <w:rsid w:val="00602C47"/>
    <w:rsid w:val="00602C6A"/>
    <w:rsid w:val="006039C9"/>
    <w:rsid w:val="00604720"/>
    <w:rsid w:val="006047F5"/>
    <w:rsid w:val="0060509A"/>
    <w:rsid w:val="0060562C"/>
    <w:rsid w:val="00605804"/>
    <w:rsid w:val="006059E5"/>
    <w:rsid w:val="00606A85"/>
    <w:rsid w:val="00607A59"/>
    <w:rsid w:val="0061000A"/>
    <w:rsid w:val="00610916"/>
    <w:rsid w:val="00611EB9"/>
    <w:rsid w:val="00611F12"/>
    <w:rsid w:val="00612A1D"/>
    <w:rsid w:val="00612E32"/>
    <w:rsid w:val="006138F7"/>
    <w:rsid w:val="00613D33"/>
    <w:rsid w:val="006142B6"/>
    <w:rsid w:val="00614860"/>
    <w:rsid w:val="00614BB3"/>
    <w:rsid w:val="006156F6"/>
    <w:rsid w:val="0061587C"/>
    <w:rsid w:val="00615BFD"/>
    <w:rsid w:val="00615C1F"/>
    <w:rsid w:val="006172CA"/>
    <w:rsid w:val="00617B21"/>
    <w:rsid w:val="0062022C"/>
    <w:rsid w:val="00620D14"/>
    <w:rsid w:val="00620F05"/>
    <w:rsid w:val="00621277"/>
    <w:rsid w:val="006215ED"/>
    <w:rsid w:val="00621E86"/>
    <w:rsid w:val="006235AF"/>
    <w:rsid w:val="00624E43"/>
    <w:rsid w:val="0062503B"/>
    <w:rsid w:val="006250BC"/>
    <w:rsid w:val="0062538B"/>
    <w:rsid w:val="00625782"/>
    <w:rsid w:val="0062597D"/>
    <w:rsid w:val="00625D3A"/>
    <w:rsid w:val="00625FF3"/>
    <w:rsid w:val="006262F3"/>
    <w:rsid w:val="00626D88"/>
    <w:rsid w:val="00627D22"/>
    <w:rsid w:val="0063005D"/>
    <w:rsid w:val="006309B8"/>
    <w:rsid w:val="00630EC7"/>
    <w:rsid w:val="00630FE7"/>
    <w:rsid w:val="006317F1"/>
    <w:rsid w:val="0063223D"/>
    <w:rsid w:val="006324AC"/>
    <w:rsid w:val="00632D65"/>
    <w:rsid w:val="00632E5C"/>
    <w:rsid w:val="006339C4"/>
    <w:rsid w:val="00634079"/>
    <w:rsid w:val="00634873"/>
    <w:rsid w:val="006349BC"/>
    <w:rsid w:val="0063564C"/>
    <w:rsid w:val="00635899"/>
    <w:rsid w:val="00635CF6"/>
    <w:rsid w:val="00636033"/>
    <w:rsid w:val="006361A7"/>
    <w:rsid w:val="00636868"/>
    <w:rsid w:val="00636FFF"/>
    <w:rsid w:val="0063742A"/>
    <w:rsid w:val="006375C5"/>
    <w:rsid w:val="00637A97"/>
    <w:rsid w:val="00637E05"/>
    <w:rsid w:val="00640526"/>
    <w:rsid w:val="00640C19"/>
    <w:rsid w:val="006413FF"/>
    <w:rsid w:val="0064169A"/>
    <w:rsid w:val="00641753"/>
    <w:rsid w:val="00642261"/>
    <w:rsid w:val="00642543"/>
    <w:rsid w:val="00642C3F"/>
    <w:rsid w:val="00642CF4"/>
    <w:rsid w:val="00643095"/>
    <w:rsid w:val="006435B0"/>
    <w:rsid w:val="00643884"/>
    <w:rsid w:val="00644389"/>
    <w:rsid w:val="00644F03"/>
    <w:rsid w:val="006460FC"/>
    <w:rsid w:val="00646892"/>
    <w:rsid w:val="006469A2"/>
    <w:rsid w:val="00646C10"/>
    <w:rsid w:val="00646D58"/>
    <w:rsid w:val="006472D4"/>
    <w:rsid w:val="0064738B"/>
    <w:rsid w:val="00647825"/>
    <w:rsid w:val="006478DC"/>
    <w:rsid w:val="00647FAA"/>
    <w:rsid w:val="0065076B"/>
    <w:rsid w:val="00650EEE"/>
    <w:rsid w:val="0065130E"/>
    <w:rsid w:val="006525D5"/>
    <w:rsid w:val="00652DE1"/>
    <w:rsid w:val="00653111"/>
    <w:rsid w:val="0065330F"/>
    <w:rsid w:val="006535C4"/>
    <w:rsid w:val="00653910"/>
    <w:rsid w:val="00653D68"/>
    <w:rsid w:val="00654AF5"/>
    <w:rsid w:val="00655393"/>
    <w:rsid w:val="00655645"/>
    <w:rsid w:val="00655743"/>
    <w:rsid w:val="00655972"/>
    <w:rsid w:val="00655A69"/>
    <w:rsid w:val="00655E06"/>
    <w:rsid w:val="00656684"/>
    <w:rsid w:val="00656AEB"/>
    <w:rsid w:val="006570A2"/>
    <w:rsid w:val="006602D8"/>
    <w:rsid w:val="00660507"/>
    <w:rsid w:val="0066097C"/>
    <w:rsid w:val="00660BEB"/>
    <w:rsid w:val="006617A7"/>
    <w:rsid w:val="00661B79"/>
    <w:rsid w:val="00661FE7"/>
    <w:rsid w:val="00662F71"/>
    <w:rsid w:val="006635AB"/>
    <w:rsid w:val="00663761"/>
    <w:rsid w:val="00663F78"/>
    <w:rsid w:val="006640C1"/>
    <w:rsid w:val="006646E7"/>
    <w:rsid w:val="00664EE2"/>
    <w:rsid w:val="00665422"/>
    <w:rsid w:val="00665B87"/>
    <w:rsid w:val="0066686A"/>
    <w:rsid w:val="00667C21"/>
    <w:rsid w:val="0067024F"/>
    <w:rsid w:val="00671289"/>
    <w:rsid w:val="006719CD"/>
    <w:rsid w:val="00672A45"/>
    <w:rsid w:val="00672A9F"/>
    <w:rsid w:val="00672B0F"/>
    <w:rsid w:val="00672D50"/>
    <w:rsid w:val="00672F3F"/>
    <w:rsid w:val="00673337"/>
    <w:rsid w:val="00675000"/>
    <w:rsid w:val="006759C2"/>
    <w:rsid w:val="00676047"/>
    <w:rsid w:val="00676CBE"/>
    <w:rsid w:val="00677072"/>
    <w:rsid w:val="00677F14"/>
    <w:rsid w:val="00680601"/>
    <w:rsid w:val="0068066B"/>
    <w:rsid w:val="0068135C"/>
    <w:rsid w:val="006815BC"/>
    <w:rsid w:val="0068174E"/>
    <w:rsid w:val="00681CB3"/>
    <w:rsid w:val="006820D6"/>
    <w:rsid w:val="00682A25"/>
    <w:rsid w:val="00682CE2"/>
    <w:rsid w:val="00683D3A"/>
    <w:rsid w:val="0068487A"/>
    <w:rsid w:val="006850C8"/>
    <w:rsid w:val="006854EB"/>
    <w:rsid w:val="00685DF9"/>
    <w:rsid w:val="00685E3B"/>
    <w:rsid w:val="0068664D"/>
    <w:rsid w:val="00687264"/>
    <w:rsid w:val="006874D0"/>
    <w:rsid w:val="00687D8D"/>
    <w:rsid w:val="0069282E"/>
    <w:rsid w:val="0069295E"/>
    <w:rsid w:val="00693296"/>
    <w:rsid w:val="00693628"/>
    <w:rsid w:val="006938DF"/>
    <w:rsid w:val="00693C1C"/>
    <w:rsid w:val="00693EC8"/>
    <w:rsid w:val="00694120"/>
    <w:rsid w:val="00694492"/>
    <w:rsid w:val="00694C62"/>
    <w:rsid w:val="00694DE4"/>
    <w:rsid w:val="006954E8"/>
    <w:rsid w:val="006960A6"/>
    <w:rsid w:val="0069617C"/>
    <w:rsid w:val="006965AC"/>
    <w:rsid w:val="00696641"/>
    <w:rsid w:val="006968FD"/>
    <w:rsid w:val="00697117"/>
    <w:rsid w:val="00697429"/>
    <w:rsid w:val="00697502"/>
    <w:rsid w:val="0069759B"/>
    <w:rsid w:val="00697670"/>
    <w:rsid w:val="006978D7"/>
    <w:rsid w:val="00697975"/>
    <w:rsid w:val="00697AAB"/>
    <w:rsid w:val="006A0583"/>
    <w:rsid w:val="006A0F40"/>
    <w:rsid w:val="006A0FF4"/>
    <w:rsid w:val="006A1D52"/>
    <w:rsid w:val="006A1FDA"/>
    <w:rsid w:val="006A203F"/>
    <w:rsid w:val="006A23C5"/>
    <w:rsid w:val="006A28B2"/>
    <w:rsid w:val="006A361D"/>
    <w:rsid w:val="006A36C2"/>
    <w:rsid w:val="006A3C6A"/>
    <w:rsid w:val="006A3DDC"/>
    <w:rsid w:val="006A4456"/>
    <w:rsid w:val="006A4BAD"/>
    <w:rsid w:val="006A50B9"/>
    <w:rsid w:val="006A63DD"/>
    <w:rsid w:val="006A67B4"/>
    <w:rsid w:val="006A6E79"/>
    <w:rsid w:val="006B034D"/>
    <w:rsid w:val="006B0E03"/>
    <w:rsid w:val="006B1E6A"/>
    <w:rsid w:val="006B24A4"/>
    <w:rsid w:val="006B255A"/>
    <w:rsid w:val="006B303C"/>
    <w:rsid w:val="006B32E5"/>
    <w:rsid w:val="006B3883"/>
    <w:rsid w:val="006B4531"/>
    <w:rsid w:val="006B457D"/>
    <w:rsid w:val="006B4A66"/>
    <w:rsid w:val="006B4B65"/>
    <w:rsid w:val="006B4F69"/>
    <w:rsid w:val="006B5382"/>
    <w:rsid w:val="006B58DA"/>
    <w:rsid w:val="006B5A7D"/>
    <w:rsid w:val="006B6155"/>
    <w:rsid w:val="006B61EE"/>
    <w:rsid w:val="006B66B7"/>
    <w:rsid w:val="006B6B3B"/>
    <w:rsid w:val="006B6D9E"/>
    <w:rsid w:val="006B6DF0"/>
    <w:rsid w:val="006B75AD"/>
    <w:rsid w:val="006B7992"/>
    <w:rsid w:val="006C0158"/>
    <w:rsid w:val="006C03A1"/>
    <w:rsid w:val="006C0707"/>
    <w:rsid w:val="006C085C"/>
    <w:rsid w:val="006C0AF4"/>
    <w:rsid w:val="006C1161"/>
    <w:rsid w:val="006C1E5A"/>
    <w:rsid w:val="006C2819"/>
    <w:rsid w:val="006C28EA"/>
    <w:rsid w:val="006C3020"/>
    <w:rsid w:val="006C3420"/>
    <w:rsid w:val="006C34AF"/>
    <w:rsid w:val="006C3F99"/>
    <w:rsid w:val="006C4F64"/>
    <w:rsid w:val="006C4F9A"/>
    <w:rsid w:val="006C5025"/>
    <w:rsid w:val="006C516D"/>
    <w:rsid w:val="006C5718"/>
    <w:rsid w:val="006C57CC"/>
    <w:rsid w:val="006C5C5F"/>
    <w:rsid w:val="006C5FAB"/>
    <w:rsid w:val="006C7495"/>
    <w:rsid w:val="006C762F"/>
    <w:rsid w:val="006D00E4"/>
    <w:rsid w:val="006D090A"/>
    <w:rsid w:val="006D09BB"/>
    <w:rsid w:val="006D1F98"/>
    <w:rsid w:val="006D2328"/>
    <w:rsid w:val="006D25F3"/>
    <w:rsid w:val="006D3047"/>
    <w:rsid w:val="006D3A15"/>
    <w:rsid w:val="006D4425"/>
    <w:rsid w:val="006D46BA"/>
    <w:rsid w:val="006D5290"/>
    <w:rsid w:val="006D588A"/>
    <w:rsid w:val="006D5B5C"/>
    <w:rsid w:val="006D623E"/>
    <w:rsid w:val="006D6261"/>
    <w:rsid w:val="006D69B0"/>
    <w:rsid w:val="006D6FAB"/>
    <w:rsid w:val="006D7869"/>
    <w:rsid w:val="006D7990"/>
    <w:rsid w:val="006E0358"/>
    <w:rsid w:val="006E0BB1"/>
    <w:rsid w:val="006E1210"/>
    <w:rsid w:val="006E1532"/>
    <w:rsid w:val="006E1A9B"/>
    <w:rsid w:val="006E269F"/>
    <w:rsid w:val="006E277E"/>
    <w:rsid w:val="006E2CF6"/>
    <w:rsid w:val="006E2E0B"/>
    <w:rsid w:val="006E307D"/>
    <w:rsid w:val="006E3559"/>
    <w:rsid w:val="006E38A8"/>
    <w:rsid w:val="006E46D0"/>
    <w:rsid w:val="006E484C"/>
    <w:rsid w:val="006E4A50"/>
    <w:rsid w:val="006E4D52"/>
    <w:rsid w:val="006E53D9"/>
    <w:rsid w:val="006E5969"/>
    <w:rsid w:val="006E5F7C"/>
    <w:rsid w:val="006E6007"/>
    <w:rsid w:val="006E6449"/>
    <w:rsid w:val="006E65DB"/>
    <w:rsid w:val="006E676A"/>
    <w:rsid w:val="006E69E1"/>
    <w:rsid w:val="006E70A7"/>
    <w:rsid w:val="006E7969"/>
    <w:rsid w:val="006E7F4E"/>
    <w:rsid w:val="006F04B6"/>
    <w:rsid w:val="006F09E4"/>
    <w:rsid w:val="006F0FA5"/>
    <w:rsid w:val="006F12F3"/>
    <w:rsid w:val="006F1AC7"/>
    <w:rsid w:val="006F235B"/>
    <w:rsid w:val="006F279F"/>
    <w:rsid w:val="006F2FF9"/>
    <w:rsid w:val="006F320D"/>
    <w:rsid w:val="006F58D5"/>
    <w:rsid w:val="006F5B71"/>
    <w:rsid w:val="006F609F"/>
    <w:rsid w:val="006F71AE"/>
    <w:rsid w:val="006F795A"/>
    <w:rsid w:val="006F7CA2"/>
    <w:rsid w:val="0070001C"/>
    <w:rsid w:val="00700700"/>
    <w:rsid w:val="00700936"/>
    <w:rsid w:val="007009E6"/>
    <w:rsid w:val="00700E11"/>
    <w:rsid w:val="00700F02"/>
    <w:rsid w:val="0070153C"/>
    <w:rsid w:val="007022AC"/>
    <w:rsid w:val="007027D0"/>
    <w:rsid w:val="007029B3"/>
    <w:rsid w:val="00702AD8"/>
    <w:rsid w:val="00702B23"/>
    <w:rsid w:val="00702FD8"/>
    <w:rsid w:val="007030FD"/>
    <w:rsid w:val="007032A1"/>
    <w:rsid w:val="00703841"/>
    <w:rsid w:val="007039E2"/>
    <w:rsid w:val="0070431F"/>
    <w:rsid w:val="00704BC1"/>
    <w:rsid w:val="00704F23"/>
    <w:rsid w:val="007051DD"/>
    <w:rsid w:val="00705D5D"/>
    <w:rsid w:val="00705E0E"/>
    <w:rsid w:val="00706BEC"/>
    <w:rsid w:val="00706D96"/>
    <w:rsid w:val="00710491"/>
    <w:rsid w:val="00710AE7"/>
    <w:rsid w:val="00710AFB"/>
    <w:rsid w:val="00710E89"/>
    <w:rsid w:val="00711004"/>
    <w:rsid w:val="007112D1"/>
    <w:rsid w:val="007120CE"/>
    <w:rsid w:val="0071233A"/>
    <w:rsid w:val="007126D5"/>
    <w:rsid w:val="0071270C"/>
    <w:rsid w:val="0071293A"/>
    <w:rsid w:val="00713676"/>
    <w:rsid w:val="007137C8"/>
    <w:rsid w:val="0071395D"/>
    <w:rsid w:val="00713B44"/>
    <w:rsid w:val="00713CE1"/>
    <w:rsid w:val="00714263"/>
    <w:rsid w:val="00714459"/>
    <w:rsid w:val="0071457E"/>
    <w:rsid w:val="00715552"/>
    <w:rsid w:val="00715A75"/>
    <w:rsid w:val="00715C15"/>
    <w:rsid w:val="00715EFB"/>
    <w:rsid w:val="007162B5"/>
    <w:rsid w:val="00716B70"/>
    <w:rsid w:val="00716E30"/>
    <w:rsid w:val="007175BF"/>
    <w:rsid w:val="0071764F"/>
    <w:rsid w:val="00717A49"/>
    <w:rsid w:val="00720E84"/>
    <w:rsid w:val="007227FC"/>
    <w:rsid w:val="00722E3E"/>
    <w:rsid w:val="00722EA9"/>
    <w:rsid w:val="00722EF1"/>
    <w:rsid w:val="0072373B"/>
    <w:rsid w:val="00723A73"/>
    <w:rsid w:val="00723C79"/>
    <w:rsid w:val="007242B7"/>
    <w:rsid w:val="0072438A"/>
    <w:rsid w:val="0072464E"/>
    <w:rsid w:val="007249F0"/>
    <w:rsid w:val="00724EF0"/>
    <w:rsid w:val="00724FDF"/>
    <w:rsid w:val="0072517D"/>
    <w:rsid w:val="00725A8C"/>
    <w:rsid w:val="00725CA8"/>
    <w:rsid w:val="00725FD3"/>
    <w:rsid w:val="007269CC"/>
    <w:rsid w:val="00727476"/>
    <w:rsid w:val="0072749E"/>
    <w:rsid w:val="007274B4"/>
    <w:rsid w:val="00727A1A"/>
    <w:rsid w:val="00727B37"/>
    <w:rsid w:val="00730280"/>
    <w:rsid w:val="007306B9"/>
    <w:rsid w:val="00733220"/>
    <w:rsid w:val="00733575"/>
    <w:rsid w:val="00733C28"/>
    <w:rsid w:val="00734593"/>
    <w:rsid w:val="00734883"/>
    <w:rsid w:val="00734889"/>
    <w:rsid w:val="007362E1"/>
    <w:rsid w:val="0073630D"/>
    <w:rsid w:val="00736480"/>
    <w:rsid w:val="00736D4B"/>
    <w:rsid w:val="007402D2"/>
    <w:rsid w:val="007406F6"/>
    <w:rsid w:val="007410A8"/>
    <w:rsid w:val="00741A82"/>
    <w:rsid w:val="00741CFE"/>
    <w:rsid w:val="007427E4"/>
    <w:rsid w:val="00742A6C"/>
    <w:rsid w:val="00742E1A"/>
    <w:rsid w:val="00743A4C"/>
    <w:rsid w:val="00743B0D"/>
    <w:rsid w:val="00743C86"/>
    <w:rsid w:val="007440B9"/>
    <w:rsid w:val="0074438A"/>
    <w:rsid w:val="0074450A"/>
    <w:rsid w:val="00744E7B"/>
    <w:rsid w:val="00745CAF"/>
    <w:rsid w:val="007473E0"/>
    <w:rsid w:val="00747E31"/>
    <w:rsid w:val="00747E60"/>
    <w:rsid w:val="007505EE"/>
    <w:rsid w:val="00750A6F"/>
    <w:rsid w:val="00750A79"/>
    <w:rsid w:val="0075160A"/>
    <w:rsid w:val="00751AC9"/>
    <w:rsid w:val="00751B66"/>
    <w:rsid w:val="00753934"/>
    <w:rsid w:val="00753EB7"/>
    <w:rsid w:val="0075446A"/>
    <w:rsid w:val="00754770"/>
    <w:rsid w:val="00754846"/>
    <w:rsid w:val="00754C59"/>
    <w:rsid w:val="0075523D"/>
    <w:rsid w:val="007552D4"/>
    <w:rsid w:val="0075618F"/>
    <w:rsid w:val="00756548"/>
    <w:rsid w:val="00757287"/>
    <w:rsid w:val="0075745D"/>
    <w:rsid w:val="00757C47"/>
    <w:rsid w:val="007614E0"/>
    <w:rsid w:val="0076177C"/>
    <w:rsid w:val="00761960"/>
    <w:rsid w:val="00761CE4"/>
    <w:rsid w:val="0076259F"/>
    <w:rsid w:val="00762DC7"/>
    <w:rsid w:val="0076366E"/>
    <w:rsid w:val="0076373B"/>
    <w:rsid w:val="00763898"/>
    <w:rsid w:val="00763A8D"/>
    <w:rsid w:val="00763A93"/>
    <w:rsid w:val="00764247"/>
    <w:rsid w:val="00764411"/>
    <w:rsid w:val="00764C8F"/>
    <w:rsid w:val="00764F06"/>
    <w:rsid w:val="0076593F"/>
    <w:rsid w:val="00767646"/>
    <w:rsid w:val="00770916"/>
    <w:rsid w:val="0077091B"/>
    <w:rsid w:val="00771428"/>
    <w:rsid w:val="00771A28"/>
    <w:rsid w:val="00771A75"/>
    <w:rsid w:val="00772AE1"/>
    <w:rsid w:val="00772C79"/>
    <w:rsid w:val="00772EF9"/>
    <w:rsid w:val="00773B50"/>
    <w:rsid w:val="00773B62"/>
    <w:rsid w:val="007740FA"/>
    <w:rsid w:val="0077481C"/>
    <w:rsid w:val="00774C3B"/>
    <w:rsid w:val="007753ED"/>
    <w:rsid w:val="00775740"/>
    <w:rsid w:val="00775BC5"/>
    <w:rsid w:val="00776EF9"/>
    <w:rsid w:val="0077729A"/>
    <w:rsid w:val="00777BCB"/>
    <w:rsid w:val="00777DEA"/>
    <w:rsid w:val="00777E69"/>
    <w:rsid w:val="00777F16"/>
    <w:rsid w:val="00780178"/>
    <w:rsid w:val="00780EFC"/>
    <w:rsid w:val="00781497"/>
    <w:rsid w:val="007818E8"/>
    <w:rsid w:val="00781C7D"/>
    <w:rsid w:val="00782DBF"/>
    <w:rsid w:val="00782EA6"/>
    <w:rsid w:val="0078318C"/>
    <w:rsid w:val="0078389F"/>
    <w:rsid w:val="0078456C"/>
    <w:rsid w:val="00784887"/>
    <w:rsid w:val="00784CD2"/>
    <w:rsid w:val="00785021"/>
    <w:rsid w:val="007856EF"/>
    <w:rsid w:val="00785A62"/>
    <w:rsid w:val="007868F0"/>
    <w:rsid w:val="00786DEF"/>
    <w:rsid w:val="007878FB"/>
    <w:rsid w:val="00787A02"/>
    <w:rsid w:val="00790976"/>
    <w:rsid w:val="00791516"/>
    <w:rsid w:val="00791602"/>
    <w:rsid w:val="0079163E"/>
    <w:rsid w:val="0079164E"/>
    <w:rsid w:val="00791FB5"/>
    <w:rsid w:val="00792092"/>
    <w:rsid w:val="0079308B"/>
    <w:rsid w:val="007930B9"/>
    <w:rsid w:val="00793A46"/>
    <w:rsid w:val="00793CB1"/>
    <w:rsid w:val="007942F3"/>
    <w:rsid w:val="007950A6"/>
    <w:rsid w:val="0079595B"/>
    <w:rsid w:val="00795A4F"/>
    <w:rsid w:val="00795CAD"/>
    <w:rsid w:val="00795FD8"/>
    <w:rsid w:val="0079604B"/>
    <w:rsid w:val="0079750B"/>
    <w:rsid w:val="00797614"/>
    <w:rsid w:val="00797842"/>
    <w:rsid w:val="0079788D"/>
    <w:rsid w:val="007A002E"/>
    <w:rsid w:val="007A0AC7"/>
    <w:rsid w:val="007A0B4C"/>
    <w:rsid w:val="007A0C73"/>
    <w:rsid w:val="007A10B3"/>
    <w:rsid w:val="007A1530"/>
    <w:rsid w:val="007A1BE3"/>
    <w:rsid w:val="007A1E11"/>
    <w:rsid w:val="007A22B9"/>
    <w:rsid w:val="007A352E"/>
    <w:rsid w:val="007A3B3E"/>
    <w:rsid w:val="007A3B7C"/>
    <w:rsid w:val="007A45EB"/>
    <w:rsid w:val="007A483A"/>
    <w:rsid w:val="007A4B69"/>
    <w:rsid w:val="007A4E96"/>
    <w:rsid w:val="007A5027"/>
    <w:rsid w:val="007A60DF"/>
    <w:rsid w:val="007A614F"/>
    <w:rsid w:val="007A6261"/>
    <w:rsid w:val="007A6924"/>
    <w:rsid w:val="007A6C35"/>
    <w:rsid w:val="007A6F25"/>
    <w:rsid w:val="007A7266"/>
    <w:rsid w:val="007A7396"/>
    <w:rsid w:val="007B0218"/>
    <w:rsid w:val="007B0662"/>
    <w:rsid w:val="007B10F3"/>
    <w:rsid w:val="007B192D"/>
    <w:rsid w:val="007B1ADB"/>
    <w:rsid w:val="007B24F7"/>
    <w:rsid w:val="007B2841"/>
    <w:rsid w:val="007B2FA4"/>
    <w:rsid w:val="007B3B58"/>
    <w:rsid w:val="007B47B4"/>
    <w:rsid w:val="007B497F"/>
    <w:rsid w:val="007B52EE"/>
    <w:rsid w:val="007B532A"/>
    <w:rsid w:val="007B6542"/>
    <w:rsid w:val="007B672A"/>
    <w:rsid w:val="007B6A2F"/>
    <w:rsid w:val="007B6E64"/>
    <w:rsid w:val="007B7044"/>
    <w:rsid w:val="007B7287"/>
    <w:rsid w:val="007B72B8"/>
    <w:rsid w:val="007B7454"/>
    <w:rsid w:val="007C01C4"/>
    <w:rsid w:val="007C03BD"/>
    <w:rsid w:val="007C0F44"/>
    <w:rsid w:val="007C10B1"/>
    <w:rsid w:val="007C1C37"/>
    <w:rsid w:val="007C24A6"/>
    <w:rsid w:val="007C2587"/>
    <w:rsid w:val="007C2776"/>
    <w:rsid w:val="007C2D34"/>
    <w:rsid w:val="007C3307"/>
    <w:rsid w:val="007C360D"/>
    <w:rsid w:val="007C377C"/>
    <w:rsid w:val="007C3E7D"/>
    <w:rsid w:val="007C4838"/>
    <w:rsid w:val="007C4A72"/>
    <w:rsid w:val="007C52BF"/>
    <w:rsid w:val="007C568D"/>
    <w:rsid w:val="007C5B43"/>
    <w:rsid w:val="007C6120"/>
    <w:rsid w:val="007C619C"/>
    <w:rsid w:val="007C6226"/>
    <w:rsid w:val="007C6571"/>
    <w:rsid w:val="007C6BFF"/>
    <w:rsid w:val="007C756E"/>
    <w:rsid w:val="007C7927"/>
    <w:rsid w:val="007C7A9D"/>
    <w:rsid w:val="007D069E"/>
    <w:rsid w:val="007D1848"/>
    <w:rsid w:val="007D19EA"/>
    <w:rsid w:val="007D1ADD"/>
    <w:rsid w:val="007D1E23"/>
    <w:rsid w:val="007D215F"/>
    <w:rsid w:val="007D2449"/>
    <w:rsid w:val="007D2BCF"/>
    <w:rsid w:val="007D2D7C"/>
    <w:rsid w:val="007D2DAB"/>
    <w:rsid w:val="007D3428"/>
    <w:rsid w:val="007D43BC"/>
    <w:rsid w:val="007D43EF"/>
    <w:rsid w:val="007D4668"/>
    <w:rsid w:val="007D46DF"/>
    <w:rsid w:val="007D49DB"/>
    <w:rsid w:val="007D4DBE"/>
    <w:rsid w:val="007D5836"/>
    <w:rsid w:val="007D5BC5"/>
    <w:rsid w:val="007D641E"/>
    <w:rsid w:val="007D6D50"/>
    <w:rsid w:val="007D7009"/>
    <w:rsid w:val="007D7102"/>
    <w:rsid w:val="007D741E"/>
    <w:rsid w:val="007D7938"/>
    <w:rsid w:val="007D7D0E"/>
    <w:rsid w:val="007E0556"/>
    <w:rsid w:val="007E098D"/>
    <w:rsid w:val="007E09BF"/>
    <w:rsid w:val="007E0D82"/>
    <w:rsid w:val="007E1346"/>
    <w:rsid w:val="007E1744"/>
    <w:rsid w:val="007E1DD3"/>
    <w:rsid w:val="007E1ED2"/>
    <w:rsid w:val="007E22B3"/>
    <w:rsid w:val="007E28FD"/>
    <w:rsid w:val="007E2D1A"/>
    <w:rsid w:val="007E302D"/>
    <w:rsid w:val="007E3512"/>
    <w:rsid w:val="007E41AA"/>
    <w:rsid w:val="007E55C8"/>
    <w:rsid w:val="007E561D"/>
    <w:rsid w:val="007E57B9"/>
    <w:rsid w:val="007E5CE4"/>
    <w:rsid w:val="007E5DB8"/>
    <w:rsid w:val="007E691A"/>
    <w:rsid w:val="007E6DB4"/>
    <w:rsid w:val="007E6F77"/>
    <w:rsid w:val="007F02DC"/>
    <w:rsid w:val="007F03A2"/>
    <w:rsid w:val="007F0727"/>
    <w:rsid w:val="007F209A"/>
    <w:rsid w:val="007F2122"/>
    <w:rsid w:val="007F2747"/>
    <w:rsid w:val="007F3005"/>
    <w:rsid w:val="007F3127"/>
    <w:rsid w:val="007F3558"/>
    <w:rsid w:val="007F35F0"/>
    <w:rsid w:val="007F38C5"/>
    <w:rsid w:val="007F3B46"/>
    <w:rsid w:val="007F3CE8"/>
    <w:rsid w:val="007F3D52"/>
    <w:rsid w:val="007F4CED"/>
    <w:rsid w:val="007F5310"/>
    <w:rsid w:val="007F54BC"/>
    <w:rsid w:val="007F5573"/>
    <w:rsid w:val="007F5B33"/>
    <w:rsid w:val="007F6237"/>
    <w:rsid w:val="007F77CA"/>
    <w:rsid w:val="007F78B2"/>
    <w:rsid w:val="007F7902"/>
    <w:rsid w:val="008000C3"/>
    <w:rsid w:val="0080060D"/>
    <w:rsid w:val="00800790"/>
    <w:rsid w:val="00800D23"/>
    <w:rsid w:val="0080113F"/>
    <w:rsid w:val="00801901"/>
    <w:rsid w:val="00801AF5"/>
    <w:rsid w:val="00801DB0"/>
    <w:rsid w:val="008023B8"/>
    <w:rsid w:val="00802755"/>
    <w:rsid w:val="0080285C"/>
    <w:rsid w:val="008037D2"/>
    <w:rsid w:val="00803BB7"/>
    <w:rsid w:val="00803F6D"/>
    <w:rsid w:val="00804740"/>
    <w:rsid w:val="008052C2"/>
    <w:rsid w:val="00805646"/>
    <w:rsid w:val="008064BC"/>
    <w:rsid w:val="00806627"/>
    <w:rsid w:val="0080674B"/>
    <w:rsid w:val="00807328"/>
    <w:rsid w:val="008077B5"/>
    <w:rsid w:val="00807DBF"/>
    <w:rsid w:val="00810533"/>
    <w:rsid w:val="0081055E"/>
    <w:rsid w:val="00810728"/>
    <w:rsid w:val="008109ED"/>
    <w:rsid w:val="0081102E"/>
    <w:rsid w:val="00811039"/>
    <w:rsid w:val="008114E6"/>
    <w:rsid w:val="00811A55"/>
    <w:rsid w:val="00811DDF"/>
    <w:rsid w:val="008124DF"/>
    <w:rsid w:val="008128B8"/>
    <w:rsid w:val="00812B76"/>
    <w:rsid w:val="00812C9C"/>
    <w:rsid w:val="00812D4F"/>
    <w:rsid w:val="00813B2A"/>
    <w:rsid w:val="00813CA5"/>
    <w:rsid w:val="00815781"/>
    <w:rsid w:val="00816E4C"/>
    <w:rsid w:val="00816F78"/>
    <w:rsid w:val="00817190"/>
    <w:rsid w:val="00817207"/>
    <w:rsid w:val="00820403"/>
    <w:rsid w:val="00822F22"/>
    <w:rsid w:val="0082301F"/>
    <w:rsid w:val="008238C9"/>
    <w:rsid w:val="0082425F"/>
    <w:rsid w:val="008261D9"/>
    <w:rsid w:val="008261E3"/>
    <w:rsid w:val="008265D6"/>
    <w:rsid w:val="00826BDD"/>
    <w:rsid w:val="00826F01"/>
    <w:rsid w:val="00827500"/>
    <w:rsid w:val="00827D3E"/>
    <w:rsid w:val="00827F40"/>
    <w:rsid w:val="00830738"/>
    <w:rsid w:val="00831252"/>
    <w:rsid w:val="0083163B"/>
    <w:rsid w:val="00831B27"/>
    <w:rsid w:val="00831F72"/>
    <w:rsid w:val="00832155"/>
    <w:rsid w:val="00832339"/>
    <w:rsid w:val="00832703"/>
    <w:rsid w:val="0083271E"/>
    <w:rsid w:val="00832748"/>
    <w:rsid w:val="00832EF1"/>
    <w:rsid w:val="008335AB"/>
    <w:rsid w:val="008342C1"/>
    <w:rsid w:val="00834927"/>
    <w:rsid w:val="00834BB8"/>
    <w:rsid w:val="00834EBF"/>
    <w:rsid w:val="0083505E"/>
    <w:rsid w:val="0083509C"/>
    <w:rsid w:val="0083531A"/>
    <w:rsid w:val="0083583D"/>
    <w:rsid w:val="0083606F"/>
    <w:rsid w:val="008367F8"/>
    <w:rsid w:val="00836B55"/>
    <w:rsid w:val="0083746A"/>
    <w:rsid w:val="00837C2A"/>
    <w:rsid w:val="00840579"/>
    <w:rsid w:val="008408C1"/>
    <w:rsid w:val="00840AB8"/>
    <w:rsid w:val="00840FA7"/>
    <w:rsid w:val="008417B6"/>
    <w:rsid w:val="00841A8E"/>
    <w:rsid w:val="00841E45"/>
    <w:rsid w:val="00841F21"/>
    <w:rsid w:val="00842B5E"/>
    <w:rsid w:val="008437E4"/>
    <w:rsid w:val="008439D2"/>
    <w:rsid w:val="00843CAF"/>
    <w:rsid w:val="008449E8"/>
    <w:rsid w:val="00844AF0"/>
    <w:rsid w:val="00844D73"/>
    <w:rsid w:val="00845498"/>
    <w:rsid w:val="008457B4"/>
    <w:rsid w:val="00845AC8"/>
    <w:rsid w:val="00845D7A"/>
    <w:rsid w:val="00846944"/>
    <w:rsid w:val="00846C61"/>
    <w:rsid w:val="00847C56"/>
    <w:rsid w:val="0085013D"/>
    <w:rsid w:val="00850242"/>
    <w:rsid w:val="0085047B"/>
    <w:rsid w:val="00850907"/>
    <w:rsid w:val="00850D78"/>
    <w:rsid w:val="008510A6"/>
    <w:rsid w:val="00851541"/>
    <w:rsid w:val="00851FCE"/>
    <w:rsid w:val="00852062"/>
    <w:rsid w:val="00852A79"/>
    <w:rsid w:val="00852BFE"/>
    <w:rsid w:val="0085342E"/>
    <w:rsid w:val="008538D3"/>
    <w:rsid w:val="00853A0F"/>
    <w:rsid w:val="008543A9"/>
    <w:rsid w:val="00854B7F"/>
    <w:rsid w:val="00854CAC"/>
    <w:rsid w:val="008554F7"/>
    <w:rsid w:val="00855793"/>
    <w:rsid w:val="00855797"/>
    <w:rsid w:val="0085690A"/>
    <w:rsid w:val="0085696F"/>
    <w:rsid w:val="00856A18"/>
    <w:rsid w:val="00856B7A"/>
    <w:rsid w:val="00856D37"/>
    <w:rsid w:val="00857126"/>
    <w:rsid w:val="00857368"/>
    <w:rsid w:val="0085757E"/>
    <w:rsid w:val="00857810"/>
    <w:rsid w:val="00857AA1"/>
    <w:rsid w:val="00857F0B"/>
    <w:rsid w:val="00860002"/>
    <w:rsid w:val="008618E4"/>
    <w:rsid w:val="00861C58"/>
    <w:rsid w:val="00861D96"/>
    <w:rsid w:val="008632E7"/>
    <w:rsid w:val="00863694"/>
    <w:rsid w:val="00863B50"/>
    <w:rsid w:val="00863BCC"/>
    <w:rsid w:val="00864C84"/>
    <w:rsid w:val="00865197"/>
    <w:rsid w:val="00865342"/>
    <w:rsid w:val="00865ADE"/>
    <w:rsid w:val="00865FB1"/>
    <w:rsid w:val="008669C1"/>
    <w:rsid w:val="00866B8C"/>
    <w:rsid w:val="00867570"/>
    <w:rsid w:val="00867EF0"/>
    <w:rsid w:val="00870783"/>
    <w:rsid w:val="00870A55"/>
    <w:rsid w:val="00870AD9"/>
    <w:rsid w:val="0087110E"/>
    <w:rsid w:val="0087116B"/>
    <w:rsid w:val="008718AA"/>
    <w:rsid w:val="0087311E"/>
    <w:rsid w:val="00873513"/>
    <w:rsid w:val="00874662"/>
    <w:rsid w:val="00874DC9"/>
    <w:rsid w:val="00875906"/>
    <w:rsid w:val="00875C85"/>
    <w:rsid w:val="00875D0C"/>
    <w:rsid w:val="00876070"/>
    <w:rsid w:val="00876457"/>
    <w:rsid w:val="0087682F"/>
    <w:rsid w:val="00877173"/>
    <w:rsid w:val="008775DE"/>
    <w:rsid w:val="0087776C"/>
    <w:rsid w:val="008804D3"/>
    <w:rsid w:val="00880A09"/>
    <w:rsid w:val="00880CFC"/>
    <w:rsid w:val="008813D8"/>
    <w:rsid w:val="00881F5B"/>
    <w:rsid w:val="00882797"/>
    <w:rsid w:val="00883032"/>
    <w:rsid w:val="00884376"/>
    <w:rsid w:val="00884C03"/>
    <w:rsid w:val="00884FF2"/>
    <w:rsid w:val="00885B4D"/>
    <w:rsid w:val="00886FE1"/>
    <w:rsid w:val="00887083"/>
    <w:rsid w:val="008870B6"/>
    <w:rsid w:val="00887889"/>
    <w:rsid w:val="00887BBE"/>
    <w:rsid w:val="00890AB1"/>
    <w:rsid w:val="0089119C"/>
    <w:rsid w:val="008911C4"/>
    <w:rsid w:val="008911D5"/>
    <w:rsid w:val="00891298"/>
    <w:rsid w:val="0089205A"/>
    <w:rsid w:val="008925C9"/>
    <w:rsid w:val="00892D2F"/>
    <w:rsid w:val="00893738"/>
    <w:rsid w:val="00893E90"/>
    <w:rsid w:val="008941BD"/>
    <w:rsid w:val="0089478E"/>
    <w:rsid w:val="00894F20"/>
    <w:rsid w:val="0089521D"/>
    <w:rsid w:val="00895478"/>
    <w:rsid w:val="00895A98"/>
    <w:rsid w:val="00895C17"/>
    <w:rsid w:val="00896400"/>
    <w:rsid w:val="00896CC0"/>
    <w:rsid w:val="00896F49"/>
    <w:rsid w:val="0089756A"/>
    <w:rsid w:val="00897806"/>
    <w:rsid w:val="00897DB1"/>
    <w:rsid w:val="008A00EA"/>
    <w:rsid w:val="008A02E9"/>
    <w:rsid w:val="008A052A"/>
    <w:rsid w:val="008A0A57"/>
    <w:rsid w:val="008A1381"/>
    <w:rsid w:val="008A186A"/>
    <w:rsid w:val="008A188D"/>
    <w:rsid w:val="008A1C73"/>
    <w:rsid w:val="008A1EDF"/>
    <w:rsid w:val="008A210C"/>
    <w:rsid w:val="008A21BE"/>
    <w:rsid w:val="008A21D2"/>
    <w:rsid w:val="008A2772"/>
    <w:rsid w:val="008A2799"/>
    <w:rsid w:val="008A3076"/>
    <w:rsid w:val="008A3329"/>
    <w:rsid w:val="008A33FE"/>
    <w:rsid w:val="008A361A"/>
    <w:rsid w:val="008A4038"/>
    <w:rsid w:val="008A5221"/>
    <w:rsid w:val="008A60DE"/>
    <w:rsid w:val="008A61C5"/>
    <w:rsid w:val="008A6440"/>
    <w:rsid w:val="008A6501"/>
    <w:rsid w:val="008A6771"/>
    <w:rsid w:val="008A6850"/>
    <w:rsid w:val="008A7A52"/>
    <w:rsid w:val="008A7FA3"/>
    <w:rsid w:val="008A7FCD"/>
    <w:rsid w:val="008B0193"/>
    <w:rsid w:val="008B0914"/>
    <w:rsid w:val="008B0DA8"/>
    <w:rsid w:val="008B0F9E"/>
    <w:rsid w:val="008B102C"/>
    <w:rsid w:val="008B14AE"/>
    <w:rsid w:val="008B1626"/>
    <w:rsid w:val="008B16BB"/>
    <w:rsid w:val="008B20D0"/>
    <w:rsid w:val="008B2AC9"/>
    <w:rsid w:val="008B37BB"/>
    <w:rsid w:val="008B3C91"/>
    <w:rsid w:val="008B3CBF"/>
    <w:rsid w:val="008B405E"/>
    <w:rsid w:val="008B40CC"/>
    <w:rsid w:val="008B42D3"/>
    <w:rsid w:val="008B442C"/>
    <w:rsid w:val="008B51C5"/>
    <w:rsid w:val="008B55AD"/>
    <w:rsid w:val="008B5B34"/>
    <w:rsid w:val="008B5F3B"/>
    <w:rsid w:val="008B610E"/>
    <w:rsid w:val="008B61B5"/>
    <w:rsid w:val="008B65CA"/>
    <w:rsid w:val="008B69F4"/>
    <w:rsid w:val="008B732E"/>
    <w:rsid w:val="008C0065"/>
    <w:rsid w:val="008C00B1"/>
    <w:rsid w:val="008C05FD"/>
    <w:rsid w:val="008C15CE"/>
    <w:rsid w:val="008C16B1"/>
    <w:rsid w:val="008C28E1"/>
    <w:rsid w:val="008C2B39"/>
    <w:rsid w:val="008C2BAD"/>
    <w:rsid w:val="008C2D52"/>
    <w:rsid w:val="008C2F82"/>
    <w:rsid w:val="008C36F7"/>
    <w:rsid w:val="008C3987"/>
    <w:rsid w:val="008C3CCA"/>
    <w:rsid w:val="008C5718"/>
    <w:rsid w:val="008C5AB0"/>
    <w:rsid w:val="008C5DC6"/>
    <w:rsid w:val="008C5EF4"/>
    <w:rsid w:val="008C6C32"/>
    <w:rsid w:val="008C6DFA"/>
    <w:rsid w:val="008C735C"/>
    <w:rsid w:val="008C73CE"/>
    <w:rsid w:val="008D0460"/>
    <w:rsid w:val="008D1A91"/>
    <w:rsid w:val="008D1B85"/>
    <w:rsid w:val="008D1D63"/>
    <w:rsid w:val="008D284F"/>
    <w:rsid w:val="008D2E61"/>
    <w:rsid w:val="008D3476"/>
    <w:rsid w:val="008D3A89"/>
    <w:rsid w:val="008D429E"/>
    <w:rsid w:val="008D4387"/>
    <w:rsid w:val="008D439B"/>
    <w:rsid w:val="008D47A7"/>
    <w:rsid w:val="008D4BD3"/>
    <w:rsid w:val="008D5726"/>
    <w:rsid w:val="008D65C6"/>
    <w:rsid w:val="008D6FEB"/>
    <w:rsid w:val="008D73BC"/>
    <w:rsid w:val="008D74B7"/>
    <w:rsid w:val="008D78B4"/>
    <w:rsid w:val="008E0CFF"/>
    <w:rsid w:val="008E1AD5"/>
    <w:rsid w:val="008E1BBD"/>
    <w:rsid w:val="008E1CA1"/>
    <w:rsid w:val="008E2643"/>
    <w:rsid w:val="008E2B77"/>
    <w:rsid w:val="008E4753"/>
    <w:rsid w:val="008E4B55"/>
    <w:rsid w:val="008E5D42"/>
    <w:rsid w:val="008E62E0"/>
    <w:rsid w:val="008E6F13"/>
    <w:rsid w:val="008E70D0"/>
    <w:rsid w:val="008E78EB"/>
    <w:rsid w:val="008E7B30"/>
    <w:rsid w:val="008F0613"/>
    <w:rsid w:val="008F1BF2"/>
    <w:rsid w:val="008F1EB5"/>
    <w:rsid w:val="008F2556"/>
    <w:rsid w:val="008F51E3"/>
    <w:rsid w:val="008F5AFD"/>
    <w:rsid w:val="008F5DBF"/>
    <w:rsid w:val="008F6548"/>
    <w:rsid w:val="008F6821"/>
    <w:rsid w:val="008F6AE4"/>
    <w:rsid w:val="008F6E52"/>
    <w:rsid w:val="008F7640"/>
    <w:rsid w:val="008F76F1"/>
    <w:rsid w:val="008F79C1"/>
    <w:rsid w:val="00900D38"/>
    <w:rsid w:val="0090114D"/>
    <w:rsid w:val="0090205F"/>
    <w:rsid w:val="00902B00"/>
    <w:rsid w:val="00903150"/>
    <w:rsid w:val="009035A3"/>
    <w:rsid w:val="00903E7D"/>
    <w:rsid w:val="009045D9"/>
    <w:rsid w:val="00904B0E"/>
    <w:rsid w:val="00904D9D"/>
    <w:rsid w:val="00905090"/>
    <w:rsid w:val="00905402"/>
    <w:rsid w:val="00905829"/>
    <w:rsid w:val="00905A28"/>
    <w:rsid w:val="00906C0D"/>
    <w:rsid w:val="00906FEA"/>
    <w:rsid w:val="0090766E"/>
    <w:rsid w:val="00907B85"/>
    <w:rsid w:val="009108ED"/>
    <w:rsid w:val="00910A3C"/>
    <w:rsid w:val="00910B69"/>
    <w:rsid w:val="0091105E"/>
    <w:rsid w:val="00911C5C"/>
    <w:rsid w:val="00912620"/>
    <w:rsid w:val="00913DD6"/>
    <w:rsid w:val="00914E6F"/>
    <w:rsid w:val="00915DF5"/>
    <w:rsid w:val="00916013"/>
    <w:rsid w:val="00916BFE"/>
    <w:rsid w:val="0091755D"/>
    <w:rsid w:val="00917831"/>
    <w:rsid w:val="00920350"/>
    <w:rsid w:val="00920CEF"/>
    <w:rsid w:val="00921089"/>
    <w:rsid w:val="009212EC"/>
    <w:rsid w:val="0092134C"/>
    <w:rsid w:val="0092144B"/>
    <w:rsid w:val="00921461"/>
    <w:rsid w:val="00921B96"/>
    <w:rsid w:val="00921BCC"/>
    <w:rsid w:val="009226AE"/>
    <w:rsid w:val="0092378D"/>
    <w:rsid w:val="00923B1E"/>
    <w:rsid w:val="00923B26"/>
    <w:rsid w:val="00923F6A"/>
    <w:rsid w:val="009243B8"/>
    <w:rsid w:val="009252F8"/>
    <w:rsid w:val="0092592E"/>
    <w:rsid w:val="00926944"/>
    <w:rsid w:val="009272B4"/>
    <w:rsid w:val="00927D27"/>
    <w:rsid w:val="00927D6B"/>
    <w:rsid w:val="009307C3"/>
    <w:rsid w:val="00930ACF"/>
    <w:rsid w:val="00930C31"/>
    <w:rsid w:val="00931284"/>
    <w:rsid w:val="009315E6"/>
    <w:rsid w:val="00932303"/>
    <w:rsid w:val="00932459"/>
    <w:rsid w:val="00932772"/>
    <w:rsid w:val="00932B71"/>
    <w:rsid w:val="009351D5"/>
    <w:rsid w:val="00935E91"/>
    <w:rsid w:val="009364CB"/>
    <w:rsid w:val="00936E11"/>
    <w:rsid w:val="009374E6"/>
    <w:rsid w:val="009377B0"/>
    <w:rsid w:val="00937AD8"/>
    <w:rsid w:val="00937F5D"/>
    <w:rsid w:val="00937FFA"/>
    <w:rsid w:val="0094032B"/>
    <w:rsid w:val="0094040D"/>
    <w:rsid w:val="00940761"/>
    <w:rsid w:val="00941310"/>
    <w:rsid w:val="00941871"/>
    <w:rsid w:val="00941A51"/>
    <w:rsid w:val="00943A6A"/>
    <w:rsid w:val="0094447D"/>
    <w:rsid w:val="0094644D"/>
    <w:rsid w:val="009466D3"/>
    <w:rsid w:val="00946A49"/>
    <w:rsid w:val="00946B43"/>
    <w:rsid w:val="00946ECD"/>
    <w:rsid w:val="00947D53"/>
    <w:rsid w:val="00947F4C"/>
    <w:rsid w:val="00950DE7"/>
    <w:rsid w:val="00950EFB"/>
    <w:rsid w:val="009510D5"/>
    <w:rsid w:val="0095148F"/>
    <w:rsid w:val="00951610"/>
    <w:rsid w:val="00951718"/>
    <w:rsid w:val="00951EE7"/>
    <w:rsid w:val="009524E5"/>
    <w:rsid w:val="009526BE"/>
    <w:rsid w:val="00952792"/>
    <w:rsid w:val="00954222"/>
    <w:rsid w:val="00954671"/>
    <w:rsid w:val="009546E4"/>
    <w:rsid w:val="00955002"/>
    <w:rsid w:val="00955793"/>
    <w:rsid w:val="00955F38"/>
    <w:rsid w:val="009561F0"/>
    <w:rsid w:val="00956A0E"/>
    <w:rsid w:val="00956D21"/>
    <w:rsid w:val="00956DA8"/>
    <w:rsid w:val="00956E71"/>
    <w:rsid w:val="00957808"/>
    <w:rsid w:val="00960F11"/>
    <w:rsid w:val="0096115F"/>
    <w:rsid w:val="00961F6A"/>
    <w:rsid w:val="00962372"/>
    <w:rsid w:val="0096295B"/>
    <w:rsid w:val="00962B1C"/>
    <w:rsid w:val="00963B72"/>
    <w:rsid w:val="0096420C"/>
    <w:rsid w:val="00964A71"/>
    <w:rsid w:val="00964C5B"/>
    <w:rsid w:val="00964EDB"/>
    <w:rsid w:val="00964FB4"/>
    <w:rsid w:val="00965545"/>
    <w:rsid w:val="00965A02"/>
    <w:rsid w:val="00965B92"/>
    <w:rsid w:val="009666CF"/>
    <w:rsid w:val="00966BE7"/>
    <w:rsid w:val="009670A8"/>
    <w:rsid w:val="0096724B"/>
    <w:rsid w:val="009674AF"/>
    <w:rsid w:val="009674B2"/>
    <w:rsid w:val="009709FA"/>
    <w:rsid w:val="00970D31"/>
    <w:rsid w:val="00970E84"/>
    <w:rsid w:val="009712F8"/>
    <w:rsid w:val="00971323"/>
    <w:rsid w:val="009715D2"/>
    <w:rsid w:val="009722F2"/>
    <w:rsid w:val="00972EC6"/>
    <w:rsid w:val="009731E7"/>
    <w:rsid w:val="00973234"/>
    <w:rsid w:val="00973590"/>
    <w:rsid w:val="00973AD4"/>
    <w:rsid w:val="00973B92"/>
    <w:rsid w:val="00974711"/>
    <w:rsid w:val="009748F7"/>
    <w:rsid w:val="00975B6C"/>
    <w:rsid w:val="00975CB6"/>
    <w:rsid w:val="0097641A"/>
    <w:rsid w:val="009765E6"/>
    <w:rsid w:val="009771EF"/>
    <w:rsid w:val="00977200"/>
    <w:rsid w:val="009776F4"/>
    <w:rsid w:val="00977BF2"/>
    <w:rsid w:val="00977D55"/>
    <w:rsid w:val="009804A9"/>
    <w:rsid w:val="009805C5"/>
    <w:rsid w:val="009814F0"/>
    <w:rsid w:val="00981554"/>
    <w:rsid w:val="00981BD1"/>
    <w:rsid w:val="00982307"/>
    <w:rsid w:val="00982928"/>
    <w:rsid w:val="00982DD7"/>
    <w:rsid w:val="0098327D"/>
    <w:rsid w:val="0098328F"/>
    <w:rsid w:val="0098356E"/>
    <w:rsid w:val="00983BEB"/>
    <w:rsid w:val="00984446"/>
    <w:rsid w:val="00984E1D"/>
    <w:rsid w:val="00984F5C"/>
    <w:rsid w:val="009850CB"/>
    <w:rsid w:val="0098510D"/>
    <w:rsid w:val="0098593D"/>
    <w:rsid w:val="00985E16"/>
    <w:rsid w:val="0098631F"/>
    <w:rsid w:val="00986C2A"/>
    <w:rsid w:val="00986FBD"/>
    <w:rsid w:val="00986FCC"/>
    <w:rsid w:val="009873E6"/>
    <w:rsid w:val="009876A9"/>
    <w:rsid w:val="009879B7"/>
    <w:rsid w:val="009879F1"/>
    <w:rsid w:val="00987B54"/>
    <w:rsid w:val="009904D6"/>
    <w:rsid w:val="0099051A"/>
    <w:rsid w:val="00990992"/>
    <w:rsid w:val="00991403"/>
    <w:rsid w:val="00991404"/>
    <w:rsid w:val="00991E36"/>
    <w:rsid w:val="00992357"/>
    <w:rsid w:val="009926F0"/>
    <w:rsid w:val="00992B28"/>
    <w:rsid w:val="00993809"/>
    <w:rsid w:val="00993F06"/>
    <w:rsid w:val="0099481D"/>
    <w:rsid w:val="00994A6F"/>
    <w:rsid w:val="009967DA"/>
    <w:rsid w:val="00996889"/>
    <w:rsid w:val="00996DC8"/>
    <w:rsid w:val="0099745F"/>
    <w:rsid w:val="00997C2E"/>
    <w:rsid w:val="00997F9A"/>
    <w:rsid w:val="009A0147"/>
    <w:rsid w:val="009A08B1"/>
    <w:rsid w:val="009A0A46"/>
    <w:rsid w:val="009A153D"/>
    <w:rsid w:val="009A196E"/>
    <w:rsid w:val="009A197C"/>
    <w:rsid w:val="009A1D37"/>
    <w:rsid w:val="009A1E3A"/>
    <w:rsid w:val="009A3067"/>
    <w:rsid w:val="009A399D"/>
    <w:rsid w:val="009A416A"/>
    <w:rsid w:val="009A4C03"/>
    <w:rsid w:val="009A4ECA"/>
    <w:rsid w:val="009A51A6"/>
    <w:rsid w:val="009A69AC"/>
    <w:rsid w:val="009A6C81"/>
    <w:rsid w:val="009A6E78"/>
    <w:rsid w:val="009A7390"/>
    <w:rsid w:val="009A798D"/>
    <w:rsid w:val="009A7AD5"/>
    <w:rsid w:val="009B05B5"/>
    <w:rsid w:val="009B0D13"/>
    <w:rsid w:val="009B14B6"/>
    <w:rsid w:val="009B15BC"/>
    <w:rsid w:val="009B16AF"/>
    <w:rsid w:val="009B1741"/>
    <w:rsid w:val="009B18A4"/>
    <w:rsid w:val="009B1DA9"/>
    <w:rsid w:val="009B26F9"/>
    <w:rsid w:val="009B2EA7"/>
    <w:rsid w:val="009B2F31"/>
    <w:rsid w:val="009B45C9"/>
    <w:rsid w:val="009B5062"/>
    <w:rsid w:val="009B6853"/>
    <w:rsid w:val="009B7006"/>
    <w:rsid w:val="009B71E8"/>
    <w:rsid w:val="009B7B20"/>
    <w:rsid w:val="009C03D5"/>
    <w:rsid w:val="009C0A80"/>
    <w:rsid w:val="009C15D0"/>
    <w:rsid w:val="009C210E"/>
    <w:rsid w:val="009C286D"/>
    <w:rsid w:val="009C2F7C"/>
    <w:rsid w:val="009C3ED0"/>
    <w:rsid w:val="009C42B3"/>
    <w:rsid w:val="009C457A"/>
    <w:rsid w:val="009C4926"/>
    <w:rsid w:val="009C4A83"/>
    <w:rsid w:val="009C4CA7"/>
    <w:rsid w:val="009C5245"/>
    <w:rsid w:val="009C55B8"/>
    <w:rsid w:val="009C5B8E"/>
    <w:rsid w:val="009C5E1E"/>
    <w:rsid w:val="009C6805"/>
    <w:rsid w:val="009C690B"/>
    <w:rsid w:val="009C6DE0"/>
    <w:rsid w:val="009C6FEA"/>
    <w:rsid w:val="009C7136"/>
    <w:rsid w:val="009D083C"/>
    <w:rsid w:val="009D0D1F"/>
    <w:rsid w:val="009D15CE"/>
    <w:rsid w:val="009D1759"/>
    <w:rsid w:val="009D18CF"/>
    <w:rsid w:val="009D278E"/>
    <w:rsid w:val="009D38CE"/>
    <w:rsid w:val="009D4465"/>
    <w:rsid w:val="009D47FF"/>
    <w:rsid w:val="009D4D68"/>
    <w:rsid w:val="009D5051"/>
    <w:rsid w:val="009D587F"/>
    <w:rsid w:val="009D647D"/>
    <w:rsid w:val="009D6570"/>
    <w:rsid w:val="009D690E"/>
    <w:rsid w:val="009D6B1B"/>
    <w:rsid w:val="009D6CB1"/>
    <w:rsid w:val="009D6E6A"/>
    <w:rsid w:val="009D6F8F"/>
    <w:rsid w:val="009D7011"/>
    <w:rsid w:val="009D714C"/>
    <w:rsid w:val="009D7326"/>
    <w:rsid w:val="009D7BA8"/>
    <w:rsid w:val="009D7DCE"/>
    <w:rsid w:val="009D7EC8"/>
    <w:rsid w:val="009D7FE7"/>
    <w:rsid w:val="009E0339"/>
    <w:rsid w:val="009E05C8"/>
    <w:rsid w:val="009E13C2"/>
    <w:rsid w:val="009E1AC2"/>
    <w:rsid w:val="009E1D42"/>
    <w:rsid w:val="009E1F3C"/>
    <w:rsid w:val="009E22D1"/>
    <w:rsid w:val="009E2BCE"/>
    <w:rsid w:val="009E3260"/>
    <w:rsid w:val="009E4715"/>
    <w:rsid w:val="009E4B5C"/>
    <w:rsid w:val="009E4D67"/>
    <w:rsid w:val="009E6599"/>
    <w:rsid w:val="009E6981"/>
    <w:rsid w:val="009E6A4E"/>
    <w:rsid w:val="009E71B6"/>
    <w:rsid w:val="009E732F"/>
    <w:rsid w:val="009E78EA"/>
    <w:rsid w:val="009F00FF"/>
    <w:rsid w:val="009F0309"/>
    <w:rsid w:val="009F0543"/>
    <w:rsid w:val="009F0544"/>
    <w:rsid w:val="009F05D9"/>
    <w:rsid w:val="009F0C60"/>
    <w:rsid w:val="009F0DE4"/>
    <w:rsid w:val="009F1AC4"/>
    <w:rsid w:val="009F2FB7"/>
    <w:rsid w:val="009F32FF"/>
    <w:rsid w:val="009F423B"/>
    <w:rsid w:val="009F43D7"/>
    <w:rsid w:val="009F445D"/>
    <w:rsid w:val="009F4E51"/>
    <w:rsid w:val="009F5840"/>
    <w:rsid w:val="009F587F"/>
    <w:rsid w:val="009F614C"/>
    <w:rsid w:val="009F6FA7"/>
    <w:rsid w:val="009F7234"/>
    <w:rsid w:val="009F7887"/>
    <w:rsid w:val="009F7962"/>
    <w:rsid w:val="009F7A7B"/>
    <w:rsid w:val="00A00128"/>
    <w:rsid w:val="00A00254"/>
    <w:rsid w:val="00A007F0"/>
    <w:rsid w:val="00A01C4F"/>
    <w:rsid w:val="00A02F80"/>
    <w:rsid w:val="00A03638"/>
    <w:rsid w:val="00A042A9"/>
    <w:rsid w:val="00A0487F"/>
    <w:rsid w:val="00A04F1A"/>
    <w:rsid w:val="00A05273"/>
    <w:rsid w:val="00A053CB"/>
    <w:rsid w:val="00A0558D"/>
    <w:rsid w:val="00A05750"/>
    <w:rsid w:val="00A058C6"/>
    <w:rsid w:val="00A061CF"/>
    <w:rsid w:val="00A06A61"/>
    <w:rsid w:val="00A06AF3"/>
    <w:rsid w:val="00A074A4"/>
    <w:rsid w:val="00A07675"/>
    <w:rsid w:val="00A1010D"/>
    <w:rsid w:val="00A1017D"/>
    <w:rsid w:val="00A10560"/>
    <w:rsid w:val="00A108E2"/>
    <w:rsid w:val="00A11D89"/>
    <w:rsid w:val="00A11ECA"/>
    <w:rsid w:val="00A12168"/>
    <w:rsid w:val="00A123BE"/>
    <w:rsid w:val="00A13610"/>
    <w:rsid w:val="00A139CA"/>
    <w:rsid w:val="00A144B3"/>
    <w:rsid w:val="00A14714"/>
    <w:rsid w:val="00A14A29"/>
    <w:rsid w:val="00A157F8"/>
    <w:rsid w:val="00A15EBD"/>
    <w:rsid w:val="00A173D9"/>
    <w:rsid w:val="00A17B57"/>
    <w:rsid w:val="00A17CE6"/>
    <w:rsid w:val="00A20B73"/>
    <w:rsid w:val="00A216BF"/>
    <w:rsid w:val="00A21952"/>
    <w:rsid w:val="00A2208F"/>
    <w:rsid w:val="00A22108"/>
    <w:rsid w:val="00A22188"/>
    <w:rsid w:val="00A22874"/>
    <w:rsid w:val="00A22ABE"/>
    <w:rsid w:val="00A22CD8"/>
    <w:rsid w:val="00A23490"/>
    <w:rsid w:val="00A236F4"/>
    <w:rsid w:val="00A23730"/>
    <w:rsid w:val="00A23856"/>
    <w:rsid w:val="00A24522"/>
    <w:rsid w:val="00A24FE3"/>
    <w:rsid w:val="00A2560D"/>
    <w:rsid w:val="00A2578A"/>
    <w:rsid w:val="00A257AE"/>
    <w:rsid w:val="00A25E98"/>
    <w:rsid w:val="00A2647D"/>
    <w:rsid w:val="00A2697E"/>
    <w:rsid w:val="00A272DC"/>
    <w:rsid w:val="00A276F9"/>
    <w:rsid w:val="00A2797C"/>
    <w:rsid w:val="00A30905"/>
    <w:rsid w:val="00A30E3B"/>
    <w:rsid w:val="00A31899"/>
    <w:rsid w:val="00A3195B"/>
    <w:rsid w:val="00A32347"/>
    <w:rsid w:val="00A32449"/>
    <w:rsid w:val="00A32989"/>
    <w:rsid w:val="00A32CD2"/>
    <w:rsid w:val="00A32DB8"/>
    <w:rsid w:val="00A33685"/>
    <w:rsid w:val="00A33784"/>
    <w:rsid w:val="00A34051"/>
    <w:rsid w:val="00A34229"/>
    <w:rsid w:val="00A3429D"/>
    <w:rsid w:val="00A3460B"/>
    <w:rsid w:val="00A34671"/>
    <w:rsid w:val="00A35F94"/>
    <w:rsid w:val="00A36251"/>
    <w:rsid w:val="00A364AF"/>
    <w:rsid w:val="00A36893"/>
    <w:rsid w:val="00A36AF7"/>
    <w:rsid w:val="00A37449"/>
    <w:rsid w:val="00A37A0E"/>
    <w:rsid w:val="00A37A5A"/>
    <w:rsid w:val="00A37A5D"/>
    <w:rsid w:val="00A41173"/>
    <w:rsid w:val="00A41B2B"/>
    <w:rsid w:val="00A422AD"/>
    <w:rsid w:val="00A422FA"/>
    <w:rsid w:val="00A42C3B"/>
    <w:rsid w:val="00A431B1"/>
    <w:rsid w:val="00A435A2"/>
    <w:rsid w:val="00A43BA1"/>
    <w:rsid w:val="00A43DD0"/>
    <w:rsid w:val="00A44666"/>
    <w:rsid w:val="00A45433"/>
    <w:rsid w:val="00A4737C"/>
    <w:rsid w:val="00A478AE"/>
    <w:rsid w:val="00A47B9F"/>
    <w:rsid w:val="00A5122B"/>
    <w:rsid w:val="00A522FD"/>
    <w:rsid w:val="00A52C5C"/>
    <w:rsid w:val="00A540AB"/>
    <w:rsid w:val="00A549CF"/>
    <w:rsid w:val="00A54D9F"/>
    <w:rsid w:val="00A54F2D"/>
    <w:rsid w:val="00A55BCB"/>
    <w:rsid w:val="00A55D87"/>
    <w:rsid w:val="00A55E5F"/>
    <w:rsid w:val="00A561A3"/>
    <w:rsid w:val="00A56406"/>
    <w:rsid w:val="00A56D8D"/>
    <w:rsid w:val="00A57796"/>
    <w:rsid w:val="00A57E34"/>
    <w:rsid w:val="00A6160C"/>
    <w:rsid w:val="00A6185B"/>
    <w:rsid w:val="00A61D31"/>
    <w:rsid w:val="00A6273F"/>
    <w:rsid w:val="00A63D11"/>
    <w:rsid w:val="00A646FD"/>
    <w:rsid w:val="00A649C7"/>
    <w:rsid w:val="00A65922"/>
    <w:rsid w:val="00A65C27"/>
    <w:rsid w:val="00A66010"/>
    <w:rsid w:val="00A66239"/>
    <w:rsid w:val="00A6680E"/>
    <w:rsid w:val="00A66FCE"/>
    <w:rsid w:val="00A6772B"/>
    <w:rsid w:val="00A67A1A"/>
    <w:rsid w:val="00A701B5"/>
    <w:rsid w:val="00A704EA"/>
    <w:rsid w:val="00A706F6"/>
    <w:rsid w:val="00A70D18"/>
    <w:rsid w:val="00A70E8E"/>
    <w:rsid w:val="00A72F85"/>
    <w:rsid w:val="00A74576"/>
    <w:rsid w:val="00A7499F"/>
    <w:rsid w:val="00A74F78"/>
    <w:rsid w:val="00A756B0"/>
    <w:rsid w:val="00A76DB7"/>
    <w:rsid w:val="00A76E94"/>
    <w:rsid w:val="00A76EED"/>
    <w:rsid w:val="00A774EC"/>
    <w:rsid w:val="00A7766A"/>
    <w:rsid w:val="00A77698"/>
    <w:rsid w:val="00A7770A"/>
    <w:rsid w:val="00A77961"/>
    <w:rsid w:val="00A77972"/>
    <w:rsid w:val="00A8074C"/>
    <w:rsid w:val="00A80911"/>
    <w:rsid w:val="00A80937"/>
    <w:rsid w:val="00A809F3"/>
    <w:rsid w:val="00A80C3B"/>
    <w:rsid w:val="00A80D37"/>
    <w:rsid w:val="00A81C7A"/>
    <w:rsid w:val="00A82375"/>
    <w:rsid w:val="00A8251A"/>
    <w:rsid w:val="00A8311E"/>
    <w:rsid w:val="00A833C9"/>
    <w:rsid w:val="00A83EBB"/>
    <w:rsid w:val="00A8420E"/>
    <w:rsid w:val="00A84AAB"/>
    <w:rsid w:val="00A84E4F"/>
    <w:rsid w:val="00A85065"/>
    <w:rsid w:val="00A8567D"/>
    <w:rsid w:val="00A87668"/>
    <w:rsid w:val="00A902B7"/>
    <w:rsid w:val="00A908FE"/>
    <w:rsid w:val="00A918EF"/>
    <w:rsid w:val="00A91D14"/>
    <w:rsid w:val="00A91F0E"/>
    <w:rsid w:val="00A935AE"/>
    <w:rsid w:val="00A935FD"/>
    <w:rsid w:val="00A93F87"/>
    <w:rsid w:val="00A945C3"/>
    <w:rsid w:val="00A945D1"/>
    <w:rsid w:val="00A94A24"/>
    <w:rsid w:val="00A94CD0"/>
    <w:rsid w:val="00A953C5"/>
    <w:rsid w:val="00A95E85"/>
    <w:rsid w:val="00A963D1"/>
    <w:rsid w:val="00A9762F"/>
    <w:rsid w:val="00A97845"/>
    <w:rsid w:val="00A97932"/>
    <w:rsid w:val="00AA0863"/>
    <w:rsid w:val="00AA1349"/>
    <w:rsid w:val="00AA146C"/>
    <w:rsid w:val="00AA14D0"/>
    <w:rsid w:val="00AA1D2F"/>
    <w:rsid w:val="00AA1E02"/>
    <w:rsid w:val="00AA20B1"/>
    <w:rsid w:val="00AA3CE0"/>
    <w:rsid w:val="00AA452B"/>
    <w:rsid w:val="00AA46A0"/>
    <w:rsid w:val="00AA475C"/>
    <w:rsid w:val="00AA493B"/>
    <w:rsid w:val="00AA4BEA"/>
    <w:rsid w:val="00AA5027"/>
    <w:rsid w:val="00AA5149"/>
    <w:rsid w:val="00AA5360"/>
    <w:rsid w:val="00AA5B12"/>
    <w:rsid w:val="00AA5D55"/>
    <w:rsid w:val="00AA643B"/>
    <w:rsid w:val="00AA6EBB"/>
    <w:rsid w:val="00AA706A"/>
    <w:rsid w:val="00AA7343"/>
    <w:rsid w:val="00AA76E3"/>
    <w:rsid w:val="00AA77EA"/>
    <w:rsid w:val="00AA7BFF"/>
    <w:rsid w:val="00AA7C5D"/>
    <w:rsid w:val="00AA7F87"/>
    <w:rsid w:val="00AB0682"/>
    <w:rsid w:val="00AB0A51"/>
    <w:rsid w:val="00AB0DDF"/>
    <w:rsid w:val="00AB0E7B"/>
    <w:rsid w:val="00AB0F91"/>
    <w:rsid w:val="00AB111D"/>
    <w:rsid w:val="00AB1A83"/>
    <w:rsid w:val="00AB2643"/>
    <w:rsid w:val="00AB2DE9"/>
    <w:rsid w:val="00AB2FA6"/>
    <w:rsid w:val="00AB313F"/>
    <w:rsid w:val="00AB3392"/>
    <w:rsid w:val="00AB372C"/>
    <w:rsid w:val="00AB3A5C"/>
    <w:rsid w:val="00AB3ED0"/>
    <w:rsid w:val="00AB4660"/>
    <w:rsid w:val="00AB5105"/>
    <w:rsid w:val="00AB51CD"/>
    <w:rsid w:val="00AB58DC"/>
    <w:rsid w:val="00AB5B6F"/>
    <w:rsid w:val="00AB5CBA"/>
    <w:rsid w:val="00AB6425"/>
    <w:rsid w:val="00AB6C00"/>
    <w:rsid w:val="00AB6F7F"/>
    <w:rsid w:val="00AC0396"/>
    <w:rsid w:val="00AC075E"/>
    <w:rsid w:val="00AC1213"/>
    <w:rsid w:val="00AC1B26"/>
    <w:rsid w:val="00AC1EFF"/>
    <w:rsid w:val="00AC283A"/>
    <w:rsid w:val="00AC31CC"/>
    <w:rsid w:val="00AC382B"/>
    <w:rsid w:val="00AC461D"/>
    <w:rsid w:val="00AC5FD1"/>
    <w:rsid w:val="00AC6165"/>
    <w:rsid w:val="00AC61DA"/>
    <w:rsid w:val="00AC673E"/>
    <w:rsid w:val="00AC6F21"/>
    <w:rsid w:val="00AC765E"/>
    <w:rsid w:val="00AC7BA2"/>
    <w:rsid w:val="00AC7C9A"/>
    <w:rsid w:val="00AD0E84"/>
    <w:rsid w:val="00AD0FAE"/>
    <w:rsid w:val="00AD1642"/>
    <w:rsid w:val="00AD224B"/>
    <w:rsid w:val="00AD2A5A"/>
    <w:rsid w:val="00AD2C44"/>
    <w:rsid w:val="00AD3675"/>
    <w:rsid w:val="00AD37AE"/>
    <w:rsid w:val="00AD44BA"/>
    <w:rsid w:val="00AD5561"/>
    <w:rsid w:val="00AD5F36"/>
    <w:rsid w:val="00AD609C"/>
    <w:rsid w:val="00AD6621"/>
    <w:rsid w:val="00AD6D13"/>
    <w:rsid w:val="00AD6E2E"/>
    <w:rsid w:val="00AD721D"/>
    <w:rsid w:val="00AD783F"/>
    <w:rsid w:val="00AD7BFF"/>
    <w:rsid w:val="00AE0004"/>
    <w:rsid w:val="00AE0D5E"/>
    <w:rsid w:val="00AE0E8E"/>
    <w:rsid w:val="00AE1894"/>
    <w:rsid w:val="00AE18CC"/>
    <w:rsid w:val="00AE1B95"/>
    <w:rsid w:val="00AE20E3"/>
    <w:rsid w:val="00AE2799"/>
    <w:rsid w:val="00AE3207"/>
    <w:rsid w:val="00AE369F"/>
    <w:rsid w:val="00AE3847"/>
    <w:rsid w:val="00AE3BF7"/>
    <w:rsid w:val="00AE3D8F"/>
    <w:rsid w:val="00AE41B3"/>
    <w:rsid w:val="00AE42F4"/>
    <w:rsid w:val="00AE437A"/>
    <w:rsid w:val="00AE4A7F"/>
    <w:rsid w:val="00AE5897"/>
    <w:rsid w:val="00AE5B32"/>
    <w:rsid w:val="00AE6087"/>
    <w:rsid w:val="00AE60FF"/>
    <w:rsid w:val="00AE618F"/>
    <w:rsid w:val="00AE6997"/>
    <w:rsid w:val="00AE69C4"/>
    <w:rsid w:val="00AE6A4E"/>
    <w:rsid w:val="00AE6C0F"/>
    <w:rsid w:val="00AE6E5A"/>
    <w:rsid w:val="00AE7DC9"/>
    <w:rsid w:val="00AF05FB"/>
    <w:rsid w:val="00AF09C6"/>
    <w:rsid w:val="00AF0A52"/>
    <w:rsid w:val="00AF1701"/>
    <w:rsid w:val="00AF1898"/>
    <w:rsid w:val="00AF25D1"/>
    <w:rsid w:val="00AF312B"/>
    <w:rsid w:val="00AF314C"/>
    <w:rsid w:val="00AF3A20"/>
    <w:rsid w:val="00AF46E3"/>
    <w:rsid w:val="00AF47CF"/>
    <w:rsid w:val="00AF482F"/>
    <w:rsid w:val="00AF57EB"/>
    <w:rsid w:val="00AF6BDE"/>
    <w:rsid w:val="00AF6CF2"/>
    <w:rsid w:val="00AF72CC"/>
    <w:rsid w:val="00B00014"/>
    <w:rsid w:val="00B003B5"/>
    <w:rsid w:val="00B012D2"/>
    <w:rsid w:val="00B02069"/>
    <w:rsid w:val="00B02301"/>
    <w:rsid w:val="00B02482"/>
    <w:rsid w:val="00B024EA"/>
    <w:rsid w:val="00B02608"/>
    <w:rsid w:val="00B02823"/>
    <w:rsid w:val="00B02B53"/>
    <w:rsid w:val="00B02DE1"/>
    <w:rsid w:val="00B031ED"/>
    <w:rsid w:val="00B0346A"/>
    <w:rsid w:val="00B03482"/>
    <w:rsid w:val="00B0372E"/>
    <w:rsid w:val="00B03C65"/>
    <w:rsid w:val="00B0483B"/>
    <w:rsid w:val="00B04989"/>
    <w:rsid w:val="00B04C28"/>
    <w:rsid w:val="00B04C5D"/>
    <w:rsid w:val="00B057ED"/>
    <w:rsid w:val="00B05A6E"/>
    <w:rsid w:val="00B067A0"/>
    <w:rsid w:val="00B06D38"/>
    <w:rsid w:val="00B06F69"/>
    <w:rsid w:val="00B0735C"/>
    <w:rsid w:val="00B07360"/>
    <w:rsid w:val="00B07487"/>
    <w:rsid w:val="00B07604"/>
    <w:rsid w:val="00B07DF9"/>
    <w:rsid w:val="00B10700"/>
    <w:rsid w:val="00B10D47"/>
    <w:rsid w:val="00B10ED6"/>
    <w:rsid w:val="00B10FA8"/>
    <w:rsid w:val="00B115BE"/>
    <w:rsid w:val="00B11C5D"/>
    <w:rsid w:val="00B11F3B"/>
    <w:rsid w:val="00B12CCD"/>
    <w:rsid w:val="00B1328B"/>
    <w:rsid w:val="00B137C8"/>
    <w:rsid w:val="00B13A4E"/>
    <w:rsid w:val="00B1441C"/>
    <w:rsid w:val="00B1461F"/>
    <w:rsid w:val="00B14D68"/>
    <w:rsid w:val="00B14DEB"/>
    <w:rsid w:val="00B15268"/>
    <w:rsid w:val="00B156B0"/>
    <w:rsid w:val="00B164EC"/>
    <w:rsid w:val="00B16AFE"/>
    <w:rsid w:val="00B16C28"/>
    <w:rsid w:val="00B16CCE"/>
    <w:rsid w:val="00B16E3B"/>
    <w:rsid w:val="00B16F0E"/>
    <w:rsid w:val="00B20013"/>
    <w:rsid w:val="00B203B6"/>
    <w:rsid w:val="00B205A2"/>
    <w:rsid w:val="00B20D06"/>
    <w:rsid w:val="00B20EAE"/>
    <w:rsid w:val="00B2105C"/>
    <w:rsid w:val="00B21854"/>
    <w:rsid w:val="00B22232"/>
    <w:rsid w:val="00B22771"/>
    <w:rsid w:val="00B22C9A"/>
    <w:rsid w:val="00B22DF3"/>
    <w:rsid w:val="00B24037"/>
    <w:rsid w:val="00B250EE"/>
    <w:rsid w:val="00B2528D"/>
    <w:rsid w:val="00B259EF"/>
    <w:rsid w:val="00B25A5F"/>
    <w:rsid w:val="00B261C4"/>
    <w:rsid w:val="00B26405"/>
    <w:rsid w:val="00B26425"/>
    <w:rsid w:val="00B26A99"/>
    <w:rsid w:val="00B303B3"/>
    <w:rsid w:val="00B308C3"/>
    <w:rsid w:val="00B31F4A"/>
    <w:rsid w:val="00B32494"/>
    <w:rsid w:val="00B3286D"/>
    <w:rsid w:val="00B33A21"/>
    <w:rsid w:val="00B33BF3"/>
    <w:rsid w:val="00B344D7"/>
    <w:rsid w:val="00B3461C"/>
    <w:rsid w:val="00B35AF8"/>
    <w:rsid w:val="00B35D7F"/>
    <w:rsid w:val="00B361E3"/>
    <w:rsid w:val="00B36963"/>
    <w:rsid w:val="00B36B0E"/>
    <w:rsid w:val="00B370B9"/>
    <w:rsid w:val="00B3751A"/>
    <w:rsid w:val="00B4028D"/>
    <w:rsid w:val="00B40D7D"/>
    <w:rsid w:val="00B40E2E"/>
    <w:rsid w:val="00B40EB0"/>
    <w:rsid w:val="00B421B2"/>
    <w:rsid w:val="00B42A81"/>
    <w:rsid w:val="00B42D85"/>
    <w:rsid w:val="00B4339E"/>
    <w:rsid w:val="00B4419D"/>
    <w:rsid w:val="00B4493E"/>
    <w:rsid w:val="00B44C6D"/>
    <w:rsid w:val="00B4520B"/>
    <w:rsid w:val="00B4534D"/>
    <w:rsid w:val="00B45F23"/>
    <w:rsid w:val="00B46DA4"/>
    <w:rsid w:val="00B47289"/>
    <w:rsid w:val="00B4742F"/>
    <w:rsid w:val="00B474A7"/>
    <w:rsid w:val="00B47DC7"/>
    <w:rsid w:val="00B50382"/>
    <w:rsid w:val="00B50CC0"/>
    <w:rsid w:val="00B51C0F"/>
    <w:rsid w:val="00B51D1D"/>
    <w:rsid w:val="00B51EA7"/>
    <w:rsid w:val="00B51F6A"/>
    <w:rsid w:val="00B51F87"/>
    <w:rsid w:val="00B522FB"/>
    <w:rsid w:val="00B5309E"/>
    <w:rsid w:val="00B53233"/>
    <w:rsid w:val="00B53355"/>
    <w:rsid w:val="00B53383"/>
    <w:rsid w:val="00B533FB"/>
    <w:rsid w:val="00B53D55"/>
    <w:rsid w:val="00B5415A"/>
    <w:rsid w:val="00B542AB"/>
    <w:rsid w:val="00B54635"/>
    <w:rsid w:val="00B5466E"/>
    <w:rsid w:val="00B54B90"/>
    <w:rsid w:val="00B60201"/>
    <w:rsid w:val="00B60B13"/>
    <w:rsid w:val="00B60C26"/>
    <w:rsid w:val="00B6131D"/>
    <w:rsid w:val="00B6139A"/>
    <w:rsid w:val="00B620D3"/>
    <w:rsid w:val="00B625E4"/>
    <w:rsid w:val="00B62F92"/>
    <w:rsid w:val="00B631A7"/>
    <w:rsid w:val="00B6459C"/>
    <w:rsid w:val="00B64B38"/>
    <w:rsid w:val="00B65D17"/>
    <w:rsid w:val="00B65EBD"/>
    <w:rsid w:val="00B66251"/>
    <w:rsid w:val="00B66396"/>
    <w:rsid w:val="00B665DC"/>
    <w:rsid w:val="00B6681A"/>
    <w:rsid w:val="00B66B50"/>
    <w:rsid w:val="00B672FF"/>
    <w:rsid w:val="00B674B1"/>
    <w:rsid w:val="00B6797E"/>
    <w:rsid w:val="00B6798C"/>
    <w:rsid w:val="00B67CB3"/>
    <w:rsid w:val="00B67DC8"/>
    <w:rsid w:val="00B70A10"/>
    <w:rsid w:val="00B7128B"/>
    <w:rsid w:val="00B722FD"/>
    <w:rsid w:val="00B72EC7"/>
    <w:rsid w:val="00B7426D"/>
    <w:rsid w:val="00B75B25"/>
    <w:rsid w:val="00B75CD3"/>
    <w:rsid w:val="00B76007"/>
    <w:rsid w:val="00B76943"/>
    <w:rsid w:val="00B773BA"/>
    <w:rsid w:val="00B77437"/>
    <w:rsid w:val="00B77873"/>
    <w:rsid w:val="00B77A4A"/>
    <w:rsid w:val="00B77EF9"/>
    <w:rsid w:val="00B80FC4"/>
    <w:rsid w:val="00B810D7"/>
    <w:rsid w:val="00B811F4"/>
    <w:rsid w:val="00B81ADC"/>
    <w:rsid w:val="00B81B3E"/>
    <w:rsid w:val="00B81B47"/>
    <w:rsid w:val="00B82199"/>
    <w:rsid w:val="00B82F26"/>
    <w:rsid w:val="00B8303D"/>
    <w:rsid w:val="00B83207"/>
    <w:rsid w:val="00B8329E"/>
    <w:rsid w:val="00B833D7"/>
    <w:rsid w:val="00B836CB"/>
    <w:rsid w:val="00B838FE"/>
    <w:rsid w:val="00B83AE0"/>
    <w:rsid w:val="00B8532F"/>
    <w:rsid w:val="00B858D6"/>
    <w:rsid w:val="00B85CAD"/>
    <w:rsid w:val="00B861B6"/>
    <w:rsid w:val="00B86B94"/>
    <w:rsid w:val="00B86E90"/>
    <w:rsid w:val="00B86F77"/>
    <w:rsid w:val="00B8712A"/>
    <w:rsid w:val="00B874DC"/>
    <w:rsid w:val="00B87A38"/>
    <w:rsid w:val="00B90426"/>
    <w:rsid w:val="00B90A59"/>
    <w:rsid w:val="00B90AF2"/>
    <w:rsid w:val="00B90D35"/>
    <w:rsid w:val="00B90D75"/>
    <w:rsid w:val="00B91277"/>
    <w:rsid w:val="00B912DB"/>
    <w:rsid w:val="00B915CD"/>
    <w:rsid w:val="00B91DAA"/>
    <w:rsid w:val="00B920C2"/>
    <w:rsid w:val="00B92998"/>
    <w:rsid w:val="00B930B4"/>
    <w:rsid w:val="00B9357C"/>
    <w:rsid w:val="00B942EC"/>
    <w:rsid w:val="00B94944"/>
    <w:rsid w:val="00B949D8"/>
    <w:rsid w:val="00B94B7A"/>
    <w:rsid w:val="00B953A6"/>
    <w:rsid w:val="00B95A63"/>
    <w:rsid w:val="00B95D8C"/>
    <w:rsid w:val="00B95FD7"/>
    <w:rsid w:val="00B962D3"/>
    <w:rsid w:val="00B967A8"/>
    <w:rsid w:val="00B96815"/>
    <w:rsid w:val="00B97047"/>
    <w:rsid w:val="00B9730A"/>
    <w:rsid w:val="00B9742E"/>
    <w:rsid w:val="00B97430"/>
    <w:rsid w:val="00B97B53"/>
    <w:rsid w:val="00B97C03"/>
    <w:rsid w:val="00B97C8E"/>
    <w:rsid w:val="00BA0067"/>
    <w:rsid w:val="00BA00B7"/>
    <w:rsid w:val="00BA061B"/>
    <w:rsid w:val="00BA0A82"/>
    <w:rsid w:val="00BA0DFA"/>
    <w:rsid w:val="00BA0EC4"/>
    <w:rsid w:val="00BA0ED4"/>
    <w:rsid w:val="00BA11BA"/>
    <w:rsid w:val="00BA15AF"/>
    <w:rsid w:val="00BA1A32"/>
    <w:rsid w:val="00BA2AA3"/>
    <w:rsid w:val="00BA36F1"/>
    <w:rsid w:val="00BA67AB"/>
    <w:rsid w:val="00BA69A8"/>
    <w:rsid w:val="00BB01C2"/>
    <w:rsid w:val="00BB0B1C"/>
    <w:rsid w:val="00BB0E5B"/>
    <w:rsid w:val="00BB111E"/>
    <w:rsid w:val="00BB19B4"/>
    <w:rsid w:val="00BB219F"/>
    <w:rsid w:val="00BB21A4"/>
    <w:rsid w:val="00BB2564"/>
    <w:rsid w:val="00BB2AA5"/>
    <w:rsid w:val="00BB3134"/>
    <w:rsid w:val="00BB3277"/>
    <w:rsid w:val="00BB395D"/>
    <w:rsid w:val="00BB3DE4"/>
    <w:rsid w:val="00BB3DEE"/>
    <w:rsid w:val="00BB4559"/>
    <w:rsid w:val="00BB501B"/>
    <w:rsid w:val="00BB538A"/>
    <w:rsid w:val="00BB5EDB"/>
    <w:rsid w:val="00BB611D"/>
    <w:rsid w:val="00BB6396"/>
    <w:rsid w:val="00BB7520"/>
    <w:rsid w:val="00BB7ACA"/>
    <w:rsid w:val="00BC05B3"/>
    <w:rsid w:val="00BC143B"/>
    <w:rsid w:val="00BC2656"/>
    <w:rsid w:val="00BC2FCA"/>
    <w:rsid w:val="00BC30CC"/>
    <w:rsid w:val="00BC37E6"/>
    <w:rsid w:val="00BC3AEA"/>
    <w:rsid w:val="00BC4075"/>
    <w:rsid w:val="00BC40A9"/>
    <w:rsid w:val="00BC4A05"/>
    <w:rsid w:val="00BC4E3C"/>
    <w:rsid w:val="00BC4FE4"/>
    <w:rsid w:val="00BC4FFF"/>
    <w:rsid w:val="00BC50B6"/>
    <w:rsid w:val="00BC512A"/>
    <w:rsid w:val="00BC5A38"/>
    <w:rsid w:val="00BC6E39"/>
    <w:rsid w:val="00BC74E0"/>
    <w:rsid w:val="00BC7EFA"/>
    <w:rsid w:val="00BD0133"/>
    <w:rsid w:val="00BD0241"/>
    <w:rsid w:val="00BD0249"/>
    <w:rsid w:val="00BD036A"/>
    <w:rsid w:val="00BD1FE3"/>
    <w:rsid w:val="00BD2245"/>
    <w:rsid w:val="00BD26E4"/>
    <w:rsid w:val="00BD2F72"/>
    <w:rsid w:val="00BD31EB"/>
    <w:rsid w:val="00BD3A39"/>
    <w:rsid w:val="00BD409E"/>
    <w:rsid w:val="00BD45CA"/>
    <w:rsid w:val="00BD472F"/>
    <w:rsid w:val="00BD4779"/>
    <w:rsid w:val="00BD6067"/>
    <w:rsid w:val="00BD71B9"/>
    <w:rsid w:val="00BD7399"/>
    <w:rsid w:val="00BD772D"/>
    <w:rsid w:val="00BD78DF"/>
    <w:rsid w:val="00BD791F"/>
    <w:rsid w:val="00BD7B0C"/>
    <w:rsid w:val="00BD7B1E"/>
    <w:rsid w:val="00BD7B72"/>
    <w:rsid w:val="00BE00A1"/>
    <w:rsid w:val="00BE16BF"/>
    <w:rsid w:val="00BE19F2"/>
    <w:rsid w:val="00BE1B6C"/>
    <w:rsid w:val="00BE26E3"/>
    <w:rsid w:val="00BE306A"/>
    <w:rsid w:val="00BE31B6"/>
    <w:rsid w:val="00BE3483"/>
    <w:rsid w:val="00BE3BA6"/>
    <w:rsid w:val="00BE507B"/>
    <w:rsid w:val="00BE618D"/>
    <w:rsid w:val="00BE65B2"/>
    <w:rsid w:val="00BE6C34"/>
    <w:rsid w:val="00BE79FF"/>
    <w:rsid w:val="00BE7C4B"/>
    <w:rsid w:val="00BF08DB"/>
    <w:rsid w:val="00BF0A26"/>
    <w:rsid w:val="00BF0B1E"/>
    <w:rsid w:val="00BF15D8"/>
    <w:rsid w:val="00BF1715"/>
    <w:rsid w:val="00BF1FF2"/>
    <w:rsid w:val="00BF2AC1"/>
    <w:rsid w:val="00BF2B81"/>
    <w:rsid w:val="00BF2E2F"/>
    <w:rsid w:val="00BF363D"/>
    <w:rsid w:val="00BF38B7"/>
    <w:rsid w:val="00BF3A2C"/>
    <w:rsid w:val="00BF4DD1"/>
    <w:rsid w:val="00BF569E"/>
    <w:rsid w:val="00BF6143"/>
    <w:rsid w:val="00BF642B"/>
    <w:rsid w:val="00BF652C"/>
    <w:rsid w:val="00BF70F7"/>
    <w:rsid w:val="00BF746D"/>
    <w:rsid w:val="00BF7623"/>
    <w:rsid w:val="00BF7D3F"/>
    <w:rsid w:val="00C00E6D"/>
    <w:rsid w:val="00C00EE5"/>
    <w:rsid w:val="00C01503"/>
    <w:rsid w:val="00C0157D"/>
    <w:rsid w:val="00C028DB"/>
    <w:rsid w:val="00C0310E"/>
    <w:rsid w:val="00C0315B"/>
    <w:rsid w:val="00C03449"/>
    <w:rsid w:val="00C03481"/>
    <w:rsid w:val="00C03B55"/>
    <w:rsid w:val="00C04081"/>
    <w:rsid w:val="00C045E7"/>
    <w:rsid w:val="00C04A25"/>
    <w:rsid w:val="00C04B5A"/>
    <w:rsid w:val="00C05E06"/>
    <w:rsid w:val="00C06A0D"/>
    <w:rsid w:val="00C06DEC"/>
    <w:rsid w:val="00C07315"/>
    <w:rsid w:val="00C07365"/>
    <w:rsid w:val="00C07B68"/>
    <w:rsid w:val="00C101AB"/>
    <w:rsid w:val="00C108E4"/>
    <w:rsid w:val="00C10E20"/>
    <w:rsid w:val="00C11FB5"/>
    <w:rsid w:val="00C1271B"/>
    <w:rsid w:val="00C1284D"/>
    <w:rsid w:val="00C138F4"/>
    <w:rsid w:val="00C13A91"/>
    <w:rsid w:val="00C13AD4"/>
    <w:rsid w:val="00C13D15"/>
    <w:rsid w:val="00C142C5"/>
    <w:rsid w:val="00C14FA3"/>
    <w:rsid w:val="00C15413"/>
    <w:rsid w:val="00C15611"/>
    <w:rsid w:val="00C15CAE"/>
    <w:rsid w:val="00C1631B"/>
    <w:rsid w:val="00C16CAB"/>
    <w:rsid w:val="00C17127"/>
    <w:rsid w:val="00C178B7"/>
    <w:rsid w:val="00C17D4F"/>
    <w:rsid w:val="00C20427"/>
    <w:rsid w:val="00C210BD"/>
    <w:rsid w:val="00C21B34"/>
    <w:rsid w:val="00C21DEC"/>
    <w:rsid w:val="00C2208A"/>
    <w:rsid w:val="00C22303"/>
    <w:rsid w:val="00C223CD"/>
    <w:rsid w:val="00C22B4A"/>
    <w:rsid w:val="00C24826"/>
    <w:rsid w:val="00C24E91"/>
    <w:rsid w:val="00C25153"/>
    <w:rsid w:val="00C255D4"/>
    <w:rsid w:val="00C26134"/>
    <w:rsid w:val="00C2649B"/>
    <w:rsid w:val="00C2672E"/>
    <w:rsid w:val="00C26DA6"/>
    <w:rsid w:val="00C26EC7"/>
    <w:rsid w:val="00C27A8C"/>
    <w:rsid w:val="00C30327"/>
    <w:rsid w:val="00C30BD8"/>
    <w:rsid w:val="00C31076"/>
    <w:rsid w:val="00C312D1"/>
    <w:rsid w:val="00C3140E"/>
    <w:rsid w:val="00C314DA"/>
    <w:rsid w:val="00C32220"/>
    <w:rsid w:val="00C32A28"/>
    <w:rsid w:val="00C32B83"/>
    <w:rsid w:val="00C32BC7"/>
    <w:rsid w:val="00C3306F"/>
    <w:rsid w:val="00C33692"/>
    <w:rsid w:val="00C34DF5"/>
    <w:rsid w:val="00C3514D"/>
    <w:rsid w:val="00C352C2"/>
    <w:rsid w:val="00C3655B"/>
    <w:rsid w:val="00C36DC0"/>
    <w:rsid w:val="00C37C21"/>
    <w:rsid w:val="00C41D8D"/>
    <w:rsid w:val="00C4253A"/>
    <w:rsid w:val="00C428C5"/>
    <w:rsid w:val="00C42D4C"/>
    <w:rsid w:val="00C431B0"/>
    <w:rsid w:val="00C431C2"/>
    <w:rsid w:val="00C43601"/>
    <w:rsid w:val="00C43E1C"/>
    <w:rsid w:val="00C442D2"/>
    <w:rsid w:val="00C4462C"/>
    <w:rsid w:val="00C449B5"/>
    <w:rsid w:val="00C452EA"/>
    <w:rsid w:val="00C45AAA"/>
    <w:rsid w:val="00C46494"/>
    <w:rsid w:val="00C46C84"/>
    <w:rsid w:val="00C46D2A"/>
    <w:rsid w:val="00C475B6"/>
    <w:rsid w:val="00C47B89"/>
    <w:rsid w:val="00C5004A"/>
    <w:rsid w:val="00C50226"/>
    <w:rsid w:val="00C50BB5"/>
    <w:rsid w:val="00C5113B"/>
    <w:rsid w:val="00C51DC9"/>
    <w:rsid w:val="00C51FF3"/>
    <w:rsid w:val="00C52AF6"/>
    <w:rsid w:val="00C52BEA"/>
    <w:rsid w:val="00C52FBE"/>
    <w:rsid w:val="00C53277"/>
    <w:rsid w:val="00C55037"/>
    <w:rsid w:val="00C55263"/>
    <w:rsid w:val="00C552A3"/>
    <w:rsid w:val="00C5572B"/>
    <w:rsid w:val="00C56152"/>
    <w:rsid w:val="00C564B8"/>
    <w:rsid w:val="00C568B4"/>
    <w:rsid w:val="00C56B8F"/>
    <w:rsid w:val="00C575B8"/>
    <w:rsid w:val="00C57887"/>
    <w:rsid w:val="00C57DD8"/>
    <w:rsid w:val="00C57EFF"/>
    <w:rsid w:val="00C57FAB"/>
    <w:rsid w:val="00C60799"/>
    <w:rsid w:val="00C60850"/>
    <w:rsid w:val="00C60D2A"/>
    <w:rsid w:val="00C60D55"/>
    <w:rsid w:val="00C61434"/>
    <w:rsid w:val="00C6148B"/>
    <w:rsid w:val="00C6277D"/>
    <w:rsid w:val="00C6296A"/>
    <w:rsid w:val="00C62994"/>
    <w:rsid w:val="00C630D9"/>
    <w:rsid w:val="00C632E2"/>
    <w:rsid w:val="00C63861"/>
    <w:rsid w:val="00C64087"/>
    <w:rsid w:val="00C65278"/>
    <w:rsid w:val="00C65644"/>
    <w:rsid w:val="00C65840"/>
    <w:rsid w:val="00C658DD"/>
    <w:rsid w:val="00C65A06"/>
    <w:rsid w:val="00C65BD1"/>
    <w:rsid w:val="00C66074"/>
    <w:rsid w:val="00C66106"/>
    <w:rsid w:val="00C66696"/>
    <w:rsid w:val="00C66750"/>
    <w:rsid w:val="00C66CCB"/>
    <w:rsid w:val="00C67343"/>
    <w:rsid w:val="00C67BA7"/>
    <w:rsid w:val="00C67E52"/>
    <w:rsid w:val="00C67F07"/>
    <w:rsid w:val="00C70344"/>
    <w:rsid w:val="00C707E3"/>
    <w:rsid w:val="00C70E05"/>
    <w:rsid w:val="00C716C7"/>
    <w:rsid w:val="00C72636"/>
    <w:rsid w:val="00C73707"/>
    <w:rsid w:val="00C7389B"/>
    <w:rsid w:val="00C73E1E"/>
    <w:rsid w:val="00C74826"/>
    <w:rsid w:val="00C74ABE"/>
    <w:rsid w:val="00C74E03"/>
    <w:rsid w:val="00C756CC"/>
    <w:rsid w:val="00C759CC"/>
    <w:rsid w:val="00C75F42"/>
    <w:rsid w:val="00C7639F"/>
    <w:rsid w:val="00C76FEF"/>
    <w:rsid w:val="00C77EB1"/>
    <w:rsid w:val="00C8039F"/>
    <w:rsid w:val="00C805DD"/>
    <w:rsid w:val="00C806AF"/>
    <w:rsid w:val="00C815C0"/>
    <w:rsid w:val="00C818DC"/>
    <w:rsid w:val="00C81FE0"/>
    <w:rsid w:val="00C820DD"/>
    <w:rsid w:val="00C82861"/>
    <w:rsid w:val="00C833C3"/>
    <w:rsid w:val="00C8419F"/>
    <w:rsid w:val="00C8510E"/>
    <w:rsid w:val="00C859D8"/>
    <w:rsid w:val="00C85BAA"/>
    <w:rsid w:val="00C861DE"/>
    <w:rsid w:val="00C8630C"/>
    <w:rsid w:val="00C8646D"/>
    <w:rsid w:val="00C86932"/>
    <w:rsid w:val="00C902FF"/>
    <w:rsid w:val="00C90463"/>
    <w:rsid w:val="00C90E31"/>
    <w:rsid w:val="00C914B2"/>
    <w:rsid w:val="00C91EA0"/>
    <w:rsid w:val="00C92202"/>
    <w:rsid w:val="00C929D2"/>
    <w:rsid w:val="00C93C65"/>
    <w:rsid w:val="00C94305"/>
    <w:rsid w:val="00C94307"/>
    <w:rsid w:val="00C9445F"/>
    <w:rsid w:val="00C9516B"/>
    <w:rsid w:val="00C95247"/>
    <w:rsid w:val="00C954BB"/>
    <w:rsid w:val="00C95A50"/>
    <w:rsid w:val="00C95A69"/>
    <w:rsid w:val="00C96853"/>
    <w:rsid w:val="00C96A6A"/>
    <w:rsid w:val="00C96C37"/>
    <w:rsid w:val="00C96C50"/>
    <w:rsid w:val="00C96F01"/>
    <w:rsid w:val="00C96FA5"/>
    <w:rsid w:val="00C97B68"/>
    <w:rsid w:val="00CA0228"/>
    <w:rsid w:val="00CA074F"/>
    <w:rsid w:val="00CA0D83"/>
    <w:rsid w:val="00CA116F"/>
    <w:rsid w:val="00CA1637"/>
    <w:rsid w:val="00CA1DCB"/>
    <w:rsid w:val="00CA20DF"/>
    <w:rsid w:val="00CA2BF8"/>
    <w:rsid w:val="00CA2C2A"/>
    <w:rsid w:val="00CA2DB5"/>
    <w:rsid w:val="00CA31E5"/>
    <w:rsid w:val="00CA32D7"/>
    <w:rsid w:val="00CA39CD"/>
    <w:rsid w:val="00CA438C"/>
    <w:rsid w:val="00CA4590"/>
    <w:rsid w:val="00CA46E2"/>
    <w:rsid w:val="00CA4962"/>
    <w:rsid w:val="00CA4C29"/>
    <w:rsid w:val="00CA4DB6"/>
    <w:rsid w:val="00CA4E0F"/>
    <w:rsid w:val="00CA526D"/>
    <w:rsid w:val="00CA694A"/>
    <w:rsid w:val="00CA7777"/>
    <w:rsid w:val="00CB001B"/>
    <w:rsid w:val="00CB0025"/>
    <w:rsid w:val="00CB0135"/>
    <w:rsid w:val="00CB01E1"/>
    <w:rsid w:val="00CB0D0A"/>
    <w:rsid w:val="00CB0F74"/>
    <w:rsid w:val="00CB14D8"/>
    <w:rsid w:val="00CB1B02"/>
    <w:rsid w:val="00CB1CAD"/>
    <w:rsid w:val="00CB219C"/>
    <w:rsid w:val="00CB24E3"/>
    <w:rsid w:val="00CB273E"/>
    <w:rsid w:val="00CB2A60"/>
    <w:rsid w:val="00CB2F4D"/>
    <w:rsid w:val="00CB33EB"/>
    <w:rsid w:val="00CB3588"/>
    <w:rsid w:val="00CB35A8"/>
    <w:rsid w:val="00CB3744"/>
    <w:rsid w:val="00CB3AAE"/>
    <w:rsid w:val="00CB3ED3"/>
    <w:rsid w:val="00CB4198"/>
    <w:rsid w:val="00CB42FF"/>
    <w:rsid w:val="00CB4E76"/>
    <w:rsid w:val="00CB5029"/>
    <w:rsid w:val="00CB537D"/>
    <w:rsid w:val="00CB5E84"/>
    <w:rsid w:val="00CB645D"/>
    <w:rsid w:val="00CB6644"/>
    <w:rsid w:val="00CB66BA"/>
    <w:rsid w:val="00CB6A31"/>
    <w:rsid w:val="00CB74C7"/>
    <w:rsid w:val="00CB77C7"/>
    <w:rsid w:val="00CB78C8"/>
    <w:rsid w:val="00CC0125"/>
    <w:rsid w:val="00CC03E6"/>
    <w:rsid w:val="00CC1E35"/>
    <w:rsid w:val="00CC20A0"/>
    <w:rsid w:val="00CC2397"/>
    <w:rsid w:val="00CC2FED"/>
    <w:rsid w:val="00CC3163"/>
    <w:rsid w:val="00CC326B"/>
    <w:rsid w:val="00CC3871"/>
    <w:rsid w:val="00CC39E6"/>
    <w:rsid w:val="00CC3D20"/>
    <w:rsid w:val="00CC3E22"/>
    <w:rsid w:val="00CC42D3"/>
    <w:rsid w:val="00CC4AB7"/>
    <w:rsid w:val="00CC4CC7"/>
    <w:rsid w:val="00CC4D91"/>
    <w:rsid w:val="00CC5146"/>
    <w:rsid w:val="00CC5612"/>
    <w:rsid w:val="00CC5F23"/>
    <w:rsid w:val="00CC6518"/>
    <w:rsid w:val="00CC6B87"/>
    <w:rsid w:val="00CC6D02"/>
    <w:rsid w:val="00CC72AC"/>
    <w:rsid w:val="00CC7755"/>
    <w:rsid w:val="00CC7CEE"/>
    <w:rsid w:val="00CC7EED"/>
    <w:rsid w:val="00CD02D5"/>
    <w:rsid w:val="00CD05DC"/>
    <w:rsid w:val="00CD0CD1"/>
    <w:rsid w:val="00CD0FE3"/>
    <w:rsid w:val="00CD1270"/>
    <w:rsid w:val="00CD128B"/>
    <w:rsid w:val="00CD181F"/>
    <w:rsid w:val="00CD1828"/>
    <w:rsid w:val="00CD305E"/>
    <w:rsid w:val="00CD3095"/>
    <w:rsid w:val="00CD3770"/>
    <w:rsid w:val="00CD3B93"/>
    <w:rsid w:val="00CD49F7"/>
    <w:rsid w:val="00CD4DBE"/>
    <w:rsid w:val="00CD4EAA"/>
    <w:rsid w:val="00CD526D"/>
    <w:rsid w:val="00CD5B6F"/>
    <w:rsid w:val="00CD5B9F"/>
    <w:rsid w:val="00CD5BB2"/>
    <w:rsid w:val="00CD6482"/>
    <w:rsid w:val="00CD6930"/>
    <w:rsid w:val="00CD6B96"/>
    <w:rsid w:val="00CD7797"/>
    <w:rsid w:val="00CE0485"/>
    <w:rsid w:val="00CE0918"/>
    <w:rsid w:val="00CE0CDA"/>
    <w:rsid w:val="00CE1BB4"/>
    <w:rsid w:val="00CE2B68"/>
    <w:rsid w:val="00CE466D"/>
    <w:rsid w:val="00CE49E7"/>
    <w:rsid w:val="00CE4D28"/>
    <w:rsid w:val="00CE5489"/>
    <w:rsid w:val="00CE6386"/>
    <w:rsid w:val="00CE6594"/>
    <w:rsid w:val="00CE6628"/>
    <w:rsid w:val="00CE766E"/>
    <w:rsid w:val="00CE77A5"/>
    <w:rsid w:val="00CE7A36"/>
    <w:rsid w:val="00CE7C83"/>
    <w:rsid w:val="00CF1DE6"/>
    <w:rsid w:val="00CF1DF2"/>
    <w:rsid w:val="00CF2312"/>
    <w:rsid w:val="00CF29A2"/>
    <w:rsid w:val="00CF2F23"/>
    <w:rsid w:val="00CF3579"/>
    <w:rsid w:val="00CF3752"/>
    <w:rsid w:val="00CF3E31"/>
    <w:rsid w:val="00CF4B3D"/>
    <w:rsid w:val="00CF4B82"/>
    <w:rsid w:val="00CF51C1"/>
    <w:rsid w:val="00CF54B3"/>
    <w:rsid w:val="00CF55F4"/>
    <w:rsid w:val="00CF5667"/>
    <w:rsid w:val="00CF5C67"/>
    <w:rsid w:val="00CF6661"/>
    <w:rsid w:val="00CF678A"/>
    <w:rsid w:val="00CF68B9"/>
    <w:rsid w:val="00CF6E41"/>
    <w:rsid w:val="00CF70B6"/>
    <w:rsid w:val="00CF7738"/>
    <w:rsid w:val="00CF7ABD"/>
    <w:rsid w:val="00CF7D5E"/>
    <w:rsid w:val="00CF7E66"/>
    <w:rsid w:val="00CF7EFC"/>
    <w:rsid w:val="00D008B7"/>
    <w:rsid w:val="00D00B6B"/>
    <w:rsid w:val="00D0111B"/>
    <w:rsid w:val="00D01B49"/>
    <w:rsid w:val="00D01DF1"/>
    <w:rsid w:val="00D01EF2"/>
    <w:rsid w:val="00D03D1F"/>
    <w:rsid w:val="00D044C1"/>
    <w:rsid w:val="00D04ADA"/>
    <w:rsid w:val="00D04F19"/>
    <w:rsid w:val="00D0507F"/>
    <w:rsid w:val="00D058C6"/>
    <w:rsid w:val="00D05D92"/>
    <w:rsid w:val="00D0682C"/>
    <w:rsid w:val="00D074AC"/>
    <w:rsid w:val="00D07BE8"/>
    <w:rsid w:val="00D07C67"/>
    <w:rsid w:val="00D07DFB"/>
    <w:rsid w:val="00D10522"/>
    <w:rsid w:val="00D10C17"/>
    <w:rsid w:val="00D10F07"/>
    <w:rsid w:val="00D11570"/>
    <w:rsid w:val="00D11ABE"/>
    <w:rsid w:val="00D12522"/>
    <w:rsid w:val="00D12975"/>
    <w:rsid w:val="00D134AE"/>
    <w:rsid w:val="00D139A2"/>
    <w:rsid w:val="00D1418C"/>
    <w:rsid w:val="00D143FA"/>
    <w:rsid w:val="00D14913"/>
    <w:rsid w:val="00D14ACE"/>
    <w:rsid w:val="00D14E3F"/>
    <w:rsid w:val="00D15CA7"/>
    <w:rsid w:val="00D164BE"/>
    <w:rsid w:val="00D16918"/>
    <w:rsid w:val="00D1723B"/>
    <w:rsid w:val="00D17AF5"/>
    <w:rsid w:val="00D17FA9"/>
    <w:rsid w:val="00D20C6B"/>
    <w:rsid w:val="00D210D8"/>
    <w:rsid w:val="00D215EF"/>
    <w:rsid w:val="00D21CED"/>
    <w:rsid w:val="00D229E0"/>
    <w:rsid w:val="00D22B20"/>
    <w:rsid w:val="00D22EB3"/>
    <w:rsid w:val="00D2337A"/>
    <w:rsid w:val="00D23412"/>
    <w:rsid w:val="00D237F0"/>
    <w:rsid w:val="00D23C08"/>
    <w:rsid w:val="00D244AB"/>
    <w:rsid w:val="00D25A33"/>
    <w:rsid w:val="00D26362"/>
    <w:rsid w:val="00D26489"/>
    <w:rsid w:val="00D272D1"/>
    <w:rsid w:val="00D30AA8"/>
    <w:rsid w:val="00D30E00"/>
    <w:rsid w:val="00D31457"/>
    <w:rsid w:val="00D32317"/>
    <w:rsid w:val="00D3237D"/>
    <w:rsid w:val="00D32922"/>
    <w:rsid w:val="00D32E58"/>
    <w:rsid w:val="00D32F12"/>
    <w:rsid w:val="00D3308B"/>
    <w:rsid w:val="00D33AE6"/>
    <w:rsid w:val="00D33BFB"/>
    <w:rsid w:val="00D34012"/>
    <w:rsid w:val="00D34457"/>
    <w:rsid w:val="00D34C47"/>
    <w:rsid w:val="00D34CDC"/>
    <w:rsid w:val="00D34D0E"/>
    <w:rsid w:val="00D35AFD"/>
    <w:rsid w:val="00D35EC4"/>
    <w:rsid w:val="00D36A23"/>
    <w:rsid w:val="00D37600"/>
    <w:rsid w:val="00D37B45"/>
    <w:rsid w:val="00D37ED1"/>
    <w:rsid w:val="00D40A65"/>
    <w:rsid w:val="00D4137F"/>
    <w:rsid w:val="00D432F5"/>
    <w:rsid w:val="00D439B2"/>
    <w:rsid w:val="00D43B1D"/>
    <w:rsid w:val="00D44445"/>
    <w:rsid w:val="00D44E1E"/>
    <w:rsid w:val="00D44FB5"/>
    <w:rsid w:val="00D45344"/>
    <w:rsid w:val="00D4593E"/>
    <w:rsid w:val="00D4635A"/>
    <w:rsid w:val="00D46522"/>
    <w:rsid w:val="00D4664B"/>
    <w:rsid w:val="00D46C65"/>
    <w:rsid w:val="00D4705A"/>
    <w:rsid w:val="00D47588"/>
    <w:rsid w:val="00D47A91"/>
    <w:rsid w:val="00D47B5D"/>
    <w:rsid w:val="00D47BDE"/>
    <w:rsid w:val="00D50AC7"/>
    <w:rsid w:val="00D51206"/>
    <w:rsid w:val="00D51284"/>
    <w:rsid w:val="00D51531"/>
    <w:rsid w:val="00D525D6"/>
    <w:rsid w:val="00D52951"/>
    <w:rsid w:val="00D52DB5"/>
    <w:rsid w:val="00D52DCF"/>
    <w:rsid w:val="00D532F9"/>
    <w:rsid w:val="00D5340F"/>
    <w:rsid w:val="00D535A6"/>
    <w:rsid w:val="00D53787"/>
    <w:rsid w:val="00D537B6"/>
    <w:rsid w:val="00D5380F"/>
    <w:rsid w:val="00D543CD"/>
    <w:rsid w:val="00D545A6"/>
    <w:rsid w:val="00D54982"/>
    <w:rsid w:val="00D54C71"/>
    <w:rsid w:val="00D553FF"/>
    <w:rsid w:val="00D555BD"/>
    <w:rsid w:val="00D555EC"/>
    <w:rsid w:val="00D56265"/>
    <w:rsid w:val="00D563E6"/>
    <w:rsid w:val="00D56AA6"/>
    <w:rsid w:val="00D57091"/>
    <w:rsid w:val="00D57F5E"/>
    <w:rsid w:val="00D601AE"/>
    <w:rsid w:val="00D60370"/>
    <w:rsid w:val="00D60A1F"/>
    <w:rsid w:val="00D610D8"/>
    <w:rsid w:val="00D611B7"/>
    <w:rsid w:val="00D616C5"/>
    <w:rsid w:val="00D6175E"/>
    <w:rsid w:val="00D6322D"/>
    <w:rsid w:val="00D635EB"/>
    <w:rsid w:val="00D639AF"/>
    <w:rsid w:val="00D63A66"/>
    <w:rsid w:val="00D64837"/>
    <w:rsid w:val="00D64B16"/>
    <w:rsid w:val="00D65DF0"/>
    <w:rsid w:val="00D66268"/>
    <w:rsid w:val="00D66566"/>
    <w:rsid w:val="00D66A9F"/>
    <w:rsid w:val="00D67D24"/>
    <w:rsid w:val="00D7074E"/>
    <w:rsid w:val="00D70E87"/>
    <w:rsid w:val="00D713D7"/>
    <w:rsid w:val="00D718EE"/>
    <w:rsid w:val="00D719C8"/>
    <w:rsid w:val="00D72757"/>
    <w:rsid w:val="00D72D31"/>
    <w:rsid w:val="00D74C11"/>
    <w:rsid w:val="00D75672"/>
    <w:rsid w:val="00D75790"/>
    <w:rsid w:val="00D75831"/>
    <w:rsid w:val="00D763B6"/>
    <w:rsid w:val="00D774F2"/>
    <w:rsid w:val="00D77E6A"/>
    <w:rsid w:val="00D808BF"/>
    <w:rsid w:val="00D80BF1"/>
    <w:rsid w:val="00D813DB"/>
    <w:rsid w:val="00D81D8A"/>
    <w:rsid w:val="00D81EF8"/>
    <w:rsid w:val="00D8307F"/>
    <w:rsid w:val="00D833B3"/>
    <w:rsid w:val="00D845ED"/>
    <w:rsid w:val="00D84D5E"/>
    <w:rsid w:val="00D851D5"/>
    <w:rsid w:val="00D851E8"/>
    <w:rsid w:val="00D852AA"/>
    <w:rsid w:val="00D8602A"/>
    <w:rsid w:val="00D863DD"/>
    <w:rsid w:val="00D86461"/>
    <w:rsid w:val="00D86480"/>
    <w:rsid w:val="00D86913"/>
    <w:rsid w:val="00D86DEC"/>
    <w:rsid w:val="00D87027"/>
    <w:rsid w:val="00D87618"/>
    <w:rsid w:val="00D879D9"/>
    <w:rsid w:val="00D905DD"/>
    <w:rsid w:val="00D9111A"/>
    <w:rsid w:val="00D912B5"/>
    <w:rsid w:val="00D91B78"/>
    <w:rsid w:val="00D9235F"/>
    <w:rsid w:val="00D92458"/>
    <w:rsid w:val="00D92584"/>
    <w:rsid w:val="00D9292E"/>
    <w:rsid w:val="00D92ABB"/>
    <w:rsid w:val="00D92D1A"/>
    <w:rsid w:val="00D92DCE"/>
    <w:rsid w:val="00D9312F"/>
    <w:rsid w:val="00D936A1"/>
    <w:rsid w:val="00D9435A"/>
    <w:rsid w:val="00D948BB"/>
    <w:rsid w:val="00D95303"/>
    <w:rsid w:val="00D95E7C"/>
    <w:rsid w:val="00D96932"/>
    <w:rsid w:val="00DA0C9D"/>
    <w:rsid w:val="00DA0F85"/>
    <w:rsid w:val="00DA1387"/>
    <w:rsid w:val="00DA15BF"/>
    <w:rsid w:val="00DA1A1D"/>
    <w:rsid w:val="00DA2155"/>
    <w:rsid w:val="00DA26DE"/>
    <w:rsid w:val="00DA2703"/>
    <w:rsid w:val="00DA4174"/>
    <w:rsid w:val="00DA4216"/>
    <w:rsid w:val="00DA4786"/>
    <w:rsid w:val="00DA4E3E"/>
    <w:rsid w:val="00DA5F69"/>
    <w:rsid w:val="00DA605A"/>
    <w:rsid w:val="00DA7E2E"/>
    <w:rsid w:val="00DB03BA"/>
    <w:rsid w:val="00DB07F9"/>
    <w:rsid w:val="00DB16CA"/>
    <w:rsid w:val="00DB2583"/>
    <w:rsid w:val="00DB2C6C"/>
    <w:rsid w:val="00DB3A2F"/>
    <w:rsid w:val="00DB3C35"/>
    <w:rsid w:val="00DB3EE0"/>
    <w:rsid w:val="00DB4026"/>
    <w:rsid w:val="00DB483E"/>
    <w:rsid w:val="00DB4D6C"/>
    <w:rsid w:val="00DB5379"/>
    <w:rsid w:val="00DB5B3E"/>
    <w:rsid w:val="00DB62D6"/>
    <w:rsid w:val="00DB692B"/>
    <w:rsid w:val="00DB798B"/>
    <w:rsid w:val="00DC0356"/>
    <w:rsid w:val="00DC03A8"/>
    <w:rsid w:val="00DC0E01"/>
    <w:rsid w:val="00DC0F33"/>
    <w:rsid w:val="00DC1016"/>
    <w:rsid w:val="00DC108D"/>
    <w:rsid w:val="00DC1473"/>
    <w:rsid w:val="00DC15D1"/>
    <w:rsid w:val="00DC1605"/>
    <w:rsid w:val="00DC21B0"/>
    <w:rsid w:val="00DC2286"/>
    <w:rsid w:val="00DC2465"/>
    <w:rsid w:val="00DC2B24"/>
    <w:rsid w:val="00DC324B"/>
    <w:rsid w:val="00DC3AFA"/>
    <w:rsid w:val="00DC3F2A"/>
    <w:rsid w:val="00DC446C"/>
    <w:rsid w:val="00DC4962"/>
    <w:rsid w:val="00DC4F5B"/>
    <w:rsid w:val="00DC5036"/>
    <w:rsid w:val="00DC5CDE"/>
    <w:rsid w:val="00DC6306"/>
    <w:rsid w:val="00DC676E"/>
    <w:rsid w:val="00DC75F8"/>
    <w:rsid w:val="00DC7A02"/>
    <w:rsid w:val="00DC7E1F"/>
    <w:rsid w:val="00DD0196"/>
    <w:rsid w:val="00DD0CF6"/>
    <w:rsid w:val="00DD0D97"/>
    <w:rsid w:val="00DD124E"/>
    <w:rsid w:val="00DD2048"/>
    <w:rsid w:val="00DD3092"/>
    <w:rsid w:val="00DD471B"/>
    <w:rsid w:val="00DD47EC"/>
    <w:rsid w:val="00DD4A0F"/>
    <w:rsid w:val="00DD4FA1"/>
    <w:rsid w:val="00DD547A"/>
    <w:rsid w:val="00DD62B4"/>
    <w:rsid w:val="00DD6D87"/>
    <w:rsid w:val="00DE0378"/>
    <w:rsid w:val="00DE096B"/>
    <w:rsid w:val="00DE11E5"/>
    <w:rsid w:val="00DE14CC"/>
    <w:rsid w:val="00DE1950"/>
    <w:rsid w:val="00DE2700"/>
    <w:rsid w:val="00DE3497"/>
    <w:rsid w:val="00DE3892"/>
    <w:rsid w:val="00DE4566"/>
    <w:rsid w:val="00DE505C"/>
    <w:rsid w:val="00DE52E3"/>
    <w:rsid w:val="00DE5763"/>
    <w:rsid w:val="00DE7010"/>
    <w:rsid w:val="00DF02D8"/>
    <w:rsid w:val="00DF0417"/>
    <w:rsid w:val="00DF0A2D"/>
    <w:rsid w:val="00DF0DB7"/>
    <w:rsid w:val="00DF1E25"/>
    <w:rsid w:val="00DF2518"/>
    <w:rsid w:val="00DF3463"/>
    <w:rsid w:val="00DF369A"/>
    <w:rsid w:val="00DF4182"/>
    <w:rsid w:val="00DF4248"/>
    <w:rsid w:val="00DF4938"/>
    <w:rsid w:val="00DF4DE8"/>
    <w:rsid w:val="00DF4DF3"/>
    <w:rsid w:val="00DF4E63"/>
    <w:rsid w:val="00DF5936"/>
    <w:rsid w:val="00DF5978"/>
    <w:rsid w:val="00DF5B9E"/>
    <w:rsid w:val="00DF62FF"/>
    <w:rsid w:val="00DF631A"/>
    <w:rsid w:val="00DF6730"/>
    <w:rsid w:val="00DF67A2"/>
    <w:rsid w:val="00DF6DB0"/>
    <w:rsid w:val="00DF7412"/>
    <w:rsid w:val="00DF75B3"/>
    <w:rsid w:val="00DF771F"/>
    <w:rsid w:val="00DF7845"/>
    <w:rsid w:val="00E004BF"/>
    <w:rsid w:val="00E01061"/>
    <w:rsid w:val="00E010E5"/>
    <w:rsid w:val="00E01807"/>
    <w:rsid w:val="00E01840"/>
    <w:rsid w:val="00E01873"/>
    <w:rsid w:val="00E02022"/>
    <w:rsid w:val="00E021E3"/>
    <w:rsid w:val="00E02320"/>
    <w:rsid w:val="00E027C9"/>
    <w:rsid w:val="00E02DC9"/>
    <w:rsid w:val="00E02EE8"/>
    <w:rsid w:val="00E02F0A"/>
    <w:rsid w:val="00E031D5"/>
    <w:rsid w:val="00E04CD0"/>
    <w:rsid w:val="00E0523C"/>
    <w:rsid w:val="00E0542B"/>
    <w:rsid w:val="00E0546B"/>
    <w:rsid w:val="00E054F3"/>
    <w:rsid w:val="00E06B7E"/>
    <w:rsid w:val="00E073DD"/>
    <w:rsid w:val="00E07E42"/>
    <w:rsid w:val="00E07EE5"/>
    <w:rsid w:val="00E10DFC"/>
    <w:rsid w:val="00E11070"/>
    <w:rsid w:val="00E112FE"/>
    <w:rsid w:val="00E11DD2"/>
    <w:rsid w:val="00E11FA4"/>
    <w:rsid w:val="00E120DD"/>
    <w:rsid w:val="00E12DD4"/>
    <w:rsid w:val="00E1328F"/>
    <w:rsid w:val="00E133B4"/>
    <w:rsid w:val="00E137D7"/>
    <w:rsid w:val="00E13C99"/>
    <w:rsid w:val="00E151CB"/>
    <w:rsid w:val="00E15ED3"/>
    <w:rsid w:val="00E15FED"/>
    <w:rsid w:val="00E16117"/>
    <w:rsid w:val="00E1633C"/>
    <w:rsid w:val="00E164F6"/>
    <w:rsid w:val="00E16766"/>
    <w:rsid w:val="00E16959"/>
    <w:rsid w:val="00E16E22"/>
    <w:rsid w:val="00E170CB"/>
    <w:rsid w:val="00E171E4"/>
    <w:rsid w:val="00E171FC"/>
    <w:rsid w:val="00E173EF"/>
    <w:rsid w:val="00E1791E"/>
    <w:rsid w:val="00E202C7"/>
    <w:rsid w:val="00E20467"/>
    <w:rsid w:val="00E21DC8"/>
    <w:rsid w:val="00E22226"/>
    <w:rsid w:val="00E223A0"/>
    <w:rsid w:val="00E225BA"/>
    <w:rsid w:val="00E22656"/>
    <w:rsid w:val="00E22991"/>
    <w:rsid w:val="00E24112"/>
    <w:rsid w:val="00E25179"/>
    <w:rsid w:val="00E253B6"/>
    <w:rsid w:val="00E256DF"/>
    <w:rsid w:val="00E259D9"/>
    <w:rsid w:val="00E25EC1"/>
    <w:rsid w:val="00E2605F"/>
    <w:rsid w:val="00E2652A"/>
    <w:rsid w:val="00E26702"/>
    <w:rsid w:val="00E26A3C"/>
    <w:rsid w:val="00E27429"/>
    <w:rsid w:val="00E275A8"/>
    <w:rsid w:val="00E276CB"/>
    <w:rsid w:val="00E27787"/>
    <w:rsid w:val="00E27993"/>
    <w:rsid w:val="00E27B77"/>
    <w:rsid w:val="00E30453"/>
    <w:rsid w:val="00E30AE6"/>
    <w:rsid w:val="00E318CC"/>
    <w:rsid w:val="00E31BE9"/>
    <w:rsid w:val="00E31BED"/>
    <w:rsid w:val="00E31E33"/>
    <w:rsid w:val="00E326CE"/>
    <w:rsid w:val="00E32890"/>
    <w:rsid w:val="00E3295F"/>
    <w:rsid w:val="00E32E07"/>
    <w:rsid w:val="00E34BE9"/>
    <w:rsid w:val="00E352AF"/>
    <w:rsid w:val="00E35A65"/>
    <w:rsid w:val="00E35FCA"/>
    <w:rsid w:val="00E360D9"/>
    <w:rsid w:val="00E364A1"/>
    <w:rsid w:val="00E364B3"/>
    <w:rsid w:val="00E376FA"/>
    <w:rsid w:val="00E40EF0"/>
    <w:rsid w:val="00E411B0"/>
    <w:rsid w:val="00E41C25"/>
    <w:rsid w:val="00E41D19"/>
    <w:rsid w:val="00E41D91"/>
    <w:rsid w:val="00E4247B"/>
    <w:rsid w:val="00E424DA"/>
    <w:rsid w:val="00E42640"/>
    <w:rsid w:val="00E428BE"/>
    <w:rsid w:val="00E429E5"/>
    <w:rsid w:val="00E42E4C"/>
    <w:rsid w:val="00E43157"/>
    <w:rsid w:val="00E43830"/>
    <w:rsid w:val="00E43E78"/>
    <w:rsid w:val="00E44295"/>
    <w:rsid w:val="00E442D0"/>
    <w:rsid w:val="00E44693"/>
    <w:rsid w:val="00E44EAC"/>
    <w:rsid w:val="00E4553C"/>
    <w:rsid w:val="00E45DD6"/>
    <w:rsid w:val="00E460BC"/>
    <w:rsid w:val="00E471CC"/>
    <w:rsid w:val="00E47342"/>
    <w:rsid w:val="00E47407"/>
    <w:rsid w:val="00E477EC"/>
    <w:rsid w:val="00E47F8F"/>
    <w:rsid w:val="00E5064C"/>
    <w:rsid w:val="00E513AD"/>
    <w:rsid w:val="00E51925"/>
    <w:rsid w:val="00E51D58"/>
    <w:rsid w:val="00E52BE0"/>
    <w:rsid w:val="00E52F99"/>
    <w:rsid w:val="00E5370A"/>
    <w:rsid w:val="00E53794"/>
    <w:rsid w:val="00E5380D"/>
    <w:rsid w:val="00E541AB"/>
    <w:rsid w:val="00E541FE"/>
    <w:rsid w:val="00E54287"/>
    <w:rsid w:val="00E54E07"/>
    <w:rsid w:val="00E553E1"/>
    <w:rsid w:val="00E55984"/>
    <w:rsid w:val="00E55A49"/>
    <w:rsid w:val="00E55CC7"/>
    <w:rsid w:val="00E567A0"/>
    <w:rsid w:val="00E604AC"/>
    <w:rsid w:val="00E604C8"/>
    <w:rsid w:val="00E6107A"/>
    <w:rsid w:val="00E610B0"/>
    <w:rsid w:val="00E61894"/>
    <w:rsid w:val="00E61AA5"/>
    <w:rsid w:val="00E61D59"/>
    <w:rsid w:val="00E62488"/>
    <w:rsid w:val="00E62A49"/>
    <w:rsid w:val="00E62C3F"/>
    <w:rsid w:val="00E62C83"/>
    <w:rsid w:val="00E62F09"/>
    <w:rsid w:val="00E6345B"/>
    <w:rsid w:val="00E638CD"/>
    <w:rsid w:val="00E63B09"/>
    <w:rsid w:val="00E63D01"/>
    <w:rsid w:val="00E65D6B"/>
    <w:rsid w:val="00E65F3A"/>
    <w:rsid w:val="00E66696"/>
    <w:rsid w:val="00E66875"/>
    <w:rsid w:val="00E66AA6"/>
    <w:rsid w:val="00E66EBD"/>
    <w:rsid w:val="00E67C84"/>
    <w:rsid w:val="00E67F2B"/>
    <w:rsid w:val="00E67F48"/>
    <w:rsid w:val="00E700F1"/>
    <w:rsid w:val="00E70139"/>
    <w:rsid w:val="00E7021F"/>
    <w:rsid w:val="00E706D9"/>
    <w:rsid w:val="00E70ABE"/>
    <w:rsid w:val="00E70EE1"/>
    <w:rsid w:val="00E70F5F"/>
    <w:rsid w:val="00E711A3"/>
    <w:rsid w:val="00E71F08"/>
    <w:rsid w:val="00E72872"/>
    <w:rsid w:val="00E72D19"/>
    <w:rsid w:val="00E738FA"/>
    <w:rsid w:val="00E73A73"/>
    <w:rsid w:val="00E73B78"/>
    <w:rsid w:val="00E75309"/>
    <w:rsid w:val="00E75591"/>
    <w:rsid w:val="00E75667"/>
    <w:rsid w:val="00E7593D"/>
    <w:rsid w:val="00E75E6A"/>
    <w:rsid w:val="00E75EFB"/>
    <w:rsid w:val="00E76214"/>
    <w:rsid w:val="00E7625A"/>
    <w:rsid w:val="00E76291"/>
    <w:rsid w:val="00E76585"/>
    <w:rsid w:val="00E7742E"/>
    <w:rsid w:val="00E779D3"/>
    <w:rsid w:val="00E77F1B"/>
    <w:rsid w:val="00E80E26"/>
    <w:rsid w:val="00E81734"/>
    <w:rsid w:val="00E82C4C"/>
    <w:rsid w:val="00E8343D"/>
    <w:rsid w:val="00E839EA"/>
    <w:rsid w:val="00E83B1E"/>
    <w:rsid w:val="00E8478F"/>
    <w:rsid w:val="00E85041"/>
    <w:rsid w:val="00E85843"/>
    <w:rsid w:val="00E8620D"/>
    <w:rsid w:val="00E863DB"/>
    <w:rsid w:val="00E8690B"/>
    <w:rsid w:val="00E86F14"/>
    <w:rsid w:val="00E87B7E"/>
    <w:rsid w:val="00E87D66"/>
    <w:rsid w:val="00E90117"/>
    <w:rsid w:val="00E90DA4"/>
    <w:rsid w:val="00E91101"/>
    <w:rsid w:val="00E915A3"/>
    <w:rsid w:val="00E92D58"/>
    <w:rsid w:val="00E92E71"/>
    <w:rsid w:val="00E93443"/>
    <w:rsid w:val="00E93891"/>
    <w:rsid w:val="00E946C3"/>
    <w:rsid w:val="00E95B4E"/>
    <w:rsid w:val="00E960B0"/>
    <w:rsid w:val="00E9613D"/>
    <w:rsid w:val="00E96918"/>
    <w:rsid w:val="00E96932"/>
    <w:rsid w:val="00E96FD3"/>
    <w:rsid w:val="00EA0390"/>
    <w:rsid w:val="00EA10C9"/>
    <w:rsid w:val="00EA152B"/>
    <w:rsid w:val="00EA174F"/>
    <w:rsid w:val="00EA2B6F"/>
    <w:rsid w:val="00EA2DF5"/>
    <w:rsid w:val="00EA2F41"/>
    <w:rsid w:val="00EA3A36"/>
    <w:rsid w:val="00EA3FFF"/>
    <w:rsid w:val="00EA4054"/>
    <w:rsid w:val="00EA4E3B"/>
    <w:rsid w:val="00EA5EB1"/>
    <w:rsid w:val="00EA6684"/>
    <w:rsid w:val="00EA7555"/>
    <w:rsid w:val="00EA7989"/>
    <w:rsid w:val="00EB00D7"/>
    <w:rsid w:val="00EB0645"/>
    <w:rsid w:val="00EB0842"/>
    <w:rsid w:val="00EB10DE"/>
    <w:rsid w:val="00EB1D72"/>
    <w:rsid w:val="00EB211D"/>
    <w:rsid w:val="00EB21CE"/>
    <w:rsid w:val="00EB2E02"/>
    <w:rsid w:val="00EB378F"/>
    <w:rsid w:val="00EB3AF4"/>
    <w:rsid w:val="00EB3C61"/>
    <w:rsid w:val="00EB4782"/>
    <w:rsid w:val="00EB49EB"/>
    <w:rsid w:val="00EB4B1A"/>
    <w:rsid w:val="00EB4B8D"/>
    <w:rsid w:val="00EB4CB6"/>
    <w:rsid w:val="00EB5A7F"/>
    <w:rsid w:val="00EB63B4"/>
    <w:rsid w:val="00EB666C"/>
    <w:rsid w:val="00EB6D71"/>
    <w:rsid w:val="00EB7895"/>
    <w:rsid w:val="00EB7A6C"/>
    <w:rsid w:val="00EC0374"/>
    <w:rsid w:val="00EC073E"/>
    <w:rsid w:val="00EC1143"/>
    <w:rsid w:val="00EC1835"/>
    <w:rsid w:val="00EC1CFB"/>
    <w:rsid w:val="00EC1F28"/>
    <w:rsid w:val="00EC2476"/>
    <w:rsid w:val="00EC247B"/>
    <w:rsid w:val="00EC3491"/>
    <w:rsid w:val="00EC42AD"/>
    <w:rsid w:val="00EC5050"/>
    <w:rsid w:val="00EC5B96"/>
    <w:rsid w:val="00EC5DDE"/>
    <w:rsid w:val="00EC5F7F"/>
    <w:rsid w:val="00EC619E"/>
    <w:rsid w:val="00EC61F3"/>
    <w:rsid w:val="00EC636F"/>
    <w:rsid w:val="00EC6A59"/>
    <w:rsid w:val="00EC6BE2"/>
    <w:rsid w:val="00EC70BF"/>
    <w:rsid w:val="00EC730B"/>
    <w:rsid w:val="00EC7522"/>
    <w:rsid w:val="00EC7EBF"/>
    <w:rsid w:val="00ED0379"/>
    <w:rsid w:val="00ED08B5"/>
    <w:rsid w:val="00ED0C82"/>
    <w:rsid w:val="00ED302F"/>
    <w:rsid w:val="00ED4007"/>
    <w:rsid w:val="00ED4687"/>
    <w:rsid w:val="00ED4815"/>
    <w:rsid w:val="00ED4D40"/>
    <w:rsid w:val="00ED4F93"/>
    <w:rsid w:val="00ED5458"/>
    <w:rsid w:val="00ED591D"/>
    <w:rsid w:val="00ED5AD9"/>
    <w:rsid w:val="00ED6404"/>
    <w:rsid w:val="00ED67F3"/>
    <w:rsid w:val="00ED6B5F"/>
    <w:rsid w:val="00ED6B6C"/>
    <w:rsid w:val="00ED79EE"/>
    <w:rsid w:val="00EE0606"/>
    <w:rsid w:val="00EE0A74"/>
    <w:rsid w:val="00EE121D"/>
    <w:rsid w:val="00EE1947"/>
    <w:rsid w:val="00EE1A37"/>
    <w:rsid w:val="00EE1B3B"/>
    <w:rsid w:val="00EE228A"/>
    <w:rsid w:val="00EE281B"/>
    <w:rsid w:val="00EE2F4B"/>
    <w:rsid w:val="00EE33E5"/>
    <w:rsid w:val="00EE38E7"/>
    <w:rsid w:val="00EE3F7A"/>
    <w:rsid w:val="00EE4BBB"/>
    <w:rsid w:val="00EE503B"/>
    <w:rsid w:val="00EE5237"/>
    <w:rsid w:val="00EE5569"/>
    <w:rsid w:val="00EE63EB"/>
    <w:rsid w:val="00EE6BED"/>
    <w:rsid w:val="00EE7146"/>
    <w:rsid w:val="00EE75BC"/>
    <w:rsid w:val="00EE77D5"/>
    <w:rsid w:val="00EF0762"/>
    <w:rsid w:val="00EF0A05"/>
    <w:rsid w:val="00EF0ACF"/>
    <w:rsid w:val="00EF0C97"/>
    <w:rsid w:val="00EF0E41"/>
    <w:rsid w:val="00EF0F95"/>
    <w:rsid w:val="00EF10F9"/>
    <w:rsid w:val="00EF1C18"/>
    <w:rsid w:val="00EF24E7"/>
    <w:rsid w:val="00EF3226"/>
    <w:rsid w:val="00EF3A24"/>
    <w:rsid w:val="00EF462A"/>
    <w:rsid w:val="00EF476D"/>
    <w:rsid w:val="00EF5730"/>
    <w:rsid w:val="00EF613A"/>
    <w:rsid w:val="00EF62ED"/>
    <w:rsid w:val="00EF6EED"/>
    <w:rsid w:val="00EF74A8"/>
    <w:rsid w:val="00EF7608"/>
    <w:rsid w:val="00F00260"/>
    <w:rsid w:val="00F002A1"/>
    <w:rsid w:val="00F003AD"/>
    <w:rsid w:val="00F008A3"/>
    <w:rsid w:val="00F00CF2"/>
    <w:rsid w:val="00F01A6D"/>
    <w:rsid w:val="00F01BD3"/>
    <w:rsid w:val="00F03435"/>
    <w:rsid w:val="00F0452E"/>
    <w:rsid w:val="00F052D3"/>
    <w:rsid w:val="00F060AD"/>
    <w:rsid w:val="00F06226"/>
    <w:rsid w:val="00F0680C"/>
    <w:rsid w:val="00F07454"/>
    <w:rsid w:val="00F07492"/>
    <w:rsid w:val="00F07A6C"/>
    <w:rsid w:val="00F10265"/>
    <w:rsid w:val="00F11333"/>
    <w:rsid w:val="00F11E98"/>
    <w:rsid w:val="00F1223F"/>
    <w:rsid w:val="00F12A78"/>
    <w:rsid w:val="00F13242"/>
    <w:rsid w:val="00F132A8"/>
    <w:rsid w:val="00F14046"/>
    <w:rsid w:val="00F143F6"/>
    <w:rsid w:val="00F1449E"/>
    <w:rsid w:val="00F14E67"/>
    <w:rsid w:val="00F14FA9"/>
    <w:rsid w:val="00F15172"/>
    <w:rsid w:val="00F15685"/>
    <w:rsid w:val="00F157C0"/>
    <w:rsid w:val="00F158BC"/>
    <w:rsid w:val="00F15AFD"/>
    <w:rsid w:val="00F15E99"/>
    <w:rsid w:val="00F172DB"/>
    <w:rsid w:val="00F17532"/>
    <w:rsid w:val="00F17630"/>
    <w:rsid w:val="00F17802"/>
    <w:rsid w:val="00F17A43"/>
    <w:rsid w:val="00F17EC1"/>
    <w:rsid w:val="00F17FC3"/>
    <w:rsid w:val="00F17FC8"/>
    <w:rsid w:val="00F20A7F"/>
    <w:rsid w:val="00F216B1"/>
    <w:rsid w:val="00F21C31"/>
    <w:rsid w:val="00F21F84"/>
    <w:rsid w:val="00F22054"/>
    <w:rsid w:val="00F23DD5"/>
    <w:rsid w:val="00F240FA"/>
    <w:rsid w:val="00F24436"/>
    <w:rsid w:val="00F24779"/>
    <w:rsid w:val="00F25424"/>
    <w:rsid w:val="00F2593D"/>
    <w:rsid w:val="00F26BBE"/>
    <w:rsid w:val="00F26D1F"/>
    <w:rsid w:val="00F3031C"/>
    <w:rsid w:val="00F306D9"/>
    <w:rsid w:val="00F30AFD"/>
    <w:rsid w:val="00F30E8A"/>
    <w:rsid w:val="00F3158A"/>
    <w:rsid w:val="00F31929"/>
    <w:rsid w:val="00F31E40"/>
    <w:rsid w:val="00F320A0"/>
    <w:rsid w:val="00F32ED2"/>
    <w:rsid w:val="00F33188"/>
    <w:rsid w:val="00F3345F"/>
    <w:rsid w:val="00F3350E"/>
    <w:rsid w:val="00F3357C"/>
    <w:rsid w:val="00F33665"/>
    <w:rsid w:val="00F3446B"/>
    <w:rsid w:val="00F347B1"/>
    <w:rsid w:val="00F34B56"/>
    <w:rsid w:val="00F34D1F"/>
    <w:rsid w:val="00F34E0C"/>
    <w:rsid w:val="00F35E98"/>
    <w:rsid w:val="00F3603A"/>
    <w:rsid w:val="00F36277"/>
    <w:rsid w:val="00F362AE"/>
    <w:rsid w:val="00F36479"/>
    <w:rsid w:val="00F36920"/>
    <w:rsid w:val="00F36FE1"/>
    <w:rsid w:val="00F374F7"/>
    <w:rsid w:val="00F37EA7"/>
    <w:rsid w:val="00F40728"/>
    <w:rsid w:val="00F40BF9"/>
    <w:rsid w:val="00F40F41"/>
    <w:rsid w:val="00F417D5"/>
    <w:rsid w:val="00F41D87"/>
    <w:rsid w:val="00F42D4D"/>
    <w:rsid w:val="00F4304A"/>
    <w:rsid w:val="00F43423"/>
    <w:rsid w:val="00F448A7"/>
    <w:rsid w:val="00F44923"/>
    <w:rsid w:val="00F44C00"/>
    <w:rsid w:val="00F4526D"/>
    <w:rsid w:val="00F45A2B"/>
    <w:rsid w:val="00F45F98"/>
    <w:rsid w:val="00F46481"/>
    <w:rsid w:val="00F466CA"/>
    <w:rsid w:val="00F470E3"/>
    <w:rsid w:val="00F4786C"/>
    <w:rsid w:val="00F47AB3"/>
    <w:rsid w:val="00F47BDE"/>
    <w:rsid w:val="00F47E9A"/>
    <w:rsid w:val="00F505E8"/>
    <w:rsid w:val="00F5075D"/>
    <w:rsid w:val="00F513E4"/>
    <w:rsid w:val="00F516DB"/>
    <w:rsid w:val="00F5176A"/>
    <w:rsid w:val="00F521DD"/>
    <w:rsid w:val="00F523B1"/>
    <w:rsid w:val="00F52475"/>
    <w:rsid w:val="00F52569"/>
    <w:rsid w:val="00F525A4"/>
    <w:rsid w:val="00F531C4"/>
    <w:rsid w:val="00F53230"/>
    <w:rsid w:val="00F548F3"/>
    <w:rsid w:val="00F54950"/>
    <w:rsid w:val="00F54AAF"/>
    <w:rsid w:val="00F54B7D"/>
    <w:rsid w:val="00F54FA4"/>
    <w:rsid w:val="00F55E13"/>
    <w:rsid w:val="00F55F50"/>
    <w:rsid w:val="00F568E5"/>
    <w:rsid w:val="00F570CC"/>
    <w:rsid w:val="00F572AD"/>
    <w:rsid w:val="00F574FC"/>
    <w:rsid w:val="00F57974"/>
    <w:rsid w:val="00F579A0"/>
    <w:rsid w:val="00F57B51"/>
    <w:rsid w:val="00F57D2E"/>
    <w:rsid w:val="00F60357"/>
    <w:rsid w:val="00F604D6"/>
    <w:rsid w:val="00F60AC4"/>
    <w:rsid w:val="00F6244B"/>
    <w:rsid w:val="00F62FDF"/>
    <w:rsid w:val="00F63087"/>
    <w:rsid w:val="00F63403"/>
    <w:rsid w:val="00F63425"/>
    <w:rsid w:val="00F63BDE"/>
    <w:rsid w:val="00F64969"/>
    <w:rsid w:val="00F64C9D"/>
    <w:rsid w:val="00F64CD6"/>
    <w:rsid w:val="00F64CF6"/>
    <w:rsid w:val="00F6553F"/>
    <w:rsid w:val="00F659C5"/>
    <w:rsid w:val="00F66024"/>
    <w:rsid w:val="00F66600"/>
    <w:rsid w:val="00F6733C"/>
    <w:rsid w:val="00F673FE"/>
    <w:rsid w:val="00F677A4"/>
    <w:rsid w:val="00F70006"/>
    <w:rsid w:val="00F704D7"/>
    <w:rsid w:val="00F71082"/>
    <w:rsid w:val="00F71540"/>
    <w:rsid w:val="00F71C62"/>
    <w:rsid w:val="00F7311E"/>
    <w:rsid w:val="00F73396"/>
    <w:rsid w:val="00F73C6C"/>
    <w:rsid w:val="00F743DB"/>
    <w:rsid w:val="00F74B04"/>
    <w:rsid w:val="00F751E4"/>
    <w:rsid w:val="00F7603C"/>
    <w:rsid w:val="00F77085"/>
    <w:rsid w:val="00F77930"/>
    <w:rsid w:val="00F80CC3"/>
    <w:rsid w:val="00F80DBA"/>
    <w:rsid w:val="00F824B1"/>
    <w:rsid w:val="00F82A6F"/>
    <w:rsid w:val="00F830BF"/>
    <w:rsid w:val="00F83179"/>
    <w:rsid w:val="00F8323B"/>
    <w:rsid w:val="00F834AF"/>
    <w:rsid w:val="00F83A93"/>
    <w:rsid w:val="00F84CC6"/>
    <w:rsid w:val="00F84F20"/>
    <w:rsid w:val="00F8574D"/>
    <w:rsid w:val="00F85763"/>
    <w:rsid w:val="00F857C2"/>
    <w:rsid w:val="00F865F9"/>
    <w:rsid w:val="00F86789"/>
    <w:rsid w:val="00F868C7"/>
    <w:rsid w:val="00F86B72"/>
    <w:rsid w:val="00F86BFD"/>
    <w:rsid w:val="00F8730E"/>
    <w:rsid w:val="00F873B1"/>
    <w:rsid w:val="00F87FA9"/>
    <w:rsid w:val="00F9035A"/>
    <w:rsid w:val="00F90684"/>
    <w:rsid w:val="00F928C1"/>
    <w:rsid w:val="00F92902"/>
    <w:rsid w:val="00F93B68"/>
    <w:rsid w:val="00F947C6"/>
    <w:rsid w:val="00F947D0"/>
    <w:rsid w:val="00F95150"/>
    <w:rsid w:val="00F95418"/>
    <w:rsid w:val="00F95A48"/>
    <w:rsid w:val="00F95A86"/>
    <w:rsid w:val="00F95CE3"/>
    <w:rsid w:val="00F95D44"/>
    <w:rsid w:val="00F96410"/>
    <w:rsid w:val="00F9667E"/>
    <w:rsid w:val="00F966C6"/>
    <w:rsid w:val="00F969E1"/>
    <w:rsid w:val="00F96AFF"/>
    <w:rsid w:val="00F96B74"/>
    <w:rsid w:val="00F96BDD"/>
    <w:rsid w:val="00F96F41"/>
    <w:rsid w:val="00F96FEF"/>
    <w:rsid w:val="00F979E6"/>
    <w:rsid w:val="00F97BCE"/>
    <w:rsid w:val="00F97FB3"/>
    <w:rsid w:val="00FA00A3"/>
    <w:rsid w:val="00FA0381"/>
    <w:rsid w:val="00FA0B53"/>
    <w:rsid w:val="00FA10CA"/>
    <w:rsid w:val="00FA16A0"/>
    <w:rsid w:val="00FA1711"/>
    <w:rsid w:val="00FA1CF1"/>
    <w:rsid w:val="00FA2246"/>
    <w:rsid w:val="00FA22CD"/>
    <w:rsid w:val="00FA2642"/>
    <w:rsid w:val="00FA2743"/>
    <w:rsid w:val="00FA3726"/>
    <w:rsid w:val="00FA3A1B"/>
    <w:rsid w:val="00FA3DF2"/>
    <w:rsid w:val="00FA43E5"/>
    <w:rsid w:val="00FA4CA7"/>
    <w:rsid w:val="00FA524B"/>
    <w:rsid w:val="00FA53A5"/>
    <w:rsid w:val="00FA557A"/>
    <w:rsid w:val="00FA61B2"/>
    <w:rsid w:val="00FA6CB6"/>
    <w:rsid w:val="00FA793F"/>
    <w:rsid w:val="00FA7B03"/>
    <w:rsid w:val="00FB0278"/>
    <w:rsid w:val="00FB11E6"/>
    <w:rsid w:val="00FB146A"/>
    <w:rsid w:val="00FB19AF"/>
    <w:rsid w:val="00FB1DF9"/>
    <w:rsid w:val="00FB1FFA"/>
    <w:rsid w:val="00FB2304"/>
    <w:rsid w:val="00FB30A8"/>
    <w:rsid w:val="00FB3243"/>
    <w:rsid w:val="00FB39A2"/>
    <w:rsid w:val="00FB3C58"/>
    <w:rsid w:val="00FB5169"/>
    <w:rsid w:val="00FB5442"/>
    <w:rsid w:val="00FB5A59"/>
    <w:rsid w:val="00FB63D1"/>
    <w:rsid w:val="00FB6C25"/>
    <w:rsid w:val="00FB6D2F"/>
    <w:rsid w:val="00FB783B"/>
    <w:rsid w:val="00FB7A2D"/>
    <w:rsid w:val="00FB7AF6"/>
    <w:rsid w:val="00FB7F8D"/>
    <w:rsid w:val="00FC0437"/>
    <w:rsid w:val="00FC0D4E"/>
    <w:rsid w:val="00FC1DDF"/>
    <w:rsid w:val="00FC2FE3"/>
    <w:rsid w:val="00FC32C6"/>
    <w:rsid w:val="00FC333B"/>
    <w:rsid w:val="00FC335F"/>
    <w:rsid w:val="00FC401C"/>
    <w:rsid w:val="00FC4116"/>
    <w:rsid w:val="00FC49D1"/>
    <w:rsid w:val="00FC5724"/>
    <w:rsid w:val="00FC59AF"/>
    <w:rsid w:val="00FC5F62"/>
    <w:rsid w:val="00FC6B5E"/>
    <w:rsid w:val="00FC740D"/>
    <w:rsid w:val="00FC76D9"/>
    <w:rsid w:val="00FD08C5"/>
    <w:rsid w:val="00FD0912"/>
    <w:rsid w:val="00FD0C3D"/>
    <w:rsid w:val="00FD1095"/>
    <w:rsid w:val="00FD19F1"/>
    <w:rsid w:val="00FD2725"/>
    <w:rsid w:val="00FD2F4F"/>
    <w:rsid w:val="00FD307A"/>
    <w:rsid w:val="00FD316E"/>
    <w:rsid w:val="00FD31F1"/>
    <w:rsid w:val="00FD39CD"/>
    <w:rsid w:val="00FD3F48"/>
    <w:rsid w:val="00FD4035"/>
    <w:rsid w:val="00FD4A92"/>
    <w:rsid w:val="00FD5178"/>
    <w:rsid w:val="00FD5D94"/>
    <w:rsid w:val="00FD6438"/>
    <w:rsid w:val="00FD6470"/>
    <w:rsid w:val="00FD6566"/>
    <w:rsid w:val="00FD7270"/>
    <w:rsid w:val="00FD7329"/>
    <w:rsid w:val="00FD79A6"/>
    <w:rsid w:val="00FE0007"/>
    <w:rsid w:val="00FE1F4B"/>
    <w:rsid w:val="00FE2A28"/>
    <w:rsid w:val="00FE34B1"/>
    <w:rsid w:val="00FE376A"/>
    <w:rsid w:val="00FE3795"/>
    <w:rsid w:val="00FE3BB4"/>
    <w:rsid w:val="00FE4033"/>
    <w:rsid w:val="00FE4B41"/>
    <w:rsid w:val="00FE5317"/>
    <w:rsid w:val="00FE60A0"/>
    <w:rsid w:val="00FE652F"/>
    <w:rsid w:val="00FE66D0"/>
    <w:rsid w:val="00FE672B"/>
    <w:rsid w:val="00FE67D7"/>
    <w:rsid w:val="00FE67E8"/>
    <w:rsid w:val="00FE7494"/>
    <w:rsid w:val="00FE7CE5"/>
    <w:rsid w:val="00FF029B"/>
    <w:rsid w:val="00FF0EB6"/>
    <w:rsid w:val="00FF1099"/>
    <w:rsid w:val="00FF1168"/>
    <w:rsid w:val="00FF16AD"/>
    <w:rsid w:val="00FF1762"/>
    <w:rsid w:val="00FF1AE7"/>
    <w:rsid w:val="00FF28F1"/>
    <w:rsid w:val="00FF29EF"/>
    <w:rsid w:val="00FF2D45"/>
    <w:rsid w:val="00FF2FD5"/>
    <w:rsid w:val="00FF312D"/>
    <w:rsid w:val="00FF32AF"/>
    <w:rsid w:val="00FF3821"/>
    <w:rsid w:val="00FF38C5"/>
    <w:rsid w:val="00FF408D"/>
    <w:rsid w:val="00FF4296"/>
    <w:rsid w:val="00FF453D"/>
    <w:rsid w:val="00FF5298"/>
    <w:rsid w:val="00FF547F"/>
    <w:rsid w:val="00FF6063"/>
    <w:rsid w:val="00FF698D"/>
    <w:rsid w:val="00FF6D0A"/>
    <w:rsid w:val="00FF6F91"/>
    <w:rsid w:val="00FF7A6A"/>
    <w:rsid w:val="01175D0A"/>
    <w:rsid w:val="01295C10"/>
    <w:rsid w:val="019F67A5"/>
    <w:rsid w:val="02032E36"/>
    <w:rsid w:val="03675EC4"/>
    <w:rsid w:val="03ED02FB"/>
    <w:rsid w:val="04610C7A"/>
    <w:rsid w:val="048E221F"/>
    <w:rsid w:val="04B76C0B"/>
    <w:rsid w:val="0513242E"/>
    <w:rsid w:val="052B33E7"/>
    <w:rsid w:val="052E0D0B"/>
    <w:rsid w:val="059445BF"/>
    <w:rsid w:val="05B21D74"/>
    <w:rsid w:val="05FE259C"/>
    <w:rsid w:val="062147A8"/>
    <w:rsid w:val="073262BE"/>
    <w:rsid w:val="07517624"/>
    <w:rsid w:val="079F6195"/>
    <w:rsid w:val="07B97FB3"/>
    <w:rsid w:val="07C55D31"/>
    <w:rsid w:val="07E82993"/>
    <w:rsid w:val="07EC3EFF"/>
    <w:rsid w:val="082049F5"/>
    <w:rsid w:val="084028C1"/>
    <w:rsid w:val="09000F69"/>
    <w:rsid w:val="09573AC5"/>
    <w:rsid w:val="099B68C7"/>
    <w:rsid w:val="0A0748A3"/>
    <w:rsid w:val="0A7713FF"/>
    <w:rsid w:val="0B016BFE"/>
    <w:rsid w:val="0B2B4CD6"/>
    <w:rsid w:val="0B5B1416"/>
    <w:rsid w:val="0B6A706F"/>
    <w:rsid w:val="0B9171DD"/>
    <w:rsid w:val="0BC050C1"/>
    <w:rsid w:val="0BC6634D"/>
    <w:rsid w:val="0CCC6B8A"/>
    <w:rsid w:val="0D48115C"/>
    <w:rsid w:val="0D6C62BF"/>
    <w:rsid w:val="0DF121FD"/>
    <w:rsid w:val="0E252C12"/>
    <w:rsid w:val="0E58773F"/>
    <w:rsid w:val="0E657C42"/>
    <w:rsid w:val="0E9656DB"/>
    <w:rsid w:val="0EF970AF"/>
    <w:rsid w:val="0F0632C4"/>
    <w:rsid w:val="0F4075C9"/>
    <w:rsid w:val="0F531D3C"/>
    <w:rsid w:val="1175581A"/>
    <w:rsid w:val="117919DC"/>
    <w:rsid w:val="11C44419"/>
    <w:rsid w:val="12615596"/>
    <w:rsid w:val="12AD3C90"/>
    <w:rsid w:val="12BF3E06"/>
    <w:rsid w:val="13614AD4"/>
    <w:rsid w:val="13741B0A"/>
    <w:rsid w:val="137F63B4"/>
    <w:rsid w:val="13D4291D"/>
    <w:rsid w:val="14233F55"/>
    <w:rsid w:val="145E5AA3"/>
    <w:rsid w:val="14DA3C9B"/>
    <w:rsid w:val="14E13287"/>
    <w:rsid w:val="15B135C9"/>
    <w:rsid w:val="15EF01EB"/>
    <w:rsid w:val="15F7744E"/>
    <w:rsid w:val="169A7892"/>
    <w:rsid w:val="16A4440E"/>
    <w:rsid w:val="16E47433"/>
    <w:rsid w:val="17165D37"/>
    <w:rsid w:val="17C74643"/>
    <w:rsid w:val="17FA2AE0"/>
    <w:rsid w:val="181F061D"/>
    <w:rsid w:val="18D1543B"/>
    <w:rsid w:val="18FA6510"/>
    <w:rsid w:val="19961D67"/>
    <w:rsid w:val="19A37B6E"/>
    <w:rsid w:val="19A71BC3"/>
    <w:rsid w:val="19E0744A"/>
    <w:rsid w:val="1A0B25EF"/>
    <w:rsid w:val="1A104801"/>
    <w:rsid w:val="1A2753BA"/>
    <w:rsid w:val="1A6D5B83"/>
    <w:rsid w:val="1B0E6836"/>
    <w:rsid w:val="1BA00E31"/>
    <w:rsid w:val="1D0F7C60"/>
    <w:rsid w:val="1D5F5A06"/>
    <w:rsid w:val="1DFF0278"/>
    <w:rsid w:val="1E00275A"/>
    <w:rsid w:val="1EB23375"/>
    <w:rsid w:val="1EB37DB8"/>
    <w:rsid w:val="1EBD2E56"/>
    <w:rsid w:val="1F4A48CC"/>
    <w:rsid w:val="1F5C4098"/>
    <w:rsid w:val="201A7212"/>
    <w:rsid w:val="206D40DB"/>
    <w:rsid w:val="20E050FC"/>
    <w:rsid w:val="212A143E"/>
    <w:rsid w:val="216B300A"/>
    <w:rsid w:val="21753AC2"/>
    <w:rsid w:val="21DE25BB"/>
    <w:rsid w:val="22953F51"/>
    <w:rsid w:val="2310378F"/>
    <w:rsid w:val="231B417D"/>
    <w:rsid w:val="23241284"/>
    <w:rsid w:val="23913E65"/>
    <w:rsid w:val="2397064F"/>
    <w:rsid w:val="23AE0083"/>
    <w:rsid w:val="23C81D43"/>
    <w:rsid w:val="24810012"/>
    <w:rsid w:val="249E5772"/>
    <w:rsid w:val="24C20D54"/>
    <w:rsid w:val="25BE0F67"/>
    <w:rsid w:val="25C25679"/>
    <w:rsid w:val="269144D8"/>
    <w:rsid w:val="26CA727F"/>
    <w:rsid w:val="27A6670B"/>
    <w:rsid w:val="27E30978"/>
    <w:rsid w:val="28132F8E"/>
    <w:rsid w:val="283C5BD8"/>
    <w:rsid w:val="28F6721F"/>
    <w:rsid w:val="29011C25"/>
    <w:rsid w:val="2925120B"/>
    <w:rsid w:val="293E57E6"/>
    <w:rsid w:val="294640EF"/>
    <w:rsid w:val="297D4BEA"/>
    <w:rsid w:val="29983A2E"/>
    <w:rsid w:val="29AB7DC0"/>
    <w:rsid w:val="29F931DB"/>
    <w:rsid w:val="2A2D247C"/>
    <w:rsid w:val="2A6549D8"/>
    <w:rsid w:val="2A962906"/>
    <w:rsid w:val="2A994A44"/>
    <w:rsid w:val="2AA611FD"/>
    <w:rsid w:val="2ABA427C"/>
    <w:rsid w:val="2ADB571C"/>
    <w:rsid w:val="2AEF7008"/>
    <w:rsid w:val="2BCF3D57"/>
    <w:rsid w:val="2BDF2A42"/>
    <w:rsid w:val="2CDF047B"/>
    <w:rsid w:val="2D0C1212"/>
    <w:rsid w:val="2D0F08AF"/>
    <w:rsid w:val="2D536238"/>
    <w:rsid w:val="2D6D22C3"/>
    <w:rsid w:val="2D9273D5"/>
    <w:rsid w:val="2DBF2FFE"/>
    <w:rsid w:val="2DF33BC7"/>
    <w:rsid w:val="2E46732E"/>
    <w:rsid w:val="2E772BB0"/>
    <w:rsid w:val="2EB60EA7"/>
    <w:rsid w:val="2F325EF8"/>
    <w:rsid w:val="2F731116"/>
    <w:rsid w:val="2FBE3A35"/>
    <w:rsid w:val="2FC37811"/>
    <w:rsid w:val="2FED1556"/>
    <w:rsid w:val="30710974"/>
    <w:rsid w:val="30B33C47"/>
    <w:rsid w:val="30BC351C"/>
    <w:rsid w:val="30D713A2"/>
    <w:rsid w:val="31433890"/>
    <w:rsid w:val="32134A3A"/>
    <w:rsid w:val="322E7A29"/>
    <w:rsid w:val="322F6815"/>
    <w:rsid w:val="32467937"/>
    <w:rsid w:val="324A5AE1"/>
    <w:rsid w:val="32E225C2"/>
    <w:rsid w:val="338F5982"/>
    <w:rsid w:val="339A10EE"/>
    <w:rsid w:val="33A37FA3"/>
    <w:rsid w:val="345B262C"/>
    <w:rsid w:val="346027D3"/>
    <w:rsid w:val="35883AD8"/>
    <w:rsid w:val="359726D4"/>
    <w:rsid w:val="3598454A"/>
    <w:rsid w:val="35E066F1"/>
    <w:rsid w:val="361C29B0"/>
    <w:rsid w:val="36444592"/>
    <w:rsid w:val="36723C5D"/>
    <w:rsid w:val="36A63A05"/>
    <w:rsid w:val="36B302BD"/>
    <w:rsid w:val="375D3B51"/>
    <w:rsid w:val="37736057"/>
    <w:rsid w:val="37FB44FD"/>
    <w:rsid w:val="38206066"/>
    <w:rsid w:val="38663FDF"/>
    <w:rsid w:val="399F655F"/>
    <w:rsid w:val="39D62B21"/>
    <w:rsid w:val="39FD4D9E"/>
    <w:rsid w:val="3A0C0F55"/>
    <w:rsid w:val="3A5C3E0E"/>
    <w:rsid w:val="3A7D5B62"/>
    <w:rsid w:val="3ACA26FC"/>
    <w:rsid w:val="3B420345"/>
    <w:rsid w:val="3B575F34"/>
    <w:rsid w:val="3C1E0EE9"/>
    <w:rsid w:val="3C535ECB"/>
    <w:rsid w:val="3C546B42"/>
    <w:rsid w:val="3C6B3338"/>
    <w:rsid w:val="3CEF63AF"/>
    <w:rsid w:val="3D4546CF"/>
    <w:rsid w:val="3DBA45D5"/>
    <w:rsid w:val="3DE14838"/>
    <w:rsid w:val="3E040D80"/>
    <w:rsid w:val="3E12532F"/>
    <w:rsid w:val="3E1B5E09"/>
    <w:rsid w:val="3E48133E"/>
    <w:rsid w:val="3E8C1FCF"/>
    <w:rsid w:val="3ED3256E"/>
    <w:rsid w:val="3EEE3151"/>
    <w:rsid w:val="3F154E4D"/>
    <w:rsid w:val="3F275F2C"/>
    <w:rsid w:val="3F5263ED"/>
    <w:rsid w:val="3F713BB4"/>
    <w:rsid w:val="3F8B67B7"/>
    <w:rsid w:val="3FE00896"/>
    <w:rsid w:val="3FFD4EB1"/>
    <w:rsid w:val="410240EC"/>
    <w:rsid w:val="41207E31"/>
    <w:rsid w:val="4142704D"/>
    <w:rsid w:val="416200AE"/>
    <w:rsid w:val="41BA159B"/>
    <w:rsid w:val="423D3AB9"/>
    <w:rsid w:val="432F0696"/>
    <w:rsid w:val="438D2007"/>
    <w:rsid w:val="439661C3"/>
    <w:rsid w:val="43AD15B6"/>
    <w:rsid w:val="445B279A"/>
    <w:rsid w:val="44B6565C"/>
    <w:rsid w:val="456D489E"/>
    <w:rsid w:val="460A2104"/>
    <w:rsid w:val="46227F87"/>
    <w:rsid w:val="465456CC"/>
    <w:rsid w:val="465D6BB3"/>
    <w:rsid w:val="46F32B98"/>
    <w:rsid w:val="47BE7663"/>
    <w:rsid w:val="47C1088D"/>
    <w:rsid w:val="48501FF0"/>
    <w:rsid w:val="487F2935"/>
    <w:rsid w:val="48C75639"/>
    <w:rsid w:val="491B27BA"/>
    <w:rsid w:val="494E2373"/>
    <w:rsid w:val="49665FA1"/>
    <w:rsid w:val="49761B24"/>
    <w:rsid w:val="498A2D68"/>
    <w:rsid w:val="49B321F5"/>
    <w:rsid w:val="49D840AA"/>
    <w:rsid w:val="49E14F29"/>
    <w:rsid w:val="4A986C9C"/>
    <w:rsid w:val="4AA0746A"/>
    <w:rsid w:val="4B5A250B"/>
    <w:rsid w:val="4BE20CC1"/>
    <w:rsid w:val="4C4F51D1"/>
    <w:rsid w:val="4C597916"/>
    <w:rsid w:val="4CD75F98"/>
    <w:rsid w:val="4D4B729B"/>
    <w:rsid w:val="4DA6644D"/>
    <w:rsid w:val="4DC4684A"/>
    <w:rsid w:val="4DDF68AD"/>
    <w:rsid w:val="4E056021"/>
    <w:rsid w:val="4E10608B"/>
    <w:rsid w:val="4E261535"/>
    <w:rsid w:val="4F194BE7"/>
    <w:rsid w:val="4FB24E25"/>
    <w:rsid w:val="50107668"/>
    <w:rsid w:val="503A35E5"/>
    <w:rsid w:val="50706CD1"/>
    <w:rsid w:val="50DB0D32"/>
    <w:rsid w:val="50FC6F9E"/>
    <w:rsid w:val="51413731"/>
    <w:rsid w:val="52EC1363"/>
    <w:rsid w:val="54385DC6"/>
    <w:rsid w:val="548E66F7"/>
    <w:rsid w:val="549F183E"/>
    <w:rsid w:val="550D0937"/>
    <w:rsid w:val="554D0A8D"/>
    <w:rsid w:val="555C224C"/>
    <w:rsid w:val="55D10308"/>
    <w:rsid w:val="57AF6C74"/>
    <w:rsid w:val="57C53092"/>
    <w:rsid w:val="59223DB2"/>
    <w:rsid w:val="5987558A"/>
    <w:rsid w:val="59DF14D0"/>
    <w:rsid w:val="5A2910DA"/>
    <w:rsid w:val="5A30215B"/>
    <w:rsid w:val="5A9A53AC"/>
    <w:rsid w:val="5B3E14B6"/>
    <w:rsid w:val="5B7F341F"/>
    <w:rsid w:val="5B9514D9"/>
    <w:rsid w:val="5BD03A7F"/>
    <w:rsid w:val="5BD75934"/>
    <w:rsid w:val="5D0A7DF0"/>
    <w:rsid w:val="5D157FC9"/>
    <w:rsid w:val="5D1F5219"/>
    <w:rsid w:val="5D3F7CA6"/>
    <w:rsid w:val="5D555CF6"/>
    <w:rsid w:val="5D8C56AA"/>
    <w:rsid w:val="5E176D14"/>
    <w:rsid w:val="5E464984"/>
    <w:rsid w:val="5F8E6491"/>
    <w:rsid w:val="5FFF0F38"/>
    <w:rsid w:val="60933BDC"/>
    <w:rsid w:val="6127050B"/>
    <w:rsid w:val="613B0F6B"/>
    <w:rsid w:val="61C33027"/>
    <w:rsid w:val="635F0D64"/>
    <w:rsid w:val="64ED5BBE"/>
    <w:rsid w:val="64EF6078"/>
    <w:rsid w:val="656C22FF"/>
    <w:rsid w:val="658672DD"/>
    <w:rsid w:val="660F359A"/>
    <w:rsid w:val="66413CEB"/>
    <w:rsid w:val="66433B9E"/>
    <w:rsid w:val="664960F6"/>
    <w:rsid w:val="672B008D"/>
    <w:rsid w:val="6760666A"/>
    <w:rsid w:val="67B50C65"/>
    <w:rsid w:val="68662B6F"/>
    <w:rsid w:val="687E45D4"/>
    <w:rsid w:val="68BA200D"/>
    <w:rsid w:val="693A58CA"/>
    <w:rsid w:val="69A52551"/>
    <w:rsid w:val="6A6905F6"/>
    <w:rsid w:val="6A821239"/>
    <w:rsid w:val="6B316C7D"/>
    <w:rsid w:val="6B923E7E"/>
    <w:rsid w:val="6C4D7836"/>
    <w:rsid w:val="6C557BE1"/>
    <w:rsid w:val="6C871509"/>
    <w:rsid w:val="6C9F119E"/>
    <w:rsid w:val="6CBF0CA2"/>
    <w:rsid w:val="6CF32D5D"/>
    <w:rsid w:val="6CFC41A6"/>
    <w:rsid w:val="6D004977"/>
    <w:rsid w:val="6D1E405A"/>
    <w:rsid w:val="6D4E14BC"/>
    <w:rsid w:val="6DA53C0B"/>
    <w:rsid w:val="6DBD32F6"/>
    <w:rsid w:val="6E573CE9"/>
    <w:rsid w:val="6E9B31E9"/>
    <w:rsid w:val="6EBA0810"/>
    <w:rsid w:val="6F8150EF"/>
    <w:rsid w:val="705A7446"/>
    <w:rsid w:val="705F6A24"/>
    <w:rsid w:val="708659B7"/>
    <w:rsid w:val="70A25D1C"/>
    <w:rsid w:val="71035144"/>
    <w:rsid w:val="713E3084"/>
    <w:rsid w:val="714E7896"/>
    <w:rsid w:val="71C64881"/>
    <w:rsid w:val="73415780"/>
    <w:rsid w:val="73800C67"/>
    <w:rsid w:val="73BE2D1B"/>
    <w:rsid w:val="73C17D49"/>
    <w:rsid w:val="74E71231"/>
    <w:rsid w:val="751678CE"/>
    <w:rsid w:val="75A31C98"/>
    <w:rsid w:val="75AD0707"/>
    <w:rsid w:val="766E5B13"/>
    <w:rsid w:val="76A6312F"/>
    <w:rsid w:val="76C42FF8"/>
    <w:rsid w:val="76FB7328"/>
    <w:rsid w:val="77154626"/>
    <w:rsid w:val="775E1DB1"/>
    <w:rsid w:val="77D8109E"/>
    <w:rsid w:val="7923491C"/>
    <w:rsid w:val="797565C3"/>
    <w:rsid w:val="79B0603F"/>
    <w:rsid w:val="79E537C8"/>
    <w:rsid w:val="7B3C4FA0"/>
    <w:rsid w:val="7B663DBE"/>
    <w:rsid w:val="7B6F4687"/>
    <w:rsid w:val="7C4E4D06"/>
    <w:rsid w:val="7C541DFA"/>
    <w:rsid w:val="7CB05B4A"/>
    <w:rsid w:val="7CF473DA"/>
    <w:rsid w:val="7D582E20"/>
    <w:rsid w:val="7D5B586F"/>
    <w:rsid w:val="7DD1476E"/>
    <w:rsid w:val="7DE801FA"/>
    <w:rsid w:val="7E6B42D4"/>
    <w:rsid w:val="7E985DDD"/>
    <w:rsid w:val="7EB904F9"/>
    <w:rsid w:val="7F255AB4"/>
    <w:rsid w:val="7F302A23"/>
    <w:rsid w:val="7F310DAD"/>
    <w:rsid w:val="7F860E94"/>
    <w:rsid w:val="D47D0FBC"/>
    <w:rsid w:val="D55587A4"/>
    <w:rsid w:val="DBBDDAB8"/>
    <w:rsid w:val="DEDEB046"/>
    <w:rsid w:val="EBEED99D"/>
    <w:rsid w:val="EBF76B44"/>
    <w:rsid w:val="FEEDF50E"/>
    <w:rsid w:val="FF0FCBFD"/>
    <w:rsid w:val="FF6E8B05"/>
    <w:rsid w:val="FF7BF8AB"/>
    <w:rsid w:val="FFFF70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iPriority="0" w:semiHidden="0" w:name="heading 5"/>
    <w:lsdException w:qFormat="1" w:unhideWhenUsed="0" w:uiPriority="9" w:semiHidden="0" w:name="heading 6"/>
    <w:lsdException w:qFormat="1" w:unhideWhenUsed="0" w:uiPriority="0" w:semiHidden="0" w:name="heading 7"/>
    <w:lsdException w:uiPriority="9" w:name="heading 8"/>
    <w:lsdException w:qFormat="1" w:uiPriority="9"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name="footnote text"/>
    <w:lsdException w:qFormat="1" w:uiPriority="0" w:semiHidden="0" w:name="annotation text"/>
    <w:lsdException w:qFormat="1" w:uiPriority="0" w:semiHidden="0" w:name="header"/>
    <w:lsdException w:qFormat="1" w:uiPriority="0" w:semiHidden="0" w:name="footer"/>
    <w:lsdException w:uiPriority="99" w:name="index heading"/>
    <w:lsdException w:qFormat="1" w:unhideWhenUsed="0" w:uiPriority="0" w:semiHidden="0" w:name="caption"/>
    <w:lsdException w:qFormat="1" w:unhideWhenUsed="0" w:uiPriority="0" w:name="table of figures"/>
    <w:lsdException w:uiPriority="99" w:name="envelope address"/>
    <w:lsdException w:uiPriority="99" w:name="envelope return"/>
    <w:lsdException w:qFormat="1" w:uiPriority="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qFormat="1" w:unhideWhenUsed="0" w:uiPriority="0" w:semiHidden="0" w:name="table of authorities"/>
    <w:lsdException w:uiPriority="99" w:name="macro"/>
    <w:lsdException w:qFormat="1" w:unhideWhenUsed="0" w:uiPriority="0" w:semiHidden="0" w:name="toa heading"/>
    <w:lsdException w:qFormat="1" w:unhideWhenUsed="0" w:uiPriority="0" w:semiHidden="0" w:name="List"/>
    <w:lsdException w:uiPriority="99" w:name="List Bullet"/>
    <w:lsdException w:uiPriority="99" w:name="List Number"/>
    <w:lsdException w:qFormat="1" w:unhideWhenUsed="0" w:uiPriority="0" w:semiHidden="0" w:name="List 2"/>
    <w:lsdException w:qFormat="1" w:unhideWhenUsed="0" w:uiPriority="0" w:semiHidden="0" w:name="List 3"/>
    <w:lsdException w:uiPriority="99" w:name="List 4"/>
    <w:lsdException w:uiPriority="99" w:name="List 5"/>
    <w:lsdException w:uiPriority="99" w:name="List Bullet 2"/>
    <w:lsdException w:qFormat="1" w:unhideWhenUsed="0" w:uiPriority="0" w:semiHidden="0" w:name="List Bullet 3"/>
    <w:lsdException w:uiPriority="99" w:name="List Bullet 4"/>
    <w:lsdException w:uiPriority="99" w:name="List Bullet 5"/>
    <w:lsdException w:uiPriority="99" w:name="List Number 2"/>
    <w:lsdException w:uiPriority="99" w:name="List Number 3"/>
    <w:lsdException w:uiPriority="99" w:name="List Number 4"/>
    <w:lsdException w:qFormat="1" w:unhideWhenUsed="0" w:uiPriority="0" w:semiHidden="0"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qFormat="1" w:unhideWhenUsed="0" w:uiPriority="0" w:semiHidden="0" w:name="Salutation"/>
    <w:lsdException w:qFormat="1" w:uiPriority="0" w:semiHidden="0" w:name="Date"/>
    <w:lsdException w:qFormat="1" w:unhideWhenUsed="0" w:uiPriority="0" w:semiHidden="0" w:name="Body Text First Indent"/>
    <w:lsdException w:qFormat="1"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0" w:semiHidden="0" w:name="Document Map"/>
    <w:lsdException w:qFormat="1"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qFormat="1" w:unhideWhenUsed="0" w:uiPriority="0" w:semiHidden="0"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uiPriority="99" w:name="Table Grid 8"/>
    <w:lsdException w:uiPriority="99" w:name="Table List 1"/>
    <w:lsdException w:uiPriority="99" w:name="Table List 2"/>
    <w:lsdException w:qFormat="1"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qFormat="1" w:unhideWhenUsed="0" w:uiPriority="0" w:semiHidden="0" w:name="Table Theme"/>
    <w:lsdException w:qFormat="1" w:unhideWhenUsed="0" w:uiPriority="99" w:name="Placeholder Text"/>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next w:val="1"/>
    <w:link w:val="69"/>
    <w:qFormat/>
    <w:uiPriority w:val="0"/>
    <w:pPr>
      <w:keepNext/>
      <w:keepLines/>
      <w:numPr>
        <w:ilvl w:val="0"/>
        <w:numId w:val="1"/>
      </w:numPr>
      <w:adjustRightInd w:val="0"/>
      <w:snapToGrid w:val="0"/>
      <w:spacing w:before="340" w:after="330" w:line="360" w:lineRule="auto"/>
      <w:ind w:left="0"/>
      <w:jc w:val="center"/>
      <w:outlineLvl w:val="0"/>
    </w:pPr>
    <w:rPr>
      <w:rFonts w:ascii="Times New Roman" w:hAnsi="Times New Roman" w:eastAsia="黑体" w:cs="Times New Roman"/>
      <w:bCs/>
      <w:kern w:val="44"/>
      <w:sz w:val="32"/>
      <w:szCs w:val="44"/>
      <w:lang w:val="en-US" w:eastAsia="en-US" w:bidi="ar-SA"/>
    </w:rPr>
  </w:style>
  <w:style w:type="paragraph" w:styleId="3">
    <w:name w:val="heading 2"/>
    <w:basedOn w:val="1"/>
    <w:next w:val="1"/>
    <w:link w:val="68"/>
    <w:unhideWhenUsed/>
    <w:qFormat/>
    <w:uiPriority w:val="0"/>
    <w:pPr>
      <w:keepNext/>
      <w:keepLines/>
      <w:numPr>
        <w:ilvl w:val="1"/>
        <w:numId w:val="1"/>
      </w:numPr>
      <w:spacing w:before="50" w:beforeLines="50"/>
      <w:ind w:firstLineChars="0"/>
      <w:outlineLvl w:val="1"/>
    </w:pPr>
    <w:rPr>
      <w:rFonts w:eastAsia="黑体" w:cs="Times New Roman"/>
      <w:bCs/>
      <w:sz w:val="28"/>
      <w:szCs w:val="32"/>
      <w:lang w:eastAsia="en-US"/>
    </w:rPr>
  </w:style>
  <w:style w:type="paragraph" w:styleId="4">
    <w:name w:val="heading 3"/>
    <w:basedOn w:val="1"/>
    <w:next w:val="1"/>
    <w:link w:val="70"/>
    <w:unhideWhenUsed/>
    <w:qFormat/>
    <w:uiPriority w:val="0"/>
    <w:pPr>
      <w:keepNext/>
      <w:keepLines/>
      <w:numPr>
        <w:ilvl w:val="2"/>
        <w:numId w:val="1"/>
      </w:numPr>
      <w:spacing w:before="50" w:beforeLines="50"/>
      <w:outlineLvl w:val="2"/>
    </w:pPr>
    <w:rPr>
      <w:rFonts w:eastAsia="黑体" w:cs="Times New Roman"/>
      <w:bCs/>
      <w:szCs w:val="32"/>
      <w:lang w:eastAsia="en-US"/>
    </w:rPr>
  </w:style>
  <w:style w:type="paragraph" w:styleId="5">
    <w:name w:val="heading 4"/>
    <w:basedOn w:val="1"/>
    <w:next w:val="1"/>
    <w:link w:val="71"/>
    <w:qFormat/>
    <w:uiPriority w:val="0"/>
    <w:pPr>
      <w:keepNext/>
      <w:keepLines/>
      <w:numPr>
        <w:ilvl w:val="3"/>
        <w:numId w:val="1"/>
      </w:numPr>
      <w:ind w:left="0" w:firstLine="200"/>
      <w:jc w:val="left"/>
      <w:outlineLvl w:val="3"/>
    </w:pPr>
    <w:rPr>
      <w:rFonts w:eastAsia="黑体" w:cs="Times New Roman"/>
      <w:bCs/>
      <w:szCs w:val="24"/>
    </w:rPr>
  </w:style>
  <w:style w:type="paragraph" w:styleId="6">
    <w:name w:val="heading 5"/>
    <w:basedOn w:val="1"/>
    <w:next w:val="1"/>
    <w:link w:val="72"/>
    <w:unhideWhenUsed/>
    <w:qFormat/>
    <w:uiPriority w:val="0"/>
    <w:pPr>
      <w:keepNext/>
      <w:keepLines/>
      <w:widowControl/>
      <w:spacing w:before="280" w:after="290" w:line="376" w:lineRule="auto"/>
      <w:jc w:val="left"/>
      <w:outlineLvl w:val="4"/>
    </w:pPr>
    <w:rPr>
      <w:rFonts w:ascii="Calibri" w:hAnsi="Calibri" w:cs="Times New Roman"/>
      <w:b/>
      <w:bCs/>
      <w:kern w:val="0"/>
      <w:sz w:val="28"/>
      <w:szCs w:val="28"/>
      <w:lang w:eastAsia="en-US"/>
    </w:rPr>
  </w:style>
  <w:style w:type="paragraph" w:styleId="7">
    <w:name w:val="heading 6"/>
    <w:basedOn w:val="1"/>
    <w:next w:val="1"/>
    <w:link w:val="73"/>
    <w:qFormat/>
    <w:uiPriority w:val="9"/>
    <w:pPr>
      <w:ind w:left="740"/>
      <w:outlineLvl w:val="5"/>
    </w:pPr>
    <w:rPr>
      <w:rFonts w:ascii="宋体" w:hAnsi="宋体" w:cs="宋体"/>
      <w:b/>
      <w:bCs/>
      <w:szCs w:val="24"/>
      <w:lang w:val="zh-CN" w:bidi="zh-CN"/>
    </w:rPr>
  </w:style>
  <w:style w:type="paragraph" w:styleId="8">
    <w:name w:val="heading 7"/>
    <w:basedOn w:val="1"/>
    <w:next w:val="1"/>
    <w:link w:val="299"/>
    <w:qFormat/>
    <w:uiPriority w:val="0"/>
    <w:pPr>
      <w:keepNext/>
      <w:keepLines/>
      <w:spacing w:before="240" w:after="64" w:line="319" w:lineRule="auto"/>
      <w:outlineLvl w:val="6"/>
    </w:pPr>
    <w:rPr>
      <w:rFonts w:cs="Times New Roman"/>
      <w:b/>
      <w:bCs/>
      <w:szCs w:val="24"/>
    </w:rPr>
  </w:style>
  <w:style w:type="character" w:default="1" w:styleId="59">
    <w:name w:val="Default Paragraph Font"/>
    <w:semiHidden/>
    <w:unhideWhenUsed/>
    <w:qFormat/>
    <w:uiPriority w:val="1"/>
  </w:style>
  <w:style w:type="table" w:default="1" w:styleId="54">
    <w:name w:val="Normal Table"/>
    <w:semiHidden/>
    <w:unhideWhenUsed/>
    <w:qFormat/>
    <w:uiPriority w:val="99"/>
    <w:tblPr>
      <w:tblCellMar>
        <w:top w:w="0" w:type="dxa"/>
        <w:left w:w="108" w:type="dxa"/>
        <w:bottom w:w="0" w:type="dxa"/>
        <w:right w:w="108" w:type="dxa"/>
      </w:tblCellMar>
    </w:tblPr>
  </w:style>
  <w:style w:type="paragraph" w:styleId="9">
    <w:name w:val="List 3"/>
    <w:basedOn w:val="1"/>
    <w:next w:val="1"/>
    <w:qFormat/>
    <w:uiPriority w:val="0"/>
    <w:pPr>
      <w:autoSpaceDE w:val="0"/>
      <w:autoSpaceDN w:val="0"/>
      <w:spacing w:line="288" w:lineRule="auto"/>
      <w:ind w:left="1260" w:hanging="420"/>
      <w:textAlignment w:val="baseline"/>
    </w:pPr>
    <w:rPr>
      <w:rFonts w:ascii="Calibri" w:hAnsi="Calibri" w:eastAsia="仿宋" w:cs="宋体"/>
      <w:szCs w:val="20"/>
    </w:rPr>
  </w:style>
  <w:style w:type="paragraph" w:styleId="10">
    <w:name w:val="toc 7"/>
    <w:basedOn w:val="1"/>
    <w:next w:val="1"/>
    <w:unhideWhenUsed/>
    <w:qFormat/>
    <w:uiPriority w:val="39"/>
    <w:pPr>
      <w:ind w:left="2520" w:leftChars="1200"/>
    </w:pPr>
    <w:rPr>
      <w:rFonts w:ascii="等线" w:hAnsi="等线" w:eastAsia="等线" w:cs="Times New Roman"/>
    </w:rPr>
  </w:style>
  <w:style w:type="paragraph" w:styleId="11">
    <w:name w:val="table of authorities"/>
    <w:basedOn w:val="1"/>
    <w:next w:val="1"/>
    <w:qFormat/>
    <w:uiPriority w:val="0"/>
    <w:pPr>
      <w:ind w:left="420" w:leftChars="200"/>
    </w:pPr>
    <w:rPr>
      <w:rFonts w:cs="Times New Roman"/>
      <w:szCs w:val="24"/>
    </w:rPr>
  </w:style>
  <w:style w:type="paragraph" w:styleId="12">
    <w:name w:val="Note Heading"/>
    <w:basedOn w:val="1"/>
    <w:next w:val="1"/>
    <w:link w:val="300"/>
    <w:qFormat/>
    <w:uiPriority w:val="0"/>
    <w:pPr>
      <w:jc w:val="center"/>
    </w:pPr>
    <w:rPr>
      <w:rFonts w:cs="Times New Roman"/>
      <w:sz w:val="30"/>
      <w:szCs w:val="20"/>
    </w:rPr>
  </w:style>
  <w:style w:type="paragraph" w:styleId="13">
    <w:name w:val="Normal Indent"/>
    <w:basedOn w:val="1"/>
    <w:link w:val="74"/>
    <w:qFormat/>
    <w:uiPriority w:val="0"/>
    <w:pPr>
      <w:ind w:firstLine="420"/>
    </w:pPr>
    <w:rPr>
      <w:rFonts w:cs="Times New Roman"/>
      <w:szCs w:val="24"/>
    </w:rPr>
  </w:style>
  <w:style w:type="paragraph" w:styleId="14">
    <w:name w:val="caption"/>
    <w:basedOn w:val="1"/>
    <w:next w:val="1"/>
    <w:link w:val="75"/>
    <w:qFormat/>
    <w:uiPriority w:val="0"/>
    <w:pPr>
      <w:jc w:val="center"/>
    </w:pPr>
    <w:rPr>
      <w:rFonts w:ascii="Calibri" w:hAnsi="Calibri" w:cs="Times New Roman"/>
      <w:szCs w:val="24"/>
    </w:rPr>
  </w:style>
  <w:style w:type="paragraph" w:styleId="15">
    <w:name w:val="Document Map"/>
    <w:basedOn w:val="1"/>
    <w:link w:val="76"/>
    <w:unhideWhenUsed/>
    <w:qFormat/>
    <w:uiPriority w:val="0"/>
    <w:pPr>
      <w:widowControl/>
      <w:jc w:val="left"/>
    </w:pPr>
    <w:rPr>
      <w:rFonts w:ascii="宋体" w:hAnsi="Calibri" w:cs="Times New Roman"/>
      <w:kern w:val="0"/>
      <w:sz w:val="18"/>
      <w:szCs w:val="18"/>
      <w:lang w:eastAsia="en-US"/>
    </w:rPr>
  </w:style>
  <w:style w:type="paragraph" w:styleId="16">
    <w:name w:val="toa heading"/>
    <w:basedOn w:val="1"/>
    <w:next w:val="1"/>
    <w:qFormat/>
    <w:uiPriority w:val="0"/>
    <w:pPr>
      <w:spacing w:before="120"/>
    </w:pPr>
    <w:rPr>
      <w:rFonts w:ascii="Arial" w:hAnsi="Arial" w:cs="Arial"/>
      <w:szCs w:val="24"/>
    </w:rPr>
  </w:style>
  <w:style w:type="paragraph" w:styleId="17">
    <w:name w:val="annotation text"/>
    <w:basedOn w:val="1"/>
    <w:link w:val="77"/>
    <w:unhideWhenUsed/>
    <w:qFormat/>
    <w:uiPriority w:val="0"/>
    <w:pPr>
      <w:widowControl/>
      <w:jc w:val="left"/>
    </w:pPr>
    <w:rPr>
      <w:rFonts w:ascii="Calibri" w:hAnsi="Calibri" w:cs="Times New Roman"/>
      <w:kern w:val="0"/>
      <w:sz w:val="22"/>
      <w:lang w:eastAsia="en-US"/>
    </w:rPr>
  </w:style>
  <w:style w:type="paragraph" w:styleId="18">
    <w:name w:val="Salutation"/>
    <w:basedOn w:val="1"/>
    <w:next w:val="1"/>
    <w:link w:val="564"/>
    <w:qFormat/>
    <w:uiPriority w:val="0"/>
    <w:pPr>
      <w:widowControl/>
      <w:spacing w:line="300" w:lineRule="auto"/>
      <w:jc w:val="left"/>
      <w:textAlignment w:val="baseline"/>
    </w:pPr>
    <w:rPr>
      <w:rFonts w:ascii="宋体" w:cs="Times New Roman"/>
      <w:sz w:val="28"/>
      <w:szCs w:val="28"/>
    </w:rPr>
  </w:style>
  <w:style w:type="paragraph" w:styleId="19">
    <w:name w:val="Body Text 3"/>
    <w:basedOn w:val="1"/>
    <w:link w:val="78"/>
    <w:qFormat/>
    <w:uiPriority w:val="0"/>
    <w:pPr>
      <w:spacing w:after="120"/>
    </w:pPr>
    <w:rPr>
      <w:rFonts w:cs="Times New Roman"/>
      <w:sz w:val="16"/>
      <w:szCs w:val="16"/>
    </w:rPr>
  </w:style>
  <w:style w:type="paragraph" w:styleId="20">
    <w:name w:val="List Bullet 3"/>
    <w:basedOn w:val="1"/>
    <w:qFormat/>
    <w:uiPriority w:val="0"/>
    <w:pPr>
      <w:tabs>
        <w:tab w:val="left" w:pos="1280"/>
      </w:tabs>
      <w:ind w:left="1280" w:hanging="720"/>
    </w:pPr>
    <w:rPr>
      <w:rFonts w:cs="Times New Roman"/>
      <w:szCs w:val="20"/>
    </w:rPr>
  </w:style>
  <w:style w:type="paragraph" w:styleId="21">
    <w:name w:val="Body Text"/>
    <w:basedOn w:val="1"/>
    <w:link w:val="79"/>
    <w:qFormat/>
    <w:uiPriority w:val="0"/>
    <w:pPr>
      <w:widowControl/>
      <w:spacing w:before="35"/>
      <w:ind w:left="138"/>
      <w:jc w:val="left"/>
    </w:pPr>
    <w:rPr>
      <w:rFonts w:ascii="宋体" w:hAnsi="宋体" w:cs="Times New Roman"/>
      <w:kern w:val="0"/>
      <w:szCs w:val="24"/>
      <w:lang w:eastAsia="en-US"/>
    </w:rPr>
  </w:style>
  <w:style w:type="paragraph" w:styleId="22">
    <w:name w:val="Body Text Indent"/>
    <w:basedOn w:val="1"/>
    <w:next w:val="1"/>
    <w:link w:val="80"/>
    <w:unhideWhenUsed/>
    <w:qFormat/>
    <w:uiPriority w:val="0"/>
    <w:pPr>
      <w:widowControl/>
      <w:spacing w:after="120"/>
      <w:ind w:left="420" w:leftChars="200"/>
      <w:jc w:val="left"/>
    </w:pPr>
    <w:rPr>
      <w:rFonts w:ascii="Calibri" w:hAnsi="Calibri" w:cs="Times New Roman"/>
      <w:kern w:val="0"/>
      <w:sz w:val="22"/>
      <w:lang w:eastAsia="en-US"/>
    </w:rPr>
  </w:style>
  <w:style w:type="paragraph" w:styleId="23">
    <w:name w:val="List 2"/>
    <w:basedOn w:val="1"/>
    <w:qFormat/>
    <w:uiPriority w:val="0"/>
    <w:pPr>
      <w:ind w:left="840" w:hanging="420"/>
    </w:pPr>
    <w:rPr>
      <w:rFonts w:cs="Times New Roman"/>
      <w:sz w:val="26"/>
      <w:szCs w:val="20"/>
    </w:rPr>
  </w:style>
  <w:style w:type="paragraph" w:styleId="24">
    <w:name w:val="Block Text"/>
    <w:basedOn w:val="1"/>
    <w:qFormat/>
    <w:uiPriority w:val="0"/>
    <w:pPr>
      <w:ind w:left="718" w:leftChars="342" w:right="680" w:rightChars="324"/>
    </w:pPr>
    <w:rPr>
      <w:rFonts w:ascii="宋体" w:hAnsi="宋体" w:cs="Times New Roman"/>
      <w:szCs w:val="24"/>
    </w:rPr>
  </w:style>
  <w:style w:type="paragraph" w:styleId="25">
    <w:name w:val="toc 5"/>
    <w:basedOn w:val="1"/>
    <w:next w:val="1"/>
    <w:unhideWhenUsed/>
    <w:qFormat/>
    <w:uiPriority w:val="39"/>
    <w:pPr>
      <w:ind w:left="1680" w:leftChars="800"/>
    </w:pPr>
    <w:rPr>
      <w:rFonts w:ascii="等线" w:hAnsi="等线" w:eastAsia="等线" w:cs="Times New Roman"/>
    </w:rPr>
  </w:style>
  <w:style w:type="paragraph" w:styleId="26">
    <w:name w:val="toc 3"/>
    <w:basedOn w:val="1"/>
    <w:next w:val="1"/>
    <w:unhideWhenUsed/>
    <w:qFormat/>
    <w:uiPriority w:val="39"/>
    <w:pPr>
      <w:widowControl/>
      <w:ind w:left="840" w:leftChars="400"/>
      <w:jc w:val="left"/>
    </w:pPr>
    <w:rPr>
      <w:rFonts w:ascii="Calibri" w:hAnsi="Calibri" w:cs="Times New Roman"/>
      <w:kern w:val="0"/>
      <w:sz w:val="22"/>
      <w:lang w:eastAsia="en-US"/>
    </w:rPr>
  </w:style>
  <w:style w:type="paragraph" w:styleId="27">
    <w:name w:val="Plain Text"/>
    <w:basedOn w:val="1"/>
    <w:next w:val="1"/>
    <w:link w:val="81"/>
    <w:unhideWhenUsed/>
    <w:qFormat/>
    <w:uiPriority w:val="0"/>
    <w:rPr>
      <w:rFonts w:ascii="宋体" w:hAnsi="Courier New" w:cs="Times New Roman"/>
      <w:szCs w:val="20"/>
    </w:rPr>
  </w:style>
  <w:style w:type="paragraph" w:styleId="28">
    <w:name w:val="toc 8"/>
    <w:basedOn w:val="1"/>
    <w:next w:val="1"/>
    <w:unhideWhenUsed/>
    <w:qFormat/>
    <w:uiPriority w:val="39"/>
    <w:pPr>
      <w:ind w:left="2940" w:leftChars="1400"/>
    </w:pPr>
    <w:rPr>
      <w:rFonts w:ascii="等线" w:hAnsi="等线" w:eastAsia="等线" w:cs="Times New Roman"/>
    </w:rPr>
  </w:style>
  <w:style w:type="paragraph" w:styleId="29">
    <w:name w:val="Date"/>
    <w:basedOn w:val="1"/>
    <w:next w:val="1"/>
    <w:link w:val="259"/>
    <w:unhideWhenUsed/>
    <w:qFormat/>
    <w:uiPriority w:val="0"/>
    <w:pPr>
      <w:topLinePunct/>
      <w:ind w:left="100" w:leftChars="2500"/>
    </w:pPr>
    <w:rPr>
      <w:rFonts w:ascii="宋体" w:cs="宋体"/>
      <w:kern w:val="0"/>
      <w:szCs w:val="24"/>
    </w:rPr>
  </w:style>
  <w:style w:type="paragraph" w:styleId="30">
    <w:name w:val="Body Text Indent 2"/>
    <w:basedOn w:val="1"/>
    <w:next w:val="31"/>
    <w:link w:val="82"/>
    <w:qFormat/>
    <w:uiPriority w:val="0"/>
    <w:pPr>
      <w:spacing w:line="300" w:lineRule="auto"/>
      <w:ind w:firstLine="480"/>
    </w:pPr>
    <w:rPr>
      <w:rFonts w:ascii="仿宋体" w:eastAsia="仿宋体" w:cs="Times New Roman"/>
      <w:b/>
      <w:bCs/>
      <w:szCs w:val="24"/>
    </w:rPr>
  </w:style>
  <w:style w:type="paragraph" w:customStyle="1" w:styleId="31">
    <w:name w:val="简单回函地址"/>
    <w:basedOn w:val="1"/>
    <w:next w:val="32"/>
    <w:qFormat/>
    <w:uiPriority w:val="0"/>
    <w:rPr>
      <w:rFonts w:cs="Times New Roman"/>
      <w:szCs w:val="20"/>
    </w:rPr>
  </w:style>
  <w:style w:type="paragraph" w:customStyle="1" w:styleId="32">
    <w:name w:val="正文2"/>
    <w:basedOn w:val="22"/>
    <w:next w:val="1"/>
    <w:qFormat/>
    <w:uiPriority w:val="0"/>
    <w:pPr>
      <w:spacing w:line="360" w:lineRule="atLeast"/>
    </w:pPr>
  </w:style>
  <w:style w:type="paragraph" w:styleId="33">
    <w:name w:val="Balloon Text"/>
    <w:basedOn w:val="1"/>
    <w:link w:val="83"/>
    <w:unhideWhenUsed/>
    <w:qFormat/>
    <w:uiPriority w:val="0"/>
    <w:pPr>
      <w:widowControl/>
      <w:jc w:val="left"/>
    </w:pPr>
    <w:rPr>
      <w:rFonts w:ascii="Calibri" w:hAnsi="Calibri" w:cs="Times New Roman"/>
      <w:kern w:val="0"/>
      <w:sz w:val="18"/>
      <w:szCs w:val="18"/>
      <w:lang w:eastAsia="en-US"/>
    </w:rPr>
  </w:style>
  <w:style w:type="paragraph" w:styleId="34">
    <w:name w:val="footer"/>
    <w:basedOn w:val="1"/>
    <w:link w:val="84"/>
    <w:unhideWhenUsed/>
    <w:qFormat/>
    <w:uiPriority w:val="0"/>
    <w:pPr>
      <w:widowControl/>
      <w:tabs>
        <w:tab w:val="center" w:pos="4153"/>
        <w:tab w:val="right" w:pos="8306"/>
      </w:tabs>
      <w:spacing w:line="240" w:lineRule="auto"/>
      <w:ind w:firstLine="0" w:firstLineChars="0"/>
      <w:jc w:val="left"/>
    </w:pPr>
    <w:rPr>
      <w:rFonts w:ascii="Calibri" w:hAnsi="Calibri" w:cs="Times New Roman"/>
      <w:kern w:val="0"/>
      <w:sz w:val="18"/>
      <w:szCs w:val="18"/>
      <w:lang w:eastAsia="en-US"/>
    </w:rPr>
  </w:style>
  <w:style w:type="paragraph" w:styleId="35">
    <w:name w:val="header"/>
    <w:basedOn w:val="1"/>
    <w:link w:val="85"/>
    <w:unhideWhenUsed/>
    <w:qFormat/>
    <w:uiPriority w:val="0"/>
    <w:pPr>
      <w:widowControl/>
      <w:pBdr>
        <w:bottom w:val="single" w:color="auto" w:sz="6" w:space="1"/>
      </w:pBdr>
      <w:tabs>
        <w:tab w:val="center" w:pos="4153"/>
        <w:tab w:val="right" w:pos="8306"/>
      </w:tabs>
      <w:jc w:val="center"/>
    </w:pPr>
    <w:rPr>
      <w:rFonts w:ascii="Calibri" w:hAnsi="Calibri" w:cs="Times New Roman"/>
      <w:kern w:val="0"/>
      <w:sz w:val="18"/>
      <w:szCs w:val="18"/>
      <w:lang w:eastAsia="en-US"/>
    </w:rPr>
  </w:style>
  <w:style w:type="paragraph" w:styleId="36">
    <w:name w:val="toc 1"/>
    <w:basedOn w:val="1"/>
    <w:next w:val="1"/>
    <w:unhideWhenUsed/>
    <w:qFormat/>
    <w:uiPriority w:val="39"/>
    <w:pPr>
      <w:widowControl/>
      <w:jc w:val="left"/>
    </w:pPr>
    <w:rPr>
      <w:rFonts w:ascii="Calibri" w:hAnsi="Calibri" w:cs="Times New Roman"/>
      <w:kern w:val="0"/>
      <w:sz w:val="22"/>
      <w:lang w:eastAsia="en-US"/>
    </w:rPr>
  </w:style>
  <w:style w:type="paragraph" w:styleId="37">
    <w:name w:val="toc 4"/>
    <w:basedOn w:val="1"/>
    <w:next w:val="1"/>
    <w:unhideWhenUsed/>
    <w:qFormat/>
    <w:uiPriority w:val="39"/>
    <w:pPr>
      <w:ind w:left="1260" w:leftChars="600"/>
    </w:pPr>
    <w:rPr>
      <w:rFonts w:ascii="等线" w:hAnsi="等线" w:eastAsia="等线" w:cs="Times New Roman"/>
    </w:rPr>
  </w:style>
  <w:style w:type="paragraph" w:styleId="38">
    <w:name w:val="List Number 5"/>
    <w:basedOn w:val="1"/>
    <w:qFormat/>
    <w:uiPriority w:val="0"/>
    <w:pPr>
      <w:numPr>
        <w:ilvl w:val="0"/>
        <w:numId w:val="2"/>
      </w:numPr>
      <w:tabs>
        <w:tab w:val="left" w:pos="2040"/>
      </w:tabs>
    </w:pPr>
    <w:rPr>
      <w:rFonts w:cs="Times New Roman"/>
      <w:szCs w:val="24"/>
    </w:rPr>
  </w:style>
  <w:style w:type="paragraph" w:styleId="39">
    <w:name w:val="List"/>
    <w:basedOn w:val="1"/>
    <w:next w:val="1"/>
    <w:qFormat/>
    <w:uiPriority w:val="0"/>
    <w:pPr>
      <w:ind w:left="200" w:hanging="200" w:hangingChars="200"/>
    </w:pPr>
    <w:rPr>
      <w:rFonts w:cs="Times New Roman"/>
      <w:szCs w:val="24"/>
    </w:rPr>
  </w:style>
  <w:style w:type="paragraph" w:styleId="40">
    <w:name w:val="footnote text"/>
    <w:basedOn w:val="1"/>
    <w:link w:val="86"/>
    <w:semiHidden/>
    <w:qFormat/>
    <w:uiPriority w:val="0"/>
    <w:pPr>
      <w:jc w:val="left"/>
    </w:pPr>
    <w:rPr>
      <w:rFonts w:cs="Times New Roman"/>
      <w:sz w:val="18"/>
      <w:szCs w:val="18"/>
    </w:rPr>
  </w:style>
  <w:style w:type="paragraph" w:styleId="41">
    <w:name w:val="toc 6"/>
    <w:basedOn w:val="1"/>
    <w:next w:val="1"/>
    <w:unhideWhenUsed/>
    <w:qFormat/>
    <w:uiPriority w:val="39"/>
    <w:pPr>
      <w:ind w:left="2100" w:leftChars="1000"/>
    </w:pPr>
    <w:rPr>
      <w:rFonts w:ascii="等线" w:hAnsi="等线" w:eastAsia="等线" w:cs="Times New Roman"/>
    </w:rPr>
  </w:style>
  <w:style w:type="paragraph" w:styleId="42">
    <w:name w:val="Body Text Indent 3"/>
    <w:basedOn w:val="1"/>
    <w:link w:val="87"/>
    <w:qFormat/>
    <w:uiPriority w:val="0"/>
    <w:pPr>
      <w:spacing w:after="120"/>
      <w:ind w:left="420" w:leftChars="200"/>
    </w:pPr>
    <w:rPr>
      <w:rFonts w:cs="Times New Roman"/>
      <w:sz w:val="16"/>
      <w:szCs w:val="16"/>
    </w:rPr>
  </w:style>
  <w:style w:type="paragraph" w:styleId="43">
    <w:name w:val="table of figures"/>
    <w:basedOn w:val="1"/>
    <w:next w:val="1"/>
    <w:semiHidden/>
    <w:qFormat/>
    <w:uiPriority w:val="0"/>
    <w:pPr>
      <w:ind w:left="420" w:hanging="420"/>
      <w:jc w:val="left"/>
    </w:pPr>
    <w:rPr>
      <w:rFonts w:cs="Times New Roman"/>
      <w:smallCaps/>
      <w:sz w:val="20"/>
      <w:szCs w:val="20"/>
    </w:rPr>
  </w:style>
  <w:style w:type="paragraph" w:styleId="44">
    <w:name w:val="toc 2"/>
    <w:basedOn w:val="1"/>
    <w:next w:val="1"/>
    <w:unhideWhenUsed/>
    <w:qFormat/>
    <w:uiPriority w:val="39"/>
    <w:pPr>
      <w:widowControl/>
      <w:ind w:left="420" w:leftChars="200"/>
      <w:jc w:val="left"/>
    </w:pPr>
    <w:rPr>
      <w:rFonts w:ascii="Calibri" w:hAnsi="Calibri" w:cs="Times New Roman"/>
      <w:kern w:val="0"/>
      <w:sz w:val="22"/>
      <w:lang w:eastAsia="en-US"/>
    </w:rPr>
  </w:style>
  <w:style w:type="paragraph" w:styleId="45">
    <w:name w:val="toc 9"/>
    <w:basedOn w:val="1"/>
    <w:next w:val="1"/>
    <w:unhideWhenUsed/>
    <w:qFormat/>
    <w:uiPriority w:val="39"/>
    <w:pPr>
      <w:ind w:left="3360" w:leftChars="1600"/>
    </w:pPr>
    <w:rPr>
      <w:rFonts w:ascii="等线" w:hAnsi="等线" w:eastAsia="等线" w:cs="Times New Roman"/>
    </w:rPr>
  </w:style>
  <w:style w:type="paragraph" w:styleId="46">
    <w:name w:val="Body Text 2"/>
    <w:basedOn w:val="1"/>
    <w:link w:val="88"/>
    <w:qFormat/>
    <w:uiPriority w:val="0"/>
    <w:pPr>
      <w:spacing w:after="120" w:line="480" w:lineRule="auto"/>
    </w:pPr>
    <w:rPr>
      <w:rFonts w:cs="Times New Roman"/>
      <w:szCs w:val="24"/>
    </w:rPr>
  </w:style>
  <w:style w:type="paragraph" w:styleId="47">
    <w:name w:val="HTML Preformatted"/>
    <w:basedOn w:val="1"/>
    <w:link w:val="304"/>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Cs w:val="24"/>
    </w:rPr>
  </w:style>
  <w:style w:type="paragraph" w:styleId="48">
    <w:name w:val="Normal (Web)"/>
    <w:basedOn w:val="1"/>
    <w:link w:val="89"/>
    <w:qFormat/>
    <w:uiPriority w:val="99"/>
    <w:pPr>
      <w:widowControl/>
      <w:spacing w:before="100" w:beforeAutospacing="1" w:after="100" w:afterAutospacing="1"/>
      <w:jc w:val="left"/>
    </w:pPr>
    <w:rPr>
      <w:rFonts w:ascii="宋体" w:hAnsi="宋体" w:cs="Times New Roman"/>
      <w:kern w:val="0"/>
      <w:szCs w:val="24"/>
    </w:rPr>
  </w:style>
  <w:style w:type="paragraph" w:styleId="49">
    <w:name w:val="index 1"/>
    <w:basedOn w:val="1"/>
    <w:next w:val="1"/>
    <w:qFormat/>
    <w:uiPriority w:val="0"/>
    <w:pPr>
      <w:jc w:val="center"/>
    </w:pPr>
    <w:rPr>
      <w:rFonts w:cs="Times New Roman"/>
      <w:szCs w:val="24"/>
    </w:rPr>
  </w:style>
  <w:style w:type="paragraph" w:styleId="50">
    <w:name w:val="Title"/>
    <w:basedOn w:val="1"/>
    <w:link w:val="246"/>
    <w:qFormat/>
    <w:uiPriority w:val="0"/>
    <w:pPr>
      <w:spacing w:before="240" w:after="60" w:line="312" w:lineRule="atLeast"/>
      <w:jc w:val="center"/>
      <w:textAlignment w:val="baseline"/>
      <w:outlineLvl w:val="0"/>
    </w:pPr>
    <w:rPr>
      <w:rFonts w:ascii="Arial" w:hAnsi="Arial" w:cs="Times New Roman"/>
      <w:b/>
      <w:kern w:val="0"/>
      <w:sz w:val="32"/>
      <w:szCs w:val="20"/>
    </w:rPr>
  </w:style>
  <w:style w:type="paragraph" w:styleId="51">
    <w:name w:val="annotation subject"/>
    <w:basedOn w:val="17"/>
    <w:next w:val="17"/>
    <w:link w:val="90"/>
    <w:unhideWhenUsed/>
    <w:qFormat/>
    <w:uiPriority w:val="0"/>
    <w:rPr>
      <w:b/>
      <w:bCs/>
    </w:rPr>
  </w:style>
  <w:style w:type="paragraph" w:styleId="52">
    <w:name w:val="Body Text First Indent"/>
    <w:basedOn w:val="21"/>
    <w:next w:val="1"/>
    <w:link w:val="303"/>
    <w:qFormat/>
    <w:uiPriority w:val="0"/>
    <w:pPr>
      <w:widowControl w:val="0"/>
      <w:spacing w:before="0" w:after="120"/>
      <w:ind w:left="0" w:firstLine="420" w:firstLineChars="100"/>
      <w:jc w:val="both"/>
    </w:pPr>
    <w:rPr>
      <w:rFonts w:ascii="Times New Roman" w:hAnsi="Times New Roman"/>
      <w:kern w:val="2"/>
      <w:sz w:val="21"/>
      <w:lang w:eastAsia="zh-CN"/>
    </w:rPr>
  </w:style>
  <w:style w:type="paragraph" w:styleId="53">
    <w:name w:val="Body Text First Indent 2"/>
    <w:basedOn w:val="22"/>
    <w:link w:val="91"/>
    <w:unhideWhenUsed/>
    <w:qFormat/>
    <w:uiPriority w:val="0"/>
    <w:pPr>
      <w:ind w:firstLine="420"/>
    </w:pPr>
  </w:style>
  <w:style w:type="table" w:styleId="55">
    <w:name w:val="Table Grid"/>
    <w:basedOn w:val="5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6">
    <w:name w:val="Table Theme"/>
    <w:basedOn w:val="5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7">
    <w:name w:val="Table List 3"/>
    <w:basedOn w:val="54"/>
    <w:semiHidden/>
    <w:unhideWhenUsed/>
    <w:qFormat/>
    <w:uiPriority w:val="99"/>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58">
    <w:name w:val="Table Grid 5"/>
    <w:basedOn w:val="54"/>
    <w:qFormat/>
    <w:uiPriority w:val="0"/>
    <w:pPr>
      <w:widowControl w:val="0"/>
      <w:adjustRightInd w:val="0"/>
      <w:snapToGrid w:val="0"/>
      <w:spacing w:line="460" w:lineRule="exact"/>
      <w:ind w:firstLine="52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60">
    <w:name w:val="Strong"/>
    <w:basedOn w:val="59"/>
    <w:qFormat/>
    <w:uiPriority w:val="0"/>
    <w:rPr>
      <w:b/>
    </w:rPr>
  </w:style>
  <w:style w:type="character" w:styleId="61">
    <w:name w:val="page number"/>
    <w:basedOn w:val="59"/>
    <w:qFormat/>
    <w:uiPriority w:val="0"/>
  </w:style>
  <w:style w:type="character" w:styleId="62">
    <w:name w:val="FollowedHyperlink"/>
    <w:qFormat/>
    <w:uiPriority w:val="0"/>
    <w:rPr>
      <w:color w:val="800080"/>
      <w:u w:val="single"/>
    </w:rPr>
  </w:style>
  <w:style w:type="character" w:styleId="63">
    <w:name w:val="Emphasis"/>
    <w:basedOn w:val="59"/>
    <w:qFormat/>
    <w:uiPriority w:val="0"/>
    <w:rPr>
      <w:i/>
    </w:rPr>
  </w:style>
  <w:style w:type="character" w:styleId="64">
    <w:name w:val="Hyperlink"/>
    <w:basedOn w:val="59"/>
    <w:unhideWhenUsed/>
    <w:qFormat/>
    <w:uiPriority w:val="99"/>
    <w:rPr>
      <w:color w:val="0000FF"/>
      <w:u w:val="single"/>
    </w:rPr>
  </w:style>
  <w:style w:type="character" w:styleId="65">
    <w:name w:val="annotation reference"/>
    <w:unhideWhenUsed/>
    <w:qFormat/>
    <w:uiPriority w:val="0"/>
    <w:rPr>
      <w:sz w:val="21"/>
      <w:szCs w:val="21"/>
    </w:rPr>
  </w:style>
  <w:style w:type="character" w:styleId="66">
    <w:name w:val="HTML Cite"/>
    <w:qFormat/>
    <w:uiPriority w:val="0"/>
    <w:rPr>
      <w:color w:val="008000"/>
    </w:rPr>
  </w:style>
  <w:style w:type="paragraph" w:styleId="67">
    <w:name w:val="No Spacing"/>
    <w:basedOn w:val="1"/>
    <w:link w:val="167"/>
    <w:qFormat/>
    <w:uiPriority w:val="99"/>
    <w:pPr>
      <w:spacing w:line="240" w:lineRule="exact"/>
      <w:jc w:val="center"/>
    </w:pPr>
    <w:rPr>
      <w:rFonts w:eastAsia="仿宋_GB2312" w:cs="Times New Roman"/>
      <w:sz w:val="18"/>
      <w:szCs w:val="28"/>
    </w:rPr>
  </w:style>
  <w:style w:type="character" w:customStyle="1" w:styleId="68">
    <w:name w:val="标题 2 字符"/>
    <w:link w:val="3"/>
    <w:qFormat/>
    <w:uiPriority w:val="0"/>
    <w:rPr>
      <w:rFonts w:ascii="Times New Roman" w:hAnsi="Times New Roman" w:eastAsia="黑体"/>
      <w:bCs/>
      <w:sz w:val="28"/>
      <w:szCs w:val="32"/>
      <w:lang w:eastAsia="en-US"/>
    </w:rPr>
  </w:style>
  <w:style w:type="character" w:customStyle="1" w:styleId="69">
    <w:name w:val="标题 1 字符"/>
    <w:link w:val="2"/>
    <w:qFormat/>
    <w:uiPriority w:val="0"/>
    <w:rPr>
      <w:rFonts w:eastAsia="黑体"/>
      <w:bCs/>
      <w:kern w:val="44"/>
      <w:sz w:val="32"/>
      <w:szCs w:val="44"/>
      <w:lang w:eastAsia="en-US"/>
    </w:rPr>
  </w:style>
  <w:style w:type="character" w:customStyle="1" w:styleId="70">
    <w:name w:val="标题 3 字符"/>
    <w:link w:val="4"/>
    <w:qFormat/>
    <w:uiPriority w:val="0"/>
    <w:rPr>
      <w:rFonts w:eastAsia="黑体"/>
      <w:bCs/>
      <w:sz w:val="24"/>
      <w:szCs w:val="32"/>
      <w:lang w:eastAsia="en-US"/>
    </w:rPr>
  </w:style>
  <w:style w:type="character" w:customStyle="1" w:styleId="71">
    <w:name w:val="标题 4 字符"/>
    <w:basedOn w:val="59"/>
    <w:link w:val="5"/>
    <w:qFormat/>
    <w:uiPriority w:val="0"/>
    <w:rPr>
      <w:rFonts w:ascii="Times New Roman" w:hAnsi="Times New Roman" w:eastAsia="黑体"/>
      <w:bCs/>
      <w:kern w:val="2"/>
      <w:sz w:val="24"/>
      <w:szCs w:val="24"/>
    </w:rPr>
  </w:style>
  <w:style w:type="character" w:customStyle="1" w:styleId="72">
    <w:name w:val="标题 5 字符"/>
    <w:basedOn w:val="59"/>
    <w:link w:val="6"/>
    <w:qFormat/>
    <w:uiPriority w:val="0"/>
    <w:rPr>
      <w:b/>
      <w:bCs/>
      <w:sz w:val="28"/>
      <w:szCs w:val="28"/>
      <w:lang w:eastAsia="en-US"/>
    </w:rPr>
  </w:style>
  <w:style w:type="character" w:customStyle="1" w:styleId="73">
    <w:name w:val="标题 6 字符"/>
    <w:basedOn w:val="59"/>
    <w:link w:val="7"/>
    <w:qFormat/>
    <w:uiPriority w:val="9"/>
    <w:rPr>
      <w:rFonts w:ascii="宋体" w:hAnsi="宋体" w:cs="宋体"/>
      <w:b/>
      <w:bCs/>
      <w:kern w:val="2"/>
      <w:sz w:val="24"/>
      <w:szCs w:val="24"/>
      <w:lang w:val="zh-CN" w:bidi="zh-CN"/>
    </w:rPr>
  </w:style>
  <w:style w:type="character" w:customStyle="1" w:styleId="74">
    <w:name w:val="正文缩进 字符"/>
    <w:link w:val="13"/>
    <w:qFormat/>
    <w:uiPriority w:val="0"/>
    <w:rPr>
      <w:rFonts w:ascii="Times New Roman" w:hAnsi="Times New Roman"/>
      <w:kern w:val="2"/>
      <w:sz w:val="21"/>
      <w:szCs w:val="24"/>
    </w:rPr>
  </w:style>
  <w:style w:type="character" w:customStyle="1" w:styleId="75">
    <w:name w:val="题注 字符"/>
    <w:link w:val="14"/>
    <w:qFormat/>
    <w:uiPriority w:val="0"/>
    <w:rPr>
      <w:kern w:val="2"/>
      <w:sz w:val="21"/>
      <w:szCs w:val="24"/>
    </w:rPr>
  </w:style>
  <w:style w:type="character" w:customStyle="1" w:styleId="76">
    <w:name w:val="文档结构图 字符"/>
    <w:link w:val="15"/>
    <w:qFormat/>
    <w:uiPriority w:val="0"/>
    <w:rPr>
      <w:rFonts w:ascii="宋体" w:eastAsia="宋体"/>
      <w:sz w:val="18"/>
      <w:szCs w:val="18"/>
    </w:rPr>
  </w:style>
  <w:style w:type="character" w:customStyle="1" w:styleId="77">
    <w:name w:val="批注文字 字符"/>
    <w:basedOn w:val="59"/>
    <w:link w:val="17"/>
    <w:qFormat/>
    <w:uiPriority w:val="0"/>
  </w:style>
  <w:style w:type="character" w:customStyle="1" w:styleId="78">
    <w:name w:val="正文文本 3 字符"/>
    <w:basedOn w:val="59"/>
    <w:link w:val="19"/>
    <w:qFormat/>
    <w:uiPriority w:val="0"/>
    <w:rPr>
      <w:rFonts w:ascii="Times New Roman" w:hAnsi="Times New Roman"/>
      <w:kern w:val="2"/>
      <w:sz w:val="16"/>
      <w:szCs w:val="16"/>
    </w:rPr>
  </w:style>
  <w:style w:type="character" w:customStyle="1" w:styleId="79">
    <w:name w:val="正文文本 字符"/>
    <w:link w:val="21"/>
    <w:qFormat/>
    <w:uiPriority w:val="0"/>
    <w:rPr>
      <w:rFonts w:ascii="宋体" w:hAnsi="宋体"/>
      <w:sz w:val="24"/>
      <w:szCs w:val="24"/>
      <w:lang w:eastAsia="en-US"/>
    </w:rPr>
  </w:style>
  <w:style w:type="character" w:customStyle="1" w:styleId="80">
    <w:name w:val="正文文本缩进 字符"/>
    <w:basedOn w:val="59"/>
    <w:link w:val="22"/>
    <w:qFormat/>
    <w:uiPriority w:val="0"/>
  </w:style>
  <w:style w:type="character" w:customStyle="1" w:styleId="81">
    <w:name w:val="纯文本 字符"/>
    <w:basedOn w:val="59"/>
    <w:link w:val="27"/>
    <w:qFormat/>
    <w:uiPriority w:val="0"/>
    <w:rPr>
      <w:rFonts w:ascii="宋体" w:hAnsi="Courier New"/>
      <w:kern w:val="2"/>
      <w:sz w:val="24"/>
    </w:rPr>
  </w:style>
  <w:style w:type="character" w:customStyle="1" w:styleId="82">
    <w:name w:val="正文文本缩进 2 字符"/>
    <w:basedOn w:val="59"/>
    <w:link w:val="30"/>
    <w:qFormat/>
    <w:uiPriority w:val="0"/>
    <w:rPr>
      <w:rFonts w:ascii="仿宋体" w:hAnsi="Times New Roman" w:eastAsia="仿宋体"/>
      <w:b/>
      <w:bCs/>
      <w:kern w:val="2"/>
      <w:sz w:val="24"/>
      <w:szCs w:val="24"/>
    </w:rPr>
  </w:style>
  <w:style w:type="character" w:customStyle="1" w:styleId="83">
    <w:name w:val="批注框文本 字符"/>
    <w:link w:val="33"/>
    <w:qFormat/>
    <w:uiPriority w:val="0"/>
    <w:rPr>
      <w:sz w:val="18"/>
      <w:szCs w:val="18"/>
    </w:rPr>
  </w:style>
  <w:style w:type="character" w:customStyle="1" w:styleId="84">
    <w:name w:val="页脚 字符"/>
    <w:link w:val="34"/>
    <w:qFormat/>
    <w:uiPriority w:val="0"/>
    <w:rPr>
      <w:rFonts w:ascii="Calibri" w:hAnsi="Calibri"/>
      <w:sz w:val="18"/>
      <w:szCs w:val="18"/>
      <w:lang w:eastAsia="en-US"/>
    </w:rPr>
  </w:style>
  <w:style w:type="character" w:customStyle="1" w:styleId="85">
    <w:name w:val="页眉 字符"/>
    <w:link w:val="35"/>
    <w:qFormat/>
    <w:uiPriority w:val="0"/>
    <w:rPr>
      <w:sz w:val="18"/>
      <w:szCs w:val="18"/>
    </w:rPr>
  </w:style>
  <w:style w:type="character" w:customStyle="1" w:styleId="86">
    <w:name w:val="脚注文本 字符"/>
    <w:basedOn w:val="59"/>
    <w:link w:val="40"/>
    <w:semiHidden/>
    <w:qFormat/>
    <w:uiPriority w:val="0"/>
    <w:rPr>
      <w:rFonts w:ascii="Times New Roman" w:hAnsi="Times New Roman"/>
      <w:kern w:val="2"/>
      <w:sz w:val="18"/>
      <w:szCs w:val="18"/>
    </w:rPr>
  </w:style>
  <w:style w:type="character" w:customStyle="1" w:styleId="87">
    <w:name w:val="正文文本缩进 3 字符"/>
    <w:basedOn w:val="59"/>
    <w:link w:val="42"/>
    <w:qFormat/>
    <w:uiPriority w:val="0"/>
    <w:rPr>
      <w:rFonts w:ascii="Times New Roman" w:hAnsi="Times New Roman"/>
      <w:kern w:val="2"/>
      <w:sz w:val="16"/>
      <w:szCs w:val="16"/>
    </w:rPr>
  </w:style>
  <w:style w:type="character" w:customStyle="1" w:styleId="88">
    <w:name w:val="正文文本 2 字符1"/>
    <w:link w:val="46"/>
    <w:qFormat/>
    <w:uiPriority w:val="0"/>
    <w:rPr>
      <w:rFonts w:ascii="Times New Roman" w:hAnsi="Times New Roman"/>
      <w:kern w:val="2"/>
      <w:sz w:val="21"/>
      <w:szCs w:val="24"/>
    </w:rPr>
  </w:style>
  <w:style w:type="character" w:customStyle="1" w:styleId="89">
    <w:name w:val="普通(网站) 字符"/>
    <w:link w:val="48"/>
    <w:qFormat/>
    <w:uiPriority w:val="0"/>
    <w:rPr>
      <w:rFonts w:ascii="宋体" w:hAnsi="宋体"/>
      <w:sz w:val="24"/>
      <w:szCs w:val="24"/>
    </w:rPr>
  </w:style>
  <w:style w:type="character" w:customStyle="1" w:styleId="90">
    <w:name w:val="批注主题 字符"/>
    <w:link w:val="51"/>
    <w:qFormat/>
    <w:uiPriority w:val="0"/>
    <w:rPr>
      <w:b/>
      <w:bCs/>
    </w:rPr>
  </w:style>
  <w:style w:type="character" w:customStyle="1" w:styleId="91">
    <w:name w:val="正文文本首行缩进 2 字符"/>
    <w:basedOn w:val="80"/>
    <w:link w:val="53"/>
    <w:qFormat/>
    <w:uiPriority w:val="0"/>
    <w:rPr>
      <w:sz w:val="22"/>
      <w:szCs w:val="22"/>
      <w:lang w:eastAsia="en-US"/>
    </w:rPr>
  </w:style>
  <w:style w:type="table" w:customStyle="1" w:styleId="92">
    <w:name w:val="Table Normal"/>
    <w:unhideWhenUsed/>
    <w:qFormat/>
    <w:uiPriority w:val="0"/>
    <w:rPr>
      <w:sz w:val="22"/>
      <w:szCs w:val="22"/>
      <w:lang w:eastAsia="en-US"/>
    </w:rPr>
    <w:tblPr>
      <w:tblCellMar>
        <w:top w:w="0" w:type="dxa"/>
        <w:left w:w="0" w:type="dxa"/>
        <w:bottom w:w="0" w:type="dxa"/>
        <w:right w:w="0" w:type="dxa"/>
      </w:tblCellMar>
    </w:tblPr>
  </w:style>
  <w:style w:type="paragraph" w:customStyle="1" w:styleId="93">
    <w:name w:val="TOC 11"/>
    <w:basedOn w:val="1"/>
    <w:qFormat/>
    <w:uiPriority w:val="39"/>
    <w:pPr>
      <w:widowControl/>
      <w:spacing w:before="102"/>
      <w:jc w:val="left"/>
    </w:pPr>
    <w:rPr>
      <w:rFonts w:ascii="宋体" w:hAnsi="宋体" w:cs="Times New Roman"/>
      <w:b/>
      <w:bCs/>
      <w:kern w:val="0"/>
      <w:sz w:val="20"/>
      <w:szCs w:val="20"/>
      <w:lang w:eastAsia="en-US"/>
    </w:rPr>
  </w:style>
  <w:style w:type="paragraph" w:customStyle="1" w:styleId="94">
    <w:name w:val="TOC 21"/>
    <w:basedOn w:val="1"/>
    <w:qFormat/>
    <w:uiPriority w:val="39"/>
    <w:pPr>
      <w:widowControl/>
      <w:ind w:left="387"/>
      <w:jc w:val="left"/>
    </w:pPr>
    <w:rPr>
      <w:rFonts w:ascii="宋体" w:hAnsi="宋体" w:cs="Times New Roman"/>
      <w:kern w:val="0"/>
      <w:sz w:val="20"/>
      <w:szCs w:val="20"/>
      <w:lang w:eastAsia="en-US"/>
    </w:rPr>
  </w:style>
  <w:style w:type="paragraph" w:customStyle="1" w:styleId="95">
    <w:name w:val="图片居中"/>
    <w:link w:val="603"/>
    <w:qFormat/>
    <w:uiPriority w:val="0"/>
    <w:pPr>
      <w:adjustRightInd w:val="0"/>
      <w:snapToGrid w:val="0"/>
      <w:jc w:val="center"/>
    </w:pPr>
    <w:rPr>
      <w:rFonts w:ascii="Times New Roman" w:hAnsi="Times New Roman" w:eastAsia="Times New Roman" w:cs="Times New Roman"/>
      <w:sz w:val="29"/>
      <w:szCs w:val="29"/>
      <w:lang w:val="en-US" w:eastAsia="en-US" w:bidi="ar-SA"/>
    </w:rPr>
  </w:style>
  <w:style w:type="paragraph" w:customStyle="1" w:styleId="96">
    <w:name w:val="标题 21"/>
    <w:basedOn w:val="1"/>
    <w:qFormat/>
    <w:uiPriority w:val="1"/>
    <w:pPr>
      <w:widowControl/>
      <w:spacing w:before="13"/>
      <w:ind w:left="138"/>
      <w:jc w:val="left"/>
      <w:outlineLvl w:val="2"/>
    </w:pPr>
    <w:rPr>
      <w:rFonts w:ascii="黑体" w:hAnsi="黑体" w:eastAsia="黑体" w:cs="Times New Roman"/>
      <w:kern w:val="0"/>
      <w:sz w:val="28"/>
      <w:szCs w:val="28"/>
      <w:lang w:eastAsia="en-US"/>
    </w:rPr>
  </w:style>
  <w:style w:type="paragraph" w:customStyle="1" w:styleId="97">
    <w:name w:val="标题 31"/>
    <w:basedOn w:val="1"/>
    <w:qFormat/>
    <w:uiPriority w:val="1"/>
    <w:pPr>
      <w:widowControl/>
      <w:spacing w:before="134"/>
      <w:ind w:left="620"/>
      <w:jc w:val="left"/>
      <w:outlineLvl w:val="3"/>
    </w:pPr>
    <w:rPr>
      <w:rFonts w:ascii="宋体" w:hAnsi="宋体" w:cs="Times New Roman"/>
      <w:b/>
      <w:bCs/>
      <w:kern w:val="0"/>
      <w:szCs w:val="24"/>
      <w:lang w:eastAsia="en-US"/>
    </w:rPr>
  </w:style>
  <w:style w:type="paragraph" w:styleId="98">
    <w:name w:val="List Paragraph"/>
    <w:basedOn w:val="1"/>
    <w:qFormat/>
    <w:uiPriority w:val="34"/>
    <w:pPr>
      <w:widowControl/>
      <w:jc w:val="left"/>
    </w:pPr>
    <w:rPr>
      <w:rFonts w:ascii="Calibri" w:hAnsi="Calibri" w:cs="Times New Roman"/>
      <w:kern w:val="0"/>
      <w:sz w:val="22"/>
      <w:lang w:eastAsia="en-US"/>
    </w:rPr>
  </w:style>
  <w:style w:type="paragraph" w:customStyle="1" w:styleId="99">
    <w:name w:val="Table Paragraph"/>
    <w:basedOn w:val="1"/>
    <w:qFormat/>
    <w:uiPriority w:val="1"/>
    <w:pPr>
      <w:widowControl/>
      <w:jc w:val="left"/>
    </w:pPr>
    <w:rPr>
      <w:rFonts w:ascii="Calibri" w:hAnsi="Calibri" w:cs="Times New Roman"/>
      <w:kern w:val="0"/>
      <w:sz w:val="22"/>
      <w:lang w:eastAsia="en-US"/>
    </w:rPr>
  </w:style>
  <w:style w:type="paragraph" w:customStyle="1" w:styleId="100">
    <w:name w:val="TOC 31"/>
    <w:basedOn w:val="1"/>
    <w:qFormat/>
    <w:uiPriority w:val="39"/>
    <w:pPr>
      <w:widowControl/>
      <w:spacing w:before="147"/>
      <w:ind w:left="638"/>
      <w:jc w:val="left"/>
    </w:pPr>
    <w:rPr>
      <w:rFonts w:ascii="宋体" w:hAnsi="宋体" w:cs="Times New Roman"/>
      <w:b/>
      <w:bCs/>
      <w:kern w:val="0"/>
      <w:szCs w:val="24"/>
      <w:lang w:eastAsia="en-US"/>
    </w:rPr>
  </w:style>
  <w:style w:type="table" w:customStyle="1" w:styleId="101">
    <w:name w:val="Table Normal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2">
    <w:name w:val="Table Normal2"/>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3">
    <w:name w:val="Table Normal3"/>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4">
    <w:name w:val="Table Normal4"/>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5">
    <w:name w:val="Table Normal5"/>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6">
    <w:name w:val="Table Normal6"/>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107">
    <w:name w:val="TOC 标题1"/>
    <w:basedOn w:val="2"/>
    <w:next w:val="1"/>
    <w:unhideWhenUsed/>
    <w:qFormat/>
    <w:uiPriority w:val="39"/>
    <w:pPr>
      <w:spacing w:before="480" w:after="0" w:line="276" w:lineRule="auto"/>
      <w:outlineLvl w:val="9"/>
    </w:pPr>
    <w:rPr>
      <w:rFonts w:ascii="Cambria" w:hAnsi="Cambria"/>
      <w:color w:val="365F91"/>
      <w:kern w:val="0"/>
      <w:szCs w:val="28"/>
      <w:lang w:eastAsia="zh-CN"/>
    </w:rPr>
  </w:style>
  <w:style w:type="table" w:customStyle="1" w:styleId="108">
    <w:name w:val="Table Normal7"/>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09">
    <w:name w:val="Table Normal8"/>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0">
    <w:name w:val="Table Normal9"/>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1">
    <w:name w:val="Table Normal10"/>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2">
    <w:name w:val="Table Normal1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3">
    <w:name w:val="Table Normal12"/>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4">
    <w:name w:val="Table Normal13"/>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5">
    <w:name w:val="Table Normal14"/>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6">
    <w:name w:val="Table Normal15"/>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7">
    <w:name w:val="Table Normal16"/>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8">
    <w:name w:val="Table Normal17"/>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19">
    <w:name w:val="Table Normal18"/>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0">
    <w:name w:val="Table Normal19"/>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1">
    <w:name w:val="Table Normal20"/>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2">
    <w:name w:val="Table Normal21"/>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3">
    <w:name w:val="Table Normal22"/>
    <w:semiHidden/>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124">
    <w:name w:val="Table Normal23"/>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125">
    <w:name w:val="0正文"/>
    <w:basedOn w:val="1"/>
    <w:link w:val="126"/>
    <w:qFormat/>
    <w:uiPriority w:val="0"/>
    <w:pPr>
      <w:ind w:firstLine="480"/>
    </w:pPr>
    <w:rPr>
      <w:rFonts w:cs="Times New Roman"/>
      <w:szCs w:val="24"/>
    </w:rPr>
  </w:style>
  <w:style w:type="character" w:customStyle="1" w:styleId="126">
    <w:name w:val="0正文 Char"/>
    <w:link w:val="125"/>
    <w:qFormat/>
    <w:uiPriority w:val="0"/>
    <w:rPr>
      <w:rFonts w:ascii="Times New Roman" w:hAnsi="Times New Roman"/>
      <w:kern w:val="2"/>
      <w:sz w:val="24"/>
      <w:szCs w:val="24"/>
    </w:rPr>
  </w:style>
  <w:style w:type="paragraph" w:customStyle="1" w:styleId="127">
    <w:name w:val="0表/图标题"/>
    <w:basedOn w:val="125"/>
    <w:link w:val="128"/>
    <w:qFormat/>
    <w:uiPriority w:val="0"/>
    <w:pPr>
      <w:spacing w:line="240" w:lineRule="auto"/>
      <w:ind w:firstLine="0" w:firstLineChars="0"/>
      <w:jc w:val="center"/>
    </w:pPr>
    <w:rPr>
      <w:b/>
      <w:sz w:val="21"/>
    </w:rPr>
  </w:style>
  <w:style w:type="character" w:customStyle="1" w:styleId="128">
    <w:name w:val="0表/图标题 Char"/>
    <w:link w:val="127"/>
    <w:qFormat/>
    <w:uiPriority w:val="0"/>
    <w:rPr>
      <w:rFonts w:ascii="Times New Roman" w:hAnsi="Times New Roman"/>
      <w:b/>
      <w:kern w:val="2"/>
      <w:sz w:val="21"/>
      <w:szCs w:val="24"/>
    </w:rPr>
  </w:style>
  <w:style w:type="paragraph" w:customStyle="1" w:styleId="129">
    <w:name w:val="0 表格"/>
    <w:basedOn w:val="125"/>
    <w:link w:val="130"/>
    <w:qFormat/>
    <w:uiPriority w:val="0"/>
    <w:pPr>
      <w:spacing w:line="240" w:lineRule="auto"/>
      <w:ind w:firstLine="0" w:firstLineChars="0"/>
      <w:jc w:val="center"/>
    </w:pPr>
    <w:rPr>
      <w:sz w:val="21"/>
      <w:szCs w:val="21"/>
    </w:rPr>
  </w:style>
  <w:style w:type="character" w:customStyle="1" w:styleId="130">
    <w:name w:val="0 表格 Char"/>
    <w:link w:val="129"/>
    <w:qFormat/>
    <w:uiPriority w:val="0"/>
    <w:rPr>
      <w:rFonts w:ascii="Times New Roman" w:hAnsi="Times New Roman"/>
      <w:kern w:val="2"/>
      <w:sz w:val="21"/>
      <w:szCs w:val="21"/>
    </w:rPr>
  </w:style>
  <w:style w:type="character" w:customStyle="1" w:styleId="131">
    <w:name w:val="未处理的提及1"/>
    <w:semiHidden/>
    <w:unhideWhenUsed/>
    <w:qFormat/>
    <w:uiPriority w:val="99"/>
    <w:rPr>
      <w:color w:val="605E5C"/>
      <w:shd w:val="clear" w:color="auto" w:fill="E1DFDD"/>
    </w:rPr>
  </w:style>
  <w:style w:type="paragraph" w:customStyle="1" w:styleId="132">
    <w:name w:val="4"/>
    <w:basedOn w:val="1"/>
    <w:qFormat/>
    <w:uiPriority w:val="0"/>
    <w:rPr>
      <w:rFonts w:cs="Times New Roman"/>
      <w:szCs w:val="20"/>
    </w:rPr>
  </w:style>
  <w:style w:type="paragraph" w:customStyle="1" w:styleId="133">
    <w:name w:val="小表文居中"/>
    <w:basedOn w:val="1"/>
    <w:qFormat/>
    <w:uiPriority w:val="0"/>
    <w:pPr>
      <w:spacing w:before="20"/>
      <w:jc w:val="center"/>
    </w:pPr>
    <w:rPr>
      <w:rFonts w:cs="Times New Roman"/>
      <w:sz w:val="18"/>
      <w:szCs w:val="24"/>
    </w:rPr>
  </w:style>
  <w:style w:type="character" w:customStyle="1" w:styleId="134">
    <w:name w:val="报告书正文 Char"/>
    <w:basedOn w:val="59"/>
    <w:link w:val="135"/>
    <w:qFormat/>
    <w:uiPriority w:val="0"/>
    <w:rPr>
      <w:kern w:val="2"/>
      <w:sz w:val="24"/>
    </w:rPr>
  </w:style>
  <w:style w:type="paragraph" w:customStyle="1" w:styleId="135">
    <w:name w:val="报告书正文"/>
    <w:basedOn w:val="1"/>
    <w:link w:val="134"/>
    <w:qFormat/>
    <w:uiPriority w:val="0"/>
    <w:pPr>
      <w:spacing w:line="300" w:lineRule="auto"/>
    </w:pPr>
    <w:rPr>
      <w:rFonts w:ascii="Calibri" w:hAnsi="Calibri" w:cs="Times New Roman"/>
      <w:szCs w:val="20"/>
    </w:rPr>
  </w:style>
  <w:style w:type="paragraph" w:customStyle="1" w:styleId="136">
    <w:name w:val="样式2"/>
    <w:basedOn w:val="1"/>
    <w:link w:val="338"/>
    <w:qFormat/>
    <w:uiPriority w:val="0"/>
    <w:pPr>
      <w:tabs>
        <w:tab w:val="left" w:pos="1935"/>
      </w:tabs>
      <w:jc w:val="left"/>
    </w:pPr>
    <w:rPr>
      <w:rFonts w:cs="Times New Roman"/>
      <w:color w:val="000000"/>
      <w:sz w:val="28"/>
      <w:szCs w:val="28"/>
      <w:lang w:val="zh-CN"/>
    </w:rPr>
  </w:style>
  <w:style w:type="paragraph" w:customStyle="1" w:styleId="137">
    <w:name w:val="样式4"/>
    <w:basedOn w:val="136"/>
    <w:link w:val="386"/>
    <w:qFormat/>
    <w:uiPriority w:val="0"/>
    <w:pPr>
      <w:tabs>
        <w:tab w:val="left" w:pos="567"/>
      </w:tabs>
      <w:ind w:firstLine="480"/>
      <w:jc w:val="both"/>
    </w:pPr>
    <w:rPr>
      <w:bCs/>
      <w:color w:val="auto"/>
      <w:sz w:val="24"/>
      <w:szCs w:val="24"/>
    </w:rPr>
  </w:style>
  <w:style w:type="paragraph" w:customStyle="1" w:styleId="138">
    <w:name w:val="Default"/>
    <w:basedOn w:val="139"/>
    <w:next w:val="140"/>
    <w:qFormat/>
    <w:uiPriority w:val="0"/>
    <w:rPr>
      <w:rFonts w:ascii="仿宋_GB2312" w:eastAsia="仿宋_GB2312" w:cs="仿宋_GB2312"/>
      <w:color w:val="000000"/>
      <w:szCs w:val="24"/>
    </w:rPr>
  </w:style>
  <w:style w:type="paragraph" w:customStyle="1" w:styleId="139">
    <w:name w:val="纯文本1"/>
    <w:basedOn w:val="1"/>
    <w:qFormat/>
    <w:uiPriority w:val="99"/>
    <w:pPr>
      <w:autoSpaceDE w:val="0"/>
      <w:autoSpaceDN w:val="0"/>
      <w:textAlignment w:val="baseline"/>
    </w:pPr>
    <w:rPr>
      <w:rFonts w:ascii="宋体" w:cs="Times New Roman"/>
      <w:szCs w:val="20"/>
    </w:rPr>
  </w:style>
  <w:style w:type="paragraph" w:customStyle="1" w:styleId="140">
    <w:name w:val="样式 样式 首行缩进:  2 字符 + 首行缩进:  2 字符"/>
    <w:basedOn w:val="1"/>
    <w:next w:val="36"/>
    <w:qFormat/>
    <w:uiPriority w:val="0"/>
    <w:pPr>
      <w:ind w:firstLine="560"/>
    </w:pPr>
    <w:rPr>
      <w:rFonts w:cs="Times New Roman"/>
      <w:sz w:val="28"/>
      <w:szCs w:val="24"/>
    </w:rPr>
  </w:style>
  <w:style w:type="paragraph" w:customStyle="1" w:styleId="141">
    <w:name w:val="表ma"/>
    <w:basedOn w:val="1"/>
    <w:qFormat/>
    <w:uiPriority w:val="0"/>
    <w:pPr>
      <w:widowControl/>
    </w:pPr>
    <w:rPr>
      <w:rFonts w:cs="Times New Roman"/>
      <w:kern w:val="0"/>
      <w:szCs w:val="20"/>
    </w:rPr>
  </w:style>
  <w:style w:type="paragraph" w:customStyle="1" w:styleId="142">
    <w:name w:val="小表文"/>
    <w:basedOn w:val="1"/>
    <w:qFormat/>
    <w:uiPriority w:val="0"/>
    <w:pPr>
      <w:spacing w:before="20"/>
    </w:pPr>
    <w:rPr>
      <w:rFonts w:cs="Times New Roman"/>
      <w:sz w:val="18"/>
      <w:szCs w:val="24"/>
    </w:rPr>
  </w:style>
  <w:style w:type="paragraph" w:customStyle="1" w:styleId="143">
    <w:name w:val="最新表格"/>
    <w:basedOn w:val="1"/>
    <w:qFormat/>
    <w:uiPriority w:val="0"/>
    <w:pPr>
      <w:jc w:val="center"/>
    </w:pPr>
    <w:rPr>
      <w:rFonts w:cs="Times New Roman"/>
      <w:szCs w:val="21"/>
    </w:rPr>
  </w:style>
  <w:style w:type="paragraph" w:customStyle="1" w:styleId="144">
    <w:name w:val="表文"/>
    <w:basedOn w:val="1"/>
    <w:link w:val="145"/>
    <w:qFormat/>
    <w:uiPriority w:val="0"/>
    <w:pPr>
      <w:spacing w:before="20"/>
      <w:jc w:val="center"/>
    </w:pPr>
    <w:rPr>
      <w:rFonts w:cs="Times New Roman"/>
      <w:bCs/>
      <w:sz w:val="18"/>
      <w:szCs w:val="24"/>
    </w:rPr>
  </w:style>
  <w:style w:type="character" w:customStyle="1" w:styleId="145">
    <w:name w:val="表文 Char"/>
    <w:link w:val="144"/>
    <w:qFormat/>
    <w:uiPriority w:val="0"/>
    <w:rPr>
      <w:rFonts w:ascii="Times New Roman" w:hAnsi="Times New Roman"/>
      <w:bCs/>
      <w:kern w:val="2"/>
      <w:sz w:val="18"/>
      <w:szCs w:val="24"/>
    </w:rPr>
  </w:style>
  <w:style w:type="paragraph" w:customStyle="1" w:styleId="146">
    <w:name w:val="表号"/>
    <w:basedOn w:val="1"/>
    <w:link w:val="356"/>
    <w:qFormat/>
    <w:uiPriority w:val="0"/>
    <w:pPr>
      <w:overflowPunct w:val="0"/>
      <w:ind w:firstLine="113"/>
      <w:outlineLvl w:val="6"/>
    </w:pPr>
    <w:rPr>
      <w:rFonts w:cs="Times New Roman"/>
      <w:szCs w:val="24"/>
    </w:rPr>
  </w:style>
  <w:style w:type="paragraph" w:customStyle="1" w:styleId="147">
    <w:name w:val="G（正文）"/>
    <w:basedOn w:val="21"/>
    <w:qFormat/>
    <w:uiPriority w:val="0"/>
    <w:pPr>
      <w:widowControl w:val="0"/>
      <w:tabs>
        <w:tab w:val="left" w:pos="4530"/>
      </w:tabs>
      <w:spacing w:before="0" w:line="480" w:lineRule="exact"/>
      <w:ind w:left="0"/>
      <w:jc w:val="both"/>
    </w:pPr>
    <w:rPr>
      <w:rFonts w:ascii="Times New Roman" w:hAnsi="Times New Roman"/>
      <w:kern w:val="2"/>
      <w:sz w:val="28"/>
      <w:szCs w:val="28"/>
      <w:lang w:eastAsia="zh-CN"/>
    </w:rPr>
  </w:style>
  <w:style w:type="paragraph" w:customStyle="1" w:styleId="148">
    <w:name w:val="！表head"/>
    <w:basedOn w:val="1"/>
    <w:qFormat/>
    <w:uiPriority w:val="0"/>
    <w:pPr>
      <w:ind w:left="-100" w:leftChars="-50"/>
    </w:pPr>
    <w:rPr>
      <w:rFonts w:ascii="宋体" w:hAnsi="宋体" w:eastAsia="黑体" w:cs="宋体"/>
      <w:color w:val="000000"/>
      <w:kern w:val="0"/>
      <w:szCs w:val="20"/>
    </w:rPr>
  </w:style>
  <w:style w:type="paragraph" w:customStyle="1" w:styleId="149">
    <w:name w:val="p0"/>
    <w:basedOn w:val="1"/>
    <w:qFormat/>
    <w:uiPriority w:val="0"/>
    <w:pPr>
      <w:widowControl/>
    </w:pPr>
    <w:rPr>
      <w:rFonts w:cs="Times New Roman"/>
      <w:szCs w:val="21"/>
    </w:rPr>
  </w:style>
  <w:style w:type="paragraph" w:customStyle="1" w:styleId="150">
    <w:name w:val="表名"/>
    <w:basedOn w:val="1"/>
    <w:qFormat/>
    <w:uiPriority w:val="0"/>
    <w:pPr>
      <w:spacing w:before="163"/>
      <w:jc w:val="center"/>
    </w:pPr>
    <w:rPr>
      <w:rFonts w:ascii="Arial" w:hAnsi="Arial" w:eastAsia="黑体" w:cs="Times New Roman"/>
      <w:szCs w:val="24"/>
    </w:rPr>
  </w:style>
  <w:style w:type="paragraph" w:customStyle="1" w:styleId="151">
    <w:name w:val="z-窗体顶端1"/>
    <w:basedOn w:val="1"/>
    <w:link w:val="152"/>
    <w:qFormat/>
    <w:uiPriority w:val="0"/>
    <w:pPr>
      <w:spacing w:line="500" w:lineRule="exact"/>
      <w:ind w:firstLine="420"/>
    </w:pPr>
    <w:rPr>
      <w:rFonts w:ascii="Calibri" w:hAnsi="Calibri" w:eastAsia="仿宋_GB2312" w:cs="Times New Roman"/>
      <w:sz w:val="28"/>
    </w:rPr>
  </w:style>
  <w:style w:type="character" w:customStyle="1" w:styleId="152">
    <w:name w:val="z-窗体顶端 字符"/>
    <w:basedOn w:val="59"/>
    <w:link w:val="151"/>
    <w:qFormat/>
    <w:uiPriority w:val="0"/>
    <w:rPr>
      <w:rFonts w:eastAsia="仿宋_GB2312"/>
      <w:kern w:val="2"/>
      <w:sz w:val="28"/>
      <w:szCs w:val="22"/>
    </w:rPr>
  </w:style>
  <w:style w:type="paragraph" w:customStyle="1" w:styleId="153">
    <w:name w:val="表左对齐"/>
    <w:basedOn w:val="141"/>
    <w:qFormat/>
    <w:uiPriority w:val="0"/>
    <w:pPr>
      <w:widowControl w:val="0"/>
      <w:jc w:val="left"/>
    </w:pPr>
    <w:rPr>
      <w:rFonts w:cs="宋体"/>
      <w:sz w:val="21"/>
    </w:rPr>
  </w:style>
  <w:style w:type="paragraph" w:customStyle="1" w:styleId="154">
    <w:name w:val="首行缩进:2 字符"/>
    <w:basedOn w:val="1"/>
    <w:qFormat/>
    <w:uiPriority w:val="0"/>
    <w:pPr>
      <w:ind w:firstLine="560"/>
    </w:pPr>
    <w:rPr>
      <w:rFonts w:cs="Times New Roman"/>
      <w:sz w:val="28"/>
      <w:szCs w:val="20"/>
    </w:rPr>
  </w:style>
  <w:style w:type="paragraph" w:customStyle="1" w:styleId="155">
    <w:name w:val="xl30"/>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szCs w:val="21"/>
    </w:rPr>
  </w:style>
  <w:style w:type="paragraph" w:customStyle="1" w:styleId="156">
    <w:name w:val="正文(小)"/>
    <w:basedOn w:val="1"/>
    <w:qFormat/>
    <w:uiPriority w:val="0"/>
    <w:pPr>
      <w:spacing w:before="20"/>
    </w:pPr>
    <w:rPr>
      <w:rFonts w:cs="Times New Roman"/>
      <w:sz w:val="18"/>
      <w:szCs w:val="24"/>
    </w:rPr>
  </w:style>
  <w:style w:type="paragraph" w:customStyle="1" w:styleId="157">
    <w:name w:val="HH"/>
    <w:basedOn w:val="1"/>
    <w:qFormat/>
    <w:uiPriority w:val="0"/>
    <w:pPr>
      <w:ind w:firstLine="480"/>
    </w:pPr>
    <w:rPr>
      <w:rFonts w:cs="宋体"/>
      <w:szCs w:val="24"/>
    </w:rPr>
  </w:style>
  <w:style w:type="paragraph" w:customStyle="1" w:styleId="158">
    <w:name w:val="标题4"/>
    <w:basedOn w:val="5"/>
    <w:qFormat/>
    <w:uiPriority w:val="0"/>
  </w:style>
  <w:style w:type="table" w:customStyle="1" w:styleId="159">
    <w:name w:val="报告表格式新建"/>
    <w:basedOn w:val="54"/>
    <w:qFormat/>
    <w:uiPriority w:val="99"/>
    <w:pPr>
      <w:jc w:val="center"/>
    </w:pPr>
    <w:rPr>
      <w:sz w:val="18"/>
    </w:rPr>
    <w:tblPr>
      <w:tblBorders>
        <w:top w:val="single" w:color="auto" w:sz="12" w:space="0"/>
        <w:bottom w:val="single" w:color="auto" w:sz="12" w:space="0"/>
        <w:insideH w:val="single" w:color="auto" w:sz="8" w:space="0"/>
        <w:insideV w:val="single" w:color="auto" w:sz="8" w:space="0"/>
      </w:tblBorders>
    </w:tblPr>
    <w:tcPr>
      <w:vAlign w:val="center"/>
    </w:tcPr>
  </w:style>
  <w:style w:type="paragraph" w:customStyle="1" w:styleId="160">
    <w:name w:val="报告表格内容"/>
    <w:basedOn w:val="1"/>
    <w:next w:val="1"/>
    <w:qFormat/>
    <w:uiPriority w:val="0"/>
    <w:pPr>
      <w:autoSpaceDE w:val="0"/>
      <w:autoSpaceDN w:val="0"/>
      <w:jc w:val="center"/>
      <w:textAlignment w:val="bottom"/>
    </w:pPr>
    <w:rPr>
      <w:rFonts w:cs="Times New Roman"/>
      <w:kern w:val="0"/>
      <w:szCs w:val="20"/>
    </w:rPr>
  </w:style>
  <w:style w:type="paragraph" w:customStyle="1" w:styleId="161">
    <w:name w:val="空行样式"/>
    <w:basedOn w:val="1"/>
    <w:next w:val="1"/>
    <w:qFormat/>
    <w:uiPriority w:val="0"/>
    <w:rPr>
      <w:rFonts w:cs="Times New Roman"/>
      <w:szCs w:val="20"/>
    </w:rPr>
  </w:style>
  <w:style w:type="character" w:customStyle="1" w:styleId="162">
    <w:name w:val="样式7 Char"/>
    <w:link w:val="163"/>
    <w:qFormat/>
    <w:uiPriority w:val="0"/>
    <w:rPr>
      <w:kern w:val="2"/>
      <w:sz w:val="26"/>
      <w:szCs w:val="26"/>
    </w:rPr>
  </w:style>
  <w:style w:type="paragraph" w:customStyle="1" w:styleId="163">
    <w:name w:val="样式7"/>
    <w:basedOn w:val="1"/>
    <w:link w:val="162"/>
    <w:qFormat/>
    <w:uiPriority w:val="0"/>
    <w:pPr>
      <w:widowControl/>
      <w:spacing w:line="480" w:lineRule="exact"/>
      <w:jc w:val="center"/>
    </w:pPr>
    <w:rPr>
      <w:rFonts w:ascii="Calibri" w:hAnsi="Calibri" w:cs="Times New Roman"/>
      <w:sz w:val="26"/>
      <w:szCs w:val="26"/>
    </w:rPr>
  </w:style>
  <w:style w:type="paragraph" w:customStyle="1" w:styleId="164">
    <w:name w:val="表格样式"/>
    <w:basedOn w:val="1"/>
    <w:qFormat/>
    <w:uiPriority w:val="0"/>
    <w:pPr>
      <w:jc w:val="center"/>
      <w:textAlignment w:val="center"/>
    </w:pPr>
    <w:rPr>
      <w:rFonts w:cs="Times New Roman"/>
      <w:sz w:val="28"/>
      <w:szCs w:val="24"/>
    </w:rPr>
  </w:style>
  <w:style w:type="paragraph" w:customStyle="1" w:styleId="165">
    <w:name w:val="图标题11"/>
    <w:basedOn w:val="1"/>
    <w:next w:val="1"/>
    <w:link w:val="166"/>
    <w:qFormat/>
    <w:uiPriority w:val="99"/>
    <w:pPr>
      <w:ind w:firstLine="0" w:firstLineChars="0"/>
      <w:jc w:val="center"/>
    </w:pPr>
    <w:rPr>
      <w:rFonts w:eastAsia="黑体" w:cs="Times New Roman"/>
      <w:sz w:val="21"/>
      <w:szCs w:val="28"/>
    </w:rPr>
  </w:style>
  <w:style w:type="character" w:customStyle="1" w:styleId="166">
    <w:name w:val="图标题11 字符"/>
    <w:basedOn w:val="59"/>
    <w:link w:val="165"/>
    <w:qFormat/>
    <w:uiPriority w:val="99"/>
    <w:rPr>
      <w:rFonts w:eastAsia="黑体"/>
      <w:kern w:val="2"/>
      <w:sz w:val="21"/>
      <w:szCs w:val="28"/>
    </w:rPr>
  </w:style>
  <w:style w:type="character" w:customStyle="1" w:styleId="167">
    <w:name w:val="无间隔 字符"/>
    <w:basedOn w:val="59"/>
    <w:link w:val="67"/>
    <w:qFormat/>
    <w:uiPriority w:val="1"/>
    <w:rPr>
      <w:rFonts w:ascii="Times New Roman" w:hAnsi="Times New Roman" w:eastAsia="仿宋_GB2312"/>
      <w:kern w:val="2"/>
      <w:sz w:val="18"/>
      <w:szCs w:val="28"/>
    </w:rPr>
  </w:style>
  <w:style w:type="table" w:customStyle="1" w:styleId="168">
    <w:name w:val="基本表"/>
    <w:basedOn w:val="54"/>
    <w:qFormat/>
    <w:uiPriority w:val="99"/>
    <w:pPr>
      <w:spacing w:line="240" w:lineRule="atLeast"/>
      <w:jc w:val="center"/>
    </w:pPr>
    <w:rPr>
      <w:rFonts w:cstheme="minorBidi"/>
      <w:kern w:val="2"/>
      <w:sz w:val="18"/>
      <w:szCs w:val="2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left w:w="0" w:type="dxa"/>
        <w:right w:w="0" w:type="dxa"/>
      </w:tblCellMar>
    </w:tblPr>
    <w:tcPr>
      <w:vAlign w:val="center"/>
    </w:tcPr>
  </w:style>
  <w:style w:type="paragraph" w:customStyle="1" w:styleId="169">
    <w:name w:val="表头"/>
    <w:basedOn w:val="1"/>
    <w:link w:val="170"/>
    <w:qFormat/>
    <w:uiPriority w:val="0"/>
    <w:pPr>
      <w:spacing w:before="50" w:beforeLines="50"/>
      <w:jc w:val="center"/>
    </w:pPr>
    <w:rPr>
      <w:rFonts w:cs="Times New Roman"/>
      <w:b/>
      <w:szCs w:val="21"/>
    </w:rPr>
  </w:style>
  <w:style w:type="character" w:customStyle="1" w:styleId="170">
    <w:name w:val="表头 Char Char"/>
    <w:link w:val="169"/>
    <w:qFormat/>
    <w:uiPriority w:val="0"/>
    <w:rPr>
      <w:rFonts w:ascii="Times New Roman" w:hAnsi="Times New Roman"/>
      <w:b/>
      <w:kern w:val="2"/>
      <w:sz w:val="21"/>
      <w:szCs w:val="21"/>
    </w:rPr>
  </w:style>
  <w:style w:type="paragraph" w:customStyle="1" w:styleId="171">
    <w:name w:val="表格内文字"/>
    <w:basedOn w:val="1"/>
    <w:qFormat/>
    <w:uiPriority w:val="0"/>
    <w:pPr>
      <w:jc w:val="center"/>
    </w:pPr>
    <w:rPr>
      <w:rFonts w:cs="Times New Roman"/>
      <w:szCs w:val="21"/>
    </w:rPr>
  </w:style>
  <w:style w:type="character" w:customStyle="1" w:styleId="172">
    <w:name w:val="未处理的提及2"/>
    <w:basedOn w:val="59"/>
    <w:semiHidden/>
    <w:unhideWhenUsed/>
    <w:qFormat/>
    <w:uiPriority w:val="99"/>
    <w:rPr>
      <w:color w:val="605E5C"/>
      <w:shd w:val="clear" w:color="auto" w:fill="E1DFDD"/>
    </w:rPr>
  </w:style>
  <w:style w:type="paragraph" w:customStyle="1" w:styleId="173">
    <w:name w:val="段落 Char"/>
    <w:basedOn w:val="1"/>
    <w:qFormat/>
    <w:uiPriority w:val="0"/>
    <w:pPr>
      <w:topLinePunct/>
    </w:pPr>
    <w:rPr>
      <w:rFonts w:cs="Times New Roman"/>
      <w:szCs w:val="24"/>
    </w:rPr>
  </w:style>
  <w:style w:type="character" w:customStyle="1" w:styleId="174">
    <w:name w:val="纯文本 Char"/>
    <w:qFormat/>
    <w:uiPriority w:val="0"/>
    <w:rPr>
      <w:rFonts w:ascii="宋体" w:hAnsi="Courier New" w:cs="Courier New"/>
      <w:kern w:val="2"/>
      <w:sz w:val="21"/>
      <w:szCs w:val="21"/>
    </w:rPr>
  </w:style>
  <w:style w:type="character" w:customStyle="1" w:styleId="175">
    <w:name w:val="description"/>
    <w:basedOn w:val="59"/>
    <w:qFormat/>
    <w:uiPriority w:val="0"/>
  </w:style>
  <w:style w:type="character" w:customStyle="1" w:styleId="176">
    <w:name w:val="样式 宋体 小三 加粗"/>
    <w:qFormat/>
    <w:uiPriority w:val="0"/>
    <w:rPr>
      <w:rFonts w:ascii="宋体" w:hAnsi="宋体" w:eastAsia="黑体"/>
      <w:b/>
      <w:bCs/>
      <w:spacing w:val="6"/>
      <w:kern w:val="2"/>
      <w:position w:val="10"/>
      <w:sz w:val="30"/>
      <w:lang w:val="en-US" w:eastAsia="zh-CN" w:bidi="ar-SA"/>
    </w:rPr>
  </w:style>
  <w:style w:type="character" w:customStyle="1" w:styleId="177">
    <w:name w:val="页码1"/>
    <w:basedOn w:val="59"/>
    <w:qFormat/>
    <w:uiPriority w:val="0"/>
  </w:style>
  <w:style w:type="character" w:customStyle="1" w:styleId="178">
    <w:name w:val="报告正文（小四） Char Char"/>
    <w:link w:val="179"/>
    <w:qFormat/>
    <w:uiPriority w:val="0"/>
    <w:rPr>
      <w:rFonts w:ascii="宋体" w:hAnsi="宋体" w:cs="宋体"/>
      <w:kern w:val="2"/>
      <w:sz w:val="24"/>
      <w:szCs w:val="24"/>
    </w:rPr>
  </w:style>
  <w:style w:type="paragraph" w:customStyle="1" w:styleId="179">
    <w:name w:val="报告正文（小四）"/>
    <w:basedOn w:val="1"/>
    <w:link w:val="178"/>
    <w:qFormat/>
    <w:uiPriority w:val="0"/>
    <w:pPr>
      <w:ind w:firstLine="480"/>
    </w:pPr>
    <w:rPr>
      <w:rFonts w:ascii="宋体" w:hAnsi="宋体" w:cs="宋体"/>
      <w:szCs w:val="24"/>
    </w:rPr>
  </w:style>
  <w:style w:type="character" w:customStyle="1" w:styleId="180">
    <w:name w:val="报告表正文 Char"/>
    <w:link w:val="181"/>
    <w:qFormat/>
    <w:uiPriority w:val="0"/>
    <w:rPr>
      <w:sz w:val="24"/>
    </w:rPr>
  </w:style>
  <w:style w:type="paragraph" w:customStyle="1" w:styleId="181">
    <w:name w:val="报告表正文"/>
    <w:basedOn w:val="1"/>
    <w:link w:val="180"/>
    <w:qFormat/>
    <w:uiPriority w:val="0"/>
    <w:pPr>
      <w:spacing w:line="312" w:lineRule="auto"/>
      <w:ind w:left="113" w:right="113" w:firstLine="482"/>
      <w:jc w:val="left"/>
      <w:textAlignment w:val="baseline"/>
    </w:pPr>
    <w:rPr>
      <w:rFonts w:ascii="Calibri" w:hAnsi="Calibri" w:cs="Times New Roman"/>
      <w:kern w:val="0"/>
      <w:szCs w:val="20"/>
    </w:rPr>
  </w:style>
  <w:style w:type="character" w:customStyle="1" w:styleId="182">
    <w:name w:val="标题 2 Char"/>
    <w:qFormat/>
    <w:uiPriority w:val="0"/>
    <w:rPr>
      <w:rFonts w:ascii="宋体" w:hAnsi="宋体" w:eastAsia="宋体"/>
      <w:kern w:val="2"/>
      <w:sz w:val="28"/>
      <w:szCs w:val="24"/>
      <w:lang w:val="en-US" w:eastAsia="zh-CN" w:bidi="ar-SA"/>
    </w:rPr>
  </w:style>
  <w:style w:type="character" w:customStyle="1" w:styleId="183">
    <w:name w:val="正文文本缩进 Char"/>
    <w:qFormat/>
    <w:uiPriority w:val="0"/>
    <w:rPr>
      <w:rFonts w:eastAsia="宋体"/>
      <w:kern w:val="2"/>
      <w:sz w:val="21"/>
      <w:szCs w:val="24"/>
      <w:lang w:val="en-US" w:eastAsia="zh-CN" w:bidi="ar-SA"/>
    </w:rPr>
  </w:style>
  <w:style w:type="character" w:customStyle="1" w:styleId="184">
    <w:name w:val="表格文字 Char Char"/>
    <w:qFormat/>
    <w:uiPriority w:val="0"/>
    <w:rPr>
      <w:rFonts w:ascii="宋体"/>
      <w:color w:val="000000"/>
      <w:sz w:val="24"/>
      <w:lang w:val="en-US" w:eastAsia="zh-CN" w:bidi="ar-SA"/>
    </w:rPr>
  </w:style>
  <w:style w:type="character" w:customStyle="1" w:styleId="185">
    <w:name w:val="表中文字[858D7CFB-ED40-4347-BF05-701D383B685F]"/>
    <w:link w:val="186"/>
    <w:qFormat/>
    <w:uiPriority w:val="0"/>
    <w:rPr>
      <w:kern w:val="2"/>
      <w:sz w:val="21"/>
    </w:rPr>
  </w:style>
  <w:style w:type="paragraph" w:customStyle="1" w:styleId="186">
    <w:name w:val="表中文字"/>
    <w:basedOn w:val="1"/>
    <w:link w:val="185"/>
    <w:qFormat/>
    <w:uiPriority w:val="0"/>
    <w:pPr>
      <w:jc w:val="center"/>
    </w:pPr>
    <w:rPr>
      <w:rFonts w:ascii="Calibri" w:hAnsi="Calibri" w:cs="Times New Roman"/>
      <w:szCs w:val="20"/>
    </w:rPr>
  </w:style>
  <w:style w:type="character" w:customStyle="1" w:styleId="187">
    <w:name w:val="content1"/>
    <w:qFormat/>
    <w:uiPriority w:val="0"/>
    <w:rPr>
      <w:rFonts w:hint="eastAsia" w:ascii="宋体" w:hAnsi="宋体" w:eastAsia="宋体"/>
      <w:color w:val="333333"/>
      <w:sz w:val="21"/>
      <w:szCs w:val="21"/>
    </w:rPr>
  </w:style>
  <w:style w:type="character" w:customStyle="1" w:styleId="188">
    <w:name w:val="表格文字2 Char"/>
    <w:link w:val="189"/>
    <w:qFormat/>
    <w:uiPriority w:val="0"/>
    <w:rPr>
      <w:rFonts w:ascii="宋体"/>
      <w:sz w:val="24"/>
    </w:rPr>
  </w:style>
  <w:style w:type="paragraph" w:customStyle="1" w:styleId="189">
    <w:name w:val="表格文字2"/>
    <w:basedOn w:val="67"/>
    <w:link w:val="188"/>
    <w:qFormat/>
    <w:uiPriority w:val="0"/>
    <w:pPr>
      <w:spacing w:before="60" w:line="240" w:lineRule="auto"/>
      <w:textAlignment w:val="baseline"/>
    </w:pPr>
    <w:rPr>
      <w:rFonts w:ascii="宋体" w:hAnsi="Calibri" w:eastAsia="宋体"/>
      <w:kern w:val="0"/>
      <w:sz w:val="24"/>
      <w:szCs w:val="20"/>
    </w:rPr>
  </w:style>
  <w:style w:type="character" w:customStyle="1" w:styleId="190">
    <w:name w:val="报告书 Char"/>
    <w:link w:val="191"/>
    <w:qFormat/>
    <w:uiPriority w:val="0"/>
    <w:rPr>
      <w:rFonts w:ascii="宋体" w:hAnsi="宋体" w:cs="宋体"/>
      <w:color w:val="0000FF"/>
      <w:sz w:val="24"/>
    </w:rPr>
  </w:style>
  <w:style w:type="paragraph" w:customStyle="1" w:styleId="191">
    <w:name w:val="报告书"/>
    <w:basedOn w:val="1"/>
    <w:link w:val="190"/>
    <w:qFormat/>
    <w:uiPriority w:val="0"/>
    <w:pPr>
      <w:autoSpaceDE w:val="0"/>
      <w:autoSpaceDN w:val="0"/>
      <w:spacing w:line="520" w:lineRule="exact"/>
      <w:ind w:firstLine="480"/>
      <w:jc w:val="left"/>
      <w:textAlignment w:val="bottom"/>
    </w:pPr>
    <w:rPr>
      <w:rFonts w:ascii="宋体" w:hAnsi="宋体" w:cs="宋体"/>
      <w:color w:val="0000FF"/>
      <w:kern w:val="0"/>
      <w:szCs w:val="20"/>
    </w:rPr>
  </w:style>
  <w:style w:type="character" w:customStyle="1" w:styleId="192">
    <w:name w:val="unnamed2"/>
    <w:basedOn w:val="59"/>
    <w:qFormat/>
    <w:uiPriority w:val="0"/>
  </w:style>
  <w:style w:type="character" w:customStyle="1" w:styleId="193">
    <w:name w:val="文本 Char"/>
    <w:link w:val="194"/>
    <w:qFormat/>
    <w:uiPriority w:val="0"/>
    <w:rPr>
      <w:kern w:val="2"/>
      <w:sz w:val="24"/>
      <w:szCs w:val="24"/>
    </w:rPr>
  </w:style>
  <w:style w:type="paragraph" w:customStyle="1" w:styleId="194">
    <w:name w:val="文本"/>
    <w:basedOn w:val="1"/>
    <w:next w:val="30"/>
    <w:link w:val="193"/>
    <w:qFormat/>
    <w:uiPriority w:val="0"/>
    <w:pPr>
      <w:ind w:firstLine="495"/>
    </w:pPr>
    <w:rPr>
      <w:rFonts w:ascii="Calibri" w:hAnsi="Calibri" w:cs="Times New Roman"/>
      <w:szCs w:val="24"/>
    </w:rPr>
  </w:style>
  <w:style w:type="paragraph" w:customStyle="1" w:styleId="195">
    <w:name w:val="段落1"/>
    <w:basedOn w:val="1"/>
    <w:qFormat/>
    <w:uiPriority w:val="0"/>
    <w:pPr>
      <w:spacing w:line="480" w:lineRule="exact"/>
    </w:pPr>
    <w:rPr>
      <w:rFonts w:eastAsia="楷体_GB2312" w:cs="Times New Roman"/>
      <w:spacing w:val="6"/>
      <w:sz w:val="28"/>
      <w:szCs w:val="24"/>
    </w:rPr>
  </w:style>
  <w:style w:type="paragraph" w:customStyle="1" w:styleId="196">
    <w:name w:val="表"/>
    <w:basedOn w:val="1"/>
    <w:qFormat/>
    <w:uiPriority w:val="0"/>
    <w:pPr>
      <w:jc w:val="center"/>
    </w:pPr>
    <w:rPr>
      <w:rFonts w:hAnsi="宋体" w:eastAsia="黑体" w:cs="Times New Roman"/>
      <w:color w:val="000000"/>
      <w:szCs w:val="24"/>
    </w:rPr>
  </w:style>
  <w:style w:type="paragraph" w:customStyle="1" w:styleId="197">
    <w:name w:val="Char Char Char Char"/>
    <w:basedOn w:val="1"/>
    <w:semiHidden/>
    <w:qFormat/>
    <w:uiPriority w:val="0"/>
    <w:pPr>
      <w:spacing w:line="540" w:lineRule="exact"/>
    </w:pPr>
    <w:rPr>
      <w:rFonts w:ascii="楷体_GB2312" w:eastAsia="楷体_GB2312" w:cs="Times New Roman"/>
      <w:kern w:val="0"/>
      <w:szCs w:val="24"/>
    </w:rPr>
  </w:style>
  <w:style w:type="paragraph" w:customStyle="1" w:styleId="198">
    <w:name w:val="报告书表格"/>
    <w:basedOn w:val="1"/>
    <w:qFormat/>
    <w:uiPriority w:val="0"/>
    <w:pPr>
      <w:spacing w:before="60" w:after="60" w:line="240" w:lineRule="atLeast"/>
      <w:jc w:val="center"/>
      <w:textAlignment w:val="baseline"/>
    </w:pPr>
    <w:rPr>
      <w:rFonts w:cs="Times New Roman"/>
      <w:kern w:val="0"/>
      <w:szCs w:val="20"/>
    </w:rPr>
  </w:style>
  <w:style w:type="paragraph" w:customStyle="1" w:styleId="199">
    <w:name w:val="Char1"/>
    <w:basedOn w:val="1"/>
    <w:qFormat/>
    <w:uiPriority w:val="0"/>
    <w:rPr>
      <w:rFonts w:cs="Times New Roman"/>
      <w:szCs w:val="24"/>
    </w:rPr>
  </w:style>
  <w:style w:type="paragraph" w:customStyle="1" w:styleId="200">
    <w:name w:val="表格式"/>
    <w:basedOn w:val="39"/>
    <w:qFormat/>
    <w:uiPriority w:val="0"/>
    <w:pPr>
      <w:spacing w:line="400" w:lineRule="exact"/>
      <w:ind w:left="0" w:firstLine="0" w:firstLineChars="0"/>
      <w:jc w:val="center"/>
    </w:pPr>
    <w:rPr>
      <w:rFonts w:ascii="宋体"/>
      <w:szCs w:val="20"/>
    </w:rPr>
  </w:style>
  <w:style w:type="paragraph" w:customStyle="1" w:styleId="201">
    <w:name w:val="样式 样式 行距: 1.5 倍行距 + 首行缩进:  2 字符"/>
    <w:basedOn w:val="1"/>
    <w:qFormat/>
    <w:uiPriority w:val="0"/>
    <w:pPr>
      <w:ind w:firstLine="420"/>
    </w:pPr>
    <w:rPr>
      <w:rFonts w:cs="宋体"/>
      <w:szCs w:val="20"/>
    </w:rPr>
  </w:style>
  <w:style w:type="paragraph" w:customStyle="1" w:styleId="202">
    <w:name w:val="Char4"/>
    <w:basedOn w:val="1"/>
    <w:qFormat/>
    <w:uiPriority w:val="0"/>
    <w:rPr>
      <w:rFonts w:cs="Times New Roman"/>
      <w:sz w:val="28"/>
      <w:szCs w:val="20"/>
    </w:rPr>
  </w:style>
  <w:style w:type="paragraph" w:customStyle="1" w:styleId="203">
    <w:name w:val="表格标题11"/>
    <w:next w:val="204"/>
    <w:qFormat/>
    <w:uiPriority w:val="0"/>
    <w:pPr>
      <w:keepNext/>
      <w:adjustRightInd w:val="0"/>
      <w:snapToGrid w:val="0"/>
      <w:spacing w:before="50" w:beforeLines="50"/>
      <w:jc w:val="center"/>
      <w:textAlignment w:val="baseline"/>
    </w:pPr>
    <w:rPr>
      <w:rFonts w:ascii="Times New Roman" w:hAnsi="Times New Roman" w:eastAsia="黑体" w:cs="Times New Roman"/>
      <w:kern w:val="2"/>
      <w:sz w:val="21"/>
      <w:szCs w:val="21"/>
      <w:lang w:val="en-US" w:eastAsia="zh-CN" w:bidi="ar-SA"/>
    </w:rPr>
  </w:style>
  <w:style w:type="paragraph" w:customStyle="1" w:styleId="204">
    <w:name w:val="报告表格"/>
    <w:basedOn w:val="1"/>
    <w:qFormat/>
    <w:uiPriority w:val="0"/>
    <w:pPr>
      <w:autoSpaceDE w:val="0"/>
      <w:autoSpaceDN w:val="0"/>
      <w:spacing w:before="40" w:after="40"/>
      <w:jc w:val="center"/>
      <w:textAlignment w:val="bottom"/>
    </w:pPr>
    <w:rPr>
      <w:rFonts w:cs="Times New Roman"/>
      <w:kern w:val="0"/>
      <w:szCs w:val="20"/>
    </w:rPr>
  </w:style>
  <w:style w:type="paragraph" w:customStyle="1" w:styleId="205">
    <w:name w:val="+正文"/>
    <w:basedOn w:val="1"/>
    <w:qFormat/>
    <w:uiPriority w:val="0"/>
    <w:rPr>
      <w:rFonts w:cs="Times New Roman"/>
      <w:szCs w:val="24"/>
    </w:rPr>
  </w:style>
  <w:style w:type="paragraph" w:customStyle="1" w:styleId="206">
    <w:name w:val="1"/>
    <w:basedOn w:val="1"/>
    <w:qFormat/>
    <w:uiPriority w:val="0"/>
    <w:pPr>
      <w:ind w:firstLine="538" w:firstLineChars="192"/>
    </w:pPr>
    <w:rPr>
      <w:rFonts w:ascii="宋体" w:hAnsi="宋体" w:cs="Times New Roman"/>
      <w:bCs/>
      <w:sz w:val="28"/>
      <w:szCs w:val="28"/>
    </w:rPr>
  </w:style>
  <w:style w:type="paragraph" w:customStyle="1" w:styleId="207">
    <w:name w:val="Char"/>
    <w:basedOn w:val="1"/>
    <w:qFormat/>
    <w:uiPriority w:val="0"/>
    <w:rPr>
      <w:rFonts w:cs="Times New Roman"/>
      <w:szCs w:val="24"/>
    </w:rPr>
  </w:style>
  <w:style w:type="paragraph" w:customStyle="1" w:styleId="208">
    <w:name w:val="edri-正文"/>
    <w:basedOn w:val="1"/>
    <w:qFormat/>
    <w:uiPriority w:val="0"/>
    <w:pPr>
      <w:jc w:val="center"/>
      <w:textAlignment w:val="baseline"/>
    </w:pPr>
    <w:rPr>
      <w:rFonts w:ascii="黑体" w:eastAsia="黑体" w:cs="Times New Roman"/>
      <w:snapToGrid w:val="0"/>
      <w:kern w:val="0"/>
      <w:szCs w:val="20"/>
    </w:rPr>
  </w:style>
  <w:style w:type="paragraph" w:customStyle="1" w:styleId="209">
    <w:name w:val="默认段落字体 Para Char Char Char Char"/>
    <w:basedOn w:val="1"/>
    <w:qFormat/>
    <w:uiPriority w:val="0"/>
    <w:rPr>
      <w:rFonts w:cs="Times New Roman"/>
      <w:szCs w:val="24"/>
    </w:rPr>
  </w:style>
  <w:style w:type="paragraph" w:customStyle="1" w:styleId="210">
    <w:name w:val="1表格"/>
    <w:basedOn w:val="1"/>
    <w:qFormat/>
    <w:uiPriority w:val="0"/>
    <w:pPr>
      <w:spacing w:line="160" w:lineRule="atLeast"/>
      <w:jc w:val="center"/>
    </w:pPr>
    <w:rPr>
      <w:rFonts w:eastAsia="仿宋_GB2312" w:cs="Times New Roman"/>
      <w:szCs w:val="20"/>
    </w:rPr>
  </w:style>
  <w:style w:type="paragraph" w:customStyle="1" w:styleId="211">
    <w:name w:val="Char Char Char Char Char Char1 Char"/>
    <w:basedOn w:val="1"/>
    <w:qFormat/>
    <w:uiPriority w:val="0"/>
    <w:pPr>
      <w:widowControl/>
      <w:spacing w:after="160" w:line="240" w:lineRule="exact"/>
      <w:jc w:val="left"/>
    </w:pPr>
    <w:rPr>
      <w:rFonts w:cs="Times New Roman"/>
      <w:szCs w:val="24"/>
    </w:rPr>
  </w:style>
  <w:style w:type="paragraph" w:customStyle="1" w:styleId="212">
    <w:name w:val="报告"/>
    <w:basedOn w:val="1"/>
    <w:qFormat/>
    <w:uiPriority w:val="0"/>
    <w:pPr>
      <w:ind w:firstLine="505"/>
      <w:textAlignment w:val="baseline"/>
    </w:pPr>
    <w:rPr>
      <w:rFonts w:cs="Times New Roman"/>
      <w:kern w:val="0"/>
      <w:szCs w:val="20"/>
    </w:rPr>
  </w:style>
  <w:style w:type="paragraph" w:customStyle="1" w:styleId="213">
    <w:name w:val="Char1 Char Char Char"/>
    <w:basedOn w:val="1"/>
    <w:qFormat/>
    <w:uiPriority w:val="0"/>
    <w:rPr>
      <w:rFonts w:cs="Times New Roman"/>
      <w:szCs w:val="24"/>
    </w:rPr>
  </w:style>
  <w:style w:type="paragraph" w:customStyle="1" w:styleId="214">
    <w:name w:val="char"/>
    <w:basedOn w:val="1"/>
    <w:qFormat/>
    <w:uiPriority w:val="0"/>
    <w:pPr>
      <w:widowControl/>
      <w:spacing w:after="160" w:line="240" w:lineRule="exact"/>
      <w:jc w:val="left"/>
    </w:pPr>
    <w:rPr>
      <w:rFonts w:cs="Times New Roman"/>
      <w:szCs w:val="24"/>
    </w:rPr>
  </w:style>
  <w:style w:type="paragraph" w:customStyle="1" w:styleId="215">
    <w:name w:val="正文(首行缩进)宋旭峰"/>
    <w:basedOn w:val="13"/>
    <w:qFormat/>
    <w:uiPriority w:val="99"/>
    <w:pPr>
      <w:ind w:firstLine="0"/>
    </w:pPr>
    <w:rPr>
      <w:snapToGrid w:val="0"/>
      <w:szCs w:val="20"/>
    </w:rPr>
  </w:style>
  <w:style w:type="paragraph" w:customStyle="1" w:styleId="216">
    <w:name w:val="列表段落1"/>
    <w:basedOn w:val="1"/>
    <w:qFormat/>
    <w:uiPriority w:val="34"/>
    <w:pPr>
      <w:ind w:firstLine="420"/>
    </w:pPr>
    <w:rPr>
      <w:rFonts w:cs="Times New Roman"/>
      <w:szCs w:val="24"/>
    </w:rPr>
  </w:style>
  <w:style w:type="character" w:customStyle="1" w:styleId="217">
    <w:name w:val="纯文本 Char1"/>
    <w:qFormat/>
    <w:uiPriority w:val="0"/>
    <w:rPr>
      <w:rFonts w:ascii="宋体" w:hAnsi="Courier New" w:cs="Courier New"/>
      <w:kern w:val="2"/>
      <w:sz w:val="21"/>
      <w:szCs w:val="21"/>
    </w:rPr>
  </w:style>
  <w:style w:type="character" w:customStyle="1" w:styleId="218">
    <w:name w:val="正文文本 2 字符"/>
    <w:basedOn w:val="59"/>
    <w:qFormat/>
    <w:uiPriority w:val="0"/>
    <w:rPr>
      <w:sz w:val="22"/>
      <w:szCs w:val="22"/>
      <w:lang w:eastAsia="en-US"/>
    </w:rPr>
  </w:style>
  <w:style w:type="character" w:customStyle="1" w:styleId="219">
    <w:name w:val="题注 Char"/>
    <w:qFormat/>
    <w:uiPriority w:val="0"/>
    <w:rPr>
      <w:rFonts w:ascii="Calibri" w:hAnsi="Calibri" w:cs="黑体"/>
      <w:kern w:val="2"/>
      <w:sz w:val="21"/>
      <w:szCs w:val="24"/>
      <w:lang w:val="en-US" w:eastAsia="zh-CN" w:bidi="ar-SA"/>
    </w:rPr>
  </w:style>
  <w:style w:type="character" w:customStyle="1" w:styleId="220">
    <w:name w:val="lh151"/>
    <w:basedOn w:val="59"/>
    <w:qFormat/>
    <w:uiPriority w:val="0"/>
  </w:style>
  <w:style w:type="character" w:customStyle="1" w:styleId="221">
    <w:name w:val="正文文本 字符1"/>
    <w:semiHidden/>
    <w:qFormat/>
    <w:uiPriority w:val="0"/>
    <w:rPr>
      <w:rFonts w:ascii="Times New Roman" w:hAnsi="Times New Roman" w:eastAsia="宋体" w:cs="Times New Roman"/>
      <w:sz w:val="24"/>
      <w:szCs w:val="24"/>
    </w:rPr>
  </w:style>
  <w:style w:type="paragraph" w:customStyle="1" w:styleId="222">
    <w:name w:val="本正文"/>
    <w:basedOn w:val="21"/>
    <w:qFormat/>
    <w:uiPriority w:val="0"/>
    <w:pPr>
      <w:spacing w:line="300" w:lineRule="auto"/>
      <w:ind w:firstLine="420"/>
    </w:pPr>
    <w:rPr>
      <w:szCs w:val="21"/>
    </w:rPr>
  </w:style>
  <w:style w:type="character" w:customStyle="1" w:styleId="223">
    <w:name w:val="fontstyle01"/>
    <w:basedOn w:val="59"/>
    <w:qFormat/>
    <w:uiPriority w:val="0"/>
    <w:rPr>
      <w:rFonts w:ascii="仿宋_GB2312" w:hAnsi="仿宋_GB2312" w:eastAsia="仿宋_GB2312" w:cs="仿宋_GB2312"/>
      <w:color w:val="000000"/>
      <w:sz w:val="28"/>
      <w:szCs w:val="28"/>
    </w:rPr>
  </w:style>
  <w:style w:type="character" w:customStyle="1" w:styleId="224">
    <w:name w:val="fontstyle21"/>
    <w:basedOn w:val="59"/>
    <w:qFormat/>
    <w:uiPriority w:val="0"/>
    <w:rPr>
      <w:rFonts w:ascii="Calibri" w:hAnsi="Calibri" w:cs="Calibri"/>
      <w:color w:val="000000"/>
      <w:sz w:val="22"/>
      <w:szCs w:val="22"/>
    </w:rPr>
  </w:style>
  <w:style w:type="paragraph" w:customStyle="1" w:styleId="225">
    <w:name w:val="0环评标题2"/>
    <w:basedOn w:val="3"/>
    <w:qFormat/>
    <w:uiPriority w:val="0"/>
    <w:pPr>
      <w:adjustRightInd/>
      <w:spacing w:line="480" w:lineRule="exact"/>
      <w:ind w:firstLine="200"/>
    </w:pPr>
    <w:rPr>
      <w:rFonts w:ascii="ˎ̥" w:hAnsi="ˎ̥" w:eastAsia="Arial" w:cs="Arial"/>
      <w:sz w:val="26"/>
    </w:rPr>
  </w:style>
  <w:style w:type="paragraph" w:customStyle="1" w:styleId="226">
    <w:name w:val="样式 正文 首行缩进:  2 字符 SL CON + 首行缩进:  2 字符"/>
    <w:basedOn w:val="227"/>
    <w:qFormat/>
    <w:uiPriority w:val="0"/>
    <w:pPr>
      <w:tabs>
        <w:tab w:val="left" w:pos="377"/>
      </w:tabs>
      <w:ind w:firstLine="480"/>
    </w:pPr>
  </w:style>
  <w:style w:type="paragraph" w:customStyle="1" w:styleId="227">
    <w:name w:val="正文 首行缩进:  2 字符 SL CON"/>
    <w:basedOn w:val="1"/>
    <w:qFormat/>
    <w:uiPriority w:val="0"/>
    <w:pPr>
      <w:widowControl/>
      <w:tabs>
        <w:tab w:val="left" w:pos="377"/>
      </w:tabs>
      <w:jc w:val="left"/>
    </w:pPr>
    <w:rPr>
      <w:rFonts w:ascii="宋体" w:hAnsi="Calibri" w:cs="宋体"/>
      <w:kern w:val="0"/>
      <w:lang w:eastAsia="en-US"/>
    </w:rPr>
  </w:style>
  <w:style w:type="paragraph" w:customStyle="1" w:styleId="228">
    <w:name w:val="图名使用"/>
    <w:basedOn w:val="1"/>
    <w:qFormat/>
    <w:uiPriority w:val="0"/>
    <w:pPr>
      <w:widowControl/>
      <w:spacing w:line="440" w:lineRule="exact"/>
      <w:jc w:val="center"/>
    </w:pPr>
    <w:rPr>
      <w:rFonts w:ascii="Calibri" w:hAnsi="Calibri" w:eastAsia="黑体" w:cs="Times New Roman"/>
      <w:sz w:val="22"/>
      <w:szCs w:val="21"/>
      <w:lang w:eastAsia="en-US"/>
    </w:rPr>
  </w:style>
  <w:style w:type="paragraph" w:customStyle="1" w:styleId="229">
    <w:name w:val="Body Text 22"/>
    <w:basedOn w:val="1"/>
    <w:qFormat/>
    <w:uiPriority w:val="0"/>
    <w:pPr>
      <w:widowControl/>
      <w:spacing w:line="440" w:lineRule="atLeast"/>
      <w:ind w:firstLine="480"/>
      <w:jc w:val="left"/>
    </w:pPr>
    <w:rPr>
      <w:rFonts w:ascii="仿宋_GB2312" w:hAnsi="仿宋_GB2312" w:eastAsia="ˎ̥" w:cs="仿宋_GB2312"/>
      <w:sz w:val="22"/>
      <w:lang w:eastAsia="en-US"/>
    </w:rPr>
  </w:style>
  <w:style w:type="paragraph" w:customStyle="1" w:styleId="230">
    <w:name w:val="0环评正文"/>
    <w:basedOn w:val="1"/>
    <w:qFormat/>
    <w:uiPriority w:val="0"/>
    <w:pPr>
      <w:widowControl/>
      <w:spacing w:line="480" w:lineRule="exact"/>
      <w:jc w:val="left"/>
    </w:pPr>
    <w:rPr>
      <w:rFonts w:ascii="Calibri" w:hAnsi="Calibri" w:cs="Times New Roman"/>
      <w:sz w:val="26"/>
      <w:lang w:eastAsia="en-US"/>
    </w:rPr>
  </w:style>
  <w:style w:type="paragraph" w:customStyle="1" w:styleId="231">
    <w:name w:val="二级无标题条"/>
    <w:basedOn w:val="1"/>
    <w:qFormat/>
    <w:uiPriority w:val="0"/>
    <w:pPr>
      <w:widowControl/>
      <w:jc w:val="left"/>
    </w:pPr>
    <w:rPr>
      <w:rFonts w:ascii="Calibri" w:hAnsi="Calibri" w:cs="Times New Roman"/>
      <w:lang w:eastAsia="en-US"/>
    </w:rPr>
  </w:style>
  <w:style w:type="paragraph" w:customStyle="1" w:styleId="232">
    <w:name w:val="表头使用"/>
    <w:basedOn w:val="1"/>
    <w:qFormat/>
    <w:uiPriority w:val="0"/>
    <w:pPr>
      <w:widowControl/>
      <w:jc w:val="right"/>
    </w:pPr>
    <w:rPr>
      <w:rFonts w:ascii="Calibri" w:hAnsi="Calibri" w:eastAsia="黑体" w:cs="Times New Roman"/>
      <w:kern w:val="0"/>
      <w:sz w:val="22"/>
      <w:szCs w:val="24"/>
      <w:lang w:eastAsia="en-US"/>
    </w:rPr>
  </w:style>
  <w:style w:type="paragraph" w:customStyle="1" w:styleId="233">
    <w:name w:val="纯文本2"/>
    <w:basedOn w:val="1"/>
    <w:qFormat/>
    <w:uiPriority w:val="0"/>
    <w:pPr>
      <w:widowControl/>
      <w:jc w:val="left"/>
    </w:pPr>
    <w:rPr>
      <w:rFonts w:ascii="宋体" w:hAnsi="Courier New" w:cs="Courier New"/>
      <w:kern w:val="0"/>
      <w:sz w:val="20"/>
      <w:szCs w:val="21"/>
      <w:lang w:eastAsia="en-US"/>
    </w:rPr>
  </w:style>
  <w:style w:type="paragraph" w:customStyle="1" w:styleId="234">
    <w:name w:val="正文（科宏）"/>
    <w:qFormat/>
    <w:uiPriority w:val="0"/>
    <w:pPr>
      <w:widowControl w:val="0"/>
      <w:spacing w:line="360" w:lineRule="auto"/>
      <w:ind w:firstLine="200" w:firstLineChars="200"/>
      <w:jc w:val="both"/>
    </w:pPr>
    <w:rPr>
      <w:rFonts w:ascii="Arial" w:hAnsi="Arial" w:eastAsia="仿宋_GB2312" w:cs="Times New Roman"/>
      <w:sz w:val="28"/>
      <w:lang w:val="en-US" w:eastAsia="zh-CN" w:bidi="ar-SA"/>
    </w:rPr>
  </w:style>
  <w:style w:type="character" w:customStyle="1" w:styleId="235">
    <w:name w:val="样式 样式 正文 首行缩进:  2 字符 SL CON + 首行缩进:  2 字符 + 宋体 Char Char Char"/>
    <w:qFormat/>
    <w:uiPriority w:val="0"/>
    <w:rPr>
      <w:kern w:val="2"/>
      <w:sz w:val="24"/>
      <w:szCs w:val="21"/>
    </w:rPr>
  </w:style>
  <w:style w:type="paragraph" w:customStyle="1" w:styleId="236">
    <w:name w:val="样式 样式 正文 首行缩进:  2 字符 SL CON + 首行缩进:  2 字符 + 宋体"/>
    <w:basedOn w:val="226"/>
    <w:qFormat/>
    <w:uiPriority w:val="0"/>
    <w:rPr>
      <w:rFonts w:ascii="Calibri"/>
    </w:rPr>
  </w:style>
  <w:style w:type="paragraph" w:customStyle="1" w:styleId="237">
    <w:name w:val="普通(网站)2"/>
    <w:basedOn w:val="1"/>
    <w:qFormat/>
    <w:uiPriority w:val="0"/>
    <w:pPr>
      <w:widowControl/>
      <w:spacing w:before="100" w:beforeAutospacing="1" w:after="100" w:afterAutospacing="1"/>
      <w:jc w:val="left"/>
    </w:pPr>
    <w:rPr>
      <w:rFonts w:ascii="宋体" w:hAnsi="宋体" w:cs="Times New Roman"/>
      <w:szCs w:val="20"/>
    </w:rPr>
  </w:style>
  <w:style w:type="character" w:customStyle="1" w:styleId="238">
    <w:name w:val="样式 小四 Char Char"/>
    <w:link w:val="239"/>
    <w:qFormat/>
    <w:uiPriority w:val="0"/>
    <w:rPr>
      <w:szCs w:val="24"/>
      <w:lang w:val="zh-CN"/>
    </w:rPr>
  </w:style>
  <w:style w:type="paragraph" w:customStyle="1" w:styleId="239">
    <w:name w:val="样式 小四"/>
    <w:basedOn w:val="1"/>
    <w:link w:val="238"/>
    <w:qFormat/>
    <w:uiPriority w:val="0"/>
    <w:pPr>
      <w:ind w:firstLine="480"/>
    </w:pPr>
    <w:rPr>
      <w:rFonts w:cs="Times New Roman"/>
      <w:kern w:val="0"/>
      <w:sz w:val="20"/>
      <w:szCs w:val="24"/>
      <w:lang w:val="zh-CN"/>
    </w:rPr>
  </w:style>
  <w:style w:type="paragraph" w:customStyle="1" w:styleId="240">
    <w:name w:val="C正文"/>
    <w:basedOn w:val="1"/>
    <w:qFormat/>
    <w:uiPriority w:val="0"/>
    <w:pPr>
      <w:contextualSpacing/>
    </w:pPr>
    <w:rPr>
      <w:rFonts w:cs="Times New Roman"/>
      <w:szCs w:val="24"/>
    </w:rPr>
  </w:style>
  <w:style w:type="paragraph" w:customStyle="1" w:styleId="241">
    <w:name w:val="C表格"/>
    <w:basedOn w:val="1"/>
    <w:next w:val="240"/>
    <w:qFormat/>
    <w:uiPriority w:val="0"/>
    <w:pPr>
      <w:ind w:firstLine="480"/>
      <w:contextualSpacing/>
      <w:jc w:val="center"/>
    </w:pPr>
    <w:rPr>
      <w:rFonts w:eastAsia="黑体" w:cs="Times New Roman"/>
      <w:szCs w:val="24"/>
    </w:rPr>
  </w:style>
  <w:style w:type="character" w:customStyle="1" w:styleId="242">
    <w:name w:val="泸县焦化三级标题 Char Char"/>
    <w:link w:val="243"/>
    <w:qFormat/>
    <w:uiPriority w:val="0"/>
    <w:rPr>
      <w:b/>
      <w:bCs/>
      <w:sz w:val="24"/>
      <w:szCs w:val="24"/>
    </w:rPr>
  </w:style>
  <w:style w:type="paragraph" w:customStyle="1" w:styleId="243">
    <w:name w:val="泸县焦化三级标题"/>
    <w:basedOn w:val="1"/>
    <w:link w:val="242"/>
    <w:qFormat/>
    <w:uiPriority w:val="0"/>
    <w:pPr>
      <w:keepNext/>
      <w:keepLines/>
      <w:autoSpaceDE w:val="0"/>
      <w:autoSpaceDN w:val="0"/>
      <w:outlineLvl w:val="2"/>
    </w:pPr>
    <w:rPr>
      <w:rFonts w:cs="Times New Roman"/>
      <w:b/>
      <w:bCs/>
      <w:kern w:val="0"/>
      <w:szCs w:val="24"/>
    </w:rPr>
  </w:style>
  <w:style w:type="paragraph" w:customStyle="1" w:styleId="244">
    <w:name w:val="p_MsoNormal"/>
    <w:basedOn w:val="1"/>
    <w:qFormat/>
    <w:uiPriority w:val="0"/>
    <w:pPr>
      <w:widowControl/>
      <w:autoSpaceDE w:val="0"/>
      <w:autoSpaceDN w:val="0"/>
      <w:spacing w:line="400" w:lineRule="atLeast"/>
      <w:ind w:firstLine="482"/>
      <w:jc w:val="left"/>
      <w:textAlignment w:val="baseline"/>
    </w:pPr>
    <w:rPr>
      <w:rFonts w:ascii="宋体" w:hAnsi="宋体" w:cs="宋体"/>
      <w:kern w:val="0"/>
      <w:szCs w:val="24"/>
    </w:rPr>
  </w:style>
  <w:style w:type="character" w:customStyle="1" w:styleId="245">
    <w:name w:val="批注文字 Char1"/>
    <w:qFormat/>
    <w:uiPriority w:val="0"/>
    <w:rPr>
      <w:rFonts w:ascii="Times New Roman" w:hAnsi="Times New Roman" w:eastAsia="宋体" w:cs="Times New Roman"/>
      <w:szCs w:val="24"/>
    </w:rPr>
  </w:style>
  <w:style w:type="character" w:customStyle="1" w:styleId="246">
    <w:name w:val="标题 字符"/>
    <w:basedOn w:val="59"/>
    <w:link w:val="50"/>
    <w:qFormat/>
    <w:uiPriority w:val="0"/>
    <w:rPr>
      <w:rFonts w:ascii="Arial" w:hAnsi="Arial"/>
      <w:b/>
      <w:sz w:val="32"/>
    </w:rPr>
  </w:style>
  <w:style w:type="character" w:customStyle="1" w:styleId="247">
    <w:name w:val="sub"/>
    <w:qFormat/>
    <w:uiPriority w:val="0"/>
    <w:rPr>
      <w:rFonts w:ascii="宋体" w:hAnsi="宋体" w:eastAsia="宋体" w:cs="宋体"/>
      <w:color w:val="000000"/>
      <w:sz w:val="18"/>
      <w:szCs w:val="18"/>
    </w:rPr>
  </w:style>
  <w:style w:type="character" w:customStyle="1" w:styleId="248">
    <w:name w:val="sup"/>
    <w:qFormat/>
    <w:uiPriority w:val="0"/>
    <w:rPr>
      <w:rFonts w:ascii="宋体" w:hAnsi="宋体" w:eastAsia="宋体" w:cs="宋体"/>
      <w:color w:val="000000"/>
      <w:sz w:val="18"/>
      <w:szCs w:val="18"/>
    </w:rPr>
  </w:style>
  <w:style w:type="paragraph" w:customStyle="1" w:styleId="249">
    <w:name w:val="表格内格式"/>
    <w:basedOn w:val="1"/>
    <w:next w:val="1"/>
    <w:qFormat/>
    <w:uiPriority w:val="0"/>
    <w:pPr>
      <w:autoSpaceDE w:val="0"/>
      <w:autoSpaceDN w:val="0"/>
      <w:jc w:val="center"/>
      <w:textAlignment w:val="baseline"/>
    </w:pPr>
    <w:rPr>
      <w:rFonts w:cs="Times New Roman"/>
      <w:kern w:val="0"/>
      <w:szCs w:val="20"/>
    </w:rPr>
  </w:style>
  <w:style w:type="paragraph" w:customStyle="1" w:styleId="250">
    <w:name w:val="正文格式"/>
    <w:basedOn w:val="1"/>
    <w:qFormat/>
    <w:uiPriority w:val="0"/>
    <w:pPr>
      <w:autoSpaceDE w:val="0"/>
      <w:autoSpaceDN w:val="0"/>
      <w:ind w:firstLine="480"/>
      <w:textAlignment w:val="baseline"/>
    </w:pPr>
    <w:rPr>
      <w:rFonts w:cs="Times New Roman"/>
      <w:kern w:val="0"/>
      <w:szCs w:val="20"/>
    </w:rPr>
  </w:style>
  <w:style w:type="character" w:customStyle="1" w:styleId="251">
    <w:name w:val="未处理的提及3"/>
    <w:basedOn w:val="59"/>
    <w:semiHidden/>
    <w:unhideWhenUsed/>
    <w:qFormat/>
    <w:uiPriority w:val="99"/>
    <w:rPr>
      <w:color w:val="605E5C"/>
      <w:shd w:val="clear" w:color="auto" w:fill="E1DFDD"/>
    </w:rPr>
  </w:style>
  <w:style w:type="paragraph" w:customStyle="1" w:styleId="252">
    <w:name w:val="正文（川油）"/>
    <w:qFormat/>
    <w:uiPriority w:val="0"/>
    <w:pPr>
      <w:widowControl w:val="0"/>
      <w:spacing w:line="360" w:lineRule="auto"/>
      <w:ind w:firstLine="200" w:firstLineChars="200"/>
      <w:jc w:val="both"/>
    </w:pPr>
    <w:rPr>
      <w:rFonts w:ascii="Times New Roman" w:hAnsi="Times New Roman" w:eastAsia="宋体" w:cs="Times New Roman"/>
      <w:sz w:val="24"/>
      <w:lang w:val="en-US" w:eastAsia="zh-CN" w:bidi="ar-SA"/>
    </w:rPr>
  </w:style>
  <w:style w:type="paragraph" w:customStyle="1" w:styleId="253">
    <w:name w:val="表标题名"/>
    <w:basedOn w:val="150"/>
    <w:link w:val="254"/>
    <w:qFormat/>
    <w:uiPriority w:val="0"/>
    <w:pPr>
      <w:tabs>
        <w:tab w:val="left" w:pos="1350"/>
      </w:tabs>
      <w:autoSpaceDE w:val="0"/>
      <w:autoSpaceDN w:val="0"/>
      <w:spacing w:before="0"/>
    </w:pPr>
    <w:rPr>
      <w:rFonts w:ascii="Times New Roman" w:hAnsi="Times New Roman" w:eastAsia="宋体"/>
      <w:shd w:val="clear" w:color="auto" w:fill="FFFFFF"/>
    </w:rPr>
  </w:style>
  <w:style w:type="character" w:customStyle="1" w:styleId="254">
    <w:name w:val="表标题名 Char"/>
    <w:link w:val="253"/>
    <w:qFormat/>
    <w:uiPriority w:val="0"/>
    <w:rPr>
      <w:kern w:val="2"/>
      <w:sz w:val="21"/>
      <w:szCs w:val="24"/>
    </w:rPr>
  </w:style>
  <w:style w:type="paragraph" w:customStyle="1" w:styleId="255">
    <w:name w:val="0表格正文"/>
    <w:link w:val="256"/>
    <w:qFormat/>
    <w:uiPriority w:val="0"/>
    <w:pPr>
      <w:jc w:val="center"/>
    </w:pPr>
    <w:rPr>
      <w:rFonts w:ascii="Times New Roman" w:hAnsi="Times New Roman" w:eastAsia="宋体" w:cstheme="minorBidi"/>
      <w:sz w:val="21"/>
      <w:szCs w:val="21"/>
      <w:lang w:val="en-US" w:eastAsia="zh-CN" w:bidi="ar-SA"/>
    </w:rPr>
  </w:style>
  <w:style w:type="character" w:customStyle="1" w:styleId="256">
    <w:name w:val="0表格正文 字符"/>
    <w:basedOn w:val="59"/>
    <w:link w:val="255"/>
    <w:qFormat/>
    <w:uiPriority w:val="0"/>
    <w:rPr>
      <w:rFonts w:cstheme="minorBidi"/>
      <w:sz w:val="21"/>
      <w:szCs w:val="21"/>
    </w:rPr>
  </w:style>
  <w:style w:type="character" w:customStyle="1" w:styleId="257">
    <w:name w:val="【表内字】 Char"/>
    <w:link w:val="258"/>
    <w:qFormat/>
    <w:uiPriority w:val="0"/>
    <w:rPr>
      <w:sz w:val="21"/>
      <w:szCs w:val="24"/>
    </w:rPr>
  </w:style>
  <w:style w:type="paragraph" w:customStyle="1" w:styleId="258">
    <w:name w:val="【表内字】"/>
    <w:basedOn w:val="1"/>
    <w:link w:val="257"/>
    <w:qFormat/>
    <w:uiPriority w:val="0"/>
    <w:pPr>
      <w:jc w:val="center"/>
    </w:pPr>
    <w:rPr>
      <w:rFonts w:cs="Times New Roman"/>
      <w:kern w:val="0"/>
      <w:szCs w:val="24"/>
    </w:rPr>
  </w:style>
  <w:style w:type="character" w:customStyle="1" w:styleId="259">
    <w:name w:val="日期 字符"/>
    <w:basedOn w:val="59"/>
    <w:link w:val="29"/>
    <w:qFormat/>
    <w:uiPriority w:val="0"/>
    <w:rPr>
      <w:rFonts w:ascii="宋体" w:cs="宋体" w:eastAsiaTheme="minorEastAsia"/>
      <w:sz w:val="24"/>
      <w:szCs w:val="24"/>
    </w:rPr>
  </w:style>
  <w:style w:type="paragraph" w:customStyle="1" w:styleId="260">
    <w:name w:val="1、L表名、图名"/>
    <w:basedOn w:val="1"/>
    <w:qFormat/>
    <w:uiPriority w:val="0"/>
    <w:pPr>
      <w:jc w:val="center"/>
    </w:pPr>
    <w:rPr>
      <w:rFonts w:cs="Times New Roman"/>
      <w:bCs/>
      <w:szCs w:val="18"/>
    </w:rPr>
  </w:style>
  <w:style w:type="paragraph" w:customStyle="1" w:styleId="261">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262">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table" w:customStyle="1" w:styleId="263">
    <w:name w:val="S表格正文"/>
    <w:basedOn w:val="54"/>
    <w:qFormat/>
    <w:uiPriority w:val="99"/>
    <w:rPr>
      <w:rFonts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paragraph" w:customStyle="1" w:styleId="264">
    <w:name w:val="0表头"/>
    <w:basedOn w:val="255"/>
    <w:link w:val="265"/>
    <w:qFormat/>
    <w:uiPriority w:val="0"/>
    <w:rPr>
      <w:rFonts w:eastAsia="黑体"/>
      <w:b/>
    </w:rPr>
  </w:style>
  <w:style w:type="character" w:customStyle="1" w:styleId="265">
    <w:name w:val="0表头 字符"/>
    <w:basedOn w:val="256"/>
    <w:link w:val="264"/>
    <w:qFormat/>
    <w:uiPriority w:val="0"/>
    <w:rPr>
      <w:rFonts w:eastAsia="黑体" w:cstheme="minorBidi"/>
      <w:b/>
      <w:sz w:val="21"/>
      <w:szCs w:val="21"/>
    </w:rPr>
  </w:style>
  <w:style w:type="character" w:customStyle="1" w:styleId="266">
    <w:name w:val="SSEC 表字居中 字符"/>
    <w:link w:val="267"/>
    <w:qFormat/>
    <w:uiPriority w:val="0"/>
    <w:rPr>
      <w:rFonts w:ascii="宋体"/>
      <w:kern w:val="2"/>
      <w:sz w:val="21"/>
      <w:szCs w:val="21"/>
    </w:rPr>
  </w:style>
  <w:style w:type="paragraph" w:customStyle="1" w:styleId="267">
    <w:name w:val="SSEC 表字居中"/>
    <w:link w:val="266"/>
    <w:qFormat/>
    <w:uiPriority w:val="0"/>
    <w:pPr>
      <w:widowControl w:val="0"/>
      <w:adjustRightInd w:val="0"/>
      <w:snapToGrid w:val="0"/>
      <w:jc w:val="center"/>
      <w:textAlignment w:val="center"/>
    </w:pPr>
    <w:rPr>
      <w:rFonts w:ascii="宋体" w:hAnsi="Times New Roman" w:eastAsia="宋体" w:cs="Times New Roman"/>
      <w:kern w:val="2"/>
      <w:sz w:val="21"/>
      <w:szCs w:val="21"/>
      <w:lang w:val="en-US" w:eastAsia="zh-CN" w:bidi="ar-SA"/>
    </w:rPr>
  </w:style>
  <w:style w:type="paragraph" w:customStyle="1" w:styleId="268">
    <w:name w:val="1 Char Char Char Char"/>
    <w:basedOn w:val="1"/>
    <w:qFormat/>
    <w:uiPriority w:val="0"/>
    <w:rPr>
      <w:rFonts w:cs="Times New Roman"/>
      <w:szCs w:val="24"/>
    </w:rPr>
  </w:style>
  <w:style w:type="character" w:customStyle="1" w:styleId="269">
    <w:name w:val="SSEC表字居中 20150323 Char"/>
    <w:link w:val="270"/>
    <w:qFormat/>
    <w:locked/>
    <w:uiPriority w:val="0"/>
    <w:rPr>
      <w:rFonts w:ascii="宋体" w:hAnsi="宋体"/>
      <w:kern w:val="2"/>
      <w:sz w:val="21"/>
      <w:szCs w:val="21"/>
    </w:rPr>
  </w:style>
  <w:style w:type="paragraph" w:customStyle="1" w:styleId="270">
    <w:name w:val="SSEC表字居中 20150323"/>
    <w:link w:val="269"/>
    <w:qFormat/>
    <w:uiPriority w:val="0"/>
    <w:pPr>
      <w:adjustRightInd w:val="0"/>
      <w:snapToGrid w:val="0"/>
      <w:jc w:val="center"/>
    </w:pPr>
    <w:rPr>
      <w:rFonts w:ascii="宋体" w:hAnsi="宋体" w:eastAsia="宋体" w:cs="Times New Roman"/>
      <w:kern w:val="2"/>
      <w:sz w:val="21"/>
      <w:szCs w:val="21"/>
      <w:lang w:val="en-US" w:eastAsia="zh-CN" w:bidi="ar-SA"/>
    </w:rPr>
  </w:style>
  <w:style w:type="character" w:customStyle="1" w:styleId="271">
    <w:name w:val="【正文】 Char Char"/>
    <w:qFormat/>
    <w:uiPriority w:val="0"/>
    <w:rPr>
      <w:sz w:val="24"/>
      <w:lang w:bidi="ar-SA"/>
    </w:rPr>
  </w:style>
  <w:style w:type="paragraph" w:customStyle="1" w:styleId="272">
    <w:name w:val="TOC 标题11"/>
    <w:next w:val="1"/>
    <w:unhideWhenUsed/>
    <w:qFormat/>
    <w:uiPriority w:val="39"/>
    <w:pPr>
      <w:spacing w:line="360" w:lineRule="auto"/>
      <w:jc w:val="center"/>
    </w:pPr>
    <w:rPr>
      <w:rFonts w:ascii="Times New Roman" w:hAnsi="Times New Roman" w:eastAsia="Times New Roman" w:cstheme="majorBidi"/>
      <w:b/>
      <w:bCs/>
      <w:sz w:val="21"/>
      <w:szCs w:val="28"/>
      <w:lang w:val="en-US" w:eastAsia="zh-CN" w:bidi="ar-SA"/>
    </w:rPr>
  </w:style>
  <w:style w:type="table" w:customStyle="1" w:styleId="273">
    <w:name w:val="S表格样式"/>
    <w:basedOn w:val="54"/>
    <w:qFormat/>
    <w:uiPriority w:val="99"/>
    <w:rPr>
      <w:rFonts w:eastAsiaTheme="minorEastAsia"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blHeader/>
      <w:jc w:val="center"/>
    </w:trPr>
    <w:tcPr>
      <w:vAlign w:val="center"/>
    </w:tcPr>
  </w:style>
  <w:style w:type="table" w:customStyle="1" w:styleId="274">
    <w:name w:val="表格正文"/>
    <w:basedOn w:val="55"/>
    <w:qFormat/>
    <w:uiPriority w:val="99"/>
    <w:pPr>
      <w:jc w:val="center"/>
    </w:pPr>
    <w:rPr>
      <w:rFonts w:eastAsiaTheme="minorEastAsia" w:cstheme="minorBidi"/>
      <w:sz w:val="21"/>
      <w:szCs w:val="21"/>
    </w:rPr>
    <w:tblPr>
      <w:jc w:val="center"/>
    </w:tblPr>
    <w:trPr>
      <w:jc w:val="center"/>
    </w:trPr>
    <w:tcPr>
      <w:vAlign w:val="center"/>
    </w:tcPr>
  </w:style>
  <w:style w:type="table" w:customStyle="1" w:styleId="275">
    <w:name w:val="样式1"/>
    <w:basedOn w:val="54"/>
    <w:qFormat/>
    <w:uiPriority w:val="99"/>
    <w:rPr>
      <w:rFonts w:asciiTheme="minorHAnsi" w:hAnsiTheme="minorHAnsi" w:eastAsiaTheme="minorEastAsia" w:cstheme="minorBidi"/>
      <w:kern w:val="2"/>
      <w:sz w:val="21"/>
      <w:szCs w:val="21"/>
    </w:rPr>
    <w:tblStylePr w:type="firstRow">
      <w:rPr>
        <w:rFonts w:ascii="Times New Roman" w:hAnsi="Times New Roman" w:eastAsia="宋体"/>
        <w:b/>
        <w:i w:val="0"/>
        <w:sz w:val="21"/>
      </w:rPr>
      <w:tblPr>
        <w:jc w:val="center"/>
      </w:tblPr>
      <w:trPr>
        <w:jc w:val="center"/>
      </w:trPr>
      <w:tcPr>
        <w:vAlign w:val="center"/>
      </w:tcPr>
    </w:tblStylePr>
  </w:style>
  <w:style w:type="table" w:customStyle="1" w:styleId="276">
    <w:name w:val="表格标题行"/>
    <w:basedOn w:val="54"/>
    <w:qFormat/>
    <w:uiPriority w:val="99"/>
    <w:rPr>
      <w:rFonts w:asciiTheme="minorHAnsi" w:hAnsiTheme="minorHAnsi" w:eastAsiaTheme="minorEastAsia" w:cstheme="minorBidi"/>
      <w:kern w:val="2"/>
      <w:sz w:val="21"/>
      <w:szCs w:val="21"/>
    </w:rPr>
    <w:tblStylePr w:type="firstRow">
      <w:pPr>
        <w:wordWrap/>
        <w:spacing w:line="240" w:lineRule="auto"/>
      </w:pPr>
      <w:rPr>
        <w:rFonts w:ascii="Times New Roman" w:hAnsi="Times New Roman" w:eastAsia="宋体"/>
        <w:b/>
        <w:i w:val="0"/>
        <w:sz w:val="21"/>
      </w:rPr>
      <w:tblPr>
        <w:jc w:val="center"/>
      </w:tblPr>
      <w:trPr>
        <w:jc w:val="center"/>
      </w:trPr>
      <w:tcPr>
        <w:tcBorders>
          <w:top w:val="nil"/>
          <w:left w:val="nil"/>
          <w:bottom w:val="nil"/>
          <w:right w:val="nil"/>
          <w:insideH w:val="nil"/>
          <w:insideV w:val="nil"/>
        </w:tcBorders>
        <w:vAlign w:val="center"/>
      </w:tcPr>
    </w:tblStylePr>
  </w:style>
  <w:style w:type="paragraph" w:customStyle="1" w:styleId="277">
    <w:name w:val="表格标题"/>
    <w:basedOn w:val="1"/>
    <w:link w:val="278"/>
    <w:qFormat/>
    <w:uiPriority w:val="0"/>
    <w:pPr>
      <w:jc w:val="center"/>
    </w:pPr>
    <w:rPr>
      <w:kern w:val="0"/>
      <w:szCs w:val="21"/>
    </w:rPr>
  </w:style>
  <w:style w:type="character" w:customStyle="1" w:styleId="278">
    <w:name w:val="表格标题 字符"/>
    <w:basedOn w:val="59"/>
    <w:link w:val="277"/>
    <w:qFormat/>
    <w:uiPriority w:val="0"/>
    <w:rPr>
      <w:rFonts w:cstheme="minorBidi"/>
      <w:sz w:val="24"/>
      <w:szCs w:val="21"/>
    </w:rPr>
  </w:style>
  <w:style w:type="paragraph" w:customStyle="1" w:styleId="279">
    <w:name w:val="文本框"/>
    <w:basedOn w:val="27"/>
    <w:qFormat/>
    <w:uiPriority w:val="0"/>
    <w:pPr>
      <w:framePr w:wrap="around" w:vAnchor="text" w:hAnchor="text" w:y="1"/>
    </w:pPr>
    <w:rPr>
      <w:rFonts w:ascii="Times New Roman" w:hAnsi="Times New Roman" w:eastAsia="华文仿宋"/>
      <w:kern w:val="0"/>
      <w:szCs w:val="21"/>
    </w:rPr>
  </w:style>
  <w:style w:type="paragraph" w:customStyle="1" w:styleId="280">
    <w:name w:val="正文_1"/>
    <w:qFormat/>
    <w:uiPriority w:val="0"/>
    <w:pPr>
      <w:widowControl w:val="0"/>
      <w:jc w:val="both"/>
    </w:pPr>
    <w:rPr>
      <w:rFonts w:ascii="Times New Roman" w:hAnsi="Times New Roman" w:eastAsia="宋体" w:cs="Times New Roman"/>
      <w:kern w:val="2"/>
      <w:sz w:val="21"/>
      <w:szCs w:val="24"/>
      <w:lang w:val="en-US" w:eastAsia="zh-CN" w:bidi="ar-SA"/>
    </w:rPr>
  </w:style>
  <w:style w:type="table" w:customStyle="1" w:styleId="281">
    <w:name w:val="表格内容V"/>
    <w:basedOn w:val="54"/>
    <w:qFormat/>
    <w:uiPriority w:val="99"/>
    <w:rPr>
      <w:rFonts w:asciiTheme="minorHAnsi" w:hAnsiTheme="minorHAnsi" w:eastAsiaTheme="minorEastAsia" w:cstheme="minorBidi"/>
      <w:kern w:val="2"/>
      <w:sz w:val="21"/>
      <w:szCs w:val="21"/>
    </w:rPr>
    <w:tblPr>
      <w:jc w:val="center"/>
      <w:tblCellSpacing w:w="11" w:type="dxa"/>
    </w:tblPr>
    <w:trPr>
      <w:tblCellSpacing w:w="11" w:type="dxa"/>
      <w:jc w:val="center"/>
    </w:trPr>
    <w:tcPr>
      <w:vAlign w:val="center"/>
    </w:tcPr>
  </w:style>
  <w:style w:type="table" w:customStyle="1" w:styleId="282">
    <w:name w:val="0表格内容"/>
    <w:basedOn w:val="54"/>
    <w:qFormat/>
    <w:uiPriority w:val="99"/>
    <w:rPr>
      <w:rFonts w:cstheme="minorBidi"/>
      <w:sz w:val="21"/>
      <w:szCs w:val="21"/>
    </w:rPr>
    <w:tblPr>
      <w:jc w:val="center"/>
    </w:tblPr>
    <w:trPr>
      <w:jc w:val="center"/>
    </w:trPr>
    <w:tcPr>
      <w:vAlign w:val="center"/>
    </w:tcPr>
  </w:style>
  <w:style w:type="table" w:customStyle="1" w:styleId="283">
    <w:name w:val="表格正文1"/>
    <w:basedOn w:val="55"/>
    <w:qFormat/>
    <w:uiPriority w:val="99"/>
    <w:pPr>
      <w:jc w:val="center"/>
    </w:pPr>
    <w:rPr>
      <w:rFonts w:eastAsiaTheme="minorEastAsia" w:cstheme="minorBidi"/>
      <w:sz w:val="21"/>
      <w:szCs w:val="21"/>
    </w:rPr>
    <w:tblPr>
      <w:jc w:val="center"/>
    </w:tblPr>
    <w:trPr>
      <w:jc w:val="center"/>
    </w:trPr>
    <w:tcPr>
      <w:vAlign w:val="center"/>
    </w:tcPr>
  </w:style>
  <w:style w:type="character" w:styleId="284">
    <w:name w:val="Placeholder Text"/>
    <w:basedOn w:val="59"/>
    <w:semiHidden/>
    <w:qFormat/>
    <w:uiPriority w:val="99"/>
    <w:rPr>
      <w:color w:val="808080"/>
    </w:rPr>
  </w:style>
  <w:style w:type="table" w:customStyle="1" w:styleId="285">
    <w:name w:val="网格型1"/>
    <w:basedOn w:val="54"/>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6">
    <w:name w:val="网格型2"/>
    <w:basedOn w:val="54"/>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7">
    <w:name w:val="网格型3"/>
    <w:basedOn w:val="54"/>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8">
    <w:name w:val="S表格正文1"/>
    <w:basedOn w:val="54"/>
    <w:qFormat/>
    <w:uiPriority w:val="99"/>
    <w:rPr>
      <w:rFonts w:cstheme="minorBidi"/>
      <w:kern w:val="2"/>
      <w:sz w:val="21"/>
      <w:szCs w:val="21"/>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paragraph" w:customStyle="1" w:styleId="289">
    <w:name w:val="TOC 标题2"/>
    <w:basedOn w:val="2"/>
    <w:next w:val="1"/>
    <w:unhideWhenUsed/>
    <w:qFormat/>
    <w:uiPriority w:val="39"/>
    <w:pPr>
      <w:spacing w:before="240" w:beforeLines="100" w:after="0" w:line="259" w:lineRule="auto"/>
      <w:outlineLvl w:val="9"/>
    </w:pPr>
    <w:rPr>
      <w:rFonts w:asciiTheme="majorHAnsi" w:hAnsiTheme="majorHAnsi" w:eastAsiaTheme="majorEastAsia" w:cstheme="majorBidi"/>
      <w:b/>
      <w:bCs w:val="0"/>
      <w:color w:val="2F5597" w:themeColor="accent1" w:themeShade="BF"/>
      <w:kern w:val="0"/>
      <w:szCs w:val="32"/>
      <w:lang w:eastAsia="zh-CN"/>
    </w:rPr>
  </w:style>
  <w:style w:type="paragraph" w:customStyle="1" w:styleId="290">
    <w:name w:val="正文_0"/>
    <w:qFormat/>
    <w:uiPriority w:val="0"/>
    <w:pPr>
      <w:widowControl w:val="0"/>
      <w:spacing w:line="360" w:lineRule="auto"/>
      <w:jc w:val="both"/>
    </w:pPr>
    <w:rPr>
      <w:rFonts w:ascii="Times New Roman" w:hAnsi="Times New Roman" w:eastAsia="宋体" w:cs="Times New Roman"/>
      <w:kern w:val="2"/>
      <w:sz w:val="21"/>
      <w:szCs w:val="24"/>
      <w:lang w:val="en-US" w:eastAsia="zh-CN" w:bidi="ar-SA"/>
    </w:rPr>
  </w:style>
  <w:style w:type="paragraph" w:customStyle="1" w:styleId="291">
    <w:name w:val="Normal_2"/>
    <w:qFormat/>
    <w:uiPriority w:val="0"/>
    <w:pPr>
      <w:widowControl w:val="0"/>
      <w:jc w:val="both"/>
    </w:pPr>
    <w:rPr>
      <w:rFonts w:ascii="Times New Roman" w:hAnsi="Times New Roman" w:eastAsia="宋体" w:cs="Times New Roman"/>
      <w:kern w:val="2"/>
      <w:sz w:val="21"/>
      <w:szCs w:val="24"/>
      <w:lang w:val="en-US" w:eastAsia="zh-CN" w:bidi="ar-SA"/>
    </w:rPr>
  </w:style>
  <w:style w:type="table" w:customStyle="1" w:styleId="292">
    <w:name w:val="表格正文2"/>
    <w:basedOn w:val="55"/>
    <w:qFormat/>
    <w:uiPriority w:val="99"/>
    <w:pPr>
      <w:jc w:val="center"/>
    </w:pPr>
    <w:rPr>
      <w:rFonts w:eastAsiaTheme="minorEastAsia" w:cstheme="minorBidi"/>
      <w:sz w:val="21"/>
      <w:szCs w:val="21"/>
    </w:rPr>
    <w:tblPr>
      <w:jc w:val="center"/>
    </w:tblPr>
    <w:trPr>
      <w:jc w:val="center"/>
    </w:trPr>
    <w:tcPr>
      <w:vAlign w:val="center"/>
    </w:tcPr>
  </w:style>
  <w:style w:type="character" w:customStyle="1" w:styleId="293">
    <w:name w:val="表格 Char Char"/>
    <w:link w:val="294"/>
    <w:qFormat/>
    <w:uiPriority w:val="0"/>
    <w:rPr>
      <w:rFonts w:ascii="宋体" w:hAnsi="宋体" w:cs="宋体"/>
      <w:sz w:val="24"/>
    </w:rPr>
  </w:style>
  <w:style w:type="paragraph" w:customStyle="1" w:styleId="294">
    <w:name w:val="表格"/>
    <w:basedOn w:val="1"/>
    <w:link w:val="293"/>
    <w:qFormat/>
    <w:uiPriority w:val="0"/>
    <w:pPr>
      <w:widowControl/>
      <w:jc w:val="center"/>
      <w:textAlignment w:val="baseline"/>
    </w:pPr>
    <w:rPr>
      <w:rFonts w:ascii="宋体" w:hAnsi="宋体" w:cs="宋体"/>
      <w:kern w:val="0"/>
      <w:szCs w:val="20"/>
    </w:rPr>
  </w:style>
  <w:style w:type="paragraph" w:customStyle="1" w:styleId="295">
    <w:name w:val="表内文字"/>
    <w:basedOn w:val="1"/>
    <w:qFormat/>
    <w:uiPriority w:val="0"/>
    <w:pPr>
      <w:widowControl/>
      <w:ind w:left="57" w:right="57"/>
      <w:jc w:val="center"/>
    </w:pPr>
    <w:rPr>
      <w:rFonts w:ascii="Times" w:hAnsi="Times" w:cs="Times"/>
      <w:snapToGrid w:val="0"/>
      <w:spacing w:val="-20"/>
      <w:kern w:val="0"/>
      <w:szCs w:val="21"/>
    </w:rPr>
  </w:style>
  <w:style w:type="paragraph" w:customStyle="1" w:styleId="296">
    <w:name w:val="L-正文"/>
    <w:basedOn w:val="1"/>
    <w:qFormat/>
    <w:uiPriority w:val="0"/>
    <w:pPr>
      <w:ind w:firstLine="480"/>
    </w:pPr>
    <w:rPr>
      <w:rFonts w:ascii="宋体" w:cs="Tahoma"/>
      <w:color w:val="444444"/>
      <w:kern w:val="0"/>
      <w:szCs w:val="27"/>
      <w:shd w:val="clear" w:color="auto" w:fill="FFFFFF"/>
    </w:rPr>
  </w:style>
  <w:style w:type="paragraph" w:customStyle="1" w:styleId="297">
    <w:name w:val="表格内容11"/>
    <w:next w:val="21"/>
    <w:qFormat/>
    <w:uiPriority w:val="0"/>
    <w:pPr>
      <w:adjustRightInd w:val="0"/>
      <w:snapToGrid w:val="0"/>
      <w:jc w:val="center"/>
      <w:textAlignment w:val="baseline"/>
    </w:pPr>
    <w:rPr>
      <w:rFonts w:ascii="Times New Roman" w:hAnsi="Times New Roman" w:eastAsia="宋体" w:cs="Times New Roman"/>
      <w:kern w:val="2"/>
      <w:sz w:val="21"/>
      <w:lang w:val="en-US" w:eastAsia="zh-CN" w:bidi="ar-SA"/>
    </w:rPr>
  </w:style>
  <w:style w:type="table" w:customStyle="1" w:styleId="298">
    <w:name w:val="网格型ZHJICIA1"/>
    <w:basedOn w:val="54"/>
    <w:qFormat/>
    <w:uiPriority w:val="59"/>
    <w:pPr>
      <w:widowControl w:val="0"/>
      <w:spacing w:before="120" w:after="120" w:line="360" w:lineRule="exact"/>
      <w:ind w:firstLine="482"/>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99">
    <w:name w:val="标题 7 字符"/>
    <w:basedOn w:val="59"/>
    <w:link w:val="8"/>
    <w:qFormat/>
    <w:uiPriority w:val="0"/>
    <w:rPr>
      <w:b/>
      <w:bCs/>
      <w:kern w:val="2"/>
      <w:sz w:val="24"/>
      <w:szCs w:val="24"/>
    </w:rPr>
  </w:style>
  <w:style w:type="character" w:customStyle="1" w:styleId="300">
    <w:name w:val="注释标题 字符"/>
    <w:basedOn w:val="59"/>
    <w:link w:val="12"/>
    <w:qFormat/>
    <w:uiPriority w:val="0"/>
    <w:rPr>
      <w:kern w:val="2"/>
      <w:sz w:val="30"/>
    </w:rPr>
  </w:style>
  <w:style w:type="paragraph" w:customStyle="1" w:styleId="301">
    <w:name w:val="正文1"/>
    <w:basedOn w:val="22"/>
    <w:qFormat/>
    <w:uiPriority w:val="0"/>
    <w:pPr>
      <w:widowControl w:val="0"/>
      <w:spacing w:line="500" w:lineRule="exact"/>
      <w:ind w:firstLine="520"/>
      <w:jc w:val="both"/>
    </w:pPr>
    <w:rPr>
      <w:rFonts w:ascii="Times New Roman" w:hAnsi="Times New Roman"/>
      <w:kern w:val="2"/>
      <w:sz w:val="26"/>
      <w:szCs w:val="26"/>
      <w:lang w:eastAsia="zh-CN"/>
    </w:rPr>
  </w:style>
  <w:style w:type="paragraph" w:customStyle="1" w:styleId="302">
    <w:name w:val="报告正文"/>
    <w:basedOn w:val="52"/>
    <w:qFormat/>
    <w:uiPriority w:val="0"/>
    <w:pPr>
      <w:ind w:firstLine="480" w:firstLineChars="200"/>
    </w:pPr>
    <w:rPr>
      <w:rFonts w:ascii="宋体" w:hAnsi="宋体"/>
      <w:sz w:val="24"/>
    </w:rPr>
  </w:style>
  <w:style w:type="character" w:customStyle="1" w:styleId="303">
    <w:name w:val="正文文本首行缩进 字符"/>
    <w:basedOn w:val="79"/>
    <w:link w:val="52"/>
    <w:qFormat/>
    <w:uiPriority w:val="0"/>
    <w:rPr>
      <w:rFonts w:ascii="宋体" w:hAnsi="宋体"/>
      <w:kern w:val="2"/>
      <w:sz w:val="21"/>
      <w:szCs w:val="24"/>
      <w:lang w:eastAsia="en-US"/>
    </w:rPr>
  </w:style>
  <w:style w:type="character" w:customStyle="1" w:styleId="304">
    <w:name w:val="HTML 预设格式 字符"/>
    <w:basedOn w:val="59"/>
    <w:link w:val="47"/>
    <w:qFormat/>
    <w:uiPriority w:val="0"/>
    <w:rPr>
      <w:rFonts w:ascii="Arial" w:hAnsi="Arial" w:cs="Arial"/>
      <w:sz w:val="24"/>
      <w:szCs w:val="24"/>
    </w:rPr>
  </w:style>
  <w:style w:type="character" w:customStyle="1" w:styleId="305">
    <w:name w:val="样式 Char4 Char Char Char + Times New Roman Char"/>
    <w:link w:val="306"/>
    <w:qFormat/>
    <w:uiPriority w:val="0"/>
    <w:rPr>
      <w:rFonts w:cs="宋体"/>
      <w:kern w:val="2"/>
      <w:sz w:val="24"/>
      <w:szCs w:val="26"/>
    </w:rPr>
  </w:style>
  <w:style w:type="paragraph" w:customStyle="1" w:styleId="306">
    <w:name w:val="样式 Char4 Char Char Char + Times New Roman"/>
    <w:basedOn w:val="307"/>
    <w:link w:val="305"/>
    <w:qFormat/>
    <w:uiPriority w:val="0"/>
    <w:rPr>
      <w:rFonts w:ascii="Times New Roman" w:hAnsi="Times New Roman"/>
    </w:rPr>
  </w:style>
  <w:style w:type="paragraph" w:customStyle="1" w:styleId="307">
    <w:name w:val="Char4 Char Char Char"/>
    <w:basedOn w:val="1"/>
    <w:qFormat/>
    <w:uiPriority w:val="0"/>
    <w:pPr>
      <w:spacing w:line="400" w:lineRule="exact"/>
    </w:pPr>
    <w:rPr>
      <w:rFonts w:ascii="宋体" w:hAnsi="宋体" w:cs="宋体"/>
      <w:szCs w:val="26"/>
    </w:rPr>
  </w:style>
  <w:style w:type="character" w:customStyle="1" w:styleId="308">
    <w:name w:val="标准样式 Char Char"/>
    <w:qFormat/>
    <w:uiPriority w:val="0"/>
    <w:rPr>
      <w:rFonts w:eastAsia="宋体"/>
      <w:kern w:val="2"/>
      <w:sz w:val="28"/>
      <w:lang w:val="en-US" w:eastAsia="zh-CN" w:bidi="ar-SA"/>
    </w:rPr>
  </w:style>
  <w:style w:type="character" w:customStyle="1" w:styleId="309">
    <w:name w:val="样式105 Char"/>
    <w:link w:val="310"/>
    <w:qFormat/>
    <w:uiPriority w:val="0"/>
    <w:rPr>
      <w:rFonts w:ascii="宋体" w:hAnsi="宋体" w:cs="宋体"/>
      <w:sz w:val="26"/>
      <w:szCs w:val="26"/>
    </w:rPr>
  </w:style>
  <w:style w:type="paragraph" w:customStyle="1" w:styleId="310">
    <w:name w:val="样式105"/>
    <w:link w:val="309"/>
    <w:qFormat/>
    <w:uiPriority w:val="0"/>
    <w:pPr>
      <w:adjustRightInd w:val="0"/>
      <w:snapToGrid w:val="0"/>
      <w:spacing w:line="460" w:lineRule="exact"/>
      <w:ind w:firstLine="520" w:firstLineChars="200"/>
    </w:pPr>
    <w:rPr>
      <w:rFonts w:ascii="宋体" w:hAnsi="宋体" w:eastAsia="宋体" w:cs="宋体"/>
      <w:sz w:val="26"/>
      <w:szCs w:val="26"/>
      <w:lang w:val="en-US" w:eastAsia="zh-CN" w:bidi="ar-SA"/>
    </w:rPr>
  </w:style>
  <w:style w:type="character" w:customStyle="1" w:styleId="311">
    <w:name w:val="样式1 Char"/>
    <w:qFormat/>
    <w:uiPriority w:val="0"/>
    <w:rPr>
      <w:rFonts w:eastAsia="黑体"/>
      <w:kern w:val="2"/>
      <w:sz w:val="28"/>
      <w:lang w:val="en-US" w:eastAsia="zh-CN" w:bidi="ar-SA"/>
    </w:rPr>
  </w:style>
  <w:style w:type="character" w:customStyle="1" w:styleId="312">
    <w:name w:val="fontstyle11"/>
    <w:qFormat/>
    <w:uiPriority w:val="0"/>
    <w:rPr>
      <w:rFonts w:hint="default" w:ascii="Times New Roman" w:hAnsi="Times New Roman" w:cs="Times New Roman"/>
      <w:color w:val="000000"/>
      <w:sz w:val="22"/>
      <w:szCs w:val="22"/>
    </w:rPr>
  </w:style>
  <w:style w:type="character" w:customStyle="1" w:styleId="313">
    <w:name w:val="font01"/>
    <w:qFormat/>
    <w:uiPriority w:val="0"/>
    <w:rPr>
      <w:rFonts w:hint="eastAsia" w:ascii="宋体" w:hAnsi="宋体" w:eastAsia="宋体" w:cs="宋体"/>
      <w:color w:val="000000"/>
      <w:sz w:val="24"/>
      <w:szCs w:val="24"/>
      <w:u w:val="none"/>
      <w:vertAlign w:val="superscript"/>
    </w:rPr>
  </w:style>
  <w:style w:type="character" w:customStyle="1" w:styleId="314">
    <w:name w:val="标准样式 Char1"/>
    <w:link w:val="315"/>
    <w:qFormat/>
    <w:uiPriority w:val="0"/>
    <w:rPr>
      <w:rFonts w:ascii="宋体"/>
      <w:sz w:val="28"/>
    </w:rPr>
  </w:style>
  <w:style w:type="paragraph" w:customStyle="1" w:styleId="315">
    <w:name w:val="标准样式"/>
    <w:link w:val="314"/>
    <w:qFormat/>
    <w:uiPriority w:val="0"/>
    <w:pPr>
      <w:widowControl w:val="0"/>
      <w:spacing w:line="600" w:lineRule="exact"/>
      <w:ind w:firstLine="567"/>
      <w:jc w:val="both"/>
    </w:pPr>
    <w:rPr>
      <w:rFonts w:ascii="宋体" w:hAnsi="Times New Roman" w:eastAsia="宋体" w:cs="Times New Roman"/>
      <w:sz w:val="28"/>
      <w:lang w:val="en-US" w:eastAsia="zh-CN" w:bidi="ar-SA"/>
    </w:rPr>
  </w:style>
  <w:style w:type="character" w:customStyle="1" w:styleId="316">
    <w:name w:val="标题节 Char"/>
    <w:qFormat/>
    <w:uiPriority w:val="0"/>
    <w:rPr>
      <w:rFonts w:eastAsia="宋体"/>
      <w:b/>
      <w:kern w:val="2"/>
      <w:sz w:val="26"/>
      <w:szCs w:val="32"/>
      <w:lang w:val="en-US" w:eastAsia="zh-CN" w:bidi="ar-SA"/>
    </w:rPr>
  </w:style>
  <w:style w:type="character" w:customStyle="1" w:styleId="317">
    <w:name w:val="页码2"/>
    <w:basedOn w:val="59"/>
    <w:qFormat/>
    <w:uiPriority w:val="0"/>
  </w:style>
  <w:style w:type="character" w:customStyle="1" w:styleId="318">
    <w:name w:val="三级标题 Char"/>
    <w:qFormat/>
    <w:uiPriority w:val="0"/>
    <w:rPr>
      <w:rFonts w:eastAsia="宋体"/>
      <w:b/>
      <w:kern w:val="2"/>
      <w:sz w:val="26"/>
      <w:szCs w:val="26"/>
      <w:lang w:val="en-US" w:eastAsia="zh-CN" w:bidi="ar-SA"/>
    </w:rPr>
  </w:style>
  <w:style w:type="character" w:customStyle="1" w:styleId="319">
    <w:name w:val="apple-style-span"/>
    <w:basedOn w:val="59"/>
    <w:qFormat/>
    <w:uiPriority w:val="0"/>
  </w:style>
  <w:style w:type="character" w:customStyle="1" w:styleId="320">
    <w:name w:val="正文（首行缩进2字） Char"/>
    <w:link w:val="321"/>
    <w:qFormat/>
    <w:uiPriority w:val="0"/>
    <w:rPr>
      <w:kern w:val="2"/>
      <w:sz w:val="28"/>
      <w:szCs w:val="30"/>
    </w:rPr>
  </w:style>
  <w:style w:type="paragraph" w:customStyle="1" w:styleId="321">
    <w:name w:val="正文（首行缩进2字）"/>
    <w:basedOn w:val="1"/>
    <w:link w:val="320"/>
    <w:qFormat/>
    <w:uiPriority w:val="0"/>
    <w:pPr>
      <w:spacing w:line="500" w:lineRule="exact"/>
      <w:ind w:firstLine="560"/>
    </w:pPr>
    <w:rPr>
      <w:rFonts w:cs="Times New Roman"/>
      <w:sz w:val="28"/>
      <w:szCs w:val="30"/>
    </w:rPr>
  </w:style>
  <w:style w:type="character" w:customStyle="1" w:styleId="322">
    <w:name w:val="引用 Char"/>
    <w:link w:val="323"/>
    <w:qFormat/>
    <w:uiPriority w:val="0"/>
    <w:rPr>
      <w:iCs/>
      <w:color w:val="000000"/>
      <w:kern w:val="2"/>
      <w:sz w:val="22"/>
      <w:szCs w:val="24"/>
    </w:rPr>
  </w:style>
  <w:style w:type="paragraph" w:customStyle="1" w:styleId="323">
    <w:name w:val="引用1"/>
    <w:basedOn w:val="1"/>
    <w:next w:val="1"/>
    <w:link w:val="322"/>
    <w:qFormat/>
    <w:uiPriority w:val="0"/>
    <w:rPr>
      <w:rFonts w:cs="Times New Roman"/>
      <w:iCs/>
      <w:color w:val="000000"/>
      <w:sz w:val="22"/>
      <w:szCs w:val="24"/>
    </w:rPr>
  </w:style>
  <w:style w:type="character" w:customStyle="1" w:styleId="324">
    <w:name w:val="样式 标题 1 + 段后: 1.5 行 Char"/>
    <w:qFormat/>
    <w:uiPriority w:val="0"/>
    <w:rPr>
      <w:rFonts w:ascii="宋体" w:hAnsi="宋体" w:eastAsia="宋体" w:cs="宋体"/>
      <w:b/>
      <w:bCs/>
      <w:kern w:val="44"/>
      <w:sz w:val="32"/>
      <w:szCs w:val="44"/>
      <w:lang w:val="en-US" w:eastAsia="zh-CN" w:bidi="ar-SA"/>
    </w:rPr>
  </w:style>
  <w:style w:type="character" w:customStyle="1" w:styleId="325">
    <w:name w:val="style81"/>
    <w:qFormat/>
    <w:uiPriority w:val="0"/>
    <w:rPr>
      <w:sz w:val="20"/>
      <w:szCs w:val="20"/>
    </w:rPr>
  </w:style>
  <w:style w:type="character" w:customStyle="1" w:styleId="326">
    <w:name w:val="表头排版 Char"/>
    <w:link w:val="327"/>
    <w:qFormat/>
    <w:uiPriority w:val="0"/>
    <w:rPr>
      <w:kern w:val="2"/>
      <w:sz w:val="26"/>
      <w:szCs w:val="21"/>
    </w:rPr>
  </w:style>
  <w:style w:type="paragraph" w:customStyle="1" w:styleId="327">
    <w:name w:val="表头排版"/>
    <w:basedOn w:val="1"/>
    <w:link w:val="326"/>
    <w:qFormat/>
    <w:uiPriority w:val="0"/>
    <w:pPr>
      <w:spacing w:line="480" w:lineRule="exact"/>
      <w:jc w:val="right"/>
    </w:pPr>
    <w:rPr>
      <w:rFonts w:cs="Times New Roman"/>
      <w:sz w:val="26"/>
      <w:szCs w:val="21"/>
    </w:rPr>
  </w:style>
  <w:style w:type="character" w:customStyle="1" w:styleId="328">
    <w:name w:val="style61"/>
    <w:qFormat/>
    <w:uiPriority w:val="0"/>
    <w:rPr>
      <w:color w:val="333333"/>
      <w:sz w:val="21"/>
      <w:szCs w:val="21"/>
    </w:rPr>
  </w:style>
  <w:style w:type="character" w:customStyle="1" w:styleId="329">
    <w:name w:val="f91"/>
    <w:qFormat/>
    <w:uiPriority w:val="0"/>
    <w:rPr>
      <w:rFonts w:hint="default"/>
      <w:sz w:val="18"/>
      <w:szCs w:val="18"/>
    </w:rPr>
  </w:style>
  <w:style w:type="character" w:customStyle="1" w:styleId="330">
    <w:name w:val="标题1"/>
    <w:basedOn w:val="59"/>
    <w:qFormat/>
    <w:uiPriority w:val="0"/>
  </w:style>
  <w:style w:type="character" w:customStyle="1" w:styleId="331">
    <w:name w:val="样式2 Char Char"/>
    <w:qFormat/>
    <w:uiPriority w:val="0"/>
    <w:rPr>
      <w:rFonts w:ascii="黑体" w:hAnsi="宋体" w:eastAsia="黑体"/>
      <w:b/>
      <w:kern w:val="2"/>
      <w:sz w:val="28"/>
      <w:szCs w:val="28"/>
      <w:lang w:val="en-US" w:eastAsia="zh-CN" w:bidi="ar-SA"/>
    </w:rPr>
  </w:style>
  <w:style w:type="character" w:customStyle="1" w:styleId="332">
    <w:name w:val="样式92 Char"/>
    <w:link w:val="333"/>
    <w:qFormat/>
    <w:uiPriority w:val="0"/>
    <w:rPr>
      <w:rFonts w:cs="宋体"/>
      <w:sz w:val="26"/>
      <w:szCs w:val="26"/>
    </w:rPr>
  </w:style>
  <w:style w:type="paragraph" w:customStyle="1" w:styleId="333">
    <w:name w:val="样式92"/>
    <w:basedOn w:val="1"/>
    <w:link w:val="332"/>
    <w:qFormat/>
    <w:uiPriority w:val="0"/>
    <w:pPr>
      <w:widowControl/>
      <w:spacing w:line="460" w:lineRule="exact"/>
      <w:ind w:firstLine="567" w:firstLineChars="218"/>
      <w:jc w:val="left"/>
    </w:pPr>
    <w:rPr>
      <w:rFonts w:cs="宋体"/>
      <w:kern w:val="0"/>
      <w:sz w:val="26"/>
      <w:szCs w:val="26"/>
    </w:rPr>
  </w:style>
  <w:style w:type="character" w:customStyle="1" w:styleId="334">
    <w:name w:val="正文首行缩进 Char"/>
    <w:qFormat/>
    <w:uiPriority w:val="0"/>
    <w:rPr>
      <w:rFonts w:eastAsia="宋体"/>
      <w:kern w:val="2"/>
      <w:sz w:val="28"/>
      <w:szCs w:val="28"/>
      <w:lang w:val="en-US" w:eastAsia="zh-CN" w:bidi="ar-SA"/>
    </w:rPr>
  </w:style>
  <w:style w:type="character" w:customStyle="1" w:styleId="335">
    <w:name w:val="txtbreak"/>
    <w:basedOn w:val="59"/>
    <w:qFormat/>
    <w:uiPriority w:val="0"/>
  </w:style>
  <w:style w:type="character" w:customStyle="1" w:styleId="336">
    <w:name w:val="UserStyle_0"/>
    <w:qFormat/>
    <w:uiPriority w:val="0"/>
    <w:rPr>
      <w:rFonts w:ascii="宋体" w:hAnsi="宋体" w:eastAsia="宋体"/>
      <w:color w:val="000000"/>
      <w:sz w:val="24"/>
      <w:szCs w:val="24"/>
      <w:vertAlign w:val="superscript"/>
    </w:rPr>
  </w:style>
  <w:style w:type="character" w:customStyle="1" w:styleId="337">
    <w:name w:val="表格 Char"/>
    <w:qFormat/>
    <w:uiPriority w:val="0"/>
    <w:rPr>
      <w:kern w:val="2"/>
      <w:sz w:val="22"/>
      <w:szCs w:val="22"/>
      <w:lang w:val="en-US" w:eastAsia="zh-CN" w:bidi="ar-SA"/>
    </w:rPr>
  </w:style>
  <w:style w:type="character" w:customStyle="1" w:styleId="338">
    <w:name w:val="样式2 Char"/>
    <w:link w:val="136"/>
    <w:qFormat/>
    <w:uiPriority w:val="0"/>
    <w:rPr>
      <w:color w:val="000000"/>
      <w:kern w:val="2"/>
      <w:sz w:val="28"/>
      <w:szCs w:val="28"/>
      <w:lang w:val="zh-CN"/>
    </w:rPr>
  </w:style>
  <w:style w:type="paragraph" w:customStyle="1" w:styleId="339">
    <w:name w:val="样式 标题 2标题节标题 2 Char Char + 段前: 2 行"/>
    <w:basedOn w:val="3"/>
    <w:next w:val="1"/>
    <w:qFormat/>
    <w:uiPriority w:val="0"/>
    <w:pPr>
      <w:spacing w:before="156" w:line="460" w:lineRule="exact"/>
      <w:ind w:firstLine="200"/>
    </w:pPr>
    <w:rPr>
      <w:rFonts w:hAnsi="Arial"/>
      <w:b/>
      <w:bCs w:val="0"/>
      <w:sz w:val="26"/>
      <w:szCs w:val="20"/>
      <w:lang w:eastAsia="zh-CN"/>
    </w:rPr>
  </w:style>
  <w:style w:type="character" w:customStyle="1" w:styleId="340">
    <w:name w:val="排版正文 Char"/>
    <w:qFormat/>
    <w:uiPriority w:val="0"/>
    <w:rPr>
      <w:szCs w:val="24"/>
    </w:rPr>
  </w:style>
  <w:style w:type="character" w:customStyle="1" w:styleId="341">
    <w:name w:val="表头 Char1"/>
    <w:qFormat/>
    <w:uiPriority w:val="0"/>
    <w:rPr>
      <w:rFonts w:eastAsia="宋体"/>
      <w:spacing w:val="2"/>
      <w:kern w:val="2"/>
      <w:sz w:val="26"/>
      <w:szCs w:val="26"/>
      <w:lang w:val="en-US" w:eastAsia="zh-CN" w:bidi="ar-SA"/>
    </w:rPr>
  </w:style>
  <w:style w:type="character" w:customStyle="1" w:styleId="342">
    <w:name w:val="t141"/>
    <w:qFormat/>
    <w:uiPriority w:val="0"/>
    <w:rPr>
      <w:rFonts w:hint="default" w:ascii="ˎ̥" w:hAnsi="ˎ̥"/>
      <w:sz w:val="21"/>
      <w:szCs w:val="21"/>
    </w:rPr>
  </w:style>
  <w:style w:type="character" w:customStyle="1" w:styleId="343">
    <w:name w:val="标准样式1 Char"/>
    <w:link w:val="344"/>
    <w:qFormat/>
    <w:uiPriority w:val="0"/>
    <w:rPr>
      <w:rFonts w:ascii="宋体" w:hAnsi="宋体"/>
      <w:bCs/>
      <w:kern w:val="2"/>
      <w:sz w:val="28"/>
      <w:szCs w:val="24"/>
    </w:rPr>
  </w:style>
  <w:style w:type="paragraph" w:customStyle="1" w:styleId="344">
    <w:name w:val="标准样式1"/>
    <w:basedOn w:val="1"/>
    <w:link w:val="343"/>
    <w:qFormat/>
    <w:uiPriority w:val="0"/>
    <w:pPr>
      <w:spacing w:line="600" w:lineRule="exact"/>
      <w:ind w:firstLine="150" w:firstLineChars="150"/>
    </w:pPr>
    <w:rPr>
      <w:rFonts w:ascii="宋体" w:hAnsi="宋体" w:cs="Times New Roman"/>
      <w:bCs/>
      <w:sz w:val="28"/>
      <w:szCs w:val="24"/>
    </w:rPr>
  </w:style>
  <w:style w:type="character" w:customStyle="1" w:styleId="345">
    <w:name w:val="title10"/>
    <w:basedOn w:val="59"/>
    <w:qFormat/>
    <w:uiPriority w:val="0"/>
  </w:style>
  <w:style w:type="character" w:customStyle="1" w:styleId="346">
    <w:name w:val="表文字 Char"/>
    <w:link w:val="347"/>
    <w:qFormat/>
    <w:uiPriority w:val="0"/>
    <w:rPr>
      <w:kern w:val="2"/>
      <w:sz w:val="21"/>
      <w:szCs w:val="21"/>
    </w:rPr>
  </w:style>
  <w:style w:type="paragraph" w:customStyle="1" w:styleId="347">
    <w:name w:val="表文字"/>
    <w:basedOn w:val="1"/>
    <w:link w:val="346"/>
    <w:qFormat/>
    <w:uiPriority w:val="0"/>
    <w:pPr>
      <w:topLinePunct/>
      <w:spacing w:line="240" w:lineRule="exact"/>
      <w:textAlignment w:val="baseline"/>
    </w:pPr>
    <w:rPr>
      <w:rFonts w:cs="Times New Roman"/>
      <w:szCs w:val="21"/>
    </w:rPr>
  </w:style>
  <w:style w:type="character" w:customStyle="1" w:styleId="348">
    <w:name w:val="环评证文 Char"/>
    <w:link w:val="349"/>
    <w:qFormat/>
    <w:uiPriority w:val="0"/>
    <w:rPr>
      <w:rFonts w:ascii="宋体" w:hAnsi="宋体"/>
      <w:color w:val="000000"/>
      <w:kern w:val="2"/>
      <w:sz w:val="24"/>
      <w:szCs w:val="24"/>
    </w:rPr>
  </w:style>
  <w:style w:type="paragraph" w:customStyle="1" w:styleId="349">
    <w:name w:val="环评证文"/>
    <w:basedOn w:val="1"/>
    <w:link w:val="348"/>
    <w:qFormat/>
    <w:uiPriority w:val="0"/>
    <w:pPr>
      <w:spacing w:line="440" w:lineRule="exact"/>
      <w:ind w:firstLine="480"/>
    </w:pPr>
    <w:rPr>
      <w:rFonts w:ascii="宋体" w:hAnsi="宋体" w:cs="Times New Roman"/>
      <w:color w:val="000000"/>
      <w:szCs w:val="24"/>
    </w:rPr>
  </w:style>
  <w:style w:type="character" w:customStyle="1" w:styleId="350">
    <w:name w:val="环评正文 Char"/>
    <w:link w:val="351"/>
    <w:qFormat/>
    <w:uiPriority w:val="0"/>
    <w:rPr>
      <w:rFonts w:ascii="宋体" w:hAnsi="宋体"/>
      <w:color w:val="000000"/>
      <w:kern w:val="2"/>
      <w:sz w:val="24"/>
      <w:szCs w:val="24"/>
    </w:rPr>
  </w:style>
  <w:style w:type="paragraph" w:customStyle="1" w:styleId="351">
    <w:name w:val="环评正文"/>
    <w:basedOn w:val="1"/>
    <w:link w:val="350"/>
    <w:qFormat/>
    <w:uiPriority w:val="0"/>
    <w:pPr>
      <w:spacing w:line="440" w:lineRule="exact"/>
    </w:pPr>
    <w:rPr>
      <w:rFonts w:ascii="宋体" w:hAnsi="宋体" w:cs="Times New Roman"/>
      <w:color w:val="000000"/>
      <w:szCs w:val="24"/>
    </w:rPr>
  </w:style>
  <w:style w:type="character" w:customStyle="1" w:styleId="352">
    <w:name w:val="样式5 Char Char"/>
    <w:qFormat/>
    <w:uiPriority w:val="0"/>
    <w:rPr>
      <w:rFonts w:eastAsia="宋体"/>
      <w:color w:val="FF0000"/>
      <w:kern w:val="2"/>
      <w:sz w:val="24"/>
      <w:lang w:val="en-US" w:eastAsia="zh-CN" w:bidi="ar-SA"/>
    </w:rPr>
  </w:style>
  <w:style w:type="character" w:customStyle="1" w:styleId="353">
    <w:name w:val="NormalCharacter"/>
    <w:semiHidden/>
    <w:qFormat/>
    <w:uiPriority w:val="0"/>
  </w:style>
  <w:style w:type="character" w:customStyle="1" w:styleId="354">
    <w:name w:val="表内字 Char Char"/>
    <w:link w:val="355"/>
    <w:qFormat/>
    <w:uiPriority w:val="0"/>
    <w:rPr>
      <w:rFonts w:ascii="Tahoma" w:hAnsi="Tahoma"/>
      <w:sz w:val="21"/>
      <w:szCs w:val="21"/>
    </w:rPr>
  </w:style>
  <w:style w:type="paragraph" w:customStyle="1" w:styleId="355">
    <w:name w:val="表内字"/>
    <w:basedOn w:val="39"/>
    <w:link w:val="354"/>
    <w:qFormat/>
    <w:uiPriority w:val="0"/>
    <w:pPr>
      <w:autoSpaceDE w:val="0"/>
      <w:autoSpaceDN w:val="0"/>
      <w:ind w:left="0" w:firstLine="0" w:firstLineChars="0"/>
      <w:jc w:val="center"/>
    </w:pPr>
    <w:rPr>
      <w:rFonts w:ascii="Tahoma" w:hAnsi="Tahoma"/>
      <w:kern w:val="0"/>
      <w:szCs w:val="21"/>
    </w:rPr>
  </w:style>
  <w:style w:type="character" w:customStyle="1" w:styleId="356">
    <w:name w:val="表号 Char"/>
    <w:link w:val="146"/>
    <w:qFormat/>
    <w:locked/>
    <w:uiPriority w:val="0"/>
    <w:rPr>
      <w:kern w:val="2"/>
      <w:sz w:val="21"/>
      <w:szCs w:val="24"/>
    </w:rPr>
  </w:style>
  <w:style w:type="character" w:customStyle="1" w:styleId="357">
    <w:name w:val="正文1 Char"/>
    <w:qFormat/>
    <w:uiPriority w:val="0"/>
    <w:rPr>
      <w:rFonts w:eastAsia="宋体"/>
      <w:kern w:val="2"/>
      <w:sz w:val="26"/>
      <w:szCs w:val="26"/>
      <w:lang w:val="en-US" w:eastAsia="zh-CN" w:bidi="ar-SA"/>
    </w:rPr>
  </w:style>
  <w:style w:type="character" w:customStyle="1" w:styleId="358">
    <w:name w:val="标准样式 Char"/>
    <w:qFormat/>
    <w:uiPriority w:val="0"/>
    <w:rPr>
      <w:rFonts w:ascii="宋体" w:eastAsia="宋体"/>
      <w:sz w:val="28"/>
      <w:szCs w:val="28"/>
      <w:lang w:val="en-US" w:eastAsia="zh-CN" w:bidi="ar-SA"/>
    </w:rPr>
  </w:style>
  <w:style w:type="character" w:customStyle="1" w:styleId="359">
    <w:name w:val="样式115 Char"/>
    <w:link w:val="360"/>
    <w:qFormat/>
    <w:uiPriority w:val="0"/>
    <w:rPr>
      <w:rFonts w:cs="宋体"/>
      <w:sz w:val="26"/>
      <w:szCs w:val="26"/>
    </w:rPr>
  </w:style>
  <w:style w:type="paragraph" w:customStyle="1" w:styleId="360">
    <w:name w:val="样式115"/>
    <w:basedOn w:val="1"/>
    <w:link w:val="359"/>
    <w:qFormat/>
    <w:uiPriority w:val="0"/>
    <w:pPr>
      <w:widowControl/>
      <w:spacing w:line="460" w:lineRule="exact"/>
      <w:ind w:firstLine="567" w:firstLineChars="218"/>
      <w:jc w:val="left"/>
    </w:pPr>
    <w:rPr>
      <w:rFonts w:cs="宋体"/>
      <w:kern w:val="0"/>
      <w:sz w:val="26"/>
      <w:szCs w:val="26"/>
    </w:rPr>
  </w:style>
  <w:style w:type="character" w:customStyle="1" w:styleId="361">
    <w:name w:val="样式 13 磅 行距: 固定值 23 磅 Char"/>
    <w:qFormat/>
    <w:uiPriority w:val="0"/>
    <w:rPr>
      <w:rFonts w:eastAsia="宋体" w:cs="宋体"/>
      <w:kern w:val="2"/>
      <w:sz w:val="26"/>
      <w:lang w:val="en-US" w:eastAsia="zh-CN" w:bidi="ar-SA"/>
    </w:rPr>
  </w:style>
  <w:style w:type="character" w:customStyle="1" w:styleId="362">
    <w:name w:val="样式 表头 + 小四 Char"/>
    <w:link w:val="363"/>
    <w:qFormat/>
    <w:uiPriority w:val="0"/>
    <w:rPr>
      <w:b/>
      <w:bCs/>
      <w:spacing w:val="2"/>
      <w:kern w:val="2"/>
      <w:sz w:val="24"/>
      <w:szCs w:val="24"/>
    </w:rPr>
  </w:style>
  <w:style w:type="paragraph" w:customStyle="1" w:styleId="363">
    <w:name w:val="样式 表头 + 小四"/>
    <w:basedOn w:val="169"/>
    <w:link w:val="362"/>
    <w:qFormat/>
    <w:uiPriority w:val="0"/>
    <w:pPr>
      <w:tabs>
        <w:tab w:val="left" w:pos="2040"/>
      </w:tabs>
      <w:adjustRightInd/>
      <w:spacing w:after="50" w:afterLines="50"/>
      <w:ind w:firstLine="420"/>
    </w:pPr>
    <w:rPr>
      <w:bCs/>
      <w:spacing w:val="2"/>
      <w:szCs w:val="24"/>
    </w:rPr>
  </w:style>
  <w:style w:type="character" w:customStyle="1" w:styleId="364">
    <w:name w:val="样式18 Char Char"/>
    <w:qFormat/>
    <w:uiPriority w:val="0"/>
    <w:rPr>
      <w:sz w:val="26"/>
      <w:szCs w:val="26"/>
    </w:rPr>
  </w:style>
  <w:style w:type="character" w:customStyle="1" w:styleId="365">
    <w:name w:val="样式 四号"/>
    <w:qFormat/>
    <w:uiPriority w:val="0"/>
    <w:rPr>
      <w:rFonts w:eastAsia="仿宋_GB2312"/>
      <w:sz w:val="28"/>
    </w:rPr>
  </w:style>
  <w:style w:type="character" w:customStyle="1" w:styleId="366">
    <w:name w:val="标题 3 Char Char Char"/>
    <w:qFormat/>
    <w:uiPriority w:val="0"/>
    <w:rPr>
      <w:rFonts w:eastAsia="宋体"/>
      <w:b/>
      <w:sz w:val="26"/>
      <w:szCs w:val="28"/>
      <w:lang w:val="en-US" w:eastAsia="zh-CN" w:bidi="ar-SA"/>
    </w:rPr>
  </w:style>
  <w:style w:type="character" w:customStyle="1" w:styleId="367">
    <w:name w:val="txt1"/>
    <w:qFormat/>
    <w:uiPriority w:val="0"/>
    <w:rPr>
      <w:spacing w:val="60"/>
      <w:sz w:val="14"/>
      <w:szCs w:val="14"/>
    </w:rPr>
  </w:style>
  <w:style w:type="character" w:customStyle="1" w:styleId="368">
    <w:name w:val="fontstyle31"/>
    <w:qFormat/>
    <w:uiPriority w:val="0"/>
    <w:rPr>
      <w:rFonts w:hint="default" w:ascii="Times New Roman" w:hAnsi="Times New Roman" w:cs="Times New Roman"/>
      <w:b/>
      <w:bCs/>
      <w:color w:val="000000"/>
      <w:sz w:val="24"/>
      <w:szCs w:val="24"/>
    </w:rPr>
  </w:style>
  <w:style w:type="character" w:customStyle="1" w:styleId="369">
    <w:name w:val="表头 Char"/>
    <w:qFormat/>
    <w:uiPriority w:val="0"/>
    <w:rPr>
      <w:rFonts w:eastAsia="宋体"/>
      <w:spacing w:val="2"/>
      <w:kern w:val="2"/>
      <w:sz w:val="26"/>
      <w:szCs w:val="26"/>
      <w:lang w:val="en-US" w:eastAsia="zh-CN" w:bidi="ar-SA"/>
    </w:rPr>
  </w:style>
  <w:style w:type="character" w:customStyle="1" w:styleId="370">
    <w:name w:val="câ-¹"/>
    <w:basedOn w:val="59"/>
    <w:qFormat/>
    <w:uiPriority w:val="0"/>
  </w:style>
  <w:style w:type="character" w:customStyle="1" w:styleId="371">
    <w:name w:val="样式 13 磅 行距: 固定值 23 磅 Char1"/>
    <w:qFormat/>
    <w:uiPriority w:val="0"/>
    <w:rPr>
      <w:rFonts w:eastAsia="宋体" w:cs="宋体"/>
      <w:kern w:val="2"/>
      <w:sz w:val="26"/>
      <w:lang w:val="en-US" w:eastAsia="zh-CN" w:bidi="ar-SA"/>
    </w:rPr>
  </w:style>
  <w:style w:type="character" w:customStyle="1" w:styleId="372">
    <w:name w:val="标题11"/>
    <w:basedOn w:val="59"/>
    <w:qFormat/>
    <w:uiPriority w:val="0"/>
  </w:style>
  <w:style w:type="character" w:customStyle="1" w:styleId="373">
    <w:name w:val="样式5 Char"/>
    <w:link w:val="374"/>
    <w:qFormat/>
    <w:uiPriority w:val="0"/>
    <w:rPr>
      <w:kern w:val="2"/>
      <w:sz w:val="24"/>
    </w:rPr>
  </w:style>
  <w:style w:type="paragraph" w:customStyle="1" w:styleId="374">
    <w:name w:val="样式5"/>
    <w:basedOn w:val="30"/>
    <w:link w:val="373"/>
    <w:qFormat/>
    <w:uiPriority w:val="0"/>
    <w:pPr>
      <w:spacing w:line="500" w:lineRule="exact"/>
      <w:ind w:firstLine="200"/>
    </w:pPr>
    <w:rPr>
      <w:rFonts w:ascii="Times New Roman" w:eastAsia="宋体"/>
      <w:b w:val="0"/>
      <w:bCs w:val="0"/>
      <w:szCs w:val="20"/>
    </w:rPr>
  </w:style>
  <w:style w:type="character" w:customStyle="1" w:styleId="375">
    <w:name w:val="环评证文 Char Char Char"/>
    <w:qFormat/>
    <w:uiPriority w:val="0"/>
    <w:rPr>
      <w:rFonts w:ascii="宋体" w:hAnsi="宋体" w:eastAsia="宋体"/>
      <w:color w:val="000000"/>
      <w:kern w:val="2"/>
      <w:sz w:val="24"/>
      <w:szCs w:val="24"/>
      <w:lang w:val="en-US" w:eastAsia="zh-CN" w:bidi="ar-SA"/>
    </w:rPr>
  </w:style>
  <w:style w:type="character" w:customStyle="1" w:styleId="376">
    <w:name w:val="zhou11"/>
    <w:qFormat/>
    <w:uiPriority w:val="0"/>
    <w:rPr>
      <w:color w:val="000000"/>
      <w:sz w:val="21"/>
      <w:szCs w:val="21"/>
    </w:rPr>
  </w:style>
  <w:style w:type="character" w:customStyle="1" w:styleId="377">
    <w:name w:val="标题 3 Char1"/>
    <w:qFormat/>
    <w:uiPriority w:val="0"/>
    <w:rPr>
      <w:rFonts w:eastAsia="宋体"/>
      <w:b/>
      <w:sz w:val="26"/>
      <w:szCs w:val="28"/>
      <w:lang w:val="en-US" w:eastAsia="zh-CN" w:bidi="ar-SA"/>
    </w:rPr>
  </w:style>
  <w:style w:type="character" w:customStyle="1" w:styleId="378">
    <w:name w:val="标题 Char"/>
    <w:qFormat/>
    <w:uiPriority w:val="0"/>
    <w:rPr>
      <w:rFonts w:ascii="Arial" w:hAnsi="Arial"/>
      <w:bCs/>
      <w:kern w:val="2"/>
      <w:sz w:val="24"/>
      <w:szCs w:val="32"/>
    </w:rPr>
  </w:style>
  <w:style w:type="character" w:customStyle="1" w:styleId="379">
    <w:name w:val="样式 样式 Char4 Char Char Char + Times New Roman + (符号) 宋体 Char"/>
    <w:link w:val="380"/>
    <w:qFormat/>
    <w:uiPriority w:val="0"/>
    <w:rPr>
      <w:rFonts w:cs="宋体"/>
      <w:kern w:val="2"/>
      <w:sz w:val="24"/>
      <w:szCs w:val="26"/>
    </w:rPr>
  </w:style>
  <w:style w:type="paragraph" w:customStyle="1" w:styleId="380">
    <w:name w:val="样式 样式 Char4 Char Char Char + Times New Roman + (符号) 宋体"/>
    <w:basedOn w:val="1"/>
    <w:link w:val="379"/>
    <w:qFormat/>
    <w:uiPriority w:val="0"/>
    <w:pPr>
      <w:spacing w:line="400" w:lineRule="exact"/>
      <w:ind w:firstLine="480"/>
    </w:pPr>
    <w:rPr>
      <w:rFonts w:cs="宋体"/>
      <w:szCs w:val="26"/>
    </w:rPr>
  </w:style>
  <w:style w:type="character" w:customStyle="1" w:styleId="381">
    <w:name w:val="content3"/>
    <w:basedOn w:val="59"/>
    <w:qFormat/>
    <w:uiPriority w:val="0"/>
  </w:style>
  <w:style w:type="character" w:customStyle="1" w:styleId="382">
    <w:name w:val="普通文字 Char1"/>
    <w:qFormat/>
    <w:uiPriority w:val="0"/>
    <w:rPr>
      <w:rFonts w:ascii="宋体" w:hAnsi="Courier New" w:eastAsia="宋体"/>
      <w:kern w:val="2"/>
      <w:sz w:val="21"/>
      <w:lang w:val="en-US" w:eastAsia="zh-CN" w:bidi="ar-SA"/>
    </w:rPr>
  </w:style>
  <w:style w:type="character" w:customStyle="1" w:styleId="383">
    <w:name w:val="apple-converted-space"/>
    <w:basedOn w:val="59"/>
    <w:qFormat/>
    <w:uiPriority w:val="0"/>
  </w:style>
  <w:style w:type="character" w:customStyle="1" w:styleId="384">
    <w:name w:val="样式18 Char"/>
    <w:link w:val="385"/>
    <w:qFormat/>
    <w:uiPriority w:val="0"/>
    <w:rPr>
      <w:sz w:val="26"/>
      <w:szCs w:val="26"/>
    </w:rPr>
  </w:style>
  <w:style w:type="paragraph" w:customStyle="1" w:styleId="385">
    <w:name w:val="样式18"/>
    <w:basedOn w:val="360"/>
    <w:link w:val="384"/>
    <w:qFormat/>
    <w:uiPriority w:val="0"/>
    <w:rPr>
      <w:rFonts w:cs="Times New Roman"/>
    </w:rPr>
  </w:style>
  <w:style w:type="character" w:customStyle="1" w:styleId="386">
    <w:name w:val="样式4 Char"/>
    <w:link w:val="137"/>
    <w:qFormat/>
    <w:uiPriority w:val="0"/>
    <w:rPr>
      <w:bCs/>
      <w:kern w:val="2"/>
      <w:sz w:val="24"/>
      <w:szCs w:val="24"/>
      <w:lang w:val="zh-CN"/>
    </w:rPr>
  </w:style>
  <w:style w:type="character" w:customStyle="1" w:styleId="387">
    <w:name w:val="share Char"/>
    <w:link w:val="388"/>
    <w:qFormat/>
    <w:uiPriority w:val="0"/>
    <w:rPr>
      <w:b/>
      <w:kern w:val="2"/>
      <w:sz w:val="24"/>
      <w:szCs w:val="24"/>
    </w:rPr>
  </w:style>
  <w:style w:type="paragraph" w:customStyle="1" w:styleId="388">
    <w:name w:val="share"/>
    <w:basedOn w:val="1"/>
    <w:link w:val="387"/>
    <w:qFormat/>
    <w:uiPriority w:val="0"/>
    <w:pPr>
      <w:spacing w:line="400" w:lineRule="exact"/>
      <w:ind w:firstLine="482"/>
    </w:pPr>
    <w:rPr>
      <w:rFonts w:cs="Times New Roman"/>
      <w:b/>
      <w:szCs w:val="24"/>
    </w:rPr>
  </w:style>
  <w:style w:type="character" w:customStyle="1" w:styleId="389">
    <w:name w:val="正文 首行缩进:  2 字符 Char"/>
    <w:link w:val="390"/>
    <w:qFormat/>
    <w:uiPriority w:val="0"/>
    <w:rPr>
      <w:kern w:val="2"/>
      <w:sz w:val="28"/>
    </w:rPr>
  </w:style>
  <w:style w:type="paragraph" w:customStyle="1" w:styleId="390">
    <w:name w:val="正文 首行缩进:  2 字符"/>
    <w:basedOn w:val="1"/>
    <w:link w:val="389"/>
    <w:qFormat/>
    <w:uiPriority w:val="0"/>
    <w:pPr>
      <w:ind w:firstLine="579"/>
    </w:pPr>
    <w:rPr>
      <w:rFonts w:cs="Times New Roman"/>
      <w:sz w:val="28"/>
      <w:szCs w:val="20"/>
    </w:rPr>
  </w:style>
  <w:style w:type="character" w:customStyle="1" w:styleId="391">
    <w:name w:val="标题 1 Char"/>
    <w:qFormat/>
    <w:uiPriority w:val="0"/>
    <w:rPr>
      <w:rFonts w:ascii="宋体" w:hAnsi="宋体" w:eastAsia="宋体"/>
      <w:b/>
      <w:bCs/>
      <w:kern w:val="2"/>
      <w:sz w:val="36"/>
      <w:szCs w:val="24"/>
      <w:lang w:val="en-US" w:eastAsia="zh-CN" w:bidi="ar-SA"/>
    </w:rPr>
  </w:style>
  <w:style w:type="character" w:customStyle="1" w:styleId="392">
    <w:name w:val="纯文本 Char2"/>
    <w:qFormat/>
    <w:uiPriority w:val="0"/>
    <w:rPr>
      <w:rFonts w:ascii="宋体" w:hAnsi="Courier New" w:eastAsia="宋体"/>
      <w:kern w:val="2"/>
      <w:sz w:val="24"/>
      <w:lang w:val="en-US" w:eastAsia="zh-CN" w:bidi="ar-SA"/>
    </w:rPr>
  </w:style>
  <w:style w:type="character" w:customStyle="1" w:styleId="393">
    <w:name w:val="正文文字 Char Char"/>
    <w:qFormat/>
    <w:uiPriority w:val="0"/>
    <w:rPr>
      <w:rFonts w:eastAsia="宋体"/>
      <w:kern w:val="2"/>
      <w:sz w:val="26"/>
      <w:szCs w:val="26"/>
      <w:lang w:val="en-US" w:eastAsia="zh-CN" w:bidi="ar-SA"/>
    </w:rPr>
  </w:style>
  <w:style w:type="character" w:customStyle="1" w:styleId="394">
    <w:name w:val="正文缩进 Char Char1"/>
    <w:qFormat/>
    <w:uiPriority w:val="0"/>
    <w:rPr>
      <w:rFonts w:eastAsia="宋体"/>
      <w:kern w:val="2"/>
      <w:sz w:val="26"/>
      <w:lang w:val="en-US" w:eastAsia="zh-CN" w:bidi="ar-SA"/>
    </w:rPr>
  </w:style>
  <w:style w:type="character" w:customStyle="1" w:styleId="395">
    <w:name w:val="font21"/>
    <w:basedOn w:val="59"/>
    <w:qFormat/>
    <w:uiPriority w:val="0"/>
    <w:rPr>
      <w:rFonts w:hint="default" w:ascii="Times New Roman" w:hAnsi="Times New Roman" w:cs="Times New Roman"/>
      <w:color w:val="000000"/>
      <w:sz w:val="18"/>
      <w:szCs w:val="18"/>
      <w:u w:val="none"/>
    </w:rPr>
  </w:style>
  <w:style w:type="character" w:customStyle="1" w:styleId="396">
    <w:name w:val="样式20 Char"/>
    <w:link w:val="397"/>
    <w:qFormat/>
    <w:uiPriority w:val="0"/>
    <w:rPr>
      <w:sz w:val="26"/>
      <w:szCs w:val="26"/>
    </w:rPr>
  </w:style>
  <w:style w:type="paragraph" w:customStyle="1" w:styleId="397">
    <w:name w:val="样式20"/>
    <w:basedOn w:val="1"/>
    <w:link w:val="396"/>
    <w:qFormat/>
    <w:uiPriority w:val="0"/>
    <w:pPr>
      <w:keepNext/>
      <w:widowControl/>
      <w:tabs>
        <w:tab w:val="left" w:pos="630"/>
      </w:tabs>
      <w:spacing w:line="460" w:lineRule="exact"/>
      <w:jc w:val="center"/>
      <w:outlineLvl w:val="5"/>
    </w:pPr>
    <w:rPr>
      <w:rFonts w:cs="Times New Roman"/>
      <w:kern w:val="0"/>
      <w:sz w:val="26"/>
      <w:szCs w:val="26"/>
    </w:rPr>
  </w:style>
  <w:style w:type="paragraph" w:customStyle="1" w:styleId="398">
    <w:name w:val="章"/>
    <w:basedOn w:val="399"/>
    <w:qFormat/>
    <w:uiPriority w:val="0"/>
    <w:pPr>
      <w:tabs>
        <w:tab w:val="left" w:pos="2160"/>
      </w:tabs>
      <w:spacing w:before="0" w:beforeLines="0" w:after="0" w:afterLines="0" w:line="360" w:lineRule="auto"/>
    </w:pPr>
    <w:rPr>
      <w:rFonts w:hAnsi="宋体" w:cs="Times New Roman"/>
      <w:bCs w:val="0"/>
      <w:szCs w:val="32"/>
    </w:rPr>
  </w:style>
  <w:style w:type="paragraph" w:customStyle="1" w:styleId="399">
    <w:name w:val="样式 标题 1 + 段后: 1.5 行"/>
    <w:basedOn w:val="2"/>
    <w:qFormat/>
    <w:uiPriority w:val="0"/>
    <w:pPr>
      <w:widowControl w:val="0"/>
      <w:tabs>
        <w:tab w:val="left" w:pos="2160"/>
      </w:tabs>
      <w:spacing w:before="312" w:beforeLines="100" w:after="312" w:afterLines="100" w:line="460" w:lineRule="exact"/>
    </w:pPr>
    <w:rPr>
      <w:rFonts w:ascii="黑体" w:hAnsi="Arial" w:cs="Arial"/>
      <w:szCs w:val="20"/>
      <w:lang w:eastAsia="zh-CN"/>
    </w:rPr>
  </w:style>
  <w:style w:type="paragraph" w:customStyle="1" w:styleId="400">
    <w:name w:val="中文报告书样式"/>
    <w:basedOn w:val="1"/>
    <w:qFormat/>
    <w:uiPriority w:val="0"/>
    <w:pPr>
      <w:spacing w:line="480" w:lineRule="atLeast"/>
      <w:ind w:firstLine="482"/>
      <w:textAlignment w:val="baseline"/>
    </w:pPr>
    <w:rPr>
      <w:rFonts w:cs="Times New Roman"/>
      <w:kern w:val="24"/>
      <w:szCs w:val="20"/>
    </w:rPr>
  </w:style>
  <w:style w:type="paragraph" w:customStyle="1" w:styleId="401">
    <w:name w:val="Char Char Char Char Char Char Char Char Char Char Char Char Char Char Char Char"/>
    <w:basedOn w:val="1"/>
    <w:next w:val="1"/>
    <w:qFormat/>
    <w:uiPriority w:val="0"/>
    <w:rPr>
      <w:rFonts w:cs="Times New Roman"/>
      <w:szCs w:val="24"/>
    </w:rPr>
  </w:style>
  <w:style w:type="paragraph" w:customStyle="1" w:styleId="402">
    <w:name w:val="排版正文"/>
    <w:basedOn w:val="1"/>
    <w:qFormat/>
    <w:uiPriority w:val="0"/>
    <w:pPr>
      <w:spacing w:line="460" w:lineRule="exact"/>
      <w:ind w:firstLine="560"/>
    </w:pPr>
    <w:rPr>
      <w:rFonts w:cs="Times New Roman"/>
      <w:color w:val="000000"/>
      <w:sz w:val="28"/>
      <w:szCs w:val="24"/>
    </w:rPr>
  </w:style>
  <w:style w:type="paragraph" w:customStyle="1" w:styleId="403">
    <w:name w:val="样式 标题 2节 + (西文) 宋体 (中文) 宋体 小四 段前: 0 磅 段后: 0 磅 行距: 1.5 倍行距"/>
    <w:basedOn w:val="3"/>
    <w:qFormat/>
    <w:uiPriority w:val="0"/>
    <w:pPr>
      <w:adjustRightInd/>
      <w:snapToGrid/>
      <w:spacing w:line="480" w:lineRule="exact"/>
    </w:pPr>
    <w:rPr>
      <w:rFonts w:ascii="黑体" w:hAnsi="宋体" w:cs="宋体"/>
      <w:b/>
      <w:szCs w:val="28"/>
      <w:lang w:eastAsia="zh-CN"/>
    </w:rPr>
  </w:style>
  <w:style w:type="paragraph" w:customStyle="1" w:styleId="404">
    <w:name w:val="4 Char Char Char Char Char Char Char Char Char Char Char Char Char Char Char Char Char Char"/>
    <w:basedOn w:val="1"/>
    <w:semiHidden/>
    <w:qFormat/>
    <w:uiPriority w:val="0"/>
    <w:rPr>
      <w:rFonts w:ascii="宋体" w:hAnsi="宋体" w:cs="宋体"/>
      <w:sz w:val="30"/>
      <w:szCs w:val="30"/>
    </w:rPr>
  </w:style>
  <w:style w:type="paragraph" w:customStyle="1" w:styleId="405">
    <w:name w:val="样式 标题 2节 + (西文) 宋体 (中文) 宋体 四号 段前: 0 磅 段后: 0 磅 行距: 固定值 25 磅"/>
    <w:basedOn w:val="3"/>
    <w:qFormat/>
    <w:uiPriority w:val="0"/>
    <w:pPr>
      <w:adjustRightInd/>
      <w:snapToGrid/>
      <w:spacing w:line="480" w:lineRule="exact"/>
    </w:pPr>
    <w:rPr>
      <w:rFonts w:ascii="宋体" w:hAnsi="宋体" w:cs="宋体"/>
      <w:b/>
      <w:szCs w:val="28"/>
      <w:lang w:eastAsia="zh-CN"/>
    </w:rPr>
  </w:style>
  <w:style w:type="paragraph" w:customStyle="1" w:styleId="406">
    <w:name w:val="样式 正文缩进首行缩进两字特点 Char正文缩进 Char正文（首行缩进两字） Char正文（首行缩进两字） Char..."/>
    <w:basedOn w:val="1"/>
    <w:qFormat/>
    <w:uiPriority w:val="0"/>
    <w:pPr>
      <w:ind w:firstLine="480"/>
    </w:pPr>
    <w:rPr>
      <w:rFonts w:cs="Times New Roman"/>
      <w:szCs w:val="24"/>
    </w:rPr>
  </w:style>
  <w:style w:type="paragraph" w:customStyle="1" w:styleId="407">
    <w:name w:val="Heading1"/>
    <w:basedOn w:val="1"/>
    <w:next w:val="1"/>
    <w:qFormat/>
    <w:uiPriority w:val="0"/>
    <w:pPr>
      <w:keepNext/>
      <w:keepLines/>
      <w:tabs>
        <w:tab w:val="left" w:pos="1230"/>
      </w:tabs>
      <w:spacing w:before="240" w:after="120"/>
      <w:ind w:left="1230" w:hanging="1230"/>
      <w:jc w:val="center"/>
    </w:pPr>
    <w:rPr>
      <w:rFonts w:eastAsia="黑体" w:cs="Times New Roman"/>
      <w:b/>
      <w:kern w:val="44"/>
      <w:sz w:val="42"/>
      <w:szCs w:val="24"/>
    </w:rPr>
  </w:style>
  <w:style w:type="paragraph" w:customStyle="1" w:styleId="408">
    <w:name w:val="pic-info"/>
    <w:basedOn w:val="1"/>
    <w:qFormat/>
    <w:uiPriority w:val="0"/>
    <w:pPr>
      <w:widowControl/>
      <w:spacing w:before="100" w:beforeAutospacing="1" w:after="100" w:afterAutospacing="1"/>
      <w:jc w:val="left"/>
    </w:pPr>
    <w:rPr>
      <w:rFonts w:ascii="宋体" w:hAnsi="宋体" w:cs="宋体"/>
      <w:kern w:val="0"/>
      <w:szCs w:val="24"/>
    </w:rPr>
  </w:style>
  <w:style w:type="paragraph" w:customStyle="1" w:styleId="409">
    <w:name w:val="Char2"/>
    <w:basedOn w:val="1"/>
    <w:qFormat/>
    <w:uiPriority w:val="0"/>
    <w:rPr>
      <w:rFonts w:cs="Times New Roman"/>
      <w:color w:val="000000"/>
      <w:kern w:val="0"/>
      <w:szCs w:val="21"/>
      <w:lang w:val="zh-CN"/>
    </w:rPr>
  </w:style>
  <w:style w:type="paragraph" w:customStyle="1" w:styleId="410">
    <w:name w:val="111111111111111111222"/>
    <w:basedOn w:val="1"/>
    <w:qFormat/>
    <w:uiPriority w:val="0"/>
    <w:pPr>
      <w:spacing w:line="440" w:lineRule="exact"/>
      <w:ind w:firstLine="480"/>
    </w:pPr>
    <w:rPr>
      <w:rFonts w:ascii="宋体" w:hAnsi="宋体" w:cs="Times New Roman"/>
      <w:szCs w:val="24"/>
    </w:rPr>
  </w:style>
  <w:style w:type="paragraph" w:customStyle="1" w:styleId="411">
    <w:name w:val="样式116"/>
    <w:basedOn w:val="333"/>
    <w:qFormat/>
    <w:uiPriority w:val="0"/>
    <w:pPr>
      <w:spacing w:line="240" w:lineRule="exact"/>
    </w:pPr>
  </w:style>
  <w:style w:type="paragraph" w:customStyle="1" w:styleId="412">
    <w:name w:val="样式 样式 标题 2标题节标题 2 Char Char + 段前: 2 行 + 左侧:  1 字符4"/>
    <w:basedOn w:val="339"/>
    <w:qFormat/>
    <w:uiPriority w:val="0"/>
    <w:pPr>
      <w:spacing w:before="50" w:beforeLines="0" w:after="50"/>
    </w:pPr>
    <w:rPr>
      <w:rFonts w:hAnsi="Times New Roman" w:eastAsia="宋体" w:cs="宋体"/>
      <w:bCs/>
    </w:rPr>
  </w:style>
  <w:style w:type="paragraph" w:customStyle="1" w:styleId="413">
    <w:name w:val="z正文 Char Char Char"/>
    <w:basedOn w:val="1"/>
    <w:qFormat/>
    <w:uiPriority w:val="0"/>
    <w:rPr>
      <w:rFonts w:ascii="宋体" w:hAnsi="宋体" w:eastAsia="仿宋_GB2312" w:cs="宋体"/>
      <w:sz w:val="28"/>
      <w:szCs w:val="28"/>
    </w:rPr>
  </w:style>
  <w:style w:type="paragraph" w:customStyle="1" w:styleId="414">
    <w:name w:val="表文排版"/>
    <w:basedOn w:val="21"/>
    <w:next w:val="1"/>
    <w:qFormat/>
    <w:uiPriority w:val="0"/>
    <w:pPr>
      <w:widowControl w:val="0"/>
      <w:spacing w:before="0"/>
      <w:ind w:left="0"/>
      <w:jc w:val="center"/>
    </w:pPr>
    <w:rPr>
      <w:rFonts w:ascii="Times New Roman" w:hAnsi="Times New Roman"/>
      <w:kern w:val="2"/>
      <w:sz w:val="22"/>
      <w:lang w:eastAsia="zh-CN"/>
    </w:rPr>
  </w:style>
  <w:style w:type="paragraph" w:customStyle="1" w:styleId="415">
    <w:name w:val="UserStyle_3"/>
    <w:basedOn w:val="416"/>
    <w:next w:val="1"/>
    <w:qFormat/>
    <w:uiPriority w:val="0"/>
    <w:pPr>
      <w:keepLines/>
      <w:spacing w:line="460" w:lineRule="exact"/>
      <w:ind w:firstLine="200" w:firstLineChars="200"/>
    </w:pPr>
    <w:rPr>
      <w:rFonts w:ascii="Times New Roman"/>
      <w:sz w:val="26"/>
      <w:szCs w:val="20"/>
    </w:rPr>
  </w:style>
  <w:style w:type="paragraph" w:customStyle="1" w:styleId="416">
    <w:name w:val="Heading2"/>
    <w:basedOn w:val="1"/>
    <w:next w:val="1"/>
    <w:qFormat/>
    <w:uiPriority w:val="0"/>
    <w:pPr>
      <w:keepNext/>
      <w:spacing w:before="156" w:line="440" w:lineRule="exact"/>
      <w:ind w:firstLine="472" w:firstLineChars="196"/>
    </w:pPr>
    <w:rPr>
      <w:rFonts w:ascii="Arial" w:hAnsi="Arial" w:eastAsia="黑体" w:cs="Times New Roman"/>
      <w:b/>
      <w:color w:val="000000"/>
      <w:szCs w:val="24"/>
    </w:rPr>
  </w:style>
  <w:style w:type="paragraph" w:customStyle="1" w:styleId="417">
    <w:name w:val="样式 标题 3 + 四号"/>
    <w:basedOn w:val="4"/>
    <w:qFormat/>
    <w:uiPriority w:val="0"/>
    <w:pPr>
      <w:spacing w:before="100" w:after="100" w:line="460" w:lineRule="exact"/>
    </w:pPr>
    <w:rPr>
      <w:rFonts w:ascii="宋体" w:hAnsi="宋体"/>
      <w:b/>
      <w:sz w:val="26"/>
      <w:szCs w:val="28"/>
      <w:lang w:eastAsia="zh-CN"/>
    </w:rPr>
  </w:style>
  <w:style w:type="paragraph" w:customStyle="1" w:styleId="418">
    <w:name w:val="NormalIndent"/>
    <w:basedOn w:val="1"/>
    <w:next w:val="1"/>
    <w:qFormat/>
    <w:uiPriority w:val="0"/>
    <w:pPr>
      <w:ind w:firstLine="420"/>
    </w:pPr>
    <w:rPr>
      <w:rFonts w:cs="Times New Roman"/>
      <w:szCs w:val="24"/>
    </w:rPr>
  </w:style>
  <w:style w:type="paragraph" w:customStyle="1" w:styleId="419">
    <w:name w:val="Body Text 21"/>
    <w:basedOn w:val="1"/>
    <w:qFormat/>
    <w:uiPriority w:val="0"/>
    <w:pPr>
      <w:spacing w:line="312" w:lineRule="auto"/>
      <w:textAlignment w:val="baseline"/>
    </w:pPr>
    <w:rPr>
      <w:rFonts w:cs="Times New Roman"/>
      <w:kern w:val="0"/>
      <w:sz w:val="28"/>
      <w:szCs w:val="20"/>
    </w:rPr>
  </w:style>
  <w:style w:type="paragraph" w:customStyle="1" w:styleId="420">
    <w:name w:val="何家沟正文"/>
    <w:basedOn w:val="1"/>
    <w:qFormat/>
    <w:uiPriority w:val="0"/>
    <w:pPr>
      <w:ind w:firstLine="460"/>
    </w:pPr>
    <w:rPr>
      <w:rFonts w:hAnsi="宋体" w:cs="宋体"/>
      <w:sz w:val="23"/>
      <w:szCs w:val="23"/>
    </w:rPr>
  </w:style>
  <w:style w:type="paragraph" w:customStyle="1" w:styleId="421">
    <w:name w:val="样式 标题 2节 + (西文) 宋体 (中文) 宋体 四号 段前: 0 磅 段后: 0 磅 行距: 1.5 倍行距"/>
    <w:basedOn w:val="3"/>
    <w:qFormat/>
    <w:uiPriority w:val="0"/>
    <w:pPr>
      <w:adjustRightInd/>
      <w:snapToGrid/>
      <w:spacing w:line="500" w:lineRule="exact"/>
    </w:pPr>
    <w:rPr>
      <w:rFonts w:ascii="宋体" w:hAnsi="宋体" w:eastAsia="宋体" w:cs="宋体"/>
      <w:b/>
      <w:szCs w:val="28"/>
      <w:lang w:eastAsia="zh-CN"/>
    </w:rPr>
  </w:style>
  <w:style w:type="paragraph" w:customStyle="1" w:styleId="422">
    <w:name w:val="样式 样式 标题 2标题节标题 2 Char Char + 段前: 2 行 + 首行缩进:  2 字符 段前: 0.5 行 ...1"/>
    <w:basedOn w:val="339"/>
    <w:next w:val="1"/>
    <w:qFormat/>
    <w:uiPriority w:val="0"/>
    <w:pPr>
      <w:spacing w:before="0" w:beforeLines="0" w:line="240" w:lineRule="auto"/>
      <w:ind w:firstLine="482"/>
    </w:pPr>
    <w:rPr>
      <w:rFonts w:ascii="Arial"/>
      <w:bCs/>
      <w:sz w:val="24"/>
      <w:szCs w:val="24"/>
    </w:rPr>
  </w:style>
  <w:style w:type="paragraph" w:customStyle="1" w:styleId="423">
    <w:name w:val="正文(首行缩进)"/>
    <w:basedOn w:val="1"/>
    <w:qFormat/>
    <w:uiPriority w:val="0"/>
    <w:pPr>
      <w:ind w:firstLine="510"/>
    </w:pPr>
    <w:rPr>
      <w:rFonts w:ascii="宋体" w:hAnsi="宋体" w:cs="Times New Roman"/>
      <w:snapToGrid w:val="0"/>
      <w:kern w:val="0"/>
      <w:szCs w:val="20"/>
    </w:rPr>
  </w:style>
  <w:style w:type="paragraph" w:customStyle="1" w:styleId="424">
    <w:name w:val="标书标题1"/>
    <w:basedOn w:val="2"/>
    <w:qFormat/>
    <w:uiPriority w:val="0"/>
    <w:pPr>
      <w:keepNext w:val="0"/>
      <w:keepLines w:val="0"/>
      <w:widowControl w:val="0"/>
      <w:tabs>
        <w:tab w:val="left" w:pos="360"/>
      </w:tabs>
      <w:spacing w:before="480" w:beforeLines="100" w:after="240" w:afterLines="100" w:line="460" w:lineRule="exact"/>
      <w:ind w:left="284" w:hanging="284"/>
    </w:pPr>
    <w:rPr>
      <w:rFonts w:ascii="Arial Narrow" w:hAnsi="Arial Narrow"/>
      <w:b/>
      <w:bCs w:val="0"/>
      <w:snapToGrid w:val="0"/>
      <w:kern w:val="0"/>
      <w:sz w:val="30"/>
      <w:lang w:eastAsia="zh-CN"/>
    </w:rPr>
  </w:style>
  <w:style w:type="paragraph" w:customStyle="1" w:styleId="425">
    <w:name w:val="样式15"/>
    <w:basedOn w:val="1"/>
    <w:qFormat/>
    <w:uiPriority w:val="0"/>
    <w:pPr>
      <w:keepNext/>
      <w:keepLines/>
      <w:widowControl/>
      <w:spacing w:before="360" w:after="360"/>
      <w:jc w:val="center"/>
      <w:outlineLvl w:val="0"/>
    </w:pPr>
    <w:rPr>
      <w:rFonts w:cs="Times New Roman"/>
      <w:b/>
      <w:bCs/>
      <w:sz w:val="32"/>
      <w:szCs w:val="32"/>
    </w:rPr>
  </w:style>
  <w:style w:type="paragraph" w:customStyle="1" w:styleId="426">
    <w:name w:val="Char21"/>
    <w:basedOn w:val="1"/>
    <w:qFormat/>
    <w:uiPriority w:val="0"/>
    <w:rPr>
      <w:rFonts w:cs="Times New Roman"/>
      <w:sz w:val="30"/>
      <w:szCs w:val="20"/>
    </w:rPr>
  </w:style>
  <w:style w:type="paragraph" w:customStyle="1" w:styleId="427">
    <w:name w:val="xl31"/>
    <w:basedOn w:val="1"/>
    <w:semiHidden/>
    <w:qFormat/>
    <w:uiPriority w:val="0"/>
    <w:pPr>
      <w:widowControl/>
      <w:spacing w:before="100" w:beforeAutospacing="1" w:after="100" w:afterAutospacing="1"/>
      <w:jc w:val="center"/>
    </w:pPr>
    <w:rPr>
      <w:rFonts w:cs="Times New Roman"/>
      <w:kern w:val="0"/>
      <w:szCs w:val="24"/>
    </w:rPr>
  </w:style>
  <w:style w:type="paragraph" w:customStyle="1" w:styleId="428">
    <w:name w:val="样式 首行缩进:  2 字符1"/>
    <w:basedOn w:val="1"/>
    <w:qFormat/>
    <w:uiPriority w:val="0"/>
    <w:pPr>
      <w:spacing w:before="120" w:line="440" w:lineRule="atLeast"/>
      <w:ind w:firstLine="497" w:firstLineChars="207"/>
    </w:pPr>
    <w:rPr>
      <w:rFonts w:ascii="Arial" w:hAnsi="宋体" w:cs="Arial"/>
      <w:szCs w:val="24"/>
    </w:rPr>
  </w:style>
  <w:style w:type="paragraph" w:customStyle="1" w:styleId="429">
    <w:name w:val="样式 样式 标题 2标题节标题 2 Char Char + 段前: 2 行 + 段前: 0.5 行 段后: 0.5 行1"/>
    <w:basedOn w:val="339"/>
    <w:qFormat/>
    <w:uiPriority w:val="0"/>
  </w:style>
  <w:style w:type="paragraph" w:customStyle="1" w:styleId="430">
    <w:name w:val="a3"/>
    <w:basedOn w:val="1"/>
    <w:qFormat/>
    <w:uiPriority w:val="0"/>
    <w:pPr>
      <w:spacing w:line="288" w:lineRule="auto"/>
      <w:jc w:val="center"/>
    </w:pPr>
    <w:rPr>
      <w:rFonts w:cs="Times New Roman"/>
      <w:szCs w:val="24"/>
    </w:rPr>
  </w:style>
  <w:style w:type="paragraph" w:customStyle="1" w:styleId="431">
    <w:name w:val="样式3"/>
    <w:basedOn w:val="27"/>
    <w:qFormat/>
    <w:uiPriority w:val="0"/>
    <w:pPr>
      <w:spacing w:line="500" w:lineRule="exact"/>
      <w:ind w:firstLine="360" w:firstLineChars="150"/>
    </w:pPr>
    <w:rPr>
      <w:rFonts w:hAnsi="宋体" w:cs="宋体"/>
      <w:b/>
      <w:szCs w:val="24"/>
    </w:rPr>
  </w:style>
  <w:style w:type="paragraph" w:customStyle="1" w:styleId="432">
    <w:name w:val="样式 样式 标题 2标题节标题 2 Char Char + 段前: 2 行 + 左侧:  1 字符3"/>
    <w:basedOn w:val="339"/>
    <w:qFormat/>
    <w:uiPriority w:val="0"/>
    <w:pPr>
      <w:spacing w:before="50" w:beforeLines="0" w:after="50"/>
    </w:pPr>
    <w:rPr>
      <w:rFonts w:hAnsi="Times New Roman" w:eastAsia="宋体" w:cs="宋体"/>
      <w:bCs/>
    </w:rPr>
  </w:style>
  <w:style w:type="paragraph" w:customStyle="1" w:styleId="433">
    <w:name w:val="标书标题4"/>
    <w:basedOn w:val="5"/>
    <w:qFormat/>
    <w:uiPriority w:val="0"/>
    <w:pPr>
      <w:keepNext w:val="0"/>
      <w:keepLines w:val="0"/>
      <w:numPr>
        <w:ilvl w:val="0"/>
        <w:numId w:val="0"/>
      </w:numPr>
      <w:tabs>
        <w:tab w:val="left" w:pos="851"/>
      </w:tabs>
      <w:spacing w:line="300" w:lineRule="auto"/>
      <w:ind w:left="851" w:hanging="851" w:firstLineChars="200"/>
    </w:pPr>
    <w:rPr>
      <w:rFonts w:ascii="Arial Narrow" w:hAnsi="Arial Narrow" w:eastAsia="仿宋_GB2312"/>
      <w:b/>
      <w:bCs w:val="0"/>
      <w:kern w:val="0"/>
      <w:sz w:val="28"/>
      <w:szCs w:val="20"/>
    </w:rPr>
  </w:style>
  <w:style w:type="paragraph" w:customStyle="1" w:styleId="434">
    <w:name w:val="Char4 Char Char Char2"/>
    <w:basedOn w:val="1"/>
    <w:semiHidden/>
    <w:qFormat/>
    <w:uiPriority w:val="0"/>
    <w:rPr>
      <w:rFonts w:ascii="宋体" w:hAnsi="宋体" w:cs="宋体"/>
      <w:szCs w:val="26"/>
    </w:rPr>
  </w:style>
  <w:style w:type="paragraph" w:customStyle="1" w:styleId="435">
    <w:name w:val="标书标题3"/>
    <w:basedOn w:val="4"/>
    <w:qFormat/>
    <w:uiPriority w:val="0"/>
    <w:pPr>
      <w:keepNext w:val="0"/>
      <w:keepLines w:val="0"/>
      <w:spacing w:before="120" w:after="60" w:line="300" w:lineRule="auto"/>
      <w:ind w:firstLine="522"/>
    </w:pPr>
    <w:rPr>
      <w:rFonts w:ascii="宋体" w:hAnsi="宋体"/>
      <w:color w:val="000000"/>
      <w:sz w:val="26"/>
      <w:szCs w:val="26"/>
      <w:lang w:eastAsia="zh-CN"/>
    </w:rPr>
  </w:style>
  <w:style w:type="paragraph" w:customStyle="1" w:styleId="436">
    <w:name w:val="样式 样式 样式 样式 样式 正文A + 首行缩进:  2 字符 + 首行缩进:  2 字符 + 两端对齐 首行缩进:  2 字..."/>
    <w:basedOn w:val="1"/>
    <w:qFormat/>
    <w:uiPriority w:val="0"/>
    <w:pPr>
      <w:tabs>
        <w:tab w:val="left" w:pos="578"/>
        <w:tab w:val="left" w:pos="1074"/>
        <w:tab w:val="left" w:pos="1595"/>
        <w:tab w:val="left" w:pos="2073"/>
        <w:tab w:val="left" w:pos="2507"/>
        <w:tab w:val="left" w:pos="3025"/>
        <w:tab w:val="left" w:pos="3991"/>
      </w:tabs>
      <w:ind w:firstLine="480"/>
    </w:pPr>
    <w:rPr>
      <w:rFonts w:cs="宋体"/>
      <w:kern w:val="0"/>
      <w:szCs w:val="20"/>
    </w:rPr>
  </w:style>
  <w:style w:type="paragraph" w:customStyle="1" w:styleId="437">
    <w:name w:val="标书标题2"/>
    <w:basedOn w:val="3"/>
    <w:qFormat/>
    <w:uiPriority w:val="0"/>
    <w:pPr>
      <w:keepNext w:val="0"/>
      <w:keepLines w:val="0"/>
      <w:tabs>
        <w:tab w:val="left" w:pos="574"/>
      </w:tabs>
      <w:spacing w:before="240" w:after="120" w:line="300" w:lineRule="auto"/>
      <w:ind w:firstLine="200"/>
    </w:pPr>
    <w:rPr>
      <w:rFonts w:ascii="Arial Narrow" w:hAnsi="Arial Narrow" w:eastAsia="宋体"/>
      <w:b/>
      <w:bCs w:val="0"/>
      <w:lang w:eastAsia="zh-CN"/>
    </w:rPr>
  </w:style>
  <w:style w:type="paragraph" w:customStyle="1" w:styleId="438">
    <w:name w:val="ygs正文"/>
    <w:basedOn w:val="1"/>
    <w:qFormat/>
    <w:uiPriority w:val="0"/>
    <w:pPr>
      <w:spacing w:line="440" w:lineRule="exact"/>
      <w:ind w:firstLine="480"/>
    </w:pPr>
    <w:rPr>
      <w:rFonts w:ascii="宋体" w:hAnsi="宋体" w:cs="Times New Roman"/>
      <w:bCs/>
      <w:szCs w:val="24"/>
    </w:rPr>
  </w:style>
  <w:style w:type="paragraph" w:customStyle="1" w:styleId="439">
    <w:name w:val="Char Char Char Char Char2 Char"/>
    <w:basedOn w:val="1"/>
    <w:qFormat/>
    <w:uiPriority w:val="0"/>
    <w:rPr>
      <w:rFonts w:ascii="宋体" w:hAnsi="宋体" w:cs="宋体"/>
      <w:szCs w:val="26"/>
    </w:rPr>
  </w:style>
  <w:style w:type="paragraph" w:customStyle="1" w:styleId="440">
    <w:name w:val="declear"/>
    <w:basedOn w:val="1"/>
    <w:qFormat/>
    <w:uiPriority w:val="0"/>
    <w:pPr>
      <w:widowControl/>
      <w:spacing w:before="100" w:beforeAutospacing="1" w:after="100" w:afterAutospacing="1"/>
      <w:jc w:val="left"/>
    </w:pPr>
    <w:rPr>
      <w:rFonts w:ascii="宋体" w:hAnsi="宋体" w:cs="宋体"/>
      <w:kern w:val="0"/>
      <w:szCs w:val="24"/>
    </w:rPr>
  </w:style>
  <w:style w:type="paragraph" w:customStyle="1" w:styleId="441">
    <w:name w:val="正 文"/>
    <w:basedOn w:val="1"/>
    <w:qFormat/>
    <w:uiPriority w:val="0"/>
    <w:pPr>
      <w:spacing w:line="440" w:lineRule="exact"/>
    </w:pPr>
    <w:rPr>
      <w:rFonts w:hAnsi="宋体" w:cs="Times New Roman"/>
      <w:szCs w:val="24"/>
    </w:rPr>
  </w:style>
  <w:style w:type="paragraph" w:customStyle="1" w:styleId="442">
    <w:name w:val="正文   1"/>
    <w:basedOn w:val="1"/>
    <w:qFormat/>
    <w:uiPriority w:val="0"/>
    <w:pPr>
      <w:spacing w:line="460" w:lineRule="atLeast"/>
      <w:ind w:firstLine="520"/>
    </w:pPr>
    <w:rPr>
      <w:rFonts w:cs="Times New Roman"/>
      <w:bCs/>
      <w:sz w:val="26"/>
      <w:szCs w:val="24"/>
    </w:rPr>
  </w:style>
  <w:style w:type="paragraph" w:customStyle="1" w:styleId="443">
    <w:name w:val="表格中的文字"/>
    <w:basedOn w:val="1"/>
    <w:qFormat/>
    <w:uiPriority w:val="0"/>
    <w:pPr>
      <w:jc w:val="center"/>
    </w:pPr>
    <w:rPr>
      <w:rFonts w:cs="Times New Roman"/>
    </w:rPr>
  </w:style>
  <w:style w:type="paragraph" w:customStyle="1" w:styleId="444">
    <w:name w:val="表格体"/>
    <w:basedOn w:val="67"/>
    <w:qFormat/>
    <w:uiPriority w:val="0"/>
    <w:pPr>
      <w:spacing w:line="240" w:lineRule="auto"/>
    </w:pPr>
    <w:rPr>
      <w:rFonts w:eastAsia="宋体"/>
      <w:sz w:val="21"/>
      <w:szCs w:val="22"/>
    </w:rPr>
  </w:style>
  <w:style w:type="paragraph" w:customStyle="1" w:styleId="445">
    <w:name w:val="6表格"/>
    <w:basedOn w:val="1"/>
    <w:qFormat/>
    <w:uiPriority w:val="0"/>
    <w:pPr>
      <w:spacing w:before="120"/>
      <w:jc w:val="center"/>
    </w:pPr>
    <w:rPr>
      <w:rFonts w:cs="Times New Roman"/>
      <w:kern w:val="0"/>
      <w:szCs w:val="20"/>
    </w:rPr>
  </w:style>
  <w:style w:type="paragraph" w:customStyle="1" w:styleId="446">
    <w:name w:val="Char Char2 Char Char Char Char Char Char"/>
    <w:basedOn w:val="1"/>
    <w:semiHidden/>
    <w:qFormat/>
    <w:uiPriority w:val="0"/>
    <w:rPr>
      <w:rFonts w:cs="宋体"/>
      <w:szCs w:val="26"/>
    </w:rPr>
  </w:style>
  <w:style w:type="paragraph" w:customStyle="1" w:styleId="447">
    <w:name w:val="样式 样式 标题 2标题节标题 2 Char Char + 段前: 2 行 + 左侧:  1 字符 右侧:  1 字符1"/>
    <w:basedOn w:val="339"/>
    <w:qFormat/>
    <w:uiPriority w:val="0"/>
    <w:pPr>
      <w:spacing w:before="50" w:beforeLines="0" w:after="50"/>
    </w:pPr>
    <w:rPr>
      <w:rFonts w:hAnsi="Times New Roman" w:eastAsia="宋体" w:cs="宋体"/>
      <w:bCs/>
    </w:rPr>
  </w:style>
  <w:style w:type="paragraph" w:customStyle="1" w:styleId="448">
    <w:name w:val="样式19"/>
    <w:basedOn w:val="1"/>
    <w:qFormat/>
    <w:uiPriority w:val="0"/>
    <w:pPr>
      <w:keepNext/>
      <w:keepLines/>
      <w:widowControl/>
      <w:spacing w:line="460" w:lineRule="exact"/>
      <w:jc w:val="left"/>
      <w:textAlignment w:val="baseline"/>
      <w:outlineLvl w:val="2"/>
    </w:pPr>
    <w:rPr>
      <w:rFonts w:cs="Times New Roman"/>
      <w:b/>
      <w:kern w:val="0"/>
      <w:sz w:val="26"/>
      <w:szCs w:val="26"/>
    </w:rPr>
  </w:style>
  <w:style w:type="paragraph" w:customStyle="1" w:styleId="449">
    <w:name w:val="样式 样式 标题 2标题节标题 2 Char Char + 段前: 2 行 + 左侧:  1 字符2"/>
    <w:basedOn w:val="339"/>
    <w:qFormat/>
    <w:uiPriority w:val="0"/>
    <w:pPr>
      <w:spacing w:before="50" w:beforeLines="0" w:after="50"/>
    </w:pPr>
    <w:rPr>
      <w:rFonts w:hAnsi="Times New Roman" w:eastAsia="宋体" w:cs="宋体"/>
      <w:bCs/>
    </w:rPr>
  </w:style>
  <w:style w:type="paragraph" w:customStyle="1" w:styleId="450">
    <w:name w:val="b"/>
    <w:basedOn w:val="3"/>
    <w:qFormat/>
    <w:uiPriority w:val="0"/>
    <w:pPr>
      <w:keepNext w:val="0"/>
      <w:keepLines w:val="0"/>
      <w:spacing w:after="50" w:afterLines="50" w:line="240" w:lineRule="auto"/>
      <w:textAlignment w:val="baseline"/>
    </w:pPr>
    <w:rPr>
      <w:rFonts w:eastAsia="仿宋_GB2312"/>
      <w:b/>
      <w:color w:val="000000"/>
      <w:sz w:val="32"/>
      <w:lang w:eastAsia="zh-CN"/>
    </w:rPr>
  </w:style>
  <w:style w:type="paragraph" w:customStyle="1" w:styleId="451">
    <w:name w:val="xl65"/>
    <w:basedOn w:val="1"/>
    <w:qFormat/>
    <w:uiPriority w:val="0"/>
    <w:pPr>
      <w:widowControl/>
      <w:pBdr>
        <w:left w:val="single" w:color="auto" w:sz="4" w:space="0"/>
      </w:pBdr>
      <w:spacing w:before="100" w:beforeAutospacing="1" w:after="100" w:afterAutospacing="1"/>
    </w:pPr>
    <w:rPr>
      <w:rFonts w:ascii="Arial Unicode MS" w:hAnsi="Arial Unicode MS" w:eastAsia="Arial Unicode MS" w:cs="Arial Unicode MS"/>
      <w:kern w:val="0"/>
      <w:szCs w:val="21"/>
    </w:rPr>
  </w:style>
  <w:style w:type="paragraph" w:customStyle="1" w:styleId="452">
    <w:name w:val="样式 正文缩进正文缩进2正文缩进 Char Char正文缩进 Char Char Char Char正文缩进 Char ..."/>
    <w:basedOn w:val="13"/>
    <w:qFormat/>
    <w:uiPriority w:val="0"/>
    <w:pPr>
      <w:ind w:firstLine="200"/>
    </w:pPr>
    <w:rPr>
      <w:rFonts w:cs="宋体"/>
    </w:rPr>
  </w:style>
  <w:style w:type="paragraph" w:customStyle="1" w:styleId="453">
    <w:name w:val="123"/>
    <w:basedOn w:val="1"/>
    <w:next w:val="1"/>
    <w:qFormat/>
    <w:uiPriority w:val="0"/>
    <w:pPr>
      <w:ind w:firstLine="562"/>
    </w:pPr>
    <w:rPr>
      <w:rFonts w:cs="Times New Roman"/>
      <w:b/>
      <w:bCs/>
      <w:color w:val="000000"/>
      <w:sz w:val="28"/>
      <w:szCs w:val="24"/>
    </w:rPr>
  </w:style>
  <w:style w:type="paragraph" w:customStyle="1" w:styleId="454">
    <w:name w:val="样式 13 磅 行距: 固定值 23 磅"/>
    <w:basedOn w:val="1"/>
    <w:qFormat/>
    <w:uiPriority w:val="0"/>
    <w:pPr>
      <w:spacing w:line="460" w:lineRule="exact"/>
      <w:ind w:firstLine="520"/>
    </w:pPr>
    <w:rPr>
      <w:rFonts w:cs="Times New Roman"/>
      <w:sz w:val="26"/>
      <w:szCs w:val="20"/>
    </w:rPr>
  </w:style>
  <w:style w:type="paragraph" w:customStyle="1" w:styleId="455">
    <w:name w:val="样式6565656"/>
    <w:basedOn w:val="1"/>
    <w:qFormat/>
    <w:uiPriority w:val="0"/>
    <w:pPr>
      <w:spacing w:line="460" w:lineRule="atLeast"/>
      <w:ind w:firstLine="480"/>
    </w:pPr>
    <w:rPr>
      <w:rFonts w:cs="Times New Roman"/>
      <w:bCs/>
      <w:szCs w:val="24"/>
    </w:rPr>
  </w:style>
  <w:style w:type="paragraph" w:customStyle="1" w:styleId="456">
    <w:name w:val="样式 样式 标题 2标题节标题 2 Char Char + 段前: 2 行 + 段前: 0.5 行 段后: 0.5 行"/>
    <w:basedOn w:val="339"/>
    <w:next w:val="1"/>
    <w:qFormat/>
    <w:uiPriority w:val="0"/>
    <w:pPr>
      <w:spacing w:before="120" w:beforeLines="0" w:after="120"/>
    </w:pPr>
    <w:rPr>
      <w:rFonts w:hAnsi="Times New Roman" w:eastAsia="宋体" w:cs="宋体"/>
      <w:bCs/>
    </w:rPr>
  </w:style>
  <w:style w:type="paragraph" w:customStyle="1" w:styleId="457">
    <w:name w:val="二级标题"/>
    <w:basedOn w:val="1"/>
    <w:next w:val="1"/>
    <w:qFormat/>
    <w:uiPriority w:val="0"/>
    <w:pPr>
      <w:spacing w:before="156" w:beforeLines="50" w:after="156" w:afterLines="50" w:line="460" w:lineRule="exact"/>
      <w:outlineLvl w:val="1"/>
    </w:pPr>
    <w:rPr>
      <w:rFonts w:cs="Times New Roman"/>
      <w:b/>
      <w:bCs/>
      <w:sz w:val="30"/>
      <w:szCs w:val="30"/>
    </w:rPr>
  </w:style>
  <w:style w:type="paragraph" w:customStyle="1" w:styleId="458">
    <w:name w:val="样式 首行缩进:  0.85 厘米8"/>
    <w:basedOn w:val="1"/>
    <w:qFormat/>
    <w:uiPriority w:val="0"/>
    <w:pPr>
      <w:spacing w:line="288" w:lineRule="auto"/>
      <w:ind w:firstLine="482"/>
    </w:pPr>
    <w:rPr>
      <w:rFonts w:cs="宋体"/>
      <w:szCs w:val="26"/>
    </w:rPr>
  </w:style>
  <w:style w:type="paragraph" w:customStyle="1" w:styleId="459">
    <w:name w:val="Char Char Char3 Char Char Char2 Char"/>
    <w:basedOn w:val="1"/>
    <w:semiHidden/>
    <w:qFormat/>
    <w:uiPriority w:val="0"/>
    <w:rPr>
      <w:rFonts w:ascii="宋体" w:hAnsi="宋体" w:cs="宋体"/>
      <w:szCs w:val="26"/>
    </w:rPr>
  </w:style>
  <w:style w:type="paragraph" w:customStyle="1" w:styleId="460">
    <w:name w:val="编号正文"/>
    <w:basedOn w:val="1"/>
    <w:qFormat/>
    <w:uiPriority w:val="0"/>
    <w:pPr>
      <w:tabs>
        <w:tab w:val="left" w:pos="1260"/>
      </w:tabs>
      <w:spacing w:after="50" w:afterLines="50" w:line="300" w:lineRule="auto"/>
      <w:ind w:left="1260" w:hanging="806"/>
    </w:pPr>
    <w:rPr>
      <w:rFonts w:ascii="Arial Narrow" w:hAnsi="Arial Narrow" w:eastAsia="仿宋_GB2312" w:cs="Times New Roman"/>
      <w:sz w:val="28"/>
      <w:szCs w:val="28"/>
    </w:rPr>
  </w:style>
  <w:style w:type="paragraph" w:customStyle="1" w:styleId="461">
    <w:name w:val="Char3"/>
    <w:basedOn w:val="1"/>
    <w:qFormat/>
    <w:uiPriority w:val="0"/>
    <w:rPr>
      <w:rFonts w:cs="Times New Roman"/>
      <w:szCs w:val="24"/>
    </w:rPr>
  </w:style>
  <w:style w:type="paragraph" w:customStyle="1" w:styleId="462">
    <w:name w:val="表格文字居中"/>
    <w:basedOn w:val="1"/>
    <w:next w:val="1"/>
    <w:qFormat/>
    <w:uiPriority w:val="0"/>
    <w:pPr>
      <w:spacing w:line="460" w:lineRule="exact"/>
      <w:jc w:val="center"/>
    </w:pPr>
    <w:rPr>
      <w:rFonts w:cs="Times New Roman"/>
      <w:color w:val="000000"/>
      <w:sz w:val="22"/>
    </w:rPr>
  </w:style>
  <w:style w:type="paragraph" w:customStyle="1" w:styleId="463">
    <w:name w:val="样式 标题 2 + Times New Roman 非加粗"/>
    <w:basedOn w:val="3"/>
    <w:qFormat/>
    <w:uiPriority w:val="0"/>
    <w:pPr>
      <w:keepLines w:val="0"/>
      <w:adjustRightInd/>
      <w:snapToGrid/>
      <w:spacing w:before="156" w:line="240" w:lineRule="auto"/>
      <w:ind w:firstLine="472" w:firstLineChars="196"/>
    </w:pPr>
    <w:rPr>
      <w:bCs w:val="0"/>
      <w:color w:val="000000"/>
      <w:szCs w:val="24"/>
      <w:lang w:eastAsia="zh-CN"/>
    </w:rPr>
  </w:style>
  <w:style w:type="paragraph" w:customStyle="1" w:styleId="464">
    <w:name w:val="xl27"/>
    <w:basedOn w:val="1"/>
    <w:qFormat/>
    <w:uiPriority w:val="0"/>
    <w:pPr>
      <w:widowControl/>
      <w:pBdr>
        <w:left w:val="single" w:color="auto" w:sz="12" w:space="0"/>
        <w:bottom w:val="single" w:color="auto" w:sz="4" w:space="0"/>
        <w:right w:val="single" w:color="auto" w:sz="4" w:space="0"/>
      </w:pBdr>
      <w:spacing w:before="100" w:beforeAutospacing="1" w:after="100" w:afterAutospacing="1"/>
      <w:jc w:val="center"/>
    </w:pPr>
    <w:rPr>
      <w:rFonts w:ascii="Arial Unicode MS" w:hAnsi="Arial Unicode MS" w:eastAsia="Arial Unicode MS" w:cs="Times New Roman"/>
      <w:color w:val="000000"/>
      <w:kern w:val="0"/>
      <w:szCs w:val="20"/>
    </w:rPr>
  </w:style>
  <w:style w:type="paragraph" w:customStyle="1" w:styleId="465">
    <w:name w:val="Char Char Char1 Char Char Char Char Char Char Char Char Char Char Char Char Char Char Char Char Char Char Char Char Char Char"/>
    <w:basedOn w:val="1"/>
    <w:qFormat/>
    <w:uiPriority w:val="0"/>
    <w:rPr>
      <w:rFonts w:ascii="宋体" w:hAnsi="宋体" w:cs="宋体"/>
      <w:szCs w:val="26"/>
    </w:rPr>
  </w:style>
  <w:style w:type="paragraph" w:customStyle="1" w:styleId="466">
    <w:name w:val="Z7[图表]"/>
    <w:next w:val="1"/>
    <w:qFormat/>
    <w:uiPriority w:val="0"/>
    <w:pPr>
      <w:jc w:val="center"/>
    </w:pPr>
    <w:rPr>
      <w:rFonts w:ascii="Times New Roman" w:hAnsi="Times New Roman" w:eastAsia="仿宋_GB2312" w:cs="Times New Roman"/>
      <w:bCs/>
      <w:sz w:val="21"/>
      <w:szCs w:val="44"/>
      <w:lang w:val="en-US" w:eastAsia="zh-CN" w:bidi="ar-SA"/>
    </w:rPr>
  </w:style>
  <w:style w:type="paragraph" w:customStyle="1" w:styleId="467">
    <w:name w:val="HtmlNormal"/>
    <w:basedOn w:val="1"/>
    <w:qFormat/>
    <w:uiPriority w:val="0"/>
    <w:pPr>
      <w:spacing w:before="100" w:beforeAutospacing="1" w:after="100" w:afterAutospacing="1" w:line="384" w:lineRule="auto"/>
      <w:jc w:val="left"/>
    </w:pPr>
    <w:rPr>
      <w:rFonts w:ascii="Arial Unicode MS" w:hAnsi="Arial Unicode MS" w:eastAsia="Times New Roman" w:cs="Times New Roman"/>
      <w:color w:val="000000"/>
      <w:kern w:val="0"/>
      <w:szCs w:val="21"/>
    </w:rPr>
  </w:style>
  <w:style w:type="paragraph" w:customStyle="1" w:styleId="468">
    <w:name w:val="样式 13 磅 黑色 行距: 固定值 23 磅"/>
    <w:basedOn w:val="1"/>
    <w:qFormat/>
    <w:uiPriority w:val="0"/>
    <w:pPr>
      <w:spacing w:line="440" w:lineRule="exact"/>
      <w:jc w:val="center"/>
    </w:pPr>
    <w:rPr>
      <w:rFonts w:ascii="宋体" w:hAnsi="宋体" w:cs="Arial"/>
      <w:szCs w:val="24"/>
    </w:rPr>
  </w:style>
  <w:style w:type="paragraph" w:customStyle="1" w:styleId="469">
    <w:name w:val="样式 样式 标题 2标题节标题 2 Char Char + 段前: 2 行 + 首行缩进:  2 字符 段前: 0.5 行 ..."/>
    <w:basedOn w:val="339"/>
    <w:qFormat/>
    <w:uiPriority w:val="0"/>
    <w:pPr>
      <w:spacing w:before="0" w:beforeLines="0"/>
      <w:ind w:firstLine="0"/>
    </w:pPr>
    <w:rPr>
      <w:rFonts w:hAnsi="Times New Roman" w:eastAsia="宋体" w:cs="宋体"/>
      <w:bCs/>
    </w:rPr>
  </w:style>
  <w:style w:type="paragraph" w:customStyle="1" w:styleId="470">
    <w:name w:val="xl24"/>
    <w:basedOn w:val="1"/>
    <w:qFormat/>
    <w:uiPriority w:val="0"/>
    <w:pPr>
      <w:widowControl/>
      <w:spacing w:before="100" w:beforeAutospacing="1" w:after="100" w:afterAutospacing="1"/>
      <w:jc w:val="center"/>
      <w:textAlignment w:val="center"/>
    </w:pPr>
    <w:rPr>
      <w:rFonts w:ascii="Arial Unicode MS" w:hAnsi="Arial Unicode MS" w:eastAsia="Arial Unicode MS" w:cs="Times New Roman"/>
      <w:kern w:val="0"/>
      <w:sz w:val="22"/>
    </w:rPr>
  </w:style>
  <w:style w:type="paragraph" w:customStyle="1" w:styleId="471">
    <w:name w:val="xl26"/>
    <w:basedOn w:val="1"/>
    <w:qFormat/>
    <w:uiPriority w:val="0"/>
    <w:pPr>
      <w:widowControl/>
      <w:pBdr>
        <w:bottom w:val="single" w:color="auto" w:sz="4" w:space="0"/>
        <w:right w:val="single" w:color="auto" w:sz="4" w:space="0"/>
      </w:pBdr>
      <w:spacing w:before="100" w:beforeAutospacing="1" w:after="100" w:afterAutospacing="1"/>
      <w:textAlignment w:val="top"/>
    </w:pPr>
    <w:rPr>
      <w:rFonts w:ascii="宋体" w:hAnsi="宋体" w:cs="Times New Roman"/>
      <w:kern w:val="0"/>
      <w:szCs w:val="21"/>
    </w:rPr>
  </w:style>
  <w:style w:type="paragraph" w:customStyle="1" w:styleId="472">
    <w:name w:val="Z2[封面]"/>
    <w:next w:val="1"/>
    <w:qFormat/>
    <w:uiPriority w:val="0"/>
    <w:pPr>
      <w:spacing w:line="360" w:lineRule="auto"/>
      <w:jc w:val="center"/>
    </w:pPr>
    <w:rPr>
      <w:rFonts w:ascii="Times New Roman" w:hAnsi="Times New Roman" w:eastAsia="楷体_GB2312" w:cs="Times New Roman"/>
      <w:bCs/>
      <w:sz w:val="32"/>
      <w:szCs w:val="44"/>
      <w:lang w:val="en-US" w:eastAsia="zh-CN" w:bidi="ar-SA"/>
    </w:rPr>
  </w:style>
  <w:style w:type="paragraph" w:customStyle="1" w:styleId="473">
    <w:name w:val="UserStyle_5"/>
    <w:qFormat/>
    <w:uiPriority w:val="0"/>
    <w:pPr>
      <w:spacing w:line="600" w:lineRule="exact"/>
      <w:ind w:firstLine="567"/>
      <w:jc w:val="both"/>
      <w:textAlignment w:val="baseline"/>
    </w:pPr>
    <w:rPr>
      <w:rFonts w:ascii="宋体" w:hAnsi="Times New Roman" w:eastAsia="宋体" w:cs="Times New Roman"/>
      <w:sz w:val="28"/>
      <w:lang w:val="en-US" w:eastAsia="zh-CN" w:bidi="ar-SA"/>
    </w:rPr>
  </w:style>
  <w:style w:type="paragraph" w:customStyle="1" w:styleId="474">
    <w:name w:val="默认段落字体 Para Char"/>
    <w:basedOn w:val="1"/>
    <w:next w:val="1"/>
    <w:qFormat/>
    <w:uiPriority w:val="0"/>
    <w:rPr>
      <w:rFonts w:cs="Times New Roman"/>
      <w:szCs w:val="24"/>
    </w:rPr>
  </w:style>
  <w:style w:type="paragraph" w:customStyle="1" w:styleId="475">
    <w:name w:val="正"/>
    <w:qFormat/>
    <w:uiPriority w:val="0"/>
    <w:pPr>
      <w:spacing w:line="480" w:lineRule="exact"/>
      <w:ind w:firstLine="470" w:firstLineChars="196"/>
    </w:pPr>
    <w:rPr>
      <w:rFonts w:ascii="Times New Roman" w:hAnsi="Times New Roman" w:eastAsia="宋体" w:cs="Times New Roman"/>
      <w:bCs/>
      <w:kern w:val="2"/>
      <w:sz w:val="24"/>
      <w:szCs w:val="24"/>
      <w:lang w:val="en-US" w:eastAsia="zh-CN" w:bidi="ar-SA"/>
    </w:rPr>
  </w:style>
  <w:style w:type="paragraph" w:customStyle="1" w:styleId="476">
    <w:name w:val="Z5[附件]"/>
    <w:next w:val="1"/>
    <w:qFormat/>
    <w:uiPriority w:val="0"/>
    <w:pPr>
      <w:spacing w:line="360" w:lineRule="auto"/>
      <w:ind w:firstLine="200" w:firstLineChars="200"/>
    </w:pPr>
    <w:rPr>
      <w:rFonts w:ascii="Times New Roman" w:hAnsi="Times New Roman" w:eastAsia="仿宋_GB2312" w:cs="Times New Roman"/>
      <w:b/>
      <w:sz w:val="28"/>
      <w:szCs w:val="24"/>
      <w:lang w:val="en-US" w:eastAsia="zh-CN" w:bidi="ar-SA"/>
    </w:rPr>
  </w:style>
  <w:style w:type="paragraph" w:customStyle="1" w:styleId="477">
    <w:name w:val="xl25"/>
    <w:basedOn w:val="1"/>
    <w:semiHidden/>
    <w:qFormat/>
    <w:uiPriority w:val="0"/>
    <w:pPr>
      <w:widowControl/>
      <w:spacing w:before="100" w:after="100"/>
      <w:jc w:val="center"/>
    </w:pPr>
    <w:rPr>
      <w:rFonts w:eastAsia="Arial Unicode MS" w:cs="Times New Roman"/>
      <w:kern w:val="0"/>
      <w:szCs w:val="20"/>
    </w:rPr>
  </w:style>
  <w:style w:type="paragraph" w:customStyle="1" w:styleId="478">
    <w:name w:val="样式 四号 行距: 固定值 28 磅 首行缩进:  2 字符"/>
    <w:basedOn w:val="1"/>
    <w:qFormat/>
    <w:uiPriority w:val="0"/>
    <w:pPr>
      <w:spacing w:line="560" w:lineRule="exact"/>
      <w:ind w:firstLine="560"/>
    </w:pPr>
    <w:rPr>
      <w:rFonts w:cs="宋体"/>
      <w:sz w:val="28"/>
      <w:szCs w:val="20"/>
    </w:rPr>
  </w:style>
  <w:style w:type="paragraph" w:customStyle="1" w:styleId="479">
    <w:name w:val="样式 样式 标题 2标题节标题 2 Char Char + 段前: 2 行 + 左侧:  1 字符"/>
    <w:basedOn w:val="339"/>
    <w:qFormat/>
    <w:uiPriority w:val="0"/>
    <w:pPr>
      <w:spacing w:before="0" w:beforeLines="0"/>
    </w:pPr>
    <w:rPr>
      <w:rFonts w:hAnsi="Times New Roman" w:eastAsia="宋体" w:cs="宋体"/>
      <w:bCs/>
    </w:rPr>
  </w:style>
  <w:style w:type="paragraph" w:customStyle="1" w:styleId="480">
    <w:name w:val="Char Char Char"/>
    <w:basedOn w:val="1"/>
    <w:qFormat/>
    <w:uiPriority w:val="0"/>
    <w:rPr>
      <w:rFonts w:cs="Times New Roman"/>
      <w:szCs w:val="20"/>
    </w:rPr>
  </w:style>
  <w:style w:type="paragraph" w:customStyle="1" w:styleId="481">
    <w:name w:val="样式 左 首行缩进:  1.01 厘米"/>
    <w:basedOn w:val="1"/>
    <w:qFormat/>
    <w:uiPriority w:val="0"/>
    <w:pPr>
      <w:spacing w:line="460" w:lineRule="exact"/>
    </w:pPr>
    <w:rPr>
      <w:rFonts w:cs="宋体"/>
      <w:sz w:val="26"/>
      <w:szCs w:val="26"/>
    </w:rPr>
  </w:style>
  <w:style w:type="paragraph" w:customStyle="1" w:styleId="482">
    <w:name w:val="样式 13 磅 行距: 固定值 23 磅 首行缩进:  2 字符"/>
    <w:basedOn w:val="1"/>
    <w:qFormat/>
    <w:uiPriority w:val="0"/>
    <w:pPr>
      <w:spacing w:line="460" w:lineRule="exact"/>
      <w:ind w:firstLine="520"/>
    </w:pPr>
    <w:rPr>
      <w:rFonts w:cs="宋体"/>
      <w:sz w:val="26"/>
      <w:szCs w:val="20"/>
    </w:rPr>
  </w:style>
  <w:style w:type="paragraph" w:customStyle="1" w:styleId="483">
    <w:name w:val="表格文字-hao-居中"/>
    <w:qFormat/>
    <w:uiPriority w:val="99"/>
    <w:pPr>
      <w:adjustRightInd w:val="0"/>
      <w:snapToGrid w:val="0"/>
      <w:spacing w:beforeLines="20" w:afterLines="10" w:line="264" w:lineRule="auto"/>
      <w:jc w:val="center"/>
      <w:textAlignment w:val="center"/>
    </w:pPr>
    <w:rPr>
      <w:rFonts w:ascii="Times New Roman" w:hAnsi="Times New Roman" w:eastAsia="宋体" w:cs="Times New Roman"/>
      <w:szCs w:val="24"/>
      <w:lang w:val="en-US" w:eastAsia="zh-CN" w:bidi="ar-SA"/>
    </w:rPr>
  </w:style>
  <w:style w:type="paragraph" w:customStyle="1" w:styleId="484">
    <w:name w:val="Z1[封面]"/>
    <w:next w:val="1"/>
    <w:qFormat/>
    <w:uiPriority w:val="0"/>
    <w:pPr>
      <w:spacing w:line="360" w:lineRule="auto"/>
      <w:jc w:val="center"/>
    </w:pPr>
    <w:rPr>
      <w:rFonts w:ascii="Times New Roman" w:hAnsi="Times New Roman" w:eastAsia="华文中宋" w:cs="Times New Roman"/>
      <w:b/>
      <w:bCs/>
      <w:sz w:val="44"/>
      <w:szCs w:val="44"/>
      <w:lang w:val="en-US" w:eastAsia="zh-CN" w:bidi="ar-SA"/>
    </w:rPr>
  </w:style>
  <w:style w:type="paragraph" w:customStyle="1" w:styleId="485">
    <w:name w:val="Char Char Char Char1"/>
    <w:basedOn w:val="1"/>
    <w:qFormat/>
    <w:uiPriority w:val="0"/>
    <w:rPr>
      <w:rFonts w:ascii="仿宋_GB2312" w:hAnsi="Tahoma" w:eastAsia="仿宋_GB2312" w:cs="Times New Roman"/>
      <w:szCs w:val="21"/>
    </w:rPr>
  </w:style>
  <w:style w:type="paragraph" w:customStyle="1" w:styleId="486">
    <w:name w:val="表格1"/>
    <w:basedOn w:val="1"/>
    <w:qFormat/>
    <w:uiPriority w:val="0"/>
    <w:pPr>
      <w:spacing w:line="360" w:lineRule="exact"/>
      <w:jc w:val="center"/>
    </w:pPr>
    <w:rPr>
      <w:rFonts w:cs="Times New Roman"/>
      <w:color w:val="000000"/>
      <w:szCs w:val="24"/>
    </w:rPr>
  </w:style>
  <w:style w:type="paragraph" w:customStyle="1" w:styleId="487">
    <w:name w:val="正文（首行缩进两字）"/>
    <w:basedOn w:val="1"/>
    <w:qFormat/>
    <w:uiPriority w:val="0"/>
    <w:rPr>
      <w:rFonts w:cs="Times New Roman"/>
      <w:szCs w:val="21"/>
    </w:rPr>
  </w:style>
  <w:style w:type="paragraph" w:customStyle="1" w:styleId="488">
    <w:name w:val="BodyTextIndent2"/>
    <w:basedOn w:val="1"/>
    <w:qFormat/>
    <w:uiPriority w:val="0"/>
    <w:pPr>
      <w:spacing w:after="120" w:line="480" w:lineRule="auto"/>
      <w:ind w:left="420" w:leftChars="200"/>
    </w:pPr>
    <w:rPr>
      <w:rFonts w:cs="Times New Roman"/>
      <w:szCs w:val="24"/>
    </w:rPr>
  </w:style>
  <w:style w:type="paragraph" w:customStyle="1" w:styleId="489">
    <w:name w:val="三级标题"/>
    <w:basedOn w:val="1"/>
    <w:next w:val="1"/>
    <w:semiHidden/>
    <w:qFormat/>
    <w:uiPriority w:val="0"/>
    <w:pPr>
      <w:outlineLvl w:val="2"/>
    </w:pPr>
    <w:rPr>
      <w:rFonts w:cs="Times New Roman"/>
      <w:b/>
      <w:sz w:val="26"/>
      <w:szCs w:val="26"/>
    </w:rPr>
  </w:style>
  <w:style w:type="paragraph" w:customStyle="1" w:styleId="490">
    <w:name w:val="gg_body"/>
    <w:basedOn w:val="1"/>
    <w:qFormat/>
    <w:uiPriority w:val="0"/>
    <w:pPr>
      <w:spacing w:line="460" w:lineRule="exact"/>
    </w:pPr>
    <w:rPr>
      <w:rFonts w:ascii="宋体" w:hAnsi="宋体" w:cs="Times New Roman"/>
      <w:szCs w:val="20"/>
    </w:rPr>
  </w:style>
  <w:style w:type="paragraph" w:customStyle="1" w:styleId="491">
    <w:name w:val="xl52"/>
    <w:basedOn w:val="1"/>
    <w:qFormat/>
    <w:uiPriority w:val="0"/>
    <w:pPr>
      <w:widowControl/>
      <w:pBdr>
        <w:left w:val="single" w:color="auto" w:sz="8" w:space="0"/>
      </w:pBdr>
      <w:spacing w:before="100" w:beforeAutospacing="1" w:after="100" w:afterAutospacing="1"/>
      <w:jc w:val="center"/>
      <w:textAlignment w:val="center"/>
    </w:pPr>
    <w:rPr>
      <w:rFonts w:ascii="Arial Unicode MS" w:hAnsi="Arial Unicode MS" w:eastAsia="Arial Unicode MS" w:cs="Arial Unicode MS"/>
      <w:kern w:val="0"/>
      <w:szCs w:val="24"/>
    </w:rPr>
  </w:style>
  <w:style w:type="paragraph" w:customStyle="1" w:styleId="492">
    <w:name w:val="样式8"/>
    <w:basedOn w:val="4"/>
    <w:qFormat/>
    <w:uiPriority w:val="0"/>
    <w:pPr>
      <w:spacing w:line="480" w:lineRule="exact"/>
    </w:pPr>
    <w:rPr>
      <w:sz w:val="26"/>
      <w:szCs w:val="24"/>
      <w:lang w:eastAsia="zh-CN"/>
    </w:rPr>
  </w:style>
  <w:style w:type="paragraph" w:customStyle="1" w:styleId="493">
    <w:name w:val="样式 正文文本缩进 + 宋体"/>
    <w:basedOn w:val="22"/>
    <w:qFormat/>
    <w:uiPriority w:val="0"/>
    <w:pPr>
      <w:widowControl w:val="0"/>
      <w:spacing w:before="93" w:beforeLines="30" w:after="93" w:afterLines="30" w:line="460" w:lineRule="exact"/>
      <w:ind w:left="0" w:firstLine="560"/>
      <w:jc w:val="both"/>
    </w:pPr>
    <w:rPr>
      <w:rFonts w:ascii="宋体" w:hAnsi="宋体"/>
      <w:kern w:val="2"/>
      <w:sz w:val="21"/>
      <w:szCs w:val="28"/>
      <w:lang w:eastAsia="zh-CN"/>
    </w:rPr>
  </w:style>
  <w:style w:type="paragraph" w:customStyle="1" w:styleId="494">
    <w:name w:val="样式 样式 标题 2标题节标题 2 Char Char + 段前: 2 行 + 左侧:  1 字符 右侧:  1 字符"/>
    <w:basedOn w:val="339"/>
    <w:qFormat/>
    <w:uiPriority w:val="0"/>
    <w:rPr>
      <w:szCs w:val="26"/>
    </w:rPr>
  </w:style>
  <w:style w:type="paragraph" w:customStyle="1" w:styleId="495">
    <w:name w:val="00000000000000000000000 Char"/>
    <w:basedOn w:val="1"/>
    <w:qFormat/>
    <w:uiPriority w:val="0"/>
    <w:pPr>
      <w:ind w:firstLine="510"/>
    </w:pPr>
    <w:rPr>
      <w:rFonts w:cs="Times New Roman"/>
      <w:color w:val="000000"/>
      <w:szCs w:val="24"/>
      <w:lang w:val="zh-CN"/>
    </w:rPr>
  </w:style>
  <w:style w:type="paragraph" w:customStyle="1" w:styleId="496">
    <w:name w:val="Char Char Char2 Char Char Char Char Char Char Char Char Char Char"/>
    <w:basedOn w:val="1"/>
    <w:semiHidden/>
    <w:qFormat/>
    <w:uiPriority w:val="0"/>
    <w:rPr>
      <w:rFonts w:ascii="宋体" w:hAnsi="宋体" w:cs="宋体"/>
      <w:szCs w:val="26"/>
    </w:rPr>
  </w:style>
  <w:style w:type="paragraph" w:customStyle="1" w:styleId="497">
    <w:name w:val="样式17"/>
    <w:basedOn w:val="1"/>
    <w:qFormat/>
    <w:uiPriority w:val="0"/>
    <w:pPr>
      <w:keepNext/>
      <w:keepLines/>
      <w:widowControl/>
      <w:spacing w:before="80" w:line="460" w:lineRule="exact"/>
      <w:jc w:val="left"/>
      <w:outlineLvl w:val="1"/>
    </w:pPr>
    <w:rPr>
      <w:rFonts w:eastAsia="黑体" w:cs="Times New Roman"/>
      <w:b/>
      <w:bCs/>
      <w:kern w:val="0"/>
      <w:sz w:val="28"/>
      <w:szCs w:val="28"/>
    </w:rPr>
  </w:style>
  <w:style w:type="paragraph" w:customStyle="1" w:styleId="498">
    <w:name w:val="Heading3"/>
    <w:basedOn w:val="1"/>
    <w:next w:val="1"/>
    <w:qFormat/>
    <w:uiPriority w:val="0"/>
    <w:pPr>
      <w:keepNext/>
      <w:keepLines/>
      <w:spacing w:before="156" w:line="440" w:lineRule="exact"/>
      <w:ind w:firstLine="472" w:firstLineChars="196"/>
    </w:pPr>
    <w:rPr>
      <w:rFonts w:ascii="Arial" w:hAnsi="Arial" w:eastAsia="黑体" w:cs="Times New Roman"/>
      <w:b/>
      <w:color w:val="000000"/>
      <w:kern w:val="0"/>
      <w:szCs w:val="24"/>
    </w:rPr>
  </w:style>
  <w:style w:type="paragraph" w:customStyle="1" w:styleId="499">
    <w:name w:val="样式 样式 样式 标题 2标题节标题 2 Char Char + 段前: 2 行 + 左侧:  1 字符 + 段前: 0.5 行..."/>
    <w:basedOn w:val="1"/>
    <w:qFormat/>
    <w:uiPriority w:val="0"/>
    <w:pPr>
      <w:keepNext/>
      <w:keepLines/>
      <w:spacing w:line="460" w:lineRule="exact"/>
      <w:outlineLvl w:val="1"/>
    </w:pPr>
    <w:rPr>
      <w:rFonts w:cs="宋体"/>
      <w:b/>
      <w:bCs/>
      <w:sz w:val="26"/>
      <w:szCs w:val="26"/>
    </w:rPr>
  </w:style>
  <w:style w:type="paragraph" w:customStyle="1" w:styleId="500">
    <w:name w:val="一级标题"/>
    <w:basedOn w:val="1"/>
    <w:next w:val="1"/>
    <w:qFormat/>
    <w:uiPriority w:val="0"/>
    <w:pPr>
      <w:spacing w:before="100" w:beforeAutospacing="1" w:after="156" w:afterLines="50" w:line="460" w:lineRule="exact"/>
      <w:jc w:val="center"/>
      <w:outlineLvl w:val="0"/>
    </w:pPr>
    <w:rPr>
      <w:rFonts w:cs="Times New Roman"/>
      <w:b/>
      <w:bCs/>
      <w:sz w:val="32"/>
      <w:szCs w:val="32"/>
    </w:rPr>
  </w:style>
  <w:style w:type="paragraph" w:customStyle="1" w:styleId="501">
    <w:name w:val="UserStyle_1"/>
    <w:qFormat/>
    <w:uiPriority w:val="0"/>
    <w:pPr>
      <w:spacing w:line="480" w:lineRule="exact"/>
      <w:ind w:firstLine="470" w:firstLineChars="196"/>
      <w:textAlignment w:val="baseline"/>
    </w:pPr>
    <w:rPr>
      <w:rFonts w:ascii="Times New Roman" w:hAnsi="Times New Roman" w:eastAsia="宋体" w:cs="Times New Roman"/>
      <w:bCs/>
      <w:kern w:val="2"/>
      <w:sz w:val="24"/>
      <w:szCs w:val="24"/>
      <w:lang w:val="en-US" w:eastAsia="zh-CN" w:bidi="ar-SA"/>
    </w:rPr>
  </w:style>
  <w:style w:type="paragraph" w:customStyle="1" w:styleId="502">
    <w:name w:val="环评表头"/>
    <w:basedOn w:val="1"/>
    <w:qFormat/>
    <w:uiPriority w:val="0"/>
    <w:pPr>
      <w:spacing w:line="440" w:lineRule="exact"/>
      <w:jc w:val="center"/>
    </w:pPr>
    <w:rPr>
      <w:rFonts w:ascii="黑体" w:hAnsi="Arial" w:eastAsia="黑体" w:cs="Arial"/>
      <w:b/>
      <w:color w:val="000000"/>
      <w:szCs w:val="24"/>
    </w:rPr>
  </w:style>
  <w:style w:type="paragraph" w:customStyle="1" w:styleId="503">
    <w:name w:val="UserStyle_6"/>
    <w:basedOn w:val="504"/>
    <w:qFormat/>
    <w:uiPriority w:val="0"/>
  </w:style>
  <w:style w:type="paragraph" w:customStyle="1" w:styleId="504">
    <w:name w:val="UserStyle_4"/>
    <w:basedOn w:val="1"/>
    <w:qFormat/>
    <w:uiPriority w:val="0"/>
    <w:pPr>
      <w:spacing w:line="460" w:lineRule="exact"/>
      <w:ind w:firstLine="567" w:firstLineChars="218"/>
      <w:jc w:val="left"/>
    </w:pPr>
    <w:rPr>
      <w:rFonts w:cs="Times New Roman"/>
      <w:kern w:val="0"/>
      <w:sz w:val="26"/>
      <w:szCs w:val="26"/>
    </w:rPr>
  </w:style>
  <w:style w:type="paragraph" w:customStyle="1" w:styleId="505">
    <w:name w:val="环评标题"/>
    <w:basedOn w:val="351"/>
    <w:qFormat/>
    <w:uiPriority w:val="0"/>
    <w:pPr>
      <w:ind w:firstLine="482"/>
    </w:pPr>
    <w:rPr>
      <w:rFonts w:ascii="黑体" w:eastAsia="黑体"/>
      <w:b/>
    </w:rPr>
  </w:style>
  <w:style w:type="paragraph" w:customStyle="1" w:styleId="506">
    <w:name w:val="Char Char Char Char Char Char Char"/>
    <w:basedOn w:val="1"/>
    <w:next w:val="1"/>
    <w:qFormat/>
    <w:uiPriority w:val="0"/>
    <w:rPr>
      <w:rFonts w:cs="Times New Roman"/>
      <w:szCs w:val="24"/>
    </w:rPr>
  </w:style>
  <w:style w:type="paragraph" w:customStyle="1" w:styleId="507">
    <w:name w:val="Char Char Char Char Char2 Char Char Char Char"/>
    <w:basedOn w:val="1"/>
    <w:qFormat/>
    <w:uiPriority w:val="0"/>
    <w:rPr>
      <w:rFonts w:ascii="宋体" w:hAnsi="宋体" w:cs="宋体"/>
      <w:szCs w:val="26"/>
    </w:rPr>
  </w:style>
  <w:style w:type="paragraph" w:customStyle="1" w:styleId="508">
    <w:name w:val="Char Char Char1 Char Char Char Char"/>
    <w:basedOn w:val="1"/>
    <w:qFormat/>
    <w:uiPriority w:val="0"/>
    <w:rPr>
      <w:rFonts w:ascii="宋体" w:hAnsi="宋体" w:cs="宋体"/>
      <w:szCs w:val="26"/>
    </w:rPr>
  </w:style>
  <w:style w:type="paragraph" w:customStyle="1" w:styleId="509">
    <w:name w:val="样式 正文（首行缩进两字） + 宋体"/>
    <w:basedOn w:val="13"/>
    <w:qFormat/>
    <w:uiPriority w:val="0"/>
    <w:pPr>
      <w:ind w:firstLine="567"/>
    </w:pPr>
    <w:rPr>
      <w:rFonts w:ascii="宋体" w:hAnsi="宋体"/>
      <w:sz w:val="28"/>
      <w:szCs w:val="20"/>
    </w:rPr>
  </w:style>
  <w:style w:type="paragraph" w:customStyle="1" w:styleId="510">
    <w:name w:val="正文四号"/>
    <w:basedOn w:val="1"/>
    <w:qFormat/>
    <w:uiPriority w:val="0"/>
    <w:rPr>
      <w:rFonts w:ascii="宋体" w:cs="宋体"/>
      <w:kern w:val="0"/>
    </w:rPr>
  </w:style>
  <w:style w:type="paragraph" w:customStyle="1" w:styleId="511">
    <w:name w:val="Char Char Char Char Char Char Char Char Char Char Char Char Char Char Char Char Char Char Char Char Char Char Char Char Char Char Char Char Char Char Char Char Char"/>
    <w:basedOn w:val="1"/>
    <w:qFormat/>
    <w:uiPriority w:val="0"/>
    <w:pPr>
      <w:widowControl/>
      <w:spacing w:after="160" w:line="240" w:lineRule="exact"/>
      <w:jc w:val="left"/>
    </w:pPr>
    <w:rPr>
      <w:rFonts w:ascii="Verdana" w:hAnsi="Verdana" w:eastAsia="仿宋_GB2312" w:cs="Verdana"/>
      <w:color w:val="000000"/>
      <w:kern w:val="0"/>
      <w:szCs w:val="21"/>
      <w:lang w:eastAsia="en-US"/>
    </w:rPr>
  </w:style>
  <w:style w:type="paragraph" w:customStyle="1" w:styleId="512">
    <w:name w:val="Char Char Char1 Char Char Char Char1"/>
    <w:basedOn w:val="1"/>
    <w:semiHidden/>
    <w:qFormat/>
    <w:uiPriority w:val="0"/>
    <w:rPr>
      <w:rFonts w:ascii="宋体" w:hAnsi="宋体" w:cs="宋体"/>
      <w:szCs w:val="26"/>
    </w:rPr>
  </w:style>
  <w:style w:type="paragraph" w:customStyle="1" w:styleId="513">
    <w:name w:val="表格文字"/>
    <w:basedOn w:val="13"/>
    <w:next w:val="1"/>
    <w:qFormat/>
    <w:uiPriority w:val="0"/>
    <w:pPr>
      <w:spacing w:before="60" w:after="60" w:line="460" w:lineRule="exact"/>
      <w:ind w:firstLine="200"/>
    </w:pPr>
    <w:rPr>
      <w:sz w:val="26"/>
      <w:szCs w:val="20"/>
    </w:rPr>
  </w:style>
  <w:style w:type="paragraph" w:customStyle="1" w:styleId="514">
    <w:name w:val="标题3"/>
    <w:basedOn w:val="1"/>
    <w:qFormat/>
    <w:uiPriority w:val="0"/>
    <w:pPr>
      <w:ind w:firstLine="482"/>
    </w:pPr>
    <w:rPr>
      <w:rFonts w:ascii="仿宋_GB2312" w:eastAsia="仿宋_GB2312" w:cs="Times New Roman"/>
      <w:b/>
      <w:szCs w:val="24"/>
    </w:rPr>
  </w:style>
  <w:style w:type="paragraph" w:customStyle="1" w:styleId="515">
    <w:name w:val="样式 正文缩进表格标题正文（首行缩进两字）1正文缩进1正文（首行缩进两字） Char Char Char Char Ch..."/>
    <w:basedOn w:val="13"/>
    <w:qFormat/>
    <w:uiPriority w:val="0"/>
    <w:pPr>
      <w:spacing w:line="440" w:lineRule="exact"/>
      <w:ind w:firstLine="200"/>
    </w:pPr>
    <w:rPr>
      <w:rFonts w:cs="宋体"/>
      <w:b/>
      <w:bCs/>
      <w:sz w:val="28"/>
      <w:szCs w:val="20"/>
    </w:rPr>
  </w:style>
  <w:style w:type="paragraph" w:customStyle="1" w:styleId="516">
    <w:name w:val="标题03"/>
    <w:basedOn w:val="1"/>
    <w:next w:val="1"/>
    <w:qFormat/>
    <w:uiPriority w:val="0"/>
    <w:pPr>
      <w:spacing w:line="480" w:lineRule="atLeast"/>
      <w:ind w:firstLine="480"/>
    </w:pPr>
    <w:rPr>
      <w:rFonts w:cs="Times New Roman"/>
      <w:b/>
      <w:szCs w:val="20"/>
    </w:rPr>
  </w:style>
  <w:style w:type="paragraph" w:customStyle="1" w:styleId="517">
    <w:name w:val="Char4 Char Char Char1"/>
    <w:basedOn w:val="1"/>
    <w:qFormat/>
    <w:uiPriority w:val="0"/>
    <w:rPr>
      <w:rFonts w:ascii="宋体" w:hAnsi="宋体" w:cs="宋体"/>
      <w:szCs w:val="26"/>
    </w:rPr>
  </w:style>
  <w:style w:type="paragraph" w:customStyle="1" w:styleId="518">
    <w:name w:val="样式 样式 标题 2标题节标题 2 Char Char + 段前: 2 行 + 左侧:  1 字符1"/>
    <w:basedOn w:val="339"/>
    <w:qFormat/>
    <w:uiPriority w:val="0"/>
    <w:pPr>
      <w:spacing w:before="50" w:beforeLines="0" w:after="50"/>
    </w:pPr>
    <w:rPr>
      <w:rFonts w:hAnsi="Times New Roman" w:eastAsia="宋体" w:cs="宋体"/>
      <w:bCs/>
    </w:rPr>
  </w:style>
  <w:style w:type="paragraph" w:customStyle="1" w:styleId="519">
    <w:name w:val="xl54"/>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Times New Roman"/>
      <w:b/>
      <w:kern w:val="0"/>
      <w:szCs w:val="20"/>
    </w:rPr>
  </w:style>
  <w:style w:type="paragraph" w:customStyle="1" w:styleId="520">
    <w:name w:val="样式 样式 样式 标题 2标题节标题 2 Char Char + 段前: 2 行 + 段前: 0.5 行 段后: 0.5 行 +..."/>
    <w:basedOn w:val="456"/>
    <w:next w:val="1"/>
    <w:qFormat/>
    <w:uiPriority w:val="0"/>
    <w:pPr>
      <w:spacing w:before="50" w:after="50"/>
      <w:ind w:firstLine="0"/>
    </w:pPr>
  </w:style>
  <w:style w:type="paragraph" w:customStyle="1" w:styleId="521">
    <w:name w:val="样式 正文缩进正文缩进1正文（首行缩进两字） Char Char Char Char Char Char Char文本条款...1"/>
    <w:basedOn w:val="13"/>
    <w:qFormat/>
    <w:uiPriority w:val="0"/>
    <w:pPr>
      <w:tabs>
        <w:tab w:val="left" w:pos="540"/>
        <w:tab w:val="left" w:pos="1050"/>
        <w:tab w:val="left" w:pos="1260"/>
        <w:tab w:val="left" w:pos="1800"/>
      </w:tabs>
      <w:spacing w:line="500" w:lineRule="exact"/>
      <w:ind w:firstLine="560"/>
    </w:pPr>
    <w:rPr>
      <w:rFonts w:cs="宋体"/>
      <w:kern w:val="24"/>
      <w:sz w:val="28"/>
      <w:szCs w:val="28"/>
    </w:rPr>
  </w:style>
  <w:style w:type="paragraph" w:customStyle="1" w:styleId="522">
    <w:name w:val="样式 五号 居中 行距: 单倍行距"/>
    <w:basedOn w:val="1"/>
    <w:qFormat/>
    <w:uiPriority w:val="0"/>
    <w:pPr>
      <w:jc w:val="center"/>
    </w:pPr>
    <w:rPr>
      <w:rFonts w:cs="宋体"/>
      <w:kern w:val="0"/>
      <w:szCs w:val="21"/>
    </w:rPr>
  </w:style>
  <w:style w:type="paragraph" w:customStyle="1" w:styleId="523">
    <w:name w:val="Char Char Char Char Char Char Char1"/>
    <w:basedOn w:val="1"/>
    <w:qFormat/>
    <w:uiPriority w:val="0"/>
    <w:pPr>
      <w:tabs>
        <w:tab w:val="left" w:pos="600"/>
      </w:tabs>
      <w:ind w:left="600" w:hanging="600"/>
    </w:pPr>
    <w:rPr>
      <w:rFonts w:cs="Times New Roman"/>
      <w:sz w:val="28"/>
      <w:szCs w:val="20"/>
    </w:rPr>
  </w:style>
  <w:style w:type="paragraph" w:customStyle="1" w:styleId="524">
    <w:name w:val="样式 样式 2001 + 首行缩进:  2 字符 + 首行缩进:  2 字符"/>
    <w:basedOn w:val="1"/>
    <w:qFormat/>
    <w:uiPriority w:val="0"/>
    <w:pPr>
      <w:spacing w:line="360" w:lineRule="exact"/>
      <w:ind w:firstLine="560"/>
    </w:pPr>
    <w:rPr>
      <w:rFonts w:cs="Times New Roman"/>
      <w:spacing w:val="20"/>
      <w:kern w:val="0"/>
      <w:szCs w:val="20"/>
    </w:rPr>
  </w:style>
  <w:style w:type="paragraph" w:customStyle="1" w:styleId="525">
    <w:name w:val="样式 标题 3标题 3 Char + 左侧:  1 字符 右侧:  1 字符"/>
    <w:basedOn w:val="4"/>
    <w:qFormat/>
    <w:uiPriority w:val="0"/>
    <w:pPr>
      <w:spacing w:before="156" w:line="460" w:lineRule="exact"/>
      <w:ind w:firstLine="200"/>
    </w:pPr>
    <w:rPr>
      <w:bCs w:val="0"/>
      <w:color w:val="000000"/>
      <w:sz w:val="26"/>
      <w:szCs w:val="26"/>
      <w:lang w:eastAsia="zh-CN"/>
    </w:rPr>
  </w:style>
  <w:style w:type="paragraph" w:customStyle="1" w:styleId="526">
    <w:name w:val="表标题"/>
    <w:basedOn w:val="6"/>
    <w:next w:val="1"/>
    <w:link w:val="597"/>
    <w:qFormat/>
    <w:uiPriority w:val="0"/>
    <w:pPr>
      <w:widowControl w:val="0"/>
      <w:spacing w:before="60" w:after="60" w:line="377" w:lineRule="auto"/>
      <w:ind w:firstLine="520"/>
      <w:jc w:val="center"/>
    </w:pPr>
    <w:rPr>
      <w:rFonts w:ascii="Times New Roman" w:hAnsi="Times New Roman" w:eastAsia="黑体"/>
      <w:kern w:val="2"/>
      <w:sz w:val="24"/>
      <w:lang w:eastAsia="zh-CN"/>
    </w:rPr>
  </w:style>
  <w:style w:type="paragraph" w:customStyle="1" w:styleId="527">
    <w:name w:val="样式35"/>
    <w:basedOn w:val="1"/>
    <w:qFormat/>
    <w:uiPriority w:val="0"/>
    <w:pPr>
      <w:spacing w:line="312" w:lineRule="auto"/>
      <w:ind w:firstLine="567"/>
    </w:pPr>
    <w:rPr>
      <w:rFonts w:ascii="宋体" w:cs="Times New Roman"/>
      <w:kern w:val="0"/>
      <w:sz w:val="28"/>
      <w:szCs w:val="20"/>
    </w:rPr>
  </w:style>
  <w:style w:type="paragraph" w:customStyle="1" w:styleId="528">
    <w:name w:val="样式31"/>
    <w:basedOn w:val="1"/>
    <w:qFormat/>
    <w:uiPriority w:val="0"/>
    <w:pPr>
      <w:widowControl/>
      <w:jc w:val="center"/>
    </w:pPr>
    <w:rPr>
      <w:rFonts w:ascii="宋体" w:hAnsi="宋体" w:cs="宋体"/>
      <w:kern w:val="0"/>
      <w:sz w:val="22"/>
    </w:rPr>
  </w:style>
  <w:style w:type="paragraph" w:customStyle="1" w:styleId="529">
    <w:name w:val="标准样式 Char Char2"/>
    <w:basedOn w:val="1"/>
    <w:qFormat/>
    <w:uiPriority w:val="0"/>
    <w:pPr>
      <w:spacing w:line="600" w:lineRule="exact"/>
      <w:ind w:firstLine="567"/>
    </w:pPr>
    <w:rPr>
      <w:rFonts w:ascii="宋体" w:hAnsi="宋体" w:cs="Times New Roman"/>
      <w:sz w:val="28"/>
      <w:szCs w:val="20"/>
    </w:rPr>
  </w:style>
  <w:style w:type="paragraph" w:customStyle="1" w:styleId="530">
    <w:name w:val="font0"/>
    <w:basedOn w:val="1"/>
    <w:qFormat/>
    <w:uiPriority w:val="0"/>
    <w:pPr>
      <w:widowControl/>
      <w:spacing w:before="100" w:beforeAutospacing="1" w:after="100" w:afterAutospacing="1"/>
      <w:jc w:val="left"/>
    </w:pPr>
    <w:rPr>
      <w:rFonts w:hint="eastAsia" w:ascii="宋体" w:hAnsi="宋体" w:cs="Times New Roman"/>
      <w:kern w:val="0"/>
      <w:szCs w:val="24"/>
    </w:rPr>
  </w:style>
  <w:style w:type="paragraph" w:customStyle="1" w:styleId="531">
    <w:name w:val="图"/>
    <w:basedOn w:val="196"/>
    <w:qFormat/>
    <w:uiPriority w:val="0"/>
    <w:pPr>
      <w:spacing w:line="240" w:lineRule="auto"/>
    </w:pPr>
    <w:rPr>
      <w:rFonts w:hAnsi="Times New Roman"/>
      <w:bCs/>
      <w:color w:val="auto"/>
      <w:szCs w:val="22"/>
    </w:rPr>
  </w:style>
  <w:style w:type="paragraph" w:customStyle="1" w:styleId="532">
    <w:name w:val="Char Char Char1"/>
    <w:basedOn w:val="1"/>
    <w:qFormat/>
    <w:uiPriority w:val="0"/>
    <w:rPr>
      <w:rFonts w:cs="Times New Roman"/>
      <w:szCs w:val="20"/>
    </w:rPr>
  </w:style>
  <w:style w:type="paragraph" w:customStyle="1" w:styleId="533">
    <w:name w:val="表签"/>
    <w:basedOn w:val="1"/>
    <w:qFormat/>
    <w:uiPriority w:val="0"/>
    <w:pPr>
      <w:jc w:val="center"/>
    </w:pPr>
    <w:rPr>
      <w:rFonts w:cs="Times New Roman"/>
      <w:b/>
      <w:szCs w:val="24"/>
    </w:rPr>
  </w:style>
  <w:style w:type="paragraph" w:customStyle="1" w:styleId="534">
    <w:name w:val="表格样式1"/>
    <w:basedOn w:val="52"/>
    <w:qFormat/>
    <w:uiPriority w:val="0"/>
    <w:pPr>
      <w:spacing w:after="0"/>
      <w:ind w:firstLine="0" w:firstLineChars="0"/>
      <w:jc w:val="center"/>
    </w:pPr>
    <w:rPr>
      <w:color w:val="000000"/>
      <w:kern w:val="0"/>
      <w:sz w:val="24"/>
      <w:lang w:bidi="en-US"/>
    </w:rPr>
  </w:style>
  <w:style w:type="paragraph" w:customStyle="1" w:styleId="535">
    <w:name w:val="表格文字1"/>
    <w:basedOn w:val="50"/>
    <w:qFormat/>
    <w:uiPriority w:val="0"/>
    <w:pPr>
      <w:spacing w:before="0" w:after="0" w:line="240" w:lineRule="auto"/>
      <w:jc w:val="left"/>
      <w:outlineLvl w:val="9"/>
    </w:pPr>
    <w:rPr>
      <w:b w:val="0"/>
      <w:kern w:val="72"/>
      <w:sz w:val="21"/>
      <w:szCs w:val="72"/>
    </w:rPr>
  </w:style>
  <w:style w:type="paragraph" w:customStyle="1" w:styleId="536">
    <w:name w:val="表体"/>
    <w:basedOn w:val="1"/>
    <w:qFormat/>
    <w:uiPriority w:val="0"/>
    <w:pPr>
      <w:spacing w:line="240" w:lineRule="atLeast"/>
      <w:ind w:left="-63" w:leftChars="-30" w:right="-63" w:rightChars="-30"/>
      <w:jc w:val="center"/>
    </w:pPr>
    <w:rPr>
      <w:rFonts w:cs="Times New Roman"/>
      <w:color w:val="000000"/>
      <w:kern w:val="0"/>
      <w:sz w:val="18"/>
      <w:szCs w:val="18"/>
    </w:rPr>
  </w:style>
  <w:style w:type="paragraph" w:customStyle="1" w:styleId="537">
    <w:name w:val="正文11111111"/>
    <w:basedOn w:val="1"/>
    <w:qFormat/>
    <w:uiPriority w:val="0"/>
    <w:pPr>
      <w:spacing w:line="440" w:lineRule="exact"/>
    </w:pPr>
    <w:rPr>
      <w:rFonts w:cs="宋体"/>
      <w:szCs w:val="24"/>
    </w:rPr>
  </w:style>
  <w:style w:type="character" w:customStyle="1" w:styleId="538">
    <w:name w:val="search_content1"/>
    <w:qFormat/>
    <w:uiPriority w:val="0"/>
    <w:rPr>
      <w:sz w:val="16"/>
      <w:szCs w:val="16"/>
    </w:rPr>
  </w:style>
  <w:style w:type="paragraph" w:customStyle="1" w:styleId="539">
    <w:name w:val="L正文"/>
    <w:basedOn w:val="1"/>
    <w:qFormat/>
    <w:uiPriority w:val="0"/>
    <w:rPr>
      <w:rFonts w:cs="Times New Roman"/>
      <w:szCs w:val="24"/>
    </w:rPr>
  </w:style>
  <w:style w:type="paragraph" w:customStyle="1" w:styleId="540">
    <w:name w:val="表内容-L"/>
    <w:basedOn w:val="541"/>
    <w:qFormat/>
    <w:uiPriority w:val="0"/>
    <w:rPr>
      <w:kern w:val="0"/>
    </w:rPr>
  </w:style>
  <w:style w:type="paragraph" w:customStyle="1" w:styleId="541">
    <w:name w:val="表格内居中"/>
    <w:basedOn w:val="1"/>
    <w:qFormat/>
    <w:uiPriority w:val="0"/>
    <w:pPr>
      <w:jc w:val="center"/>
    </w:pPr>
    <w:rPr>
      <w:rFonts w:cs="Times New Roman"/>
      <w:szCs w:val="20"/>
    </w:rPr>
  </w:style>
  <w:style w:type="paragraph" w:customStyle="1" w:styleId="542">
    <w:name w:val="表-表图题-L"/>
    <w:basedOn w:val="1"/>
    <w:qFormat/>
    <w:uiPriority w:val="0"/>
    <w:pPr>
      <w:jc w:val="center"/>
    </w:pPr>
    <w:rPr>
      <w:rFonts w:cs="Times New Roman"/>
      <w:b/>
      <w:szCs w:val="24"/>
    </w:rPr>
  </w:style>
  <w:style w:type="paragraph" w:customStyle="1" w:styleId="543">
    <w:name w:val="样式 标题 3 + 小四 黑色"/>
    <w:basedOn w:val="4"/>
    <w:qFormat/>
    <w:uiPriority w:val="0"/>
    <w:pPr>
      <w:spacing w:before="100" w:beforeAutospacing="1" w:after="100" w:afterAutospacing="1" w:line="240" w:lineRule="auto"/>
      <w:ind w:firstLine="472" w:firstLineChars="196"/>
    </w:pPr>
    <w:rPr>
      <w:rFonts w:ascii="Arial" w:hAnsi="Arial" w:eastAsia="仿宋_GB2312"/>
      <w:color w:val="000000"/>
      <w:sz w:val="28"/>
      <w:lang w:eastAsia="zh-CN"/>
    </w:rPr>
  </w:style>
  <w:style w:type="paragraph" w:customStyle="1" w:styleId="544">
    <w:name w:val="1正文-L"/>
    <w:basedOn w:val="1"/>
    <w:qFormat/>
    <w:uiPriority w:val="0"/>
    <w:pPr>
      <w:ind w:firstLine="480"/>
    </w:pPr>
    <w:rPr>
      <w:rFonts w:cs="Times New Roman"/>
      <w:szCs w:val="24"/>
    </w:rPr>
  </w:style>
  <w:style w:type="paragraph" w:customStyle="1" w:styleId="545">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46">
    <w:name w:val="TOC 标题12"/>
    <w:next w:val="1"/>
    <w:unhideWhenUsed/>
    <w:qFormat/>
    <w:uiPriority w:val="39"/>
    <w:pPr>
      <w:spacing w:line="360" w:lineRule="auto"/>
      <w:jc w:val="center"/>
    </w:pPr>
    <w:rPr>
      <w:rFonts w:ascii="Times New Roman" w:hAnsi="Times New Roman" w:eastAsia="Times New Roman" w:cs="Times New Roman"/>
      <w:b/>
      <w:bCs/>
      <w:sz w:val="21"/>
      <w:szCs w:val="28"/>
      <w:lang w:val="en-US" w:eastAsia="zh-CN" w:bidi="ar-SA"/>
    </w:rPr>
  </w:style>
  <w:style w:type="character" w:customStyle="1" w:styleId="547">
    <w:name w:val="正文缩进 字符1"/>
    <w:qFormat/>
    <w:uiPriority w:val="0"/>
    <w:rPr>
      <w:rFonts w:eastAsia="宋体"/>
    </w:rPr>
  </w:style>
  <w:style w:type="paragraph" w:customStyle="1" w:styleId="548">
    <w:name w:val="【表名】"/>
    <w:basedOn w:val="1"/>
    <w:qFormat/>
    <w:uiPriority w:val="0"/>
    <w:pPr>
      <w:widowControl/>
      <w:spacing w:beforeLines="50"/>
      <w:jc w:val="center"/>
    </w:pPr>
    <w:rPr>
      <w:rFonts w:cs="Arial"/>
      <w:b/>
      <w:kern w:val="0"/>
      <w:szCs w:val="21"/>
      <w:lang w:bidi="en-US"/>
    </w:rPr>
  </w:style>
  <w:style w:type="table" w:customStyle="1" w:styleId="549">
    <w:name w:val="常用"/>
    <w:basedOn w:val="54"/>
    <w:qFormat/>
    <w:uiPriority w:val="99"/>
    <w:pPr>
      <w:jc w:val="center"/>
    </w:pPr>
    <w:rPr>
      <w:rFonts w:eastAsia="Times New Roman"/>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550">
    <w:name w:val="样式61"/>
    <w:basedOn w:val="54"/>
    <w:qFormat/>
    <w:uiPriority w:val="99"/>
    <w:pPr>
      <w:jc w:val="center"/>
    </w:pPr>
    <w:rPr>
      <w:rFonts w:ascii="Calibri" w:hAnsi="Calibri" w:eastAsia="Times New Roman"/>
      <w:kern w:val="2"/>
      <w:sz w:val="21"/>
      <w:szCs w:val="22"/>
    </w:rPr>
    <w:tblPr>
      <w:tblBorders>
        <w:top w:val="single" w:color="auto" w:sz="12" w:space="0"/>
        <w:bottom w:val="single" w:color="auto" w:sz="12" w:space="0"/>
        <w:insideH w:val="single" w:color="auto" w:sz="2" w:space="0"/>
        <w:insideV w:val="single" w:color="auto" w:sz="2" w:space="0"/>
      </w:tblBorders>
    </w:tblPr>
    <w:tcPr>
      <w:vAlign w:val="center"/>
    </w:tcPr>
  </w:style>
  <w:style w:type="table" w:customStyle="1" w:styleId="551">
    <w:name w:val="表格样式LLL"/>
    <w:basedOn w:val="57"/>
    <w:qFormat/>
    <w:uiPriority w:val="0"/>
    <w:pPr>
      <w:widowControl w:val="0"/>
      <w:jc w:val="center"/>
    </w:pPr>
    <w:tblPr>
      <w:tblBorders>
        <w:top w:val="single" w:color="auto" w:sz="12" w:space="0"/>
        <w:bottom w:val="single" w:color="auto" w:sz="12" w:space="0"/>
        <w:insideH w:val="single" w:color="auto" w:sz="2" w:space="0"/>
        <w:insideV w:val="single" w:color="auto" w:sz="2" w:space="0"/>
      </w:tblBorders>
    </w:tblPr>
    <w:tcPr>
      <w:shd w:val="clear" w:color="auto" w:fill="auto"/>
      <w:vAlign w:val="center"/>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paragraph" w:customStyle="1" w:styleId="552">
    <w:name w:val="A正文居中"/>
    <w:basedOn w:val="1"/>
    <w:qFormat/>
    <w:uiPriority w:val="0"/>
    <w:pPr>
      <w:jc w:val="center"/>
    </w:pPr>
    <w:rPr>
      <w:rFonts w:cs="Times New Roman"/>
      <w:szCs w:val="24"/>
    </w:rPr>
  </w:style>
  <w:style w:type="character" w:customStyle="1" w:styleId="553">
    <w:name w:val="普通文字 Char Char Char2"/>
    <w:qFormat/>
    <w:uiPriority w:val="0"/>
    <w:rPr>
      <w:rFonts w:ascii="宋体" w:hAnsi="Courier New" w:cs="Courier New"/>
      <w:kern w:val="2"/>
      <w:sz w:val="21"/>
      <w:szCs w:val="21"/>
    </w:rPr>
  </w:style>
  <w:style w:type="paragraph" w:customStyle="1" w:styleId="554">
    <w:name w:val="正文样式"/>
    <w:basedOn w:val="1"/>
    <w:link w:val="563"/>
    <w:qFormat/>
    <w:uiPriority w:val="0"/>
    <w:pPr>
      <w:tabs>
        <w:tab w:val="left" w:pos="1440"/>
        <w:tab w:val="left" w:pos="4368"/>
      </w:tabs>
      <w:ind w:firstLine="493"/>
    </w:pPr>
    <w:rPr>
      <w:rFonts w:cs="Times New Roman"/>
      <w:color w:val="000000"/>
      <w:szCs w:val="24"/>
    </w:rPr>
  </w:style>
  <w:style w:type="paragraph" w:customStyle="1" w:styleId="555">
    <w:name w:val="WJ表头文字"/>
    <w:basedOn w:val="1"/>
    <w:link w:val="556"/>
    <w:qFormat/>
    <w:uiPriority w:val="0"/>
    <w:pPr>
      <w:widowControl/>
      <w:spacing w:line="480" w:lineRule="exact"/>
      <w:jc w:val="center"/>
    </w:pPr>
    <w:rPr>
      <w:rFonts w:ascii="黑体" w:hAnsi="黑体" w:eastAsia="黑体" w:cs="Times New Roman"/>
      <w:kern w:val="0"/>
      <w:szCs w:val="24"/>
    </w:rPr>
  </w:style>
  <w:style w:type="character" w:customStyle="1" w:styleId="556">
    <w:name w:val="WJ表头文字 Char"/>
    <w:link w:val="555"/>
    <w:qFormat/>
    <w:uiPriority w:val="0"/>
    <w:rPr>
      <w:rFonts w:ascii="黑体" w:hAnsi="黑体" w:eastAsia="黑体"/>
      <w:sz w:val="24"/>
      <w:szCs w:val="24"/>
    </w:rPr>
  </w:style>
  <w:style w:type="paragraph" w:customStyle="1" w:styleId="557">
    <w:name w:val="WJ表文字"/>
    <w:basedOn w:val="1"/>
    <w:link w:val="558"/>
    <w:qFormat/>
    <w:uiPriority w:val="0"/>
    <w:pPr>
      <w:spacing w:line="360" w:lineRule="exact"/>
      <w:jc w:val="center"/>
    </w:pPr>
    <w:rPr>
      <w:rFonts w:ascii="宋体" w:hAnsi="宋体" w:cs="Times New Roman"/>
      <w:bCs/>
      <w:szCs w:val="21"/>
    </w:rPr>
  </w:style>
  <w:style w:type="character" w:customStyle="1" w:styleId="558">
    <w:name w:val="WJ表文字 Char"/>
    <w:link w:val="557"/>
    <w:qFormat/>
    <w:uiPriority w:val="0"/>
    <w:rPr>
      <w:rFonts w:ascii="宋体" w:hAnsi="宋体"/>
      <w:bCs/>
      <w:kern w:val="2"/>
      <w:sz w:val="21"/>
      <w:szCs w:val="21"/>
    </w:rPr>
  </w:style>
  <w:style w:type="paragraph" w:customStyle="1" w:styleId="559">
    <w:name w:val="正文-欣欣"/>
    <w:basedOn w:val="1"/>
    <w:link w:val="560"/>
    <w:qFormat/>
    <w:uiPriority w:val="0"/>
    <w:rPr>
      <w:rFonts w:ascii="宋体" w:cs="Times New Roman"/>
      <w:kern w:val="0"/>
      <w:szCs w:val="30"/>
    </w:rPr>
  </w:style>
  <w:style w:type="character" w:customStyle="1" w:styleId="560">
    <w:name w:val="正文-欣欣 Char"/>
    <w:link w:val="559"/>
    <w:qFormat/>
    <w:uiPriority w:val="0"/>
    <w:rPr>
      <w:rFonts w:ascii="宋体"/>
      <w:sz w:val="24"/>
      <w:szCs w:val="30"/>
    </w:rPr>
  </w:style>
  <w:style w:type="paragraph" w:customStyle="1" w:styleId="561">
    <w:name w:val="三级标题样式"/>
    <w:basedOn w:val="1"/>
    <w:next w:val="1"/>
    <w:link w:val="562"/>
    <w:qFormat/>
    <w:uiPriority w:val="0"/>
    <w:pPr>
      <w:jc w:val="left"/>
    </w:pPr>
    <w:rPr>
      <w:rFonts w:ascii="宋体" w:eastAsia="黑体" w:cs="Times New Roman"/>
      <w:kern w:val="0"/>
      <w:sz w:val="30"/>
      <w:szCs w:val="20"/>
    </w:rPr>
  </w:style>
  <w:style w:type="character" w:customStyle="1" w:styleId="562">
    <w:name w:val="三级标题样式 Char"/>
    <w:link w:val="561"/>
    <w:qFormat/>
    <w:uiPriority w:val="0"/>
    <w:rPr>
      <w:rFonts w:ascii="宋体" w:eastAsia="黑体"/>
      <w:sz w:val="30"/>
    </w:rPr>
  </w:style>
  <w:style w:type="character" w:customStyle="1" w:styleId="563">
    <w:name w:val="正文样式 Char Char"/>
    <w:link w:val="554"/>
    <w:qFormat/>
    <w:uiPriority w:val="0"/>
    <w:rPr>
      <w:color w:val="000000"/>
      <w:kern w:val="2"/>
      <w:sz w:val="24"/>
      <w:szCs w:val="24"/>
    </w:rPr>
  </w:style>
  <w:style w:type="character" w:customStyle="1" w:styleId="564">
    <w:name w:val="称呼 字符"/>
    <w:basedOn w:val="59"/>
    <w:link w:val="18"/>
    <w:qFormat/>
    <w:uiPriority w:val="0"/>
    <w:rPr>
      <w:rFonts w:ascii="宋体"/>
      <w:kern w:val="2"/>
      <w:sz w:val="28"/>
      <w:szCs w:val="28"/>
    </w:rPr>
  </w:style>
  <w:style w:type="character" w:customStyle="1" w:styleId="565">
    <w:name w:val="页码3"/>
    <w:basedOn w:val="59"/>
    <w:qFormat/>
    <w:uiPriority w:val="0"/>
  </w:style>
  <w:style w:type="character" w:customStyle="1" w:styleId="566">
    <w:name w:val="标题2"/>
    <w:basedOn w:val="59"/>
    <w:semiHidden/>
    <w:qFormat/>
    <w:uiPriority w:val="0"/>
  </w:style>
  <w:style w:type="paragraph" w:customStyle="1" w:styleId="567">
    <w:name w:val="Char Char Char Char Char Char Char Char Char Char Char Char Char Char Char Char1"/>
    <w:basedOn w:val="1"/>
    <w:next w:val="1"/>
    <w:qFormat/>
    <w:uiPriority w:val="0"/>
    <w:rPr>
      <w:rFonts w:cs="Times New Roman"/>
      <w:szCs w:val="24"/>
    </w:rPr>
  </w:style>
  <w:style w:type="paragraph" w:customStyle="1" w:styleId="568">
    <w:name w:val="Char22"/>
    <w:basedOn w:val="1"/>
    <w:qFormat/>
    <w:uiPriority w:val="0"/>
    <w:rPr>
      <w:rFonts w:cs="Times New Roman"/>
      <w:sz w:val="30"/>
      <w:szCs w:val="20"/>
    </w:rPr>
  </w:style>
  <w:style w:type="paragraph" w:customStyle="1" w:styleId="569">
    <w:name w:val="Char4 Char Char Char3"/>
    <w:basedOn w:val="1"/>
    <w:semiHidden/>
    <w:qFormat/>
    <w:uiPriority w:val="0"/>
    <w:rPr>
      <w:rFonts w:ascii="宋体" w:hAnsi="宋体" w:cs="宋体"/>
      <w:szCs w:val="26"/>
    </w:rPr>
  </w:style>
  <w:style w:type="paragraph" w:customStyle="1" w:styleId="570">
    <w:name w:val="Char Char2 Char Char Char Char Char Char1"/>
    <w:basedOn w:val="1"/>
    <w:semiHidden/>
    <w:qFormat/>
    <w:uiPriority w:val="0"/>
    <w:rPr>
      <w:rFonts w:cs="宋体"/>
      <w:szCs w:val="26"/>
    </w:rPr>
  </w:style>
  <w:style w:type="paragraph" w:customStyle="1" w:styleId="571">
    <w:name w:val="Char Char Char3 Char Char Char2 Char1"/>
    <w:basedOn w:val="1"/>
    <w:semiHidden/>
    <w:qFormat/>
    <w:uiPriority w:val="0"/>
    <w:rPr>
      <w:rFonts w:ascii="宋体" w:hAnsi="宋体" w:cs="宋体"/>
      <w:szCs w:val="26"/>
    </w:rPr>
  </w:style>
  <w:style w:type="paragraph" w:customStyle="1" w:styleId="572">
    <w:name w:val="Char5"/>
    <w:basedOn w:val="1"/>
    <w:qFormat/>
    <w:uiPriority w:val="0"/>
    <w:rPr>
      <w:rFonts w:cs="Times New Roman"/>
      <w:szCs w:val="24"/>
    </w:rPr>
  </w:style>
  <w:style w:type="paragraph" w:customStyle="1" w:styleId="573">
    <w:name w:val="Char Char Char Char2"/>
    <w:basedOn w:val="1"/>
    <w:qFormat/>
    <w:uiPriority w:val="0"/>
    <w:rPr>
      <w:rFonts w:ascii="仿宋_GB2312" w:hAnsi="Tahoma" w:eastAsia="仿宋_GB2312" w:cs="Times New Roman"/>
      <w:szCs w:val="21"/>
    </w:rPr>
  </w:style>
  <w:style w:type="paragraph" w:customStyle="1" w:styleId="574">
    <w:name w:val="Char Char Char2 Char Char Char Char Char Char Char Char Char Char1"/>
    <w:basedOn w:val="1"/>
    <w:semiHidden/>
    <w:qFormat/>
    <w:uiPriority w:val="0"/>
    <w:rPr>
      <w:rFonts w:ascii="宋体" w:hAnsi="宋体" w:cs="宋体"/>
      <w:szCs w:val="26"/>
    </w:rPr>
  </w:style>
  <w:style w:type="paragraph" w:customStyle="1" w:styleId="575">
    <w:name w:val="Char Char Char Char Char Char Char2"/>
    <w:basedOn w:val="1"/>
    <w:next w:val="1"/>
    <w:qFormat/>
    <w:uiPriority w:val="0"/>
    <w:rPr>
      <w:rFonts w:cs="Times New Roman"/>
      <w:szCs w:val="24"/>
    </w:rPr>
  </w:style>
  <w:style w:type="paragraph" w:customStyle="1" w:styleId="576">
    <w:name w:val="Char Char Char1 Char Char Char Char2"/>
    <w:basedOn w:val="1"/>
    <w:semiHidden/>
    <w:qFormat/>
    <w:uiPriority w:val="0"/>
    <w:rPr>
      <w:rFonts w:ascii="宋体" w:hAnsi="宋体" w:cs="宋体"/>
      <w:szCs w:val="26"/>
    </w:rPr>
  </w:style>
  <w:style w:type="paragraph" w:customStyle="1" w:styleId="577">
    <w:name w:val="Char Char Char2"/>
    <w:basedOn w:val="1"/>
    <w:qFormat/>
    <w:uiPriority w:val="0"/>
    <w:rPr>
      <w:rFonts w:cs="Times New Roman"/>
      <w:szCs w:val="20"/>
    </w:rPr>
  </w:style>
  <w:style w:type="paragraph" w:customStyle="1" w:styleId="578">
    <w:name w:val="正文sun"/>
    <w:basedOn w:val="1"/>
    <w:semiHidden/>
    <w:qFormat/>
    <w:uiPriority w:val="0"/>
    <w:rPr>
      <w:rFonts w:cs="Times New Roman"/>
      <w:szCs w:val="24"/>
    </w:rPr>
  </w:style>
  <w:style w:type="paragraph" w:customStyle="1" w:styleId="579">
    <w:name w:val="样式 标题 3标题 3 Char CharH3ReHead 3 WSAh3标题 32标题 311Re11Hea..."/>
    <w:basedOn w:val="4"/>
    <w:qFormat/>
    <w:uiPriority w:val="0"/>
    <w:pPr>
      <w:keepNext w:val="0"/>
      <w:keepLines w:val="0"/>
      <w:tabs>
        <w:tab w:val="left" w:pos="0"/>
        <w:tab w:val="left" w:pos="2160"/>
      </w:tabs>
      <w:spacing w:before="156"/>
      <w:ind w:firstLine="472" w:firstLineChars="196"/>
    </w:pPr>
    <w:rPr>
      <w:rFonts w:ascii="Arial" w:hAnsi="Arial"/>
      <w:bCs w:val="0"/>
      <w:color w:val="000000"/>
      <w:kern w:val="44"/>
      <w:szCs w:val="20"/>
      <w:lang w:eastAsia="zh-CN"/>
    </w:rPr>
  </w:style>
  <w:style w:type="paragraph" w:customStyle="1" w:styleId="580">
    <w:name w:val="WPSOffice手动目录 1"/>
    <w:qFormat/>
    <w:uiPriority w:val="0"/>
    <w:rPr>
      <w:rFonts w:ascii="Times New Roman" w:hAnsi="Times New Roman" w:eastAsia="宋体" w:cs="Times New Roman"/>
      <w:lang w:val="en-US" w:eastAsia="zh-CN" w:bidi="ar-SA"/>
    </w:rPr>
  </w:style>
  <w:style w:type="paragraph" w:customStyle="1" w:styleId="581">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582">
    <w:name w:val="font11"/>
    <w:basedOn w:val="59"/>
    <w:qFormat/>
    <w:uiPriority w:val="0"/>
    <w:rPr>
      <w:rFonts w:hint="eastAsia" w:ascii="宋体" w:hAnsi="宋体" w:eastAsia="宋体" w:cs="宋体"/>
      <w:color w:val="0000FF"/>
      <w:sz w:val="21"/>
      <w:szCs w:val="21"/>
      <w:u w:val="none"/>
    </w:rPr>
  </w:style>
  <w:style w:type="table" w:customStyle="1" w:styleId="583">
    <w:name w:val="网格型4"/>
    <w:basedOn w:val="5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4">
    <w:name w:val="网格型 51"/>
    <w:basedOn w:val="54"/>
    <w:qFormat/>
    <w:uiPriority w:val="0"/>
    <w:pPr>
      <w:widowControl w:val="0"/>
      <w:adjustRightInd w:val="0"/>
      <w:snapToGrid w:val="0"/>
      <w:spacing w:line="460" w:lineRule="exact"/>
      <w:ind w:firstLine="520" w:firstLineChars="20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nil"/>
          <w:bottom w:val="single" w:color="000000" w:sz="12" w:space="0"/>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585">
    <w:name w:val="Table Normal24"/>
    <w:unhideWhenUsed/>
    <w:qFormat/>
    <w:uiPriority w:val="0"/>
    <w:tblPr>
      <w:tblCellMar>
        <w:top w:w="0" w:type="dxa"/>
        <w:left w:w="0" w:type="dxa"/>
        <w:bottom w:w="0" w:type="dxa"/>
        <w:right w:w="0" w:type="dxa"/>
      </w:tblCellMar>
    </w:tblPr>
  </w:style>
  <w:style w:type="character" w:customStyle="1" w:styleId="586">
    <w:name w:val="cf01"/>
    <w:basedOn w:val="59"/>
    <w:qFormat/>
    <w:uiPriority w:val="0"/>
    <w:rPr>
      <w:rFonts w:hint="eastAsia" w:ascii="Microsoft YaHei UI" w:hAnsi="Microsoft YaHei UI" w:eastAsia="Microsoft YaHei UI"/>
      <w:sz w:val="18"/>
      <w:szCs w:val="18"/>
    </w:rPr>
  </w:style>
  <w:style w:type="character" w:customStyle="1" w:styleId="587">
    <w:name w:val="cf11"/>
    <w:basedOn w:val="59"/>
    <w:qFormat/>
    <w:uiPriority w:val="0"/>
    <w:rPr>
      <w:rFonts w:hint="eastAsia" w:ascii="Microsoft YaHei UI" w:hAnsi="Microsoft YaHei UI" w:eastAsia="Microsoft YaHei UI"/>
      <w:sz w:val="18"/>
      <w:szCs w:val="18"/>
    </w:rPr>
  </w:style>
  <w:style w:type="paragraph" w:customStyle="1" w:styleId="588">
    <w:name w:val="修订1"/>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589">
    <w:name w:val="rgroup"/>
    <w:basedOn w:val="59"/>
    <w:qFormat/>
    <w:uiPriority w:val="0"/>
  </w:style>
  <w:style w:type="character" w:customStyle="1" w:styleId="590">
    <w:name w:val="WJ正文 Char"/>
    <w:link w:val="591"/>
    <w:qFormat/>
    <w:uiPriority w:val="0"/>
    <w:rPr>
      <w:rFonts w:ascii="宋体" w:hAnsi="宋体"/>
      <w:color w:val="000000"/>
      <w:kern w:val="2"/>
      <w:sz w:val="24"/>
      <w:szCs w:val="24"/>
    </w:rPr>
  </w:style>
  <w:style w:type="paragraph" w:customStyle="1" w:styleId="591">
    <w:name w:val="WJ正文"/>
    <w:basedOn w:val="1"/>
    <w:next w:val="1"/>
    <w:link w:val="590"/>
    <w:qFormat/>
    <w:uiPriority w:val="0"/>
    <w:pPr>
      <w:tabs>
        <w:tab w:val="left" w:pos="600"/>
      </w:tabs>
      <w:spacing w:line="480" w:lineRule="exact"/>
      <w:ind w:firstLine="480"/>
    </w:pPr>
    <w:rPr>
      <w:rFonts w:ascii="宋体" w:hAnsi="宋体" w:cs="Times New Roman"/>
      <w:color w:val="000000"/>
      <w:szCs w:val="24"/>
    </w:rPr>
  </w:style>
  <w:style w:type="table" w:customStyle="1" w:styleId="592">
    <w:name w:val="双线表"/>
    <w:basedOn w:val="54"/>
    <w:qFormat/>
    <w:uiPriority w:val="99"/>
    <w:pPr>
      <w:spacing w:line="360" w:lineRule="auto"/>
      <w:ind w:firstLine="200"/>
      <w:jc w:val="center"/>
    </w:pPr>
    <w:rPr>
      <w:rFonts w:eastAsia="Times New Roman"/>
      <w:kern w:val="2"/>
      <w:sz w:val="24"/>
      <w14:ligatures w14:val="standardContextual"/>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593">
    <w:name w:val="Char1 Char Char1 Char Char Char Char Char Char Char Char Char2 Char"/>
    <w:basedOn w:val="1"/>
    <w:qFormat/>
    <w:uiPriority w:val="0"/>
    <w:pPr>
      <w:adjustRightInd/>
      <w:snapToGrid/>
      <w:spacing w:line="240" w:lineRule="auto"/>
      <w:ind w:firstLine="0" w:firstLineChars="0"/>
    </w:pPr>
    <w:rPr>
      <w:rFonts w:cs="Times New Roman"/>
      <w:sz w:val="21"/>
      <w:szCs w:val="24"/>
    </w:rPr>
  </w:style>
  <w:style w:type="character" w:customStyle="1" w:styleId="594">
    <w:name w:val="普通(网站) Char"/>
    <w:qFormat/>
    <w:locked/>
    <w:uiPriority w:val="99"/>
    <w:rPr>
      <w:rFonts w:ascii="宋体" w:hAnsi="宋体" w:eastAsia="宋体" w:cs="宋体"/>
      <w:kern w:val="0"/>
      <w:sz w:val="18"/>
      <w:szCs w:val="18"/>
      <w14:ligatures w14:val="none"/>
    </w:rPr>
  </w:style>
  <w:style w:type="paragraph" w:customStyle="1" w:styleId="595">
    <w:name w:val="表格内容"/>
    <w:link w:val="596"/>
    <w:qFormat/>
    <w:uiPriority w:val="0"/>
    <w:pPr>
      <w:widowControl w:val="0"/>
      <w:adjustRightInd w:val="0"/>
      <w:snapToGrid w:val="0"/>
      <w:jc w:val="center"/>
    </w:pPr>
    <w:rPr>
      <w:rFonts w:ascii="Times New Roman" w:hAnsi="Times New Roman" w:eastAsia="宋体" w:cstheme="majorBidi"/>
      <w:sz w:val="21"/>
      <w:szCs w:val="21"/>
      <w:lang w:val="en-US" w:eastAsia="zh-CN" w:bidi="ar-SA"/>
    </w:rPr>
  </w:style>
  <w:style w:type="character" w:customStyle="1" w:styleId="596">
    <w:name w:val="表格内容 字符"/>
    <w:basedOn w:val="59"/>
    <w:link w:val="595"/>
    <w:qFormat/>
    <w:uiPriority w:val="0"/>
    <w:rPr>
      <w:rFonts w:cstheme="majorBidi"/>
      <w:sz w:val="21"/>
      <w:szCs w:val="21"/>
    </w:rPr>
  </w:style>
  <w:style w:type="character" w:customStyle="1" w:styleId="597">
    <w:name w:val="表标题 字符"/>
    <w:basedOn w:val="59"/>
    <w:link w:val="526"/>
    <w:qFormat/>
    <w:uiPriority w:val="0"/>
    <w:rPr>
      <w:rFonts w:eastAsia="黑体"/>
      <w:b/>
      <w:bCs/>
      <w:kern w:val="2"/>
      <w:sz w:val="24"/>
      <w:szCs w:val="28"/>
    </w:rPr>
  </w:style>
  <w:style w:type="paragraph" w:customStyle="1" w:styleId="598">
    <w:name w:val="正文（粗）"/>
    <w:basedOn w:val="1"/>
    <w:link w:val="599"/>
    <w:qFormat/>
    <w:uiPriority w:val="0"/>
    <w:pPr>
      <w:keepNext/>
      <w:jc w:val="left"/>
    </w:pPr>
    <w:rPr>
      <w:rFonts w:cs="宋体"/>
      <w:b/>
      <w:snapToGrid w:val="0"/>
      <w:color w:val="000000" w:themeColor="text1"/>
      <w:kern w:val="0"/>
      <w:szCs w:val="24"/>
      <w:lang w:val="zh-CN"/>
      <w14:textFill>
        <w14:solidFill>
          <w14:schemeClr w14:val="tx1"/>
        </w14:solidFill>
      </w14:textFill>
    </w:rPr>
  </w:style>
  <w:style w:type="character" w:customStyle="1" w:styleId="599">
    <w:name w:val="正文（粗） 字符"/>
    <w:basedOn w:val="59"/>
    <w:link w:val="598"/>
    <w:qFormat/>
    <w:uiPriority w:val="0"/>
    <w:rPr>
      <w:rFonts w:cs="宋体"/>
      <w:b/>
      <w:snapToGrid w:val="0"/>
      <w:color w:val="000000" w:themeColor="text1"/>
      <w:sz w:val="24"/>
      <w:szCs w:val="24"/>
      <w:lang w:val="zh-CN"/>
      <w14:textFill>
        <w14:solidFill>
          <w14:schemeClr w14:val="tx1"/>
        </w14:solidFill>
      </w14:textFill>
    </w:rPr>
  </w:style>
  <w:style w:type="paragraph" w:customStyle="1" w:styleId="600">
    <w:name w:val="图标题"/>
    <w:basedOn w:val="14"/>
    <w:link w:val="601"/>
    <w:qFormat/>
    <w:uiPriority w:val="0"/>
    <w:pPr>
      <w:ind w:firstLine="482" w:firstLineChars="0"/>
      <w:outlineLvl w:val="4"/>
    </w:pPr>
    <w:rPr>
      <w:rFonts w:ascii="Times New Roman" w:hAnsi="Times New Roman" w:eastAsia="黑体"/>
      <w:sz w:val="22"/>
    </w:rPr>
  </w:style>
  <w:style w:type="character" w:customStyle="1" w:styleId="601">
    <w:name w:val="图标题 字符"/>
    <w:basedOn w:val="75"/>
    <w:link w:val="600"/>
    <w:qFormat/>
    <w:uiPriority w:val="0"/>
    <w:rPr>
      <w:rFonts w:eastAsia="黑体"/>
      <w:kern w:val="2"/>
      <w:sz w:val="22"/>
      <w:szCs w:val="24"/>
    </w:rPr>
  </w:style>
  <w:style w:type="table" w:customStyle="1" w:styleId="602">
    <w:name w:val="双线框"/>
    <w:basedOn w:val="54"/>
    <w:qFormat/>
    <w:uiPriority w:val="99"/>
    <w:pPr>
      <w:jc w:val="center"/>
    </w:pPr>
    <w:rPr>
      <w:rFonts w:eastAsia="Times New Roman" w:asciiTheme="minorHAnsi" w:hAnsiTheme="minorHAnsi" w:cstheme="minorBidi"/>
      <w:kern w:val="2"/>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character" w:customStyle="1" w:styleId="603">
    <w:name w:val="图片居中 字符"/>
    <w:basedOn w:val="59"/>
    <w:link w:val="95"/>
    <w:qFormat/>
    <w:uiPriority w:val="0"/>
    <w:rPr>
      <w:rFonts w:eastAsia="Times New Roman"/>
      <w:sz w:val="29"/>
      <w:szCs w:val="29"/>
      <w:lang w:eastAsia="en-US"/>
    </w:rPr>
  </w:style>
  <w:style w:type="paragraph" w:customStyle="1" w:styleId="604">
    <w:name w:val="目录"/>
    <w:next w:val="1"/>
    <w:link w:val="605"/>
    <w:qFormat/>
    <w:uiPriority w:val="0"/>
    <w:pPr>
      <w:tabs>
        <w:tab w:val="right" w:leader="dot" w:pos="8300"/>
      </w:tabs>
      <w:ind w:left="480" w:firstLine="440"/>
    </w:pPr>
    <w:rPr>
      <w:rFonts w:ascii="Times New Roman" w:hAnsi="Times New Roman" w:eastAsia="宋体" w:cs="Times New Roman"/>
      <w:sz w:val="22"/>
      <w:szCs w:val="22"/>
      <w:lang w:val="en-US" w:eastAsia="en-US" w:bidi="ar-SA"/>
    </w:rPr>
  </w:style>
  <w:style w:type="character" w:customStyle="1" w:styleId="605">
    <w:name w:val="目录 字符"/>
    <w:basedOn w:val="59"/>
    <w:link w:val="604"/>
    <w:qFormat/>
    <w:uiPriority w:val="0"/>
    <w:rPr>
      <w:sz w:val="22"/>
      <w:szCs w:val="22"/>
      <w:lang w:eastAsia="en-US"/>
    </w:rPr>
  </w:style>
  <w:style w:type="paragraph" w:customStyle="1" w:styleId="606">
    <w:name w:val="图表内容"/>
    <w:basedOn w:val="1"/>
    <w:next w:val="21"/>
    <w:qFormat/>
    <w:uiPriority w:val="0"/>
    <w:pPr>
      <w:snapToGrid/>
      <w:spacing w:line="240" w:lineRule="auto"/>
      <w:ind w:firstLine="0" w:firstLineChars="0"/>
      <w:jc w:val="center"/>
      <w:textAlignment w:val="baseline"/>
    </w:pPr>
    <w:rPr>
      <w:rFonts w:ascii="宋体" w:cs="Times New Roman" w:hAnsiTheme="minorHAnsi" w:eastAsiaTheme="minorEastAsia"/>
      <w:sz w:val="21"/>
      <w:szCs w:val="20"/>
    </w:rPr>
  </w:style>
  <w:style w:type="paragraph" w:customStyle="1" w:styleId="607">
    <w:name w:val="正法律法规0"/>
    <w:basedOn w:val="1"/>
    <w:qFormat/>
    <w:uiPriority w:val="0"/>
    <w:pPr>
      <w:numPr>
        <w:ilvl w:val="0"/>
        <w:numId w:val="3"/>
      </w:numPr>
      <w:ind w:firstLine="0" w:firstLineChars="0"/>
    </w:pPr>
    <w:rPr>
      <w:rFonts w:cs="Times New Roman"/>
      <w:color w:val="000000" w:themeColor="text1"/>
      <w:kern w:val="0"/>
      <w:szCs w:val="24"/>
      <w14:textFill>
        <w14:solidFill>
          <w14:schemeClr w14:val="tx1"/>
        </w14:solidFill>
      </w14:textFill>
    </w:rPr>
  </w:style>
  <w:style w:type="paragraph" w:customStyle="1" w:styleId="608">
    <w:name w:val="图表标题"/>
    <w:basedOn w:val="1"/>
    <w:next w:val="204"/>
    <w:qFormat/>
    <w:uiPriority w:val="0"/>
    <w:pPr>
      <w:spacing w:line="560" w:lineRule="exact"/>
      <w:ind w:firstLine="0" w:firstLineChars="0"/>
      <w:jc w:val="center"/>
      <w:textAlignment w:val="baseline"/>
    </w:pPr>
    <w:rPr>
      <w:rFonts w:ascii="黑体" w:eastAsia="黑体" w:cs="Times New Roman"/>
      <w:sz w:val="21"/>
      <w:szCs w:val="21"/>
    </w:rPr>
  </w:style>
  <w:style w:type="paragraph" w:customStyle="1" w:styleId="609">
    <w:name w:val="Char Char Char Char Char Char Char3"/>
    <w:basedOn w:val="1"/>
    <w:qFormat/>
    <w:uiPriority w:val="0"/>
    <w:pPr>
      <w:adjustRightInd/>
      <w:snapToGrid/>
      <w:spacing w:line="240" w:lineRule="auto"/>
      <w:ind w:firstLine="0" w:firstLineChars="0"/>
    </w:pPr>
    <w:rPr>
      <w:rFonts w:cs="Times New Roman"/>
      <w:sz w:val="21"/>
      <w:szCs w:val="24"/>
    </w:rPr>
  </w:style>
  <w:style w:type="paragraph" w:customStyle="1" w:styleId="610">
    <w:name w:val="Char Char Char Char Char Char Char4"/>
    <w:basedOn w:val="1"/>
    <w:qFormat/>
    <w:uiPriority w:val="0"/>
    <w:pPr>
      <w:adjustRightInd/>
      <w:snapToGrid/>
      <w:spacing w:line="240" w:lineRule="auto"/>
      <w:ind w:firstLine="0" w:firstLineChars="0"/>
    </w:pPr>
    <w:rPr>
      <w:rFonts w:cs="Times New Roman"/>
      <w:sz w:val="21"/>
      <w:szCs w:val="24"/>
    </w:rPr>
  </w:style>
  <w:style w:type="paragraph" w:customStyle="1" w:styleId="611">
    <w:name w:val="Char Char Char Char Char Char1 Char Char Char Char Char Char Char Char Char Char Char Char Char"/>
    <w:basedOn w:val="1"/>
    <w:qFormat/>
    <w:uiPriority w:val="0"/>
    <w:pPr>
      <w:adjustRightInd/>
      <w:snapToGrid/>
      <w:spacing w:line="400" w:lineRule="exact"/>
    </w:pPr>
    <w:rPr>
      <w:rFonts w:cs="Times New Roman"/>
    </w:rPr>
  </w:style>
  <w:style w:type="table" w:customStyle="1" w:styleId="612">
    <w:name w:val="列表型 31"/>
    <w:basedOn w:val="54"/>
    <w:semiHidden/>
    <w:unhideWhenUsed/>
    <w:qFormat/>
    <w:uiPriority w:val="99"/>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paragraph" w:customStyle="1" w:styleId="613">
    <w:name w:val="标题 11"/>
    <w:basedOn w:val="1"/>
    <w:qFormat/>
    <w:uiPriority w:val="1"/>
    <w:pPr>
      <w:widowControl/>
      <w:adjustRightInd/>
      <w:snapToGrid/>
      <w:spacing w:line="240" w:lineRule="auto"/>
      <w:ind w:firstLine="0" w:firstLineChars="0"/>
      <w:jc w:val="left"/>
      <w:outlineLvl w:val="1"/>
    </w:pPr>
    <w:rPr>
      <w:rFonts w:eastAsia="Times New Roman" w:cs="Times New Roman"/>
      <w:kern w:val="0"/>
      <w:sz w:val="29"/>
      <w:szCs w:val="29"/>
      <w:lang w:eastAsia="en-US"/>
    </w:rPr>
  </w:style>
  <w:style w:type="paragraph" w:customStyle="1" w:styleId="614">
    <w:name w:val="图表名称"/>
    <w:basedOn w:val="1"/>
    <w:next w:val="1"/>
    <w:link w:val="615"/>
    <w:qFormat/>
    <w:uiPriority w:val="99"/>
    <w:pPr>
      <w:adjustRightInd/>
      <w:snapToGrid/>
      <w:spacing w:beforeLines="50" w:line="240" w:lineRule="auto"/>
      <w:ind w:firstLine="0" w:firstLineChars="0"/>
      <w:jc w:val="center"/>
    </w:pPr>
    <w:rPr>
      <w:rFonts w:eastAsia="仿宋_GB2312" w:cs="Times New Roman"/>
      <w:b/>
      <w:szCs w:val="28"/>
    </w:rPr>
  </w:style>
  <w:style w:type="character" w:customStyle="1" w:styleId="615">
    <w:name w:val="图表名称 字符"/>
    <w:basedOn w:val="59"/>
    <w:link w:val="614"/>
    <w:qFormat/>
    <w:uiPriority w:val="99"/>
    <w:rPr>
      <w:rFonts w:eastAsia="仿宋_GB2312"/>
      <w:b/>
      <w:kern w:val="2"/>
      <w:sz w:val="24"/>
      <w:szCs w:val="28"/>
    </w:rPr>
  </w:style>
  <w:style w:type="character" w:customStyle="1" w:styleId="616">
    <w:name w:val="未处理的提及31"/>
    <w:basedOn w:val="59"/>
    <w:semiHidden/>
    <w:unhideWhenUsed/>
    <w:qFormat/>
    <w:uiPriority w:val="99"/>
    <w:rPr>
      <w:color w:val="605E5C"/>
      <w:shd w:val="clear" w:color="auto" w:fill="E1DFDD"/>
    </w:rPr>
  </w:style>
  <w:style w:type="paragraph" w:customStyle="1" w:styleId="617">
    <w:name w:val="TOC 标题21"/>
    <w:basedOn w:val="2"/>
    <w:next w:val="1"/>
    <w:unhideWhenUsed/>
    <w:qFormat/>
    <w:uiPriority w:val="39"/>
    <w:pPr>
      <w:numPr>
        <w:numId w:val="0"/>
      </w:numPr>
      <w:adjustRightInd/>
      <w:snapToGrid/>
      <w:spacing w:before="240" w:beforeLines="100" w:after="0" w:line="259" w:lineRule="auto"/>
      <w:jc w:val="left"/>
      <w:outlineLvl w:val="9"/>
    </w:pPr>
    <w:rPr>
      <w:rFonts w:ascii="等线 Light" w:hAnsi="等线 Light" w:eastAsia="等线 Light"/>
      <w:bCs w:val="0"/>
      <w:color w:val="2F5496"/>
      <w:kern w:val="0"/>
      <w:szCs w:val="32"/>
      <w:lang w:eastAsia="zh-CN"/>
    </w:rPr>
  </w:style>
  <w:style w:type="table" w:customStyle="1" w:styleId="618">
    <w:name w:val="表格样式LLL1"/>
    <w:basedOn w:val="57"/>
    <w:qFormat/>
    <w:uiPriority w:val="0"/>
    <w:pPr>
      <w:widowControl w:val="0"/>
      <w:jc w:val="center"/>
    </w:pPr>
    <w:tblPr>
      <w:tblBorders>
        <w:top w:val="single" w:color="auto" w:sz="12" w:space="0"/>
        <w:bottom w:val="single" w:color="auto" w:sz="12" w:space="0"/>
        <w:insideH w:val="single" w:color="auto" w:sz="2" w:space="0"/>
        <w:insideV w:val="single" w:color="auto" w:sz="2" w:space="0"/>
      </w:tblBorders>
    </w:tblPr>
    <w:tcPr>
      <w:shd w:val="clear" w:color="auto" w:fill="auto"/>
      <w:vAlign w:val="center"/>
    </w:tcPr>
    <w:tblStylePr w:type="firstRow">
      <w:rPr>
        <w:b/>
        <w:bCs/>
        <w:color w:val="000080"/>
      </w:rPr>
      <w:tcPr>
        <w:tcBorders>
          <w:bottom w:val="single" w:color="000000" w:sz="12" w:space="0"/>
          <w:tl2br w:val="nil"/>
          <w:tr2bl w:val="nil"/>
        </w:tcBorders>
      </w:tcPr>
    </w:tblStylePr>
    <w:tblStylePr w:type="lastRow">
      <w:tcPr>
        <w:tcBorders>
          <w:top w:val="single" w:color="000000" w:sz="12" w:space="0"/>
          <w:tl2br w:val="nil"/>
          <w:tr2bl w:val="nil"/>
        </w:tcBorders>
      </w:tcPr>
    </w:tblStylePr>
    <w:tblStylePr w:type="swCell">
      <w:rPr>
        <w:i/>
        <w:iCs/>
        <w:color w:val="000080"/>
      </w:rPr>
      <w:tcPr>
        <w:tcBorders>
          <w:tl2br w:val="nil"/>
          <w:tr2bl w:val="nil"/>
        </w:tcBorders>
      </w:tcPr>
    </w:tblStylePr>
  </w:style>
  <w:style w:type="character" w:customStyle="1" w:styleId="619">
    <w:name w:val="正文-204 Char"/>
    <w:link w:val="620"/>
    <w:qFormat/>
    <w:uiPriority w:val="0"/>
    <w:rPr>
      <w:rFonts w:eastAsia="等线"/>
      <w:color w:val="000000"/>
      <w:kern w:val="2"/>
      <w:sz w:val="24"/>
      <w:szCs w:val="24"/>
    </w:rPr>
  </w:style>
  <w:style w:type="paragraph" w:customStyle="1" w:styleId="620">
    <w:name w:val="正文-204"/>
    <w:basedOn w:val="1"/>
    <w:link w:val="619"/>
    <w:qFormat/>
    <w:uiPriority w:val="0"/>
    <w:pPr>
      <w:widowControl/>
      <w:adjustRightInd/>
      <w:snapToGrid/>
      <w:ind w:firstLine="480"/>
      <w:contextualSpacing/>
    </w:pPr>
    <w:rPr>
      <w:rFonts w:eastAsia="等线" w:cs="Times New Roman"/>
      <w:color w:val="000000"/>
      <w:szCs w:val="24"/>
    </w:rPr>
  </w:style>
  <w:style w:type="character" w:customStyle="1" w:styleId="621">
    <w:name w:val="font51"/>
    <w:basedOn w:val="59"/>
    <w:qFormat/>
    <w:uiPriority w:val="0"/>
    <w:rPr>
      <w:rFonts w:hint="default" w:ascii="Times New Roman" w:hAnsi="Times New Roman" w:cs="Times New Roman"/>
      <w:color w:val="000000"/>
      <w:sz w:val="21"/>
      <w:szCs w:val="21"/>
      <w:u w:val="none"/>
    </w:rPr>
  </w:style>
  <w:style w:type="character" w:customStyle="1" w:styleId="622">
    <w:name w:val="font31"/>
    <w:basedOn w:val="59"/>
    <w:qFormat/>
    <w:uiPriority w:val="0"/>
    <w:rPr>
      <w:rFonts w:hint="default" w:ascii="Times New Roman" w:hAnsi="Times New Roman" w:cs="Times New Roman"/>
      <w:color w:val="000000"/>
      <w:sz w:val="21"/>
      <w:szCs w:val="21"/>
      <w:u w:val="none"/>
    </w:rPr>
  </w:style>
  <w:style w:type="character" w:customStyle="1" w:styleId="623">
    <w:name w:val="font61"/>
    <w:basedOn w:val="59"/>
    <w:qFormat/>
    <w:uiPriority w:val="0"/>
    <w:rPr>
      <w:rFonts w:hint="default" w:ascii="Times New Roman" w:hAnsi="Times New Roman" w:cs="Times New Roman"/>
      <w:color w:val="000000"/>
      <w:sz w:val="21"/>
      <w:szCs w:val="21"/>
      <w:u w:val="none"/>
    </w:rPr>
  </w:style>
  <w:style w:type="character" w:customStyle="1" w:styleId="624">
    <w:name w:val="font81"/>
    <w:basedOn w:val="59"/>
    <w:qFormat/>
    <w:uiPriority w:val="0"/>
    <w:rPr>
      <w:rFonts w:hint="eastAsia" w:ascii="宋体" w:hAnsi="宋体" w:eastAsia="宋体" w:cs="宋体"/>
      <w:color w:val="000000"/>
      <w:sz w:val="21"/>
      <w:szCs w:val="21"/>
      <w:u w:val="none"/>
    </w:rPr>
  </w:style>
  <w:style w:type="character" w:customStyle="1" w:styleId="625">
    <w:name w:val="font71"/>
    <w:basedOn w:val="59"/>
    <w:qFormat/>
    <w:uiPriority w:val="0"/>
    <w:rPr>
      <w:rFonts w:hint="eastAsia" w:ascii="宋体" w:hAnsi="宋体" w:eastAsia="宋体" w:cs="宋体"/>
      <w:color w:val="000000"/>
      <w:sz w:val="21"/>
      <w:szCs w:val="21"/>
      <w:u w:val="none"/>
    </w:rPr>
  </w:style>
  <w:style w:type="character" w:customStyle="1" w:styleId="626">
    <w:name w:val="font41"/>
    <w:basedOn w:val="59"/>
    <w:qFormat/>
    <w:uiPriority w:val="0"/>
    <w:rPr>
      <w:rFonts w:hint="default" w:ascii="Times New Roman" w:hAnsi="Times New Roman" w:cs="Times New Roman"/>
      <w:color w:val="000000"/>
      <w:sz w:val="21"/>
      <w:szCs w:val="21"/>
      <w:u w:val="none"/>
    </w:rPr>
  </w:style>
  <w:style w:type="paragraph" w:customStyle="1" w:styleId="627">
    <w:name w:val="a正文格式"/>
    <w:basedOn w:val="1"/>
    <w:qFormat/>
    <w:uiPriority w:val="0"/>
    <w:rPr>
      <w:szCs w:val="21"/>
    </w:rPr>
  </w:style>
  <w:style w:type="paragraph" w:customStyle="1" w:styleId="628">
    <w:name w:val="表格标题 核工业"/>
    <w:qFormat/>
    <w:uiPriority w:val="0"/>
    <w:pPr>
      <w:keepNext/>
      <w:spacing w:before="50" w:beforeLines="50"/>
      <w:jc w:val="center"/>
    </w:pPr>
    <w:rPr>
      <w:rFonts w:ascii="Times New Roman" w:hAnsi="Times New Roman" w:eastAsia="黑体" w:cs="Times New Roman"/>
      <w:kern w:val="2"/>
      <w:sz w:val="22"/>
      <w:lang w:val="en-US" w:eastAsia="zh-CN" w:bidi="ar-SA"/>
    </w:rPr>
  </w:style>
  <w:style w:type="table" w:customStyle="1" w:styleId="629">
    <w:name w:val="Table Grid_0"/>
    <w:basedOn w:val="54"/>
    <w:qFormat/>
    <w:uiPriority w:val="0"/>
    <w:rPr>
      <w:rFonts w:eastAsia="仿宋"/>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30">
    <w:name w:val="A表名格式"/>
    <w:basedOn w:val="1"/>
    <w:qFormat/>
    <w:uiPriority w:val="0"/>
    <w:pPr>
      <w:spacing w:line="400" w:lineRule="exact"/>
      <w:jc w:val="center"/>
    </w:pPr>
    <w:rPr>
      <w:rFonts w:eastAsia="黑体"/>
    </w:rPr>
  </w:style>
  <w:style w:type="paragraph" w:customStyle="1" w:styleId="631">
    <w:name w:val="a表格字体"/>
    <w:basedOn w:val="1"/>
    <w:qFormat/>
    <w:uiPriority w:val="0"/>
    <w:pPr>
      <w:jc w:val="center"/>
    </w:pPr>
    <w:rPr>
      <w:szCs w:val="21"/>
    </w:rPr>
  </w:style>
  <w:style w:type="table" w:customStyle="1" w:styleId="632">
    <w:name w:val="网格型81"/>
    <w:basedOn w:val="54"/>
    <w:qFormat/>
    <w:uiPriority w:val="0"/>
    <w:rPr>
      <w:color w:val="00000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33">
    <w:name w:val="1正文"/>
    <w:basedOn w:val="1"/>
    <w:qFormat/>
    <w:uiPriority w:val="0"/>
    <w:pPr>
      <w:spacing w:line="460" w:lineRule="exact"/>
    </w:pPr>
    <w:rPr>
      <w:szCs w:val="24"/>
      <w:lang w:val="zh-CN"/>
    </w:rPr>
  </w:style>
  <w:style w:type="paragraph" w:customStyle="1" w:styleId="634">
    <w:name w:val="表头1"/>
    <w:basedOn w:val="1"/>
    <w:qFormat/>
    <w:uiPriority w:val="0"/>
    <w:pPr>
      <w:jc w:val="center"/>
    </w:pPr>
    <w:rPr>
      <w:sz w:val="21"/>
      <w:szCs w:val="24"/>
    </w:rPr>
  </w:style>
  <w:style w:type="paragraph" w:customStyle="1" w:styleId="635">
    <w:name w:val="表格内居中文字"/>
    <w:basedOn w:val="1"/>
    <w:qFormat/>
    <w:uiPriority w:val="0"/>
    <w:pPr>
      <w:spacing w:line="320" w:lineRule="atLeast"/>
      <w:jc w:val="center"/>
    </w:pPr>
    <w:rPr>
      <w:szCs w:val="24"/>
    </w:rPr>
  </w:style>
  <w:style w:type="paragraph" w:customStyle="1" w:styleId="636">
    <w:name w:val="0-7表外文字"/>
    <w:basedOn w:val="1"/>
    <w:qFormat/>
    <w:uiPriority w:val="0"/>
    <w:pPr>
      <w:wordWrap w:val="0"/>
      <w:spacing w:beforeLines="20"/>
      <w:jc w:val="center"/>
    </w:pPr>
    <w:rPr>
      <w:b/>
      <w:szCs w:val="20"/>
    </w:rPr>
  </w:style>
  <w:style w:type="paragraph" w:customStyle="1" w:styleId="637">
    <w:name w:val="表格(张曦)"/>
    <w:basedOn w:val="1"/>
    <w:qFormat/>
    <w:uiPriority w:val="0"/>
    <w:pPr>
      <w:jc w:val="center"/>
    </w:pPr>
  </w:style>
  <w:style w:type="paragraph" w:customStyle="1" w:styleId="638">
    <w:name w:val="文本文字"/>
    <w:basedOn w:val="1"/>
    <w:qFormat/>
    <w:uiPriority w:val="0"/>
    <w:pPr>
      <w:adjustRightInd/>
      <w:snapToGrid/>
    </w:pPr>
    <w:rPr>
      <w:rFonts w:eastAsia="仿宋_GB2312" w:cs="Times New Roman"/>
    </w:rPr>
  </w:style>
  <w:style w:type="paragraph" w:customStyle="1" w:styleId="639">
    <w:name w:val="图 片"/>
    <w:next w:val="600"/>
    <w:qFormat/>
    <w:uiPriority w:val="0"/>
    <w:pPr>
      <w:adjustRightInd w:val="0"/>
      <w:snapToGrid w:val="0"/>
      <w:jc w:val="center"/>
    </w:pPr>
    <w:rPr>
      <w:rFonts w:ascii="Times New Roman" w:hAnsi="Times New Roman" w:eastAsia="宋体" w:cs="Times New Roman"/>
      <w:snapToGrid w:val="0"/>
      <w:sz w:val="24"/>
      <w:szCs w:val="24"/>
      <w:lang w:val="en-US" w:eastAsia="zh-CN" w:bidi="ar-SA"/>
    </w:rPr>
  </w:style>
  <w:style w:type="table" w:customStyle="1" w:styleId="640">
    <w:name w:val="双线表1"/>
    <w:basedOn w:val="54"/>
    <w:qFormat/>
    <w:uiPriority w:val="99"/>
    <w:pPr>
      <w:jc w:val="center"/>
    </w:pPr>
    <w:rPr>
      <w:rFonts w:eastAsia="Times New Roman"/>
      <w:snapToGrid w:val="0"/>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style>
  <w:style w:type="paragraph" w:customStyle="1" w:styleId="641">
    <w:name w:val="图表名"/>
    <w:basedOn w:val="1"/>
    <w:qFormat/>
    <w:uiPriority w:val="0"/>
    <w:pPr>
      <w:jc w:val="center"/>
    </w:pPr>
    <w:rPr>
      <w:rFonts w:eastAsia="黑体"/>
    </w:rPr>
  </w:style>
  <w:style w:type="paragraph" w:customStyle="1" w:styleId="642">
    <w:name w:val="rpt_表项"/>
    <w:basedOn w:val="1"/>
    <w:qFormat/>
    <w:uiPriority w:val="0"/>
    <w:pPr>
      <w:spacing w:before="60" w:after="60"/>
      <w:jc w:val="center"/>
    </w:pPr>
    <w:rPr>
      <w:rFonts w:cs="宋体"/>
      <w:sz w:val="22"/>
      <w:szCs w:val="20"/>
    </w:rPr>
  </w:style>
  <w:style w:type="table" w:customStyle="1" w:styleId="643">
    <w:name w:val="网格型42"/>
    <w:basedOn w:val="5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4">
    <w:name w:val="网格型43"/>
    <w:basedOn w:val="5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45">
    <w:name w:val="图名"/>
    <w:basedOn w:val="1"/>
    <w:qFormat/>
    <w:uiPriority w:val="0"/>
    <w:pPr>
      <w:spacing w:line="240" w:lineRule="auto"/>
      <w:ind w:firstLine="0" w:firstLineChars="0"/>
      <w:jc w:val="center"/>
    </w:pPr>
    <w:rPr>
      <w:rFonts w:eastAsia="黑体"/>
      <w:kern w:val="0"/>
      <w:sz w:val="21"/>
      <w:szCs w:val="20"/>
    </w:rPr>
  </w:style>
  <w:style w:type="paragraph" w:customStyle="1" w:styleId="646">
    <w:name w:val="01 大庆环评 正文"/>
    <w:basedOn w:val="230"/>
    <w:qFormat/>
    <w:uiPriority w:val="0"/>
    <w:pPr>
      <w:spacing w:line="360" w:lineRule="auto"/>
    </w:pPr>
    <w:rPr>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79.png"/><Relationship Id="rId98" Type="http://schemas.openxmlformats.org/officeDocument/2006/relationships/image" Target="media/image78.png"/><Relationship Id="rId97" Type="http://schemas.openxmlformats.org/officeDocument/2006/relationships/image" Target="media/image77.png"/><Relationship Id="rId96" Type="http://schemas.openxmlformats.org/officeDocument/2006/relationships/image" Target="media/image76.png"/><Relationship Id="rId95" Type="http://schemas.openxmlformats.org/officeDocument/2006/relationships/image" Target="media/image75.png"/><Relationship Id="rId94" Type="http://schemas.openxmlformats.org/officeDocument/2006/relationships/image" Target="media/image74.png"/><Relationship Id="rId93" Type="http://schemas.openxmlformats.org/officeDocument/2006/relationships/image" Target="media/image73.jpeg"/><Relationship Id="rId92" Type="http://schemas.openxmlformats.org/officeDocument/2006/relationships/image" Target="media/image72.jpeg"/><Relationship Id="rId91" Type="http://schemas.openxmlformats.org/officeDocument/2006/relationships/image" Target="media/image71.jpeg"/><Relationship Id="rId90" Type="http://schemas.openxmlformats.org/officeDocument/2006/relationships/image" Target="media/image70.jpeg"/><Relationship Id="rId9" Type="http://schemas.openxmlformats.org/officeDocument/2006/relationships/footer" Target="footer2.xml"/><Relationship Id="rId89" Type="http://schemas.openxmlformats.org/officeDocument/2006/relationships/image" Target="media/image69.jpeg"/><Relationship Id="rId88" Type="http://schemas.openxmlformats.org/officeDocument/2006/relationships/image" Target="media/image68.jpeg"/><Relationship Id="rId87" Type="http://schemas.openxmlformats.org/officeDocument/2006/relationships/image" Target="media/image67.jpeg"/><Relationship Id="rId86" Type="http://schemas.openxmlformats.org/officeDocument/2006/relationships/image" Target="media/image66.jpeg"/><Relationship Id="rId85" Type="http://schemas.openxmlformats.org/officeDocument/2006/relationships/image" Target="media/image65.jpeg"/><Relationship Id="rId84" Type="http://schemas.openxmlformats.org/officeDocument/2006/relationships/image" Target="media/image64.jpeg"/><Relationship Id="rId83" Type="http://schemas.openxmlformats.org/officeDocument/2006/relationships/image" Target="media/image63.jpeg"/><Relationship Id="rId82" Type="http://schemas.openxmlformats.org/officeDocument/2006/relationships/image" Target="media/image62.jpeg"/><Relationship Id="rId81" Type="http://schemas.openxmlformats.org/officeDocument/2006/relationships/image" Target="media/image61.png"/><Relationship Id="rId80" Type="http://schemas.openxmlformats.org/officeDocument/2006/relationships/image" Target="media/image60.png"/><Relationship Id="rId8" Type="http://schemas.openxmlformats.org/officeDocument/2006/relationships/footer" Target="footer1.xml"/><Relationship Id="rId79" Type="http://schemas.openxmlformats.org/officeDocument/2006/relationships/image" Target="media/image59.png"/><Relationship Id="rId78" Type="http://schemas.openxmlformats.org/officeDocument/2006/relationships/image" Target="media/image58.png"/><Relationship Id="rId77" Type="http://schemas.openxmlformats.org/officeDocument/2006/relationships/image" Target="media/image57.png"/><Relationship Id="rId76" Type="http://schemas.openxmlformats.org/officeDocument/2006/relationships/image" Target="media/image56.png"/><Relationship Id="rId75" Type="http://schemas.openxmlformats.org/officeDocument/2006/relationships/image" Target="media/image55.png"/><Relationship Id="rId74" Type="http://schemas.openxmlformats.org/officeDocument/2006/relationships/image" Target="media/image54.png"/><Relationship Id="rId73" Type="http://schemas.openxmlformats.org/officeDocument/2006/relationships/image" Target="media/image53.png"/><Relationship Id="rId72" Type="http://schemas.openxmlformats.org/officeDocument/2006/relationships/image" Target="media/image52.png"/><Relationship Id="rId71" Type="http://schemas.openxmlformats.org/officeDocument/2006/relationships/image" Target="media/image51.png"/><Relationship Id="rId70" Type="http://schemas.openxmlformats.org/officeDocument/2006/relationships/image" Target="media/image50.png"/><Relationship Id="rId7" Type="http://schemas.openxmlformats.org/officeDocument/2006/relationships/header" Target="header3.xml"/><Relationship Id="rId69" Type="http://schemas.openxmlformats.org/officeDocument/2006/relationships/image" Target="media/image49.png"/><Relationship Id="rId68" Type="http://schemas.openxmlformats.org/officeDocument/2006/relationships/image" Target="media/image48.wmf"/><Relationship Id="rId67" Type="http://schemas.openxmlformats.org/officeDocument/2006/relationships/image" Target="media/image47.pn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oleObject" Target="embeddings/oleObject6.bin"/><Relationship Id="rId6" Type="http://schemas.openxmlformats.org/officeDocument/2006/relationships/header" Target="header2.xml"/><Relationship Id="rId59" Type="http://schemas.openxmlformats.org/officeDocument/2006/relationships/image" Target="media/image40.wmf"/><Relationship Id="rId58" Type="http://schemas.openxmlformats.org/officeDocument/2006/relationships/oleObject" Target="embeddings/oleObject5.bin"/><Relationship Id="rId57" Type="http://schemas.openxmlformats.org/officeDocument/2006/relationships/image" Target="media/image39.wmf"/><Relationship Id="rId56" Type="http://schemas.openxmlformats.org/officeDocument/2006/relationships/oleObject" Target="embeddings/oleObject4.bin"/><Relationship Id="rId55" Type="http://schemas.openxmlformats.org/officeDocument/2006/relationships/image" Target="media/image38.wmf"/><Relationship Id="rId54" Type="http://schemas.openxmlformats.org/officeDocument/2006/relationships/oleObject" Target="embeddings/oleObject3.bin"/><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header" Target="head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emf"/><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oleObject" Target="embeddings/oleObject2.bin"/><Relationship Id="rId25" Type="http://schemas.openxmlformats.org/officeDocument/2006/relationships/image" Target="media/image10.wmf"/><Relationship Id="rId24" Type="http://schemas.openxmlformats.org/officeDocument/2006/relationships/image" Target="media/image9.png"/><Relationship Id="rId23" Type="http://schemas.openxmlformats.org/officeDocument/2006/relationships/image" Target="media/image8.wmf"/><Relationship Id="rId22" Type="http://schemas.openxmlformats.org/officeDocument/2006/relationships/image" Target="media/image7.wmf"/><Relationship Id="rId21" Type="http://schemas.openxmlformats.org/officeDocument/2006/relationships/oleObject" Target="embeddings/oleObject1.bin"/><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5.xml"/><Relationship Id="rId12" Type="http://schemas.openxmlformats.org/officeDocument/2006/relationships/footer" Target="footer4.xml"/><Relationship Id="rId116" Type="http://schemas.openxmlformats.org/officeDocument/2006/relationships/fontTable" Target="fontTable.xml"/><Relationship Id="rId115" Type="http://schemas.openxmlformats.org/officeDocument/2006/relationships/numbering" Target="numbering.xml"/><Relationship Id="rId114" Type="http://schemas.openxmlformats.org/officeDocument/2006/relationships/customXml" Target="../customXml/item1.xml"/><Relationship Id="rId113" Type="http://schemas.openxmlformats.org/officeDocument/2006/relationships/image" Target="media/image93.png"/><Relationship Id="rId112" Type="http://schemas.openxmlformats.org/officeDocument/2006/relationships/image" Target="media/image92.png"/><Relationship Id="rId111" Type="http://schemas.openxmlformats.org/officeDocument/2006/relationships/image" Target="media/image91.png"/><Relationship Id="rId110" Type="http://schemas.openxmlformats.org/officeDocument/2006/relationships/image" Target="media/image90.jpeg"/><Relationship Id="rId11" Type="http://schemas.openxmlformats.org/officeDocument/2006/relationships/header" Target="header4.xml"/><Relationship Id="rId109" Type="http://schemas.openxmlformats.org/officeDocument/2006/relationships/image" Target="media/image89.png"/><Relationship Id="rId108" Type="http://schemas.openxmlformats.org/officeDocument/2006/relationships/image" Target="media/image88.png"/><Relationship Id="rId107" Type="http://schemas.openxmlformats.org/officeDocument/2006/relationships/image" Target="media/image87.png"/><Relationship Id="rId106" Type="http://schemas.openxmlformats.org/officeDocument/2006/relationships/image" Target="media/image86.jpeg"/><Relationship Id="rId105" Type="http://schemas.openxmlformats.org/officeDocument/2006/relationships/image" Target="media/image85.jpeg"/><Relationship Id="rId104" Type="http://schemas.openxmlformats.org/officeDocument/2006/relationships/image" Target="media/image84.png"/><Relationship Id="rId103" Type="http://schemas.openxmlformats.org/officeDocument/2006/relationships/image" Target="media/image83.png"/><Relationship Id="rId102" Type="http://schemas.openxmlformats.org/officeDocument/2006/relationships/image" Target="media/image82.png"/><Relationship Id="rId101" Type="http://schemas.openxmlformats.org/officeDocument/2006/relationships/image" Target="media/image81.png"/><Relationship Id="rId100" Type="http://schemas.openxmlformats.org/officeDocument/2006/relationships/image" Target="media/image80.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ln>
      </a:spPr>
      <a:bodyPr rot="0" vert="horz" wrap="square" lIns="91440" tIns="45720" rIns="91440" bIns="45720" anchor="t" anchorCtr="0" upright="1">
        <a:noAutofit/>
      </a:bodyPr>
      <a:lst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426</Pages>
  <Words>10559</Words>
  <Characters>11804</Characters>
  <Lines>2591</Lines>
  <Paragraphs>729</Paragraphs>
  <TotalTime>26</TotalTime>
  <ScaleCrop>false</ScaleCrop>
  <LinksUpToDate>false</LinksUpToDate>
  <CharactersWithSpaces>12013</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2025-01-15T12:47:00Z</dcterms:created>
  <dc:creator>Microsoft</dc:creator>
  <cp:lastModifiedBy>Administrator</cp:lastModifiedBy>
  <cp:lastPrinted>2024-09-05T16:06:00Z</cp:lastPrinted>
  <dcterms:modified xsi:type="dcterms:W3CDTF">2025-02-05T02:54:20Z</dcterms:modified>
  <cp:revision>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2019-04-18T00:00:00Z</vt:filetime>
  </property>
  <property fmtid="{D5CDD505-2E9C-101B-9397-08002B2CF9AE}" pid="3" name="Creator">
    <vt:lpwstr>Microsoft® Word 2013</vt:lpwstr>
  </property>
  <property fmtid="{D5CDD505-2E9C-101B-9397-08002B2CF9AE}" pid="4" name="LastSaved">
    <vt:filetime>2020-05-20T00:00:00Z</vt:filetime>
  </property>
  <property fmtid="{D5CDD505-2E9C-101B-9397-08002B2CF9AE}" pid="5" name="KSOProductBuildVer">
    <vt:lpwstr>2052-12.1.0.15990</vt:lpwstr>
  </property>
  <property fmtid="{D5CDD505-2E9C-101B-9397-08002B2CF9AE}" pid="6" name="ICV">
    <vt:lpwstr>F1C7C386CA1D733C961AD966919B7455</vt:lpwstr>
  </property>
  <property fmtid="{D5CDD505-2E9C-101B-9397-08002B2CF9AE}" pid="7" name="KSOTemplateDocerSaveRecord">
    <vt:lpwstr>eyJoZGlkIjoiMzEwNTM5NzYwMDRjMzkwZTVkZjY2ODkwMGIxNGU0OTUiLCJ1c2VySWQiOiI2Mzc1NTcwNzAifQ==</vt:lpwstr>
  </property>
</Properties>
</file>